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Default Extension="png" ContentType="image/png"/>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3.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14.xml" ContentType="application/vnd.openxmlformats-officedocument.wordprocessingml.footer+xml"/>
  <Override PartName="/word/header41.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footer23.xml" ContentType="application/vnd.openxmlformats-officedocument.wordprocessingml.footer+xml"/>
  <Override PartName="/word/header57.xml" ContentType="application/vnd.openxmlformats-officedocument.wordprocessingml.header+xml"/>
  <Override PartName="/word/footer24.xml" ContentType="application/vnd.openxmlformats-officedocument.wordprocessingml.footer+xml"/>
  <Override PartName="/word/header58.xml" ContentType="application/vnd.openxmlformats-officedocument.wordprocessingml.header+xml"/>
  <Override PartName="/word/footer25.xml" ContentType="application/vnd.openxmlformats-officedocument.wordprocessingml.footer+xml"/>
  <Override PartName="/word/header59.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footer32.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footer33.xml" ContentType="application/vnd.openxmlformats-officedocument.wordprocessingml.footer+xml"/>
  <Override PartName="/word/header84.xml" ContentType="application/vnd.openxmlformats-officedocument.wordprocessingml.header+xml"/>
  <Override PartName="/word/footer34.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footer35.xml" ContentType="application/vnd.openxmlformats-officedocument.wordprocessingml.footer+xml"/>
  <Override PartName="/word/header106.xml" ContentType="application/vnd.openxmlformats-officedocument.wordprocessingml.header+xml"/>
  <Override PartName="/word/header10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8"/>
          <w:szCs w:val="28"/>
        </w:rPr>
      </w:pPr>
    </w:p>
    <w:p>
      <w:pPr>
        <w:spacing w:line="4263" w:lineRule="exact"/>
        <w:ind w:left="11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4"/>
          <w:sz w:val="20"/>
          <w:szCs w:val="20"/>
        </w:rPr>
        <w:drawing>
          <wp:inline distT="0" distB="0" distL="0" distR="0">
            <wp:extent cx="5538987" cy="270738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538987" cy="2707386"/>
                    </a:xfrm>
                    <a:prstGeom prst="rect">
                      <a:avLst/>
                    </a:prstGeom>
                  </pic:spPr>
                </pic:pic>
              </a:graphicData>
            </a:graphic>
          </wp:inline>
        </w:drawing>
      </w:r>
      <w:r>
        <w:rPr>
          <w:rFonts w:ascii="Times New Roman" w:hAnsi="Times New Roman" w:cs="Times New Roman" w:eastAsia="Times New Roman" w:hint="default"/>
          <w:position w:val="-84"/>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p>
      <w:pPr>
        <w:spacing w:line="539" w:lineRule="exact" w:before="0"/>
        <w:ind w:left="1421" w:right="1320" w:firstLine="0"/>
        <w:jc w:val="center"/>
        <w:rPr>
          <w:rFonts w:ascii="黑体" w:hAnsi="黑体" w:cs="黑体" w:eastAsia="黑体" w:hint="default"/>
          <w:sz w:val="44"/>
          <w:szCs w:val="44"/>
        </w:rPr>
      </w:pPr>
      <w:r>
        <w:rPr>
          <w:rFonts w:ascii="黑体" w:hAnsi="黑体" w:cs="黑体" w:eastAsia="黑体" w:hint="default"/>
          <w:b/>
          <w:bCs/>
          <w:color w:val="FF0000"/>
          <w:sz w:val="44"/>
          <w:szCs w:val="44"/>
        </w:rPr>
        <w:t>中国联合网络通信股份有限公司</w:t>
      </w:r>
      <w:r>
        <w:rPr>
          <w:rFonts w:ascii="黑体" w:hAnsi="黑体" w:cs="黑体" w:eastAsia="黑体" w:hint="default"/>
          <w:sz w:val="44"/>
          <w:szCs w:val="44"/>
        </w:rPr>
      </w:r>
    </w:p>
    <w:p>
      <w:pPr>
        <w:spacing w:line="240" w:lineRule="auto" w:before="7"/>
        <w:rPr>
          <w:rFonts w:ascii="黑体" w:hAnsi="黑体" w:cs="黑体" w:eastAsia="黑体" w:hint="default"/>
          <w:b/>
          <w:bCs/>
          <w:sz w:val="43"/>
          <w:szCs w:val="43"/>
        </w:rPr>
      </w:pPr>
    </w:p>
    <w:p>
      <w:pPr>
        <w:spacing w:before="0"/>
        <w:ind w:left="1421" w:right="1319" w:firstLine="0"/>
        <w:jc w:val="center"/>
        <w:rPr>
          <w:rFonts w:ascii="Arial" w:hAnsi="Arial" w:cs="Arial" w:eastAsia="Arial" w:hint="default"/>
          <w:sz w:val="44"/>
          <w:szCs w:val="44"/>
        </w:rPr>
      </w:pPr>
      <w:r>
        <w:rPr>
          <w:rFonts w:ascii="Arial"/>
          <w:b/>
          <w:color w:val="FF0000"/>
          <w:sz w:val="44"/>
        </w:rPr>
        <w:t>600050</w:t>
      </w:r>
      <w:r>
        <w:rPr>
          <w:rFonts w:ascii="Arial"/>
          <w:sz w:val="44"/>
        </w:rPr>
      </w:r>
    </w:p>
    <w:p>
      <w:pPr>
        <w:spacing w:line="240" w:lineRule="auto" w:before="11"/>
        <w:rPr>
          <w:rFonts w:ascii="Arial" w:hAnsi="Arial" w:cs="Arial" w:eastAsia="Arial" w:hint="default"/>
          <w:b/>
          <w:bCs/>
          <w:sz w:val="37"/>
          <w:szCs w:val="37"/>
        </w:rPr>
      </w:pPr>
    </w:p>
    <w:p>
      <w:pPr>
        <w:spacing w:before="0"/>
        <w:ind w:left="1421" w:right="1318" w:firstLine="0"/>
        <w:jc w:val="center"/>
        <w:rPr>
          <w:rFonts w:ascii="黑体" w:hAnsi="黑体" w:cs="黑体" w:eastAsia="黑体" w:hint="default"/>
          <w:sz w:val="44"/>
          <w:szCs w:val="44"/>
        </w:rPr>
      </w:pPr>
      <w:r>
        <w:rPr>
          <w:rFonts w:ascii="Arial" w:hAnsi="Arial" w:cs="Arial" w:eastAsia="Arial" w:hint="default"/>
          <w:b/>
          <w:bCs/>
          <w:color w:val="FF0000"/>
          <w:sz w:val="44"/>
          <w:szCs w:val="44"/>
        </w:rPr>
        <w:t>2014</w:t>
      </w:r>
      <w:r>
        <w:rPr>
          <w:rFonts w:ascii="Arial" w:hAnsi="Arial" w:cs="Arial" w:eastAsia="Arial" w:hint="default"/>
          <w:b/>
          <w:bCs/>
          <w:color w:val="FF0000"/>
          <w:spacing w:val="-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type w:val="continuous"/>
          <w:pgSz w:w="11910" w:h="16840"/>
          <w:pgMar w:top="1580" w:bottom="280" w:left="1680" w:right="1260"/>
        </w:sectPr>
      </w:pP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18"/>
          <w:szCs w:val="18"/>
        </w:rPr>
      </w:pPr>
    </w:p>
    <w:p>
      <w:pPr>
        <w:spacing w:before="14"/>
        <w:ind w:left="4053" w:right="4069"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spacing w:line="355" w:lineRule="auto" w:before="0"/>
        <w:ind w:left="640" w:right="0" w:hanging="423"/>
        <w:jc w:val="left"/>
        <w:rPr>
          <w:rFonts w:ascii="宋体" w:hAnsi="宋体" w:cs="宋体" w:eastAsia="宋体" w:hint="default"/>
          <w:sz w:val="21"/>
          <w:szCs w:val="21"/>
        </w:rPr>
      </w:pPr>
      <w:r>
        <w:rPr>
          <w:rFonts w:ascii="宋体" w:hAnsi="宋体" w:cs="宋体" w:eastAsia="宋体" w:hint="default"/>
          <w:b/>
          <w:bCs/>
          <w:spacing w:val="-4"/>
          <w:sz w:val="21"/>
          <w:szCs w:val="21"/>
        </w:rPr>
        <w:t>一、本公司董事会、监事会及董事、监事、高级管理人员保证年度报告内容的真实、准确、完整，</w:t>
      </w:r>
      <w:r>
        <w:rPr>
          <w:rFonts w:ascii="宋体" w:hAnsi="宋体" w:cs="宋体" w:eastAsia="宋体" w:hint="default"/>
          <w:b/>
          <w:bCs/>
          <w:spacing w:val="-66"/>
          <w:sz w:val="21"/>
          <w:szCs w:val="21"/>
        </w:rPr>
        <w:t> </w:t>
      </w:r>
      <w:r>
        <w:rPr>
          <w:rFonts w:ascii="宋体" w:hAnsi="宋体" w:cs="宋体" w:eastAsia="宋体" w:hint="default"/>
          <w:b/>
          <w:bCs/>
          <w:spacing w:val="-66"/>
          <w:sz w:val="21"/>
          <w:szCs w:val="21"/>
        </w:rPr>
      </w:r>
      <w:r>
        <w:rPr>
          <w:rFonts w:ascii="宋体" w:hAnsi="宋体" w:cs="宋体" w:eastAsia="宋体" w:hint="default"/>
          <w:b/>
          <w:bCs/>
          <w:sz w:val="21"/>
          <w:szCs w:val="21"/>
        </w:rPr>
        <w:t>不存在虚假记载、误导性陈述或重大遗漏，并承担个别和连带的法律责任。</w:t>
      </w:r>
      <w:r>
        <w:rPr>
          <w:rFonts w:ascii="宋体" w:hAnsi="宋体" w:cs="宋体" w:eastAsia="宋体" w:hint="default"/>
          <w:sz w:val="21"/>
          <w:szCs w:val="21"/>
        </w:rPr>
      </w:r>
    </w:p>
    <w:p>
      <w:pPr>
        <w:spacing w:line="240" w:lineRule="auto" w:before="6"/>
        <w:rPr>
          <w:rFonts w:ascii="宋体" w:hAnsi="宋体" w:cs="宋体" w:eastAsia="宋体" w:hint="default"/>
          <w:b/>
          <w:bCs/>
          <w:sz w:val="18"/>
          <w:szCs w:val="18"/>
        </w:rPr>
      </w:pPr>
    </w:p>
    <w:p>
      <w:pPr>
        <w:spacing w:before="0"/>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77"/>
          <w:sz w:val="21"/>
          <w:szCs w:val="21"/>
        </w:rPr>
        <w:t> </w:t>
      </w:r>
      <w:r>
        <w:rPr>
          <w:rFonts w:ascii="宋体" w:hAnsi="宋体" w:cs="宋体" w:eastAsia="宋体" w:hint="default"/>
          <w:b/>
          <w:bCs/>
          <w:sz w:val="21"/>
          <w:szCs w:val="21"/>
        </w:rPr>
        <w:t>未出席董事情况</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389"/>
        <w:gridCol w:w="2136"/>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未出席董事职务</w:t>
            </w:r>
            <w:r>
              <w:rPr>
                <w:rFonts w:ascii="宋体" w:hAnsi="宋体" w:cs="宋体" w:eastAsia="宋体" w:hint="default"/>
                <w:sz w:val="21"/>
                <w:szCs w:val="21"/>
              </w:rPr>
            </w:r>
          </w:p>
        </w:tc>
        <w:tc>
          <w:tcPr>
            <w:tcW w:w="226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未出席董事姓名</w:t>
            </w:r>
            <w:r>
              <w:rPr>
                <w:rFonts w:ascii="宋体" w:hAnsi="宋体" w:cs="宋体" w:eastAsia="宋体" w:hint="default"/>
                <w:sz w:val="21"/>
                <w:szCs w:val="21"/>
              </w:rPr>
            </w:r>
          </w:p>
        </w:tc>
        <w:tc>
          <w:tcPr>
            <w:tcW w:w="238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b/>
                <w:bCs/>
                <w:sz w:val="21"/>
                <w:szCs w:val="21"/>
              </w:rPr>
              <w:t>未出席董事的原因说明</w:t>
            </w:r>
            <w:r>
              <w:rPr>
                <w:rFonts w:ascii="宋体" w:hAnsi="宋体" w:cs="宋体" w:eastAsia="宋体" w:hint="default"/>
                <w:sz w:val="21"/>
                <w:szCs w:val="21"/>
              </w:rPr>
            </w:r>
          </w:p>
        </w:tc>
        <w:tc>
          <w:tcPr>
            <w:tcW w:w="213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被委托人姓名</w:t>
            </w:r>
            <w:r>
              <w:rPr>
                <w:rFonts w:ascii="宋体" w:hAnsi="宋体" w:cs="宋体" w:eastAsia="宋体" w:hint="default"/>
                <w:sz w:val="21"/>
                <w:szCs w:val="21"/>
              </w:rPr>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陆益民</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因出差在外，不能亲自</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参加本次会议</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张钧安</w:t>
            </w:r>
          </w:p>
        </w:tc>
      </w:tr>
    </w:tbl>
    <w:p>
      <w:pPr>
        <w:spacing w:line="240" w:lineRule="auto" w:before="13"/>
        <w:rPr>
          <w:rFonts w:ascii="宋体" w:hAnsi="宋体" w:cs="宋体" w:eastAsia="宋体" w:hint="default"/>
          <w:b/>
          <w:bCs/>
          <w:sz w:val="12"/>
          <w:szCs w:val="12"/>
        </w:rPr>
      </w:pPr>
    </w:p>
    <w:p>
      <w:pPr>
        <w:spacing w:before="3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三、毕马威华振会计师事务所（特殊普通合伙）为本公司出具了标准无保留意见的审计报告。</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55" w:lineRule="auto" w:before="0"/>
        <w:ind w:left="640" w:right="0" w:hanging="423"/>
        <w:jc w:val="left"/>
        <w:rPr>
          <w:rFonts w:ascii="宋体" w:hAnsi="宋体" w:cs="宋体" w:eastAsia="宋体" w:hint="default"/>
          <w:sz w:val="21"/>
          <w:szCs w:val="21"/>
        </w:rPr>
      </w:pPr>
      <w:r>
        <w:rPr>
          <w:rFonts w:ascii="宋体" w:hAnsi="宋体" w:cs="宋体" w:eastAsia="宋体" w:hint="default"/>
          <w:b/>
          <w:bCs/>
          <w:spacing w:val="-1"/>
          <w:sz w:val="21"/>
          <w:szCs w:val="21"/>
        </w:rPr>
        <w:t>四、公司负责人常小兵、主管会计工作负责人李超及会计机构负责人（会计主管人员）李张挺声</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b/>
          <w:bCs/>
          <w:sz w:val="21"/>
          <w:szCs w:val="21"/>
        </w:rPr>
        <w:t>明：保证年度报告中财务报告的真实、准确、完整。</w:t>
      </w:r>
      <w:r>
        <w:rPr>
          <w:rFonts w:ascii="宋体" w:hAnsi="宋体" w:cs="宋体" w:eastAsia="宋体" w:hint="default"/>
          <w:sz w:val="21"/>
          <w:szCs w:val="21"/>
        </w:rPr>
      </w:r>
    </w:p>
    <w:p>
      <w:pPr>
        <w:spacing w:line="240" w:lineRule="auto" w:before="6"/>
        <w:rPr>
          <w:rFonts w:ascii="宋体" w:hAnsi="宋体" w:cs="宋体" w:eastAsia="宋体" w:hint="default"/>
          <w:b/>
          <w:bCs/>
          <w:sz w:val="18"/>
          <w:szCs w:val="18"/>
        </w:rPr>
      </w:pPr>
    </w:p>
    <w:p>
      <w:pPr>
        <w:spacing w:before="0"/>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五、经董事会审议的报告期利润分配预案或公积金转增股本预案</w:t>
      </w:r>
      <w:r>
        <w:rPr>
          <w:rFonts w:ascii="宋体" w:hAnsi="宋体" w:cs="宋体" w:eastAsia="宋体" w:hint="default"/>
          <w:sz w:val="21"/>
          <w:szCs w:val="21"/>
        </w:rPr>
      </w:r>
    </w:p>
    <w:p>
      <w:pPr>
        <w:spacing w:line="232" w:lineRule="auto" w:before="140"/>
        <w:ind w:left="218" w:right="122" w:firstLine="0"/>
        <w:jc w:val="both"/>
        <w:rPr>
          <w:rFonts w:ascii="宋体" w:hAnsi="宋体" w:cs="宋体" w:eastAsia="宋体" w:hint="default"/>
          <w:sz w:val="21"/>
          <w:szCs w:val="21"/>
        </w:rPr>
      </w:pPr>
      <w:r>
        <w:rPr>
          <w:rFonts w:ascii="宋体" w:hAnsi="宋体" w:cs="宋体" w:eastAsia="宋体" w:hint="default"/>
          <w:spacing w:val="-6"/>
          <w:w w:val="100"/>
          <w:sz w:val="21"/>
          <w:szCs w:val="21"/>
        </w:rPr>
        <w:t>公司董事会审议的报告期利润分配预案如下：本公司通过联通</w:t>
      </w:r>
      <w:r>
        <w:rPr>
          <w:rFonts w:ascii="宋体" w:hAnsi="宋体" w:cs="宋体" w:eastAsia="宋体" w:hint="default"/>
          <w:spacing w:val="-56"/>
          <w:w w:val="100"/>
          <w:sz w:val="21"/>
          <w:szCs w:val="21"/>
        </w:rPr>
        <w:t> </w:t>
      </w:r>
      <w:r>
        <w:rPr>
          <w:rFonts w:ascii="Arial" w:hAnsi="Arial" w:cs="Arial" w:eastAsia="Arial" w:hint="default"/>
          <w:spacing w:val="-1"/>
          <w:w w:val="100"/>
          <w:sz w:val="21"/>
          <w:szCs w:val="21"/>
        </w:rPr>
        <w:t>BVI</w:t>
      </w:r>
      <w:r>
        <w:rPr>
          <w:rFonts w:ascii="Arial" w:hAnsi="Arial" w:cs="Arial" w:eastAsia="Arial" w:hint="default"/>
          <w:spacing w:val="-6"/>
          <w:w w:val="100"/>
          <w:sz w:val="21"/>
          <w:szCs w:val="21"/>
        </w:rPr>
        <w:t> </w:t>
      </w:r>
      <w:r>
        <w:rPr>
          <w:rFonts w:ascii="宋体" w:hAnsi="宋体" w:cs="宋体" w:eastAsia="宋体" w:hint="default"/>
          <w:spacing w:val="-9"/>
          <w:w w:val="100"/>
          <w:sz w:val="21"/>
          <w:szCs w:val="21"/>
        </w:rPr>
        <w:t>公司持有中国联合网络通信（香</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港）股份有限公司（以下称“联通红筹公司”）的股权。按本公司章程规定，应将自联通红筹公</w:t>
      </w:r>
      <w:r>
        <w:rPr>
          <w:rFonts w:ascii="宋体" w:hAnsi="宋体" w:cs="宋体" w:eastAsia="宋体" w:hint="default"/>
          <w:w w:val="100"/>
          <w:sz w:val="21"/>
          <w:szCs w:val="21"/>
        </w:rPr>
        <w:t> </w:t>
      </w:r>
      <w:r>
        <w:rPr>
          <w:rFonts w:ascii="宋体" w:hAnsi="宋体" w:cs="宋体" w:eastAsia="宋体" w:hint="default"/>
          <w:sz w:val="21"/>
          <w:szCs w:val="21"/>
        </w:rPr>
        <w:t>司分红所得现金在扣除公司日常现金开支、税费及法律法规规定应当提取的各项基金后，以现金</w:t>
      </w:r>
      <w:r>
        <w:rPr>
          <w:rFonts w:ascii="宋体" w:hAnsi="宋体" w:cs="宋体" w:eastAsia="宋体" w:hint="default"/>
          <w:w w:val="100"/>
          <w:sz w:val="21"/>
          <w:szCs w:val="21"/>
        </w:rPr>
        <w:t> </w:t>
      </w:r>
      <w:r>
        <w:rPr>
          <w:rFonts w:ascii="宋体" w:hAnsi="宋体" w:cs="宋体" w:eastAsia="宋体" w:hint="default"/>
          <w:spacing w:val="-6"/>
          <w:w w:val="100"/>
          <w:sz w:val="21"/>
          <w:szCs w:val="21"/>
        </w:rPr>
        <w:t>方式全额分配给股东。由于联通红筹公司董事会已经于</w:t>
      </w:r>
      <w:r>
        <w:rPr>
          <w:rFonts w:ascii="宋体" w:hAnsi="宋体" w:cs="宋体" w:eastAsia="宋体" w:hint="default"/>
          <w:spacing w:val="-66"/>
          <w:w w:val="100"/>
          <w:sz w:val="21"/>
          <w:szCs w:val="21"/>
        </w:rPr>
        <w:t> </w:t>
      </w:r>
      <w:r>
        <w:rPr>
          <w:rFonts w:ascii="Arial" w:hAnsi="Arial" w:cs="Arial" w:eastAsia="Arial" w:hint="default"/>
          <w:w w:val="100"/>
          <w:sz w:val="21"/>
          <w:szCs w:val="21"/>
        </w:rPr>
        <w:t>2015</w:t>
      </w:r>
      <w:r>
        <w:rPr>
          <w:rFonts w:ascii="Arial" w:hAnsi="Arial" w:cs="Arial" w:eastAsia="Arial" w:hint="default"/>
          <w:spacing w:val="-19"/>
          <w:w w:val="100"/>
          <w:sz w:val="21"/>
          <w:szCs w:val="21"/>
        </w:rPr>
        <w:t> </w:t>
      </w:r>
      <w:r>
        <w:rPr>
          <w:rFonts w:ascii="宋体" w:hAnsi="宋体" w:cs="宋体" w:eastAsia="宋体" w:hint="default"/>
          <w:w w:val="100"/>
          <w:sz w:val="21"/>
          <w:szCs w:val="21"/>
        </w:rPr>
        <w:t>年</w:t>
      </w:r>
      <w:r>
        <w:rPr>
          <w:rFonts w:ascii="宋体" w:hAnsi="宋体" w:cs="宋体" w:eastAsia="宋体" w:hint="default"/>
          <w:spacing w:val="-66"/>
          <w:w w:val="100"/>
          <w:sz w:val="21"/>
          <w:szCs w:val="21"/>
        </w:rPr>
        <w:t> </w:t>
      </w:r>
      <w:r>
        <w:rPr>
          <w:rFonts w:ascii="Arial" w:hAnsi="Arial" w:cs="Arial" w:eastAsia="Arial" w:hint="default"/>
          <w:w w:val="100"/>
          <w:sz w:val="21"/>
          <w:szCs w:val="21"/>
        </w:rPr>
        <w:t>3</w:t>
      </w:r>
      <w:r>
        <w:rPr>
          <w:rFonts w:ascii="Arial" w:hAnsi="Arial" w:cs="Arial" w:eastAsia="Arial" w:hint="default"/>
          <w:spacing w:val="-19"/>
          <w:w w:val="100"/>
          <w:sz w:val="21"/>
          <w:szCs w:val="21"/>
        </w:rPr>
        <w:t> </w:t>
      </w:r>
      <w:r>
        <w:rPr>
          <w:rFonts w:ascii="宋体" w:hAnsi="宋体" w:cs="宋体" w:eastAsia="宋体" w:hint="default"/>
          <w:w w:val="100"/>
          <w:sz w:val="21"/>
          <w:szCs w:val="21"/>
        </w:rPr>
        <w:t>月</w:t>
      </w:r>
      <w:r>
        <w:rPr>
          <w:rFonts w:ascii="宋体" w:hAnsi="宋体" w:cs="宋体" w:eastAsia="宋体" w:hint="default"/>
          <w:spacing w:val="-65"/>
          <w:w w:val="100"/>
          <w:sz w:val="21"/>
          <w:szCs w:val="21"/>
        </w:rPr>
        <w:t> </w:t>
      </w:r>
      <w:r>
        <w:rPr>
          <w:rFonts w:ascii="Arial" w:hAnsi="Arial" w:cs="Arial" w:eastAsia="Arial" w:hint="default"/>
          <w:w w:val="100"/>
          <w:sz w:val="21"/>
          <w:szCs w:val="21"/>
        </w:rPr>
        <w:t>3</w:t>
      </w:r>
      <w:r>
        <w:rPr>
          <w:rFonts w:ascii="Arial" w:hAnsi="Arial" w:cs="Arial" w:eastAsia="Arial" w:hint="default"/>
          <w:spacing w:val="-22"/>
          <w:w w:val="100"/>
          <w:sz w:val="21"/>
          <w:szCs w:val="21"/>
        </w:rPr>
        <w:t> </w:t>
      </w:r>
      <w:r>
        <w:rPr>
          <w:rFonts w:ascii="宋体" w:hAnsi="宋体" w:cs="宋体" w:eastAsia="宋体" w:hint="default"/>
          <w:spacing w:val="-2"/>
          <w:w w:val="100"/>
          <w:sz w:val="21"/>
          <w:szCs w:val="21"/>
        </w:rPr>
        <w:t>日提议派发</w:t>
      </w:r>
      <w:r>
        <w:rPr>
          <w:rFonts w:ascii="宋体" w:hAnsi="宋体" w:cs="宋体" w:eastAsia="宋体" w:hint="default"/>
          <w:spacing w:val="-66"/>
          <w:w w:val="100"/>
          <w:sz w:val="21"/>
          <w:szCs w:val="21"/>
        </w:rPr>
        <w:t> </w:t>
      </w:r>
      <w:r>
        <w:rPr>
          <w:rFonts w:ascii="Arial" w:hAnsi="Arial" w:cs="Arial" w:eastAsia="Arial" w:hint="default"/>
          <w:w w:val="100"/>
          <w:sz w:val="21"/>
          <w:szCs w:val="21"/>
        </w:rPr>
        <w:t>2014</w:t>
      </w:r>
      <w:r>
        <w:rPr>
          <w:rFonts w:ascii="Arial" w:hAnsi="Arial" w:cs="Arial" w:eastAsia="Arial" w:hint="default"/>
          <w:spacing w:val="-19"/>
          <w:w w:val="100"/>
          <w:sz w:val="21"/>
          <w:szCs w:val="21"/>
        </w:rPr>
        <w:t> </w:t>
      </w:r>
      <w:r>
        <w:rPr>
          <w:rFonts w:ascii="宋体" w:hAnsi="宋体" w:cs="宋体" w:eastAsia="宋体" w:hint="default"/>
          <w:spacing w:val="-2"/>
          <w:w w:val="100"/>
          <w:sz w:val="21"/>
          <w:szCs w:val="21"/>
        </w:rPr>
        <w:t>年度股利，</w:t>
      </w:r>
    </w:p>
    <w:p>
      <w:pPr>
        <w:spacing w:line="266" w:lineRule="exact"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每股</w:t>
      </w:r>
      <w:r>
        <w:rPr>
          <w:rFonts w:ascii="宋体" w:hAnsi="宋体" w:cs="宋体" w:eastAsia="宋体" w:hint="default"/>
          <w:spacing w:val="-3"/>
          <w:w w:val="100"/>
          <w:sz w:val="21"/>
          <w:szCs w:val="21"/>
        </w:rPr>
        <w:t>派</w:t>
      </w:r>
      <w:r>
        <w:rPr>
          <w:rFonts w:ascii="宋体" w:hAnsi="宋体" w:cs="宋体" w:eastAsia="宋体" w:hint="default"/>
          <w:w w:val="100"/>
          <w:sz w:val="21"/>
          <w:szCs w:val="21"/>
        </w:rPr>
        <w:t>发</w:t>
      </w:r>
      <w:r>
        <w:rPr>
          <w:rFonts w:ascii="宋体" w:hAnsi="宋体" w:cs="宋体" w:eastAsia="宋体" w:hint="default"/>
          <w:spacing w:val="-3"/>
          <w:w w:val="100"/>
          <w:sz w:val="21"/>
          <w:szCs w:val="21"/>
        </w:rPr>
        <w:t>股</w:t>
      </w:r>
      <w:r>
        <w:rPr>
          <w:rFonts w:ascii="宋体" w:hAnsi="宋体" w:cs="宋体" w:eastAsia="宋体" w:hint="default"/>
          <w:spacing w:val="-1"/>
          <w:w w:val="100"/>
          <w:sz w:val="21"/>
          <w:szCs w:val="21"/>
        </w:rPr>
        <w:t>利</w:t>
      </w:r>
      <w:r>
        <w:rPr>
          <w:rFonts w:ascii="宋体" w:hAnsi="宋体" w:cs="宋体" w:eastAsia="宋体" w:hint="default"/>
          <w:spacing w:val="-3"/>
          <w:w w:val="100"/>
          <w:sz w:val="21"/>
          <w:szCs w:val="21"/>
        </w:rPr>
        <w:t>人</w:t>
      </w:r>
      <w:r>
        <w:rPr>
          <w:rFonts w:ascii="宋体" w:hAnsi="宋体" w:cs="宋体" w:eastAsia="宋体" w:hint="default"/>
          <w:w w:val="100"/>
          <w:sz w:val="21"/>
          <w:szCs w:val="21"/>
        </w:rPr>
        <w:t>民币</w:t>
      </w:r>
      <w:r>
        <w:rPr>
          <w:rFonts w:ascii="宋体" w:hAnsi="宋体" w:cs="宋体" w:eastAsia="宋体" w:hint="default"/>
          <w:spacing w:val="-59"/>
          <w:sz w:val="21"/>
          <w:szCs w:val="21"/>
        </w:rPr>
        <w:t> </w:t>
      </w:r>
      <w:r>
        <w:rPr>
          <w:rFonts w:ascii="Arial" w:hAnsi="Arial" w:cs="Arial" w:eastAsia="Arial" w:hint="default"/>
          <w:w w:val="100"/>
          <w:sz w:val="21"/>
          <w:szCs w:val="21"/>
        </w:rPr>
        <w:t>0</w:t>
      </w:r>
      <w:r>
        <w:rPr>
          <w:rFonts w:ascii="Arial" w:hAnsi="Arial" w:cs="Arial" w:eastAsia="Arial" w:hint="default"/>
          <w:spacing w:val="-1"/>
          <w:w w:val="100"/>
          <w:sz w:val="21"/>
          <w:szCs w:val="21"/>
        </w:rPr>
        <w:t>.</w:t>
      </w:r>
      <w:r>
        <w:rPr>
          <w:rFonts w:ascii="Arial" w:hAnsi="Arial" w:cs="Arial" w:eastAsia="Arial" w:hint="default"/>
          <w:w w:val="100"/>
          <w:sz w:val="21"/>
          <w:szCs w:val="21"/>
        </w:rPr>
        <w:t>20</w:t>
      </w:r>
      <w:r>
        <w:rPr>
          <w:rFonts w:ascii="Arial" w:hAnsi="Arial" w:cs="Arial" w:eastAsia="Arial" w:hint="default"/>
          <w:spacing w:val="-15"/>
          <w:sz w:val="21"/>
          <w:szCs w:val="21"/>
        </w:rPr>
        <w:t> </w:t>
      </w:r>
      <w:r>
        <w:rPr>
          <w:rFonts w:ascii="宋体" w:hAnsi="宋体" w:cs="宋体" w:eastAsia="宋体" w:hint="default"/>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该</w:t>
      </w:r>
      <w:r>
        <w:rPr>
          <w:rFonts w:ascii="宋体" w:hAnsi="宋体" w:cs="宋体" w:eastAsia="宋体" w:hint="default"/>
          <w:w w:val="100"/>
          <w:sz w:val="21"/>
          <w:szCs w:val="21"/>
        </w:rPr>
        <w:t>股</w:t>
      </w:r>
      <w:r>
        <w:rPr>
          <w:rFonts w:ascii="宋体" w:hAnsi="宋体" w:cs="宋体" w:eastAsia="宋体" w:hint="default"/>
          <w:spacing w:val="-3"/>
          <w:w w:val="100"/>
          <w:sz w:val="21"/>
          <w:szCs w:val="21"/>
        </w:rPr>
        <w:t>利</w:t>
      </w:r>
      <w:r>
        <w:rPr>
          <w:rFonts w:ascii="宋体" w:hAnsi="宋体" w:cs="宋体" w:eastAsia="宋体" w:hint="default"/>
          <w:w w:val="100"/>
          <w:sz w:val="21"/>
          <w:szCs w:val="21"/>
        </w:rPr>
        <w:t>预</w:t>
      </w:r>
      <w:r>
        <w:rPr>
          <w:rFonts w:ascii="宋体" w:hAnsi="宋体" w:cs="宋体" w:eastAsia="宋体" w:hint="default"/>
          <w:spacing w:val="-3"/>
          <w:w w:val="100"/>
          <w:sz w:val="21"/>
          <w:szCs w:val="21"/>
        </w:rPr>
        <w:t>计</w:t>
      </w:r>
      <w:r>
        <w:rPr>
          <w:rFonts w:ascii="宋体" w:hAnsi="宋体" w:cs="宋体" w:eastAsia="宋体" w:hint="default"/>
          <w:w w:val="100"/>
          <w:sz w:val="21"/>
          <w:szCs w:val="21"/>
        </w:rPr>
        <w:t>将于</w:t>
      </w:r>
      <w:r>
        <w:rPr>
          <w:rFonts w:ascii="宋体" w:hAnsi="宋体" w:cs="宋体" w:eastAsia="宋体" w:hint="default"/>
          <w:spacing w:val="-60"/>
          <w:sz w:val="21"/>
          <w:szCs w:val="21"/>
        </w:rPr>
        <w:t> </w:t>
      </w:r>
      <w:r>
        <w:rPr>
          <w:rFonts w:ascii="Arial" w:hAnsi="Arial" w:cs="Arial" w:eastAsia="Arial" w:hint="default"/>
          <w:w w:val="100"/>
          <w:sz w:val="21"/>
          <w:szCs w:val="21"/>
        </w:rPr>
        <w:t>2</w:t>
      </w:r>
      <w:r>
        <w:rPr>
          <w:rFonts w:ascii="Arial" w:hAnsi="Arial" w:cs="Arial" w:eastAsia="Arial" w:hint="default"/>
          <w:spacing w:val="-3"/>
          <w:w w:val="100"/>
          <w:sz w:val="21"/>
          <w:szCs w:val="21"/>
        </w:rPr>
        <w:t>0</w:t>
      </w:r>
      <w:r>
        <w:rPr>
          <w:rFonts w:ascii="Arial" w:hAnsi="Arial" w:cs="Arial" w:eastAsia="Arial" w:hint="default"/>
          <w:w w:val="100"/>
          <w:sz w:val="21"/>
          <w:szCs w:val="21"/>
        </w:rPr>
        <w:t>15</w:t>
      </w:r>
      <w:r>
        <w:rPr>
          <w:rFonts w:ascii="Arial" w:hAnsi="Arial" w:cs="Arial" w:eastAsia="Arial" w:hint="default"/>
          <w:spacing w:val="-15"/>
          <w:sz w:val="21"/>
          <w:szCs w:val="21"/>
        </w:rPr>
        <w:t> </w:t>
      </w:r>
      <w:r>
        <w:rPr>
          <w:rFonts w:ascii="宋体" w:hAnsi="宋体" w:cs="宋体" w:eastAsia="宋体" w:hint="default"/>
          <w:w w:val="100"/>
          <w:sz w:val="21"/>
          <w:szCs w:val="21"/>
        </w:rPr>
        <w:t>年</w:t>
      </w:r>
      <w:r>
        <w:rPr>
          <w:rFonts w:ascii="宋体" w:hAnsi="宋体" w:cs="宋体" w:eastAsia="宋体" w:hint="default"/>
          <w:spacing w:val="-60"/>
          <w:sz w:val="21"/>
          <w:szCs w:val="21"/>
        </w:rPr>
        <w:t> </w:t>
      </w:r>
      <w:r>
        <w:rPr>
          <w:rFonts w:ascii="Arial" w:hAnsi="Arial" w:cs="Arial" w:eastAsia="Arial" w:hint="default"/>
          <w:w w:val="100"/>
          <w:sz w:val="21"/>
          <w:szCs w:val="21"/>
        </w:rPr>
        <w:t>5</w:t>
      </w:r>
      <w:r>
        <w:rPr>
          <w:rFonts w:ascii="Arial" w:hAnsi="Arial" w:cs="Arial" w:eastAsia="Arial" w:hint="default"/>
          <w:spacing w:val="-13"/>
          <w:sz w:val="21"/>
          <w:szCs w:val="21"/>
        </w:rPr>
        <w:t> </w:t>
      </w:r>
      <w:r>
        <w:rPr>
          <w:rFonts w:ascii="宋体" w:hAnsi="宋体" w:cs="宋体" w:eastAsia="宋体" w:hint="default"/>
          <w:w w:val="100"/>
          <w:sz w:val="21"/>
          <w:szCs w:val="21"/>
        </w:rPr>
        <w:t>月经</w:t>
      </w:r>
      <w:r>
        <w:rPr>
          <w:rFonts w:ascii="宋体" w:hAnsi="宋体" w:cs="宋体" w:eastAsia="宋体" w:hint="default"/>
          <w:spacing w:val="-3"/>
          <w:w w:val="100"/>
          <w:sz w:val="21"/>
          <w:szCs w:val="21"/>
        </w:rPr>
        <w:t>联</w:t>
      </w:r>
      <w:r>
        <w:rPr>
          <w:rFonts w:ascii="宋体" w:hAnsi="宋体" w:cs="宋体" w:eastAsia="宋体" w:hint="default"/>
          <w:w w:val="100"/>
          <w:sz w:val="21"/>
          <w:szCs w:val="21"/>
        </w:rPr>
        <w:t>通</w:t>
      </w:r>
      <w:r>
        <w:rPr>
          <w:rFonts w:ascii="宋体" w:hAnsi="宋体" w:cs="宋体" w:eastAsia="宋体" w:hint="default"/>
          <w:spacing w:val="-3"/>
          <w:w w:val="100"/>
          <w:sz w:val="21"/>
          <w:szCs w:val="21"/>
        </w:rPr>
        <w:t>红</w:t>
      </w:r>
      <w:r>
        <w:rPr>
          <w:rFonts w:ascii="宋体" w:hAnsi="宋体" w:cs="宋体" w:eastAsia="宋体" w:hint="default"/>
          <w:w w:val="100"/>
          <w:sz w:val="21"/>
          <w:szCs w:val="21"/>
        </w:rPr>
        <w:t>筹</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股</w:t>
      </w:r>
      <w:r>
        <w:rPr>
          <w:rFonts w:ascii="宋体" w:hAnsi="宋体" w:cs="宋体" w:eastAsia="宋体" w:hint="default"/>
          <w:w w:val="100"/>
          <w:sz w:val="21"/>
          <w:szCs w:val="21"/>
        </w:rPr>
        <w:t>东大</w:t>
      </w:r>
      <w:r>
        <w:rPr>
          <w:rFonts w:ascii="宋体" w:hAnsi="宋体" w:cs="宋体" w:eastAsia="宋体" w:hint="default"/>
          <w:spacing w:val="-3"/>
          <w:w w:val="100"/>
          <w:sz w:val="21"/>
          <w:szCs w:val="21"/>
        </w:rPr>
        <w:t>会</w:t>
      </w:r>
      <w:r>
        <w:rPr>
          <w:rFonts w:ascii="宋体" w:hAnsi="宋体" w:cs="宋体" w:eastAsia="宋体" w:hint="default"/>
          <w:w w:val="100"/>
          <w:sz w:val="21"/>
          <w:szCs w:val="21"/>
        </w:rPr>
        <w:t>批</w:t>
      </w:r>
      <w:r>
        <w:rPr>
          <w:rFonts w:ascii="宋体" w:hAnsi="宋体" w:cs="宋体" w:eastAsia="宋体" w:hint="default"/>
          <w:spacing w:val="-3"/>
          <w:w w:val="100"/>
          <w:sz w:val="21"/>
          <w:szCs w:val="21"/>
        </w:rPr>
        <w:t>准</w:t>
      </w:r>
      <w:r>
        <w:rPr>
          <w:rFonts w:ascii="宋体" w:hAnsi="宋体" w:cs="宋体" w:eastAsia="宋体" w:hint="default"/>
          <w:w w:val="100"/>
          <w:sz w:val="21"/>
          <w:szCs w:val="21"/>
        </w:rPr>
        <w:t>后</w:t>
      </w:r>
      <w:r>
        <w:rPr>
          <w:rFonts w:ascii="宋体" w:hAnsi="宋体" w:cs="宋体" w:eastAsia="宋体" w:hint="default"/>
          <w:spacing w:val="-3"/>
          <w:w w:val="100"/>
          <w:sz w:val="21"/>
          <w:szCs w:val="21"/>
        </w:rPr>
        <w:t>收</w:t>
      </w:r>
      <w:r>
        <w:rPr>
          <w:rFonts w:ascii="宋体" w:hAnsi="宋体" w:cs="宋体" w:eastAsia="宋体" w:hint="default"/>
          <w:w w:val="100"/>
          <w:sz w:val="21"/>
          <w:szCs w:val="21"/>
        </w:rPr>
        <w:t>到。</w:t>
      </w:r>
    </w:p>
    <w:p>
      <w:pPr>
        <w:spacing w:line="280"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因此本公司董事会提议据此派发</w:t>
      </w:r>
      <w:r>
        <w:rPr>
          <w:rFonts w:ascii="宋体" w:hAnsi="宋体" w:cs="宋体" w:eastAsia="宋体" w:hint="default"/>
          <w:spacing w:val="-55"/>
          <w:sz w:val="21"/>
          <w:szCs w:val="21"/>
        </w:rPr>
        <w:t> </w:t>
      </w:r>
      <w:r>
        <w:rPr>
          <w:rFonts w:ascii="Arial" w:hAnsi="Arial" w:cs="Arial" w:eastAsia="Arial" w:hint="default"/>
          <w:sz w:val="21"/>
          <w:szCs w:val="21"/>
        </w:rPr>
        <w:t>2014</w:t>
      </w:r>
      <w:r>
        <w:rPr>
          <w:rFonts w:ascii="Arial" w:hAnsi="Arial" w:cs="Arial" w:eastAsia="Arial" w:hint="default"/>
          <w:spacing w:val="-10"/>
          <w:sz w:val="21"/>
          <w:szCs w:val="21"/>
        </w:rPr>
        <w:t> </w:t>
      </w:r>
      <w:r>
        <w:rPr>
          <w:rFonts w:ascii="宋体" w:hAnsi="宋体" w:cs="宋体" w:eastAsia="宋体" w:hint="default"/>
          <w:sz w:val="21"/>
          <w:szCs w:val="21"/>
        </w:rPr>
        <w:t>年度的股利。</w:t>
      </w:r>
    </w:p>
    <w:p>
      <w:pPr>
        <w:spacing w:line="280" w:lineRule="exact" w:before="190"/>
        <w:ind w:left="218" w:right="0" w:firstLine="0"/>
        <w:jc w:val="left"/>
        <w:rPr>
          <w:rFonts w:ascii="宋体" w:hAnsi="宋体" w:cs="宋体" w:eastAsia="宋体" w:hint="default"/>
          <w:sz w:val="21"/>
          <w:szCs w:val="21"/>
        </w:rPr>
      </w:pPr>
      <w:r>
        <w:rPr>
          <w:rFonts w:ascii="宋体" w:hAnsi="宋体" w:cs="宋体" w:eastAsia="宋体" w:hint="default"/>
          <w:sz w:val="21"/>
          <w:szCs w:val="21"/>
        </w:rPr>
        <w:t>根据联通红筹公司</w:t>
      </w:r>
      <w:r>
        <w:rPr>
          <w:rFonts w:ascii="宋体" w:hAnsi="宋体" w:cs="宋体" w:eastAsia="宋体" w:hint="default"/>
          <w:spacing w:val="-54"/>
          <w:sz w:val="21"/>
          <w:szCs w:val="21"/>
        </w:rPr>
        <w:t> </w:t>
      </w:r>
      <w:r>
        <w:rPr>
          <w:rFonts w:ascii="Arial" w:hAnsi="Arial" w:cs="Arial" w:eastAsia="Arial" w:hint="default"/>
          <w:sz w:val="21"/>
          <w:szCs w:val="21"/>
        </w:rPr>
        <w:t>2014</w:t>
      </w:r>
      <w:r>
        <w:rPr>
          <w:rFonts w:ascii="Arial" w:hAnsi="Arial" w:cs="Arial" w:eastAsia="Arial" w:hint="default"/>
          <w:spacing w:val="-10"/>
          <w:sz w:val="21"/>
          <w:szCs w:val="21"/>
        </w:rPr>
        <w:t> </w:t>
      </w:r>
      <w:r>
        <w:rPr>
          <w:rFonts w:ascii="宋体" w:hAnsi="宋体" w:cs="宋体" w:eastAsia="宋体" w:hint="default"/>
          <w:sz w:val="21"/>
          <w:szCs w:val="21"/>
        </w:rPr>
        <w:t>年度每股派发股利的建议，本公司按持股比例计算应收现金股利约人民</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币</w:t>
      </w:r>
      <w:r>
        <w:rPr>
          <w:rFonts w:ascii="宋体" w:hAnsi="宋体" w:cs="宋体" w:eastAsia="宋体" w:hint="default"/>
          <w:spacing w:val="-56"/>
          <w:sz w:val="21"/>
          <w:szCs w:val="21"/>
        </w:rPr>
        <w:t> </w:t>
      </w:r>
      <w:r>
        <w:rPr>
          <w:rFonts w:ascii="Arial" w:hAnsi="Arial" w:cs="Arial" w:eastAsia="Arial" w:hint="default"/>
          <w:sz w:val="21"/>
          <w:szCs w:val="21"/>
        </w:rPr>
        <w:t>15.97</w:t>
      </w:r>
      <w:r>
        <w:rPr>
          <w:rFonts w:ascii="Arial" w:hAnsi="Arial" w:cs="Arial" w:eastAsia="Arial" w:hint="default"/>
          <w:spacing w:val="-9"/>
          <w:sz w:val="21"/>
          <w:szCs w:val="21"/>
        </w:rPr>
        <w:t> </w:t>
      </w:r>
      <w:r>
        <w:rPr>
          <w:rFonts w:ascii="宋体" w:hAnsi="宋体" w:cs="宋体" w:eastAsia="宋体" w:hint="default"/>
          <w:sz w:val="21"/>
          <w:szCs w:val="21"/>
        </w:rPr>
        <w:t>亿元。扣除本公司日常开支和预提的</w:t>
      </w:r>
      <w:r>
        <w:rPr>
          <w:rFonts w:ascii="宋体" w:hAnsi="宋体" w:cs="宋体" w:eastAsia="宋体" w:hint="default"/>
          <w:spacing w:val="-55"/>
          <w:sz w:val="21"/>
          <w:szCs w:val="21"/>
        </w:rPr>
        <w:t> </w:t>
      </w:r>
      <w:r>
        <w:rPr>
          <w:rFonts w:ascii="Arial" w:hAnsi="Arial" w:cs="Arial" w:eastAsia="Arial" w:hint="default"/>
          <w:sz w:val="21"/>
          <w:szCs w:val="21"/>
        </w:rPr>
        <w:t>2015</w:t>
      </w:r>
      <w:r>
        <w:rPr>
          <w:rFonts w:ascii="Arial" w:hAnsi="Arial" w:cs="Arial" w:eastAsia="Arial" w:hint="default"/>
          <w:spacing w:val="-9"/>
          <w:sz w:val="21"/>
          <w:szCs w:val="21"/>
        </w:rPr>
        <w:t> </w:t>
      </w:r>
      <w:r>
        <w:rPr>
          <w:rFonts w:ascii="宋体" w:hAnsi="宋体" w:cs="宋体" w:eastAsia="宋体" w:hint="default"/>
          <w:sz w:val="21"/>
          <w:szCs w:val="21"/>
        </w:rPr>
        <w:t>年度法定公积金后，可供股东分配的利润为</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约人民币</w:t>
      </w:r>
      <w:r>
        <w:rPr>
          <w:rFonts w:ascii="宋体" w:hAnsi="宋体" w:cs="宋体" w:eastAsia="宋体" w:hint="default"/>
          <w:spacing w:val="-52"/>
          <w:sz w:val="21"/>
          <w:szCs w:val="21"/>
        </w:rPr>
        <w:t> </w:t>
      </w:r>
      <w:r>
        <w:rPr>
          <w:rFonts w:ascii="Arial" w:hAnsi="Arial" w:cs="Arial" w:eastAsia="Arial" w:hint="default"/>
          <w:sz w:val="21"/>
          <w:szCs w:val="21"/>
        </w:rPr>
        <w:t>14.29</w:t>
      </w:r>
      <w:r>
        <w:rPr>
          <w:rFonts w:ascii="Arial" w:hAnsi="Arial" w:cs="Arial" w:eastAsia="Arial" w:hint="default"/>
          <w:spacing w:val="-7"/>
          <w:sz w:val="21"/>
          <w:szCs w:val="21"/>
        </w:rPr>
        <w:t> </w:t>
      </w:r>
      <w:r>
        <w:rPr>
          <w:rFonts w:ascii="宋体" w:hAnsi="宋体" w:cs="宋体" w:eastAsia="宋体" w:hint="default"/>
          <w:spacing w:val="-3"/>
          <w:sz w:val="21"/>
          <w:szCs w:val="21"/>
        </w:rPr>
        <w:t>亿元。以本公司</w:t>
      </w:r>
      <w:r>
        <w:rPr>
          <w:rFonts w:ascii="宋体" w:hAnsi="宋体" w:cs="宋体" w:eastAsia="宋体" w:hint="default"/>
          <w:spacing w:val="-51"/>
          <w:sz w:val="21"/>
          <w:szCs w:val="21"/>
        </w:rPr>
        <w:t> </w:t>
      </w: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日总股本</w:t>
      </w:r>
      <w:r>
        <w:rPr>
          <w:rFonts w:ascii="宋体" w:hAnsi="宋体" w:cs="宋体" w:eastAsia="宋体" w:hint="default"/>
          <w:spacing w:val="-52"/>
          <w:sz w:val="21"/>
          <w:szCs w:val="21"/>
        </w:rPr>
        <w:t> </w:t>
      </w:r>
      <w:r>
        <w:rPr>
          <w:rFonts w:ascii="Arial" w:hAnsi="Arial" w:cs="Arial" w:eastAsia="Arial" w:hint="default"/>
          <w:sz w:val="21"/>
          <w:szCs w:val="21"/>
        </w:rPr>
        <w:t>211.97</w:t>
      </w:r>
      <w:r>
        <w:rPr>
          <w:rFonts w:ascii="Arial" w:hAnsi="Arial" w:cs="Arial" w:eastAsia="Arial" w:hint="default"/>
          <w:spacing w:val="-4"/>
          <w:sz w:val="21"/>
          <w:szCs w:val="21"/>
        </w:rPr>
        <w:t> </w:t>
      </w:r>
      <w:r>
        <w:rPr>
          <w:rFonts w:ascii="宋体" w:hAnsi="宋体" w:cs="宋体" w:eastAsia="宋体" w:hint="default"/>
          <w:spacing w:val="-3"/>
          <w:sz w:val="21"/>
          <w:szCs w:val="21"/>
        </w:rPr>
        <w:t>亿股计算，每</w:t>
      </w:r>
      <w:r>
        <w:rPr>
          <w:rFonts w:ascii="宋体" w:hAnsi="宋体" w:cs="宋体" w:eastAsia="宋体" w:hint="default"/>
          <w:spacing w:val="-52"/>
          <w:sz w:val="21"/>
          <w:szCs w:val="21"/>
        </w:rPr>
        <w:t> </w:t>
      </w:r>
      <w:r>
        <w:rPr>
          <w:rFonts w:ascii="Arial" w:hAnsi="Arial" w:cs="Arial" w:eastAsia="Arial" w:hint="default"/>
          <w:sz w:val="21"/>
          <w:szCs w:val="21"/>
        </w:rPr>
        <w:t>10</w:t>
      </w:r>
      <w:r>
        <w:rPr>
          <w:rFonts w:ascii="Arial" w:hAnsi="Arial" w:cs="Arial" w:eastAsia="Arial" w:hint="default"/>
          <w:spacing w:val="-5"/>
          <w:sz w:val="21"/>
          <w:szCs w:val="21"/>
        </w:rPr>
        <w:t> </w:t>
      </w:r>
      <w:r>
        <w:rPr>
          <w:rFonts w:ascii="宋体" w:hAnsi="宋体" w:cs="宋体" w:eastAsia="宋体" w:hint="default"/>
          <w:sz w:val="21"/>
          <w:szCs w:val="21"/>
        </w:rPr>
        <w:t>股可派发现</w:t>
      </w:r>
    </w:p>
    <w:p>
      <w:pPr>
        <w:spacing w:line="408" w:lineRule="auto" w:before="0"/>
        <w:ind w:left="218" w:right="5130" w:firstLine="0"/>
        <w:jc w:val="left"/>
        <w:rPr>
          <w:rFonts w:ascii="宋体" w:hAnsi="宋体" w:cs="宋体" w:eastAsia="宋体" w:hint="default"/>
          <w:sz w:val="21"/>
          <w:szCs w:val="21"/>
        </w:rPr>
      </w:pPr>
      <w:r>
        <w:rPr>
          <w:rFonts w:ascii="宋体" w:hAnsi="宋体" w:cs="宋体" w:eastAsia="宋体" w:hint="default"/>
          <w:sz w:val="21"/>
          <w:szCs w:val="21"/>
        </w:rPr>
        <w:t>金股利人民币</w:t>
      </w:r>
      <w:r>
        <w:rPr>
          <w:rFonts w:ascii="宋体" w:hAnsi="宋体" w:cs="宋体" w:eastAsia="宋体" w:hint="default"/>
          <w:spacing w:val="-53"/>
          <w:sz w:val="21"/>
          <w:szCs w:val="21"/>
        </w:rPr>
        <w:t> </w:t>
      </w:r>
      <w:r>
        <w:rPr>
          <w:rFonts w:ascii="Arial" w:hAnsi="Arial" w:cs="Arial" w:eastAsia="Arial" w:hint="default"/>
          <w:sz w:val="21"/>
          <w:szCs w:val="21"/>
        </w:rPr>
        <w:t>0.673</w:t>
      </w:r>
      <w:r>
        <w:rPr>
          <w:rFonts w:ascii="Arial" w:hAnsi="Arial" w:cs="Arial" w:eastAsia="Arial" w:hint="default"/>
          <w:spacing w:val="-7"/>
          <w:sz w:val="21"/>
          <w:szCs w:val="21"/>
        </w:rPr>
        <w:t> </w:t>
      </w:r>
      <w:r>
        <w:rPr>
          <w:rFonts w:ascii="宋体" w:hAnsi="宋体" w:cs="宋体" w:eastAsia="宋体" w:hint="default"/>
          <w:sz w:val="21"/>
          <w:szCs w:val="21"/>
        </w:rPr>
        <w:t>元（含税）。</w:t>
      </w:r>
      <w:r>
        <w:rPr>
          <w:rFonts w:ascii="宋体" w:hAnsi="宋体" w:cs="宋体" w:eastAsia="宋体" w:hint="default"/>
          <w:w w:val="100"/>
          <w:sz w:val="21"/>
          <w:szCs w:val="21"/>
        </w:rPr>
        <w:t> </w:t>
      </w:r>
      <w:r>
        <w:rPr>
          <w:rFonts w:ascii="宋体" w:hAnsi="宋体" w:cs="宋体" w:eastAsia="宋体" w:hint="default"/>
          <w:spacing w:val="-2"/>
          <w:sz w:val="21"/>
          <w:szCs w:val="21"/>
        </w:rPr>
        <w:t>此方案尚需提交本公司股东大会审议。</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b/>
          <w:bCs/>
          <w:sz w:val="21"/>
          <w:szCs w:val="21"/>
        </w:rPr>
        <w:t>六、</w:t>
      </w:r>
      <w:r>
        <w:rPr>
          <w:rFonts w:ascii="宋体" w:hAnsi="宋体" w:cs="宋体" w:eastAsia="宋体" w:hint="default"/>
          <w:b/>
          <w:bCs/>
          <w:spacing w:val="-24"/>
          <w:sz w:val="21"/>
          <w:szCs w:val="21"/>
        </w:rPr>
        <w:t> </w:t>
      </w:r>
      <w:r>
        <w:rPr>
          <w:rFonts w:ascii="宋体" w:hAnsi="宋体" w:cs="宋体" w:eastAsia="宋体" w:hint="default"/>
          <w:b/>
          <w:bCs/>
          <w:sz w:val="21"/>
          <w:szCs w:val="21"/>
        </w:rPr>
        <w:t>前瞻性陈述的风险声明</w:t>
      </w:r>
      <w:r>
        <w:rPr>
          <w:rFonts w:ascii="宋体" w:hAnsi="宋体" w:cs="宋体" w:eastAsia="宋体" w:hint="default"/>
          <w:sz w:val="21"/>
          <w:szCs w:val="21"/>
        </w:rPr>
      </w:r>
    </w:p>
    <w:p>
      <w:pPr>
        <w:spacing w:line="272" w:lineRule="exact" w:before="14"/>
        <w:ind w:left="218" w:right="292" w:firstLine="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55"/>
          <w:sz w:val="21"/>
          <w:szCs w:val="21"/>
        </w:rPr>
        <w:t> </w:t>
      </w:r>
      <w:r>
        <w:rPr>
          <w:rFonts w:ascii="Arial" w:hAnsi="Arial" w:cs="Arial" w:eastAsia="Arial" w:hint="default"/>
          <w:sz w:val="21"/>
          <w:szCs w:val="21"/>
        </w:rPr>
        <w:t>2014</w:t>
      </w:r>
      <w:r>
        <w:rPr>
          <w:rFonts w:ascii="Arial" w:hAnsi="Arial" w:cs="Arial" w:eastAsia="Arial" w:hint="default"/>
          <w:spacing w:val="-10"/>
          <w:sz w:val="21"/>
          <w:szCs w:val="21"/>
        </w:rPr>
        <w:t> </w:t>
      </w:r>
      <w:r>
        <w:rPr>
          <w:rFonts w:ascii="宋体" w:hAnsi="宋体" w:cs="宋体" w:eastAsia="宋体" w:hint="default"/>
          <w:sz w:val="21"/>
          <w:szCs w:val="21"/>
        </w:rPr>
        <w:t>年年度报告中所涉及的发展战略、未来经营计划等前瞻性陈述不构成公司对投资者</w:t>
      </w:r>
      <w:r>
        <w:rPr>
          <w:rFonts w:ascii="宋体" w:hAnsi="宋体" w:cs="宋体" w:eastAsia="宋体" w:hint="default"/>
          <w:w w:val="100"/>
          <w:sz w:val="21"/>
          <w:szCs w:val="21"/>
        </w:rPr>
        <w:t> </w:t>
      </w:r>
      <w:r>
        <w:rPr>
          <w:rFonts w:ascii="宋体" w:hAnsi="宋体" w:cs="宋体" w:eastAsia="宋体" w:hint="default"/>
          <w:sz w:val="21"/>
          <w:szCs w:val="21"/>
        </w:rPr>
        <w:t>的实质承诺，敬请投资者注意投资风险。</w:t>
      </w:r>
    </w:p>
    <w:p>
      <w:pPr>
        <w:spacing w:line="240" w:lineRule="auto" w:before="10"/>
        <w:rPr>
          <w:rFonts w:ascii="宋体" w:hAnsi="宋体" w:cs="宋体" w:eastAsia="宋体" w:hint="default"/>
          <w:sz w:val="13"/>
          <w:szCs w:val="13"/>
        </w:rPr>
      </w:pPr>
    </w:p>
    <w:p>
      <w:pPr>
        <w:spacing w:line="424" w:lineRule="auto" w:before="0"/>
        <w:ind w:left="218" w:right="3567" w:firstLine="0"/>
        <w:jc w:val="left"/>
        <w:rPr>
          <w:rFonts w:ascii="宋体" w:hAnsi="宋体" w:cs="宋体" w:eastAsia="宋体" w:hint="default"/>
          <w:sz w:val="21"/>
          <w:szCs w:val="21"/>
        </w:rPr>
      </w:pPr>
      <w:r>
        <w:rPr>
          <w:rFonts w:ascii="宋体" w:hAnsi="宋体" w:cs="宋体" w:eastAsia="宋体" w:hint="default"/>
          <w:b/>
          <w:bCs/>
          <w:sz w:val="21"/>
          <w:szCs w:val="21"/>
        </w:rPr>
        <w:t>七、是否存在被控股股东及其关联方非经营性占用资金情况</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sz w:val="21"/>
          <w:szCs w:val="21"/>
        </w:rPr>
        <w:t>否</w:t>
      </w:r>
    </w:p>
    <w:p>
      <w:pPr>
        <w:spacing w:line="355" w:lineRule="auto" w:before="55"/>
        <w:ind w:left="218" w:right="3988" w:firstLine="0"/>
        <w:jc w:val="left"/>
        <w:rPr>
          <w:rFonts w:ascii="宋体" w:hAnsi="宋体" w:cs="宋体" w:eastAsia="宋体" w:hint="default"/>
          <w:sz w:val="21"/>
          <w:szCs w:val="21"/>
        </w:rPr>
      </w:pPr>
      <w:r>
        <w:rPr>
          <w:rFonts w:ascii="宋体" w:hAnsi="宋体" w:cs="宋体" w:eastAsia="宋体" w:hint="default"/>
          <w:b/>
          <w:bCs/>
          <w:sz w:val="21"/>
          <w:szCs w:val="21"/>
        </w:rPr>
        <w:t>八、是否存在违反规定决策程序对外提供担保的情况？</w:t>
      </w:r>
      <w:r>
        <w:rPr>
          <w:rFonts w:ascii="宋体" w:hAnsi="宋体" w:cs="宋体" w:eastAsia="宋体" w:hint="default"/>
          <w:b/>
          <w:bCs/>
          <w:spacing w:val="-95"/>
          <w:sz w:val="21"/>
          <w:szCs w:val="21"/>
        </w:rPr>
        <w:t> </w:t>
      </w:r>
      <w:r>
        <w:rPr>
          <w:rFonts w:ascii="宋体" w:hAnsi="宋体" w:cs="宋体" w:eastAsia="宋体" w:hint="default"/>
          <w:b/>
          <w:bCs/>
          <w:spacing w:val="-95"/>
          <w:sz w:val="21"/>
          <w:szCs w:val="21"/>
        </w:rPr>
      </w:r>
      <w:r>
        <w:rPr>
          <w:rFonts w:ascii="宋体" w:hAnsi="宋体" w:cs="宋体" w:eastAsia="宋体" w:hint="default"/>
          <w:sz w:val="21"/>
          <w:szCs w:val="21"/>
        </w:rPr>
        <w:t>否</w:t>
      </w:r>
    </w:p>
    <w:p>
      <w:pPr>
        <w:spacing w:after="0" w:line="355" w:lineRule="auto"/>
        <w:jc w:val="left"/>
        <w:rPr>
          <w:rFonts w:ascii="宋体" w:hAnsi="宋体" w:cs="宋体" w:eastAsia="宋体" w:hint="default"/>
          <w:sz w:val="21"/>
          <w:szCs w:val="21"/>
        </w:rPr>
        <w:sectPr>
          <w:headerReference w:type="default" r:id="rId6"/>
          <w:pgSz w:w="11910" w:h="16840"/>
          <w:pgMar w:header="880" w:footer="0" w:top="1120" w:bottom="280" w:left="1580" w:right="1040"/>
        </w:sectPr>
      </w:pPr>
    </w:p>
    <w:p>
      <w:pPr>
        <w:spacing w:before="25"/>
        <w:ind w:left="3085" w:right="0" w:firstLine="0"/>
        <w:jc w:val="left"/>
        <w:rPr>
          <w:rFonts w:ascii="宋体" w:hAnsi="宋体" w:cs="宋体" w:eastAsia="宋体" w:hint="default"/>
          <w:sz w:val="18"/>
          <w:szCs w:val="18"/>
        </w:rPr>
      </w:pPr>
      <w:r>
        <w:rPr>
          <w:rFonts w:ascii="宋体" w:hAnsi="宋体" w:cs="宋体" w:eastAsia="宋体" w:hint="default"/>
          <w:sz w:val="18"/>
          <w:szCs w:val="18"/>
        </w:rPr>
        <w:t>中国联合网络通信股份有限公司</w:t>
      </w:r>
      <w:r>
        <w:rPr>
          <w:rFonts w:ascii="宋体" w:hAnsi="宋体" w:cs="宋体" w:eastAsia="宋体" w:hint="default"/>
          <w:spacing w:val="-46"/>
          <w:sz w:val="18"/>
          <w:szCs w:val="18"/>
        </w:rPr>
        <w:t> </w:t>
      </w:r>
      <w:r>
        <w:rPr>
          <w:rFonts w:ascii="Arial" w:hAnsi="Arial" w:cs="Arial" w:eastAsia="Arial" w:hint="default"/>
          <w:sz w:val="18"/>
          <w:szCs w:val="18"/>
        </w:rPr>
        <w:t>2014</w:t>
      </w:r>
      <w:r>
        <w:rPr>
          <w:rFonts w:ascii="Arial" w:hAnsi="Arial" w:cs="Arial" w:eastAsia="Arial" w:hint="default"/>
          <w:spacing w:val="-5"/>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94.05pt;height:.75pt;mso-position-horizontal-relative:char;mso-position-vertical-relative:line" coordorigin="0,0" coordsize="9881,15">
            <v:group style="position:absolute;left:7;top:7;width:9866;height:2" coordorigin="7,7" coordsize="9866,2">
              <v:shape style="position:absolute;left:7;top:7;width:9866;height:2" coordorigin="7,7" coordsize="9866,0" path="m7,7l987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before="0"/>
        <w:ind w:left="4710" w:right="4693" w:firstLine="0"/>
        <w:jc w:val="center"/>
        <w:rPr>
          <w:rFonts w:ascii="宋体" w:hAnsi="宋体" w:cs="宋体" w:eastAsia="宋体" w:hint="default"/>
          <w:sz w:val="32"/>
          <w:szCs w:val="32"/>
        </w:rPr>
      </w:pPr>
      <w:r>
        <w:rPr>
          <w:rFonts w:ascii="宋体" w:hAnsi="宋体" w:cs="宋体" w:eastAsia="宋体" w:hint="default"/>
          <w:b/>
          <w:bCs/>
          <w:sz w:val="32"/>
          <w:szCs w:val="32"/>
        </w:rPr>
        <w:t>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397" w:val="left" w:leader="none"/>
              <w:tab w:pos="8962" w:val="right" w:leader="dot"/>
            </w:tabs>
            <w:spacing w:line="282" w:lineRule="exact" w:before="713"/>
            <w:ind w:right="0"/>
            <w:jc w:val="left"/>
            <w:rPr>
              <w:rFonts w:ascii="Arial" w:hAnsi="Arial" w:cs="Arial" w:eastAsia="Arial" w:hint="default"/>
            </w:rPr>
          </w:pPr>
          <w:r>
            <w:fldChar w:fldCharType="begin"/>
          </w:r>
          <w:r>
            <w:instrText>TOC \o "1-1" \h \z \u </w:instrText>
          </w:r>
          <w:r>
            <w:fldChar w:fldCharType="separate"/>
          </w:r>
          <w:hyperlink w:history="true" w:anchor="_TOC_250010">
            <w:r>
              <w:rPr/>
              <w:t>第一节</w:t>
              <w:tab/>
              <w:t>释义及重大风险提示</w:t>
            </w:r>
            <w:r>
              <w:rPr>
                <w:rFonts w:ascii="Arial" w:hAnsi="Arial" w:cs="Arial" w:eastAsia="Arial" w:hint="default"/>
              </w:rPr>
              <w:tab/>
              <w:t>1</w:t>
            </w:r>
          </w:hyperlink>
        </w:p>
        <w:p>
          <w:pPr>
            <w:pStyle w:val="TOC1"/>
            <w:tabs>
              <w:tab w:pos="1397" w:val="left" w:leader="none"/>
              <w:tab w:pos="8962" w:val="right" w:leader="dot"/>
            </w:tabs>
            <w:spacing w:line="272" w:lineRule="exact"/>
            <w:ind w:right="0"/>
            <w:jc w:val="left"/>
            <w:rPr>
              <w:rFonts w:ascii="Arial" w:hAnsi="Arial" w:cs="Arial" w:eastAsia="Arial" w:hint="default"/>
            </w:rPr>
          </w:pPr>
          <w:hyperlink w:history="true" w:anchor="_TOC_250009">
            <w:r>
              <w:rPr/>
              <w:t>第二节</w:t>
              <w:tab/>
              <w:t>公司简介</w:t>
            </w:r>
            <w:r>
              <w:rPr>
                <w:rFonts w:ascii="Arial" w:hAnsi="Arial" w:cs="Arial" w:eastAsia="Arial" w:hint="default"/>
              </w:rPr>
              <w:tab/>
              <w:t>3</w:t>
            </w:r>
          </w:hyperlink>
        </w:p>
        <w:p>
          <w:pPr>
            <w:pStyle w:val="TOC1"/>
            <w:tabs>
              <w:tab w:pos="1397" w:val="left" w:leader="none"/>
              <w:tab w:pos="8962" w:val="right" w:leader="dot"/>
            </w:tabs>
            <w:spacing w:line="271" w:lineRule="exact"/>
            <w:ind w:right="0"/>
            <w:jc w:val="left"/>
            <w:rPr>
              <w:rFonts w:ascii="Arial" w:hAnsi="Arial" w:cs="Arial" w:eastAsia="Arial" w:hint="default"/>
            </w:rPr>
          </w:pPr>
          <w:hyperlink w:history="true" w:anchor="_TOC_250008">
            <w:r>
              <w:rPr/>
              <w:t>第三节</w:t>
              <w:tab/>
              <w:t>会计数据和财务指标摘要</w:t>
            </w:r>
            <w:r>
              <w:rPr>
                <w:rFonts w:ascii="Arial" w:hAnsi="Arial" w:cs="Arial" w:eastAsia="Arial" w:hint="default"/>
              </w:rPr>
              <w:tab/>
              <w:t>7</w:t>
            </w:r>
          </w:hyperlink>
        </w:p>
        <w:p>
          <w:pPr>
            <w:pStyle w:val="TOC1"/>
            <w:tabs>
              <w:tab w:pos="1397" w:val="left" w:leader="none"/>
              <w:tab w:pos="8962" w:val="right" w:leader="dot"/>
            </w:tabs>
            <w:spacing w:line="272" w:lineRule="exact"/>
            <w:ind w:right="0"/>
            <w:jc w:val="left"/>
            <w:rPr>
              <w:rFonts w:ascii="Arial" w:hAnsi="Arial" w:cs="Arial" w:eastAsia="Arial" w:hint="default"/>
            </w:rPr>
          </w:pPr>
          <w:hyperlink w:history="true" w:anchor="_TOC_250007">
            <w:r>
              <w:rPr/>
              <w:t>第四节</w:t>
              <w:tab/>
              <w:t>董事会报告</w:t>
            </w:r>
            <w:r>
              <w:rPr>
                <w:rFonts w:ascii="Arial" w:hAnsi="Arial" w:cs="Arial" w:eastAsia="Arial" w:hint="default"/>
              </w:rPr>
              <w:tab/>
              <w:t>9</w:t>
            </w:r>
          </w:hyperlink>
        </w:p>
        <w:p>
          <w:pPr>
            <w:pStyle w:val="TOC1"/>
            <w:tabs>
              <w:tab w:pos="1397" w:val="left" w:leader="none"/>
              <w:tab w:pos="8964" w:val="right" w:leader="dot"/>
            </w:tabs>
            <w:spacing w:line="272" w:lineRule="exact"/>
            <w:ind w:right="0"/>
            <w:jc w:val="left"/>
            <w:rPr>
              <w:rFonts w:ascii="Arial" w:hAnsi="Arial" w:cs="Arial" w:eastAsia="Arial" w:hint="default"/>
            </w:rPr>
          </w:pPr>
          <w:hyperlink w:history="true" w:anchor="_TOC_250006">
            <w:r>
              <w:rPr/>
              <w:t>第五节</w:t>
              <w:tab/>
              <w:t>重要事项</w:t>
            </w:r>
            <w:r>
              <w:rPr>
                <w:rFonts w:ascii="Arial" w:hAnsi="Arial" w:cs="Arial" w:eastAsia="Arial" w:hint="default"/>
              </w:rPr>
              <w:tab/>
              <w:t>27</w:t>
            </w:r>
          </w:hyperlink>
        </w:p>
        <w:p>
          <w:pPr>
            <w:pStyle w:val="TOC1"/>
            <w:tabs>
              <w:tab w:pos="1397" w:val="left" w:leader="none"/>
              <w:tab w:pos="8964" w:val="right" w:leader="dot"/>
            </w:tabs>
            <w:spacing w:line="272" w:lineRule="exact"/>
            <w:ind w:right="0"/>
            <w:jc w:val="left"/>
            <w:rPr>
              <w:rFonts w:ascii="Arial" w:hAnsi="Arial" w:cs="Arial" w:eastAsia="Arial" w:hint="default"/>
            </w:rPr>
          </w:pPr>
          <w:hyperlink w:history="true" w:anchor="_TOC_250005">
            <w:r>
              <w:rPr/>
              <w:t>第六节</w:t>
              <w:tab/>
              <w:t>股份变动及股东情况</w:t>
            </w:r>
            <w:r>
              <w:rPr>
                <w:rFonts w:ascii="Arial" w:hAnsi="Arial" w:cs="Arial" w:eastAsia="Arial" w:hint="default"/>
              </w:rPr>
              <w:tab/>
              <w:t>31</w:t>
            </w:r>
          </w:hyperlink>
        </w:p>
        <w:p>
          <w:pPr>
            <w:pStyle w:val="TOC1"/>
            <w:tabs>
              <w:tab w:pos="1397" w:val="left" w:leader="none"/>
              <w:tab w:pos="8964" w:val="right" w:leader="dot"/>
            </w:tabs>
            <w:spacing w:line="272" w:lineRule="exact"/>
            <w:ind w:right="0"/>
            <w:jc w:val="left"/>
            <w:rPr>
              <w:rFonts w:ascii="Arial" w:hAnsi="Arial" w:cs="Arial" w:eastAsia="Arial" w:hint="default"/>
            </w:rPr>
          </w:pPr>
          <w:hyperlink w:history="true" w:anchor="_TOC_250004">
            <w:r>
              <w:rPr>
                <w:spacing w:val="-1"/>
              </w:rPr>
              <w:t>第七节</w:t>
              <w:tab/>
            </w:r>
            <w:r>
              <w:rPr>
                <w:spacing w:val="-2"/>
              </w:rPr>
              <w:t>董事、监事、高级管理人员和员工情况</w:t>
            </w:r>
            <w:r>
              <w:rPr>
                <w:rFonts w:ascii="Arial" w:hAnsi="Arial" w:cs="Arial" w:eastAsia="Arial" w:hint="default"/>
                <w:spacing w:val="-2"/>
              </w:rPr>
              <w:tab/>
            </w:r>
            <w:r>
              <w:rPr>
                <w:rFonts w:ascii="Arial" w:hAnsi="Arial" w:cs="Arial" w:eastAsia="Arial" w:hint="default"/>
              </w:rPr>
              <w:t>35</w:t>
            </w:r>
          </w:hyperlink>
        </w:p>
        <w:p>
          <w:pPr>
            <w:pStyle w:val="TOC1"/>
            <w:tabs>
              <w:tab w:pos="1397" w:val="left" w:leader="none"/>
              <w:tab w:pos="8964" w:val="right" w:leader="dot"/>
            </w:tabs>
            <w:spacing w:line="272" w:lineRule="exact"/>
            <w:ind w:right="0"/>
            <w:jc w:val="left"/>
            <w:rPr>
              <w:rFonts w:ascii="Arial" w:hAnsi="Arial" w:cs="Arial" w:eastAsia="Arial" w:hint="default"/>
            </w:rPr>
          </w:pPr>
          <w:hyperlink w:history="true" w:anchor="_TOC_250003">
            <w:r>
              <w:rPr>
                <w:spacing w:val="-1"/>
              </w:rPr>
              <w:t>第八节</w:t>
              <w:tab/>
              <w:t>公司治理</w:t>
            </w:r>
            <w:r>
              <w:rPr>
                <w:rFonts w:ascii="Arial" w:hAnsi="Arial" w:cs="Arial" w:eastAsia="Arial" w:hint="default"/>
                <w:spacing w:val="-1"/>
              </w:rPr>
              <w:tab/>
            </w:r>
            <w:r>
              <w:rPr>
                <w:rFonts w:ascii="Arial" w:hAnsi="Arial" w:cs="Arial" w:eastAsia="Arial" w:hint="default"/>
              </w:rPr>
              <w:t>44</w:t>
            </w:r>
          </w:hyperlink>
        </w:p>
        <w:p>
          <w:pPr>
            <w:pStyle w:val="TOC1"/>
            <w:tabs>
              <w:tab w:pos="1397" w:val="left" w:leader="none"/>
              <w:tab w:pos="8964" w:val="right" w:leader="dot"/>
            </w:tabs>
            <w:spacing w:line="273" w:lineRule="exact"/>
            <w:ind w:right="0"/>
            <w:jc w:val="left"/>
            <w:rPr>
              <w:rFonts w:ascii="Arial" w:hAnsi="Arial" w:cs="Arial" w:eastAsia="Arial" w:hint="default"/>
            </w:rPr>
          </w:pPr>
          <w:hyperlink w:history="true" w:anchor="_TOC_250002">
            <w:r>
              <w:rPr>
                <w:spacing w:val="-1"/>
              </w:rPr>
              <w:t>第九节</w:t>
              <w:tab/>
              <w:t>内部控制</w:t>
            </w:r>
            <w:r>
              <w:rPr>
                <w:rFonts w:ascii="Arial" w:hAnsi="Arial" w:cs="Arial" w:eastAsia="Arial" w:hint="default"/>
                <w:spacing w:val="-1"/>
              </w:rPr>
              <w:tab/>
            </w:r>
            <w:r>
              <w:rPr>
                <w:rFonts w:ascii="Arial" w:hAnsi="Arial" w:cs="Arial" w:eastAsia="Arial" w:hint="default"/>
              </w:rPr>
              <w:t>50</w:t>
            </w:r>
          </w:hyperlink>
        </w:p>
        <w:p>
          <w:pPr>
            <w:pStyle w:val="TOC1"/>
            <w:tabs>
              <w:tab w:pos="1397" w:val="left" w:leader="none"/>
              <w:tab w:pos="8964" w:val="right" w:leader="dot"/>
            </w:tabs>
            <w:spacing w:line="273" w:lineRule="exact"/>
            <w:ind w:right="0"/>
            <w:jc w:val="left"/>
            <w:rPr>
              <w:rFonts w:ascii="Arial" w:hAnsi="Arial" w:cs="Arial" w:eastAsia="Arial" w:hint="default"/>
            </w:rPr>
          </w:pPr>
          <w:hyperlink w:history="true" w:anchor="_TOC_250001">
            <w:r>
              <w:rPr/>
              <w:t>第十节</w:t>
              <w:tab/>
              <w:t>财务报告</w:t>
            </w:r>
            <w:r>
              <w:rPr>
                <w:rFonts w:ascii="Arial" w:hAnsi="Arial" w:cs="Arial" w:eastAsia="Arial" w:hint="default"/>
              </w:rPr>
              <w:tab/>
              <w:t>53</w:t>
            </w:r>
          </w:hyperlink>
        </w:p>
        <w:p>
          <w:pPr>
            <w:pStyle w:val="TOC1"/>
            <w:tabs>
              <w:tab w:pos="1397" w:val="left" w:leader="none"/>
              <w:tab w:pos="8964" w:val="right" w:leader="dot"/>
            </w:tabs>
            <w:spacing w:line="282" w:lineRule="exact"/>
            <w:ind w:right="0"/>
            <w:jc w:val="left"/>
            <w:rPr>
              <w:rFonts w:ascii="Arial" w:hAnsi="Arial" w:cs="Arial" w:eastAsia="Arial" w:hint="default"/>
            </w:rPr>
          </w:pPr>
          <w:hyperlink w:history="true" w:anchor="_TOC_250000">
            <w:r>
              <w:rPr>
                <w:spacing w:val="-1"/>
              </w:rPr>
              <w:t>第十一节</w:t>
              <w:tab/>
              <w:t>备查文件目录</w:t>
            </w:r>
            <w:r>
              <w:rPr>
                <w:rFonts w:ascii="Arial" w:hAnsi="Arial" w:cs="Arial" w:eastAsia="Arial" w:hint="default"/>
                <w:spacing w:val="-1"/>
              </w:rPr>
              <w:tab/>
            </w:r>
            <w:r>
              <w:rPr>
                <w:rFonts w:ascii="Arial" w:hAnsi="Arial" w:cs="Arial" w:eastAsia="Arial" w:hint="default"/>
              </w:rPr>
              <w:t>165</w:t>
            </w:r>
          </w:hyperlink>
        </w:p>
        <w:p>
          <w:pPr/>
          <w:r>
            <w:fldChar w:fldCharType="end"/>
          </w:r>
        </w:p>
      </w:sdtContent>
    </w:sdt>
    <w:p>
      <w:pPr>
        <w:spacing w:after="0"/>
        <w:sectPr>
          <w:headerReference w:type="default" r:id="rId7"/>
          <w:pgSz w:w="11910" w:h="16840"/>
          <w:pgMar w:header="0" w:footer="0" w:top="780" w:bottom="280" w:left="1660" w:right="160"/>
        </w:sectPr>
      </w:pPr>
    </w:p>
    <w:p>
      <w:pPr>
        <w:pStyle w:val="Heading1"/>
        <w:tabs>
          <w:tab w:pos="3890" w:val="left" w:leader="none"/>
        </w:tabs>
        <w:spacing w:line="240" w:lineRule="auto" w:before="412"/>
        <w:ind w:left="2629" w:right="2529"/>
        <w:jc w:val="left"/>
        <w:rPr>
          <w:b w:val="0"/>
          <w:bCs w:val="0"/>
        </w:rPr>
      </w:pPr>
      <w:bookmarkStart w:name="_TOC_250010" w:id="1"/>
      <w:r>
        <w:rPr>
          <w:w w:val="95"/>
        </w:rPr>
        <w:t>第一节</w:t>
        <w:tab/>
      </w:r>
      <w:r>
        <w:rPr/>
        <w:t>释义及重大风险提示</w:t>
      </w:r>
      <w:bookmarkEnd w:id="1"/>
      <w:r>
        <w:rPr>
          <w:b w:val="0"/>
          <w:bCs w:val="0"/>
        </w:rPr>
      </w:r>
    </w:p>
    <w:p>
      <w:pPr>
        <w:spacing w:line="501" w:lineRule="auto" w:before="253"/>
        <w:ind w:left="138" w:right="2529" w:firstLine="0"/>
        <w:jc w:val="left"/>
        <w:rPr>
          <w:rFonts w:ascii="宋体" w:hAnsi="宋体" w:cs="宋体" w:eastAsia="宋体" w:hint="default"/>
          <w:sz w:val="21"/>
          <w:szCs w:val="21"/>
        </w:rPr>
      </w:pPr>
      <w:r>
        <w:rPr>
          <w:rFonts w:ascii="宋体" w:hAnsi="宋体" w:cs="宋体" w:eastAsia="宋体" w:hint="default"/>
          <w:b/>
          <w:bCs/>
          <w:sz w:val="21"/>
          <w:szCs w:val="21"/>
        </w:rPr>
        <w:t>一、释义</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在本报告书中，除非文义另有所指，下列词语具有如下含义：</w:t>
      </w:r>
    </w:p>
    <w:p>
      <w:pPr>
        <w:spacing w:line="240" w:lineRule="auto" w:before="7"/>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1844"/>
        <w:gridCol w:w="480"/>
        <w:gridCol w:w="6467"/>
      </w:tblGrid>
      <w:tr>
        <w:trPr>
          <w:trHeight w:val="281" w:hRule="exact"/>
        </w:trPr>
        <w:tc>
          <w:tcPr>
            <w:tcW w:w="87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国资委</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国务院国有资产监督管理委员会</w:t>
            </w: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工信部</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中华人民共和国工业和信息化部</w:t>
            </w:r>
          </w:p>
        </w:tc>
      </w:tr>
      <w:tr>
        <w:trPr>
          <w:trHeight w:val="28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中国联合网络通信股份有限公司</w:t>
            </w:r>
          </w:p>
        </w:tc>
      </w:tr>
      <w:tr>
        <w:trPr>
          <w:trHeight w:val="28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本公司及所属全部子公司合称</w:t>
            </w: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联通集团</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中国联合网络通信集团有限公司</w:t>
            </w:r>
          </w:p>
        </w:tc>
      </w:tr>
      <w:tr>
        <w:trPr>
          <w:trHeight w:val="55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联通红筹公司</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中国联合网络通信（香港）股份有限公司，在香港注册成立的有限公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司，其股票在香港和纽约证券交易所上市</w:t>
            </w:r>
          </w:p>
        </w:tc>
      </w:tr>
      <w:tr>
        <w:trPr>
          <w:trHeight w:val="28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联通运营公司</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中国联合网络通信有限公司</w:t>
            </w: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联通新时空</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联通新时空通信有限公司</w:t>
            </w:r>
          </w:p>
        </w:tc>
      </w:tr>
      <w:tr>
        <w:trPr>
          <w:trHeight w:val="55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联通</w:t>
            </w:r>
            <w:r>
              <w:rPr>
                <w:rFonts w:ascii="宋体" w:hAnsi="宋体" w:cs="宋体" w:eastAsia="宋体" w:hint="default"/>
                <w:spacing w:val="-52"/>
                <w:sz w:val="21"/>
                <w:szCs w:val="21"/>
              </w:rPr>
              <w:t> </w:t>
            </w:r>
            <w:r>
              <w:rPr>
                <w:rFonts w:ascii="Arial" w:hAnsi="Arial" w:cs="Arial" w:eastAsia="Arial" w:hint="default"/>
                <w:sz w:val="21"/>
                <w:szCs w:val="21"/>
              </w:rPr>
              <w:t>BVI</w:t>
            </w:r>
            <w:r>
              <w:rPr>
                <w:rFonts w:ascii="Arial" w:hAnsi="Arial" w:cs="Arial" w:eastAsia="Arial" w:hint="default"/>
                <w:spacing w:val="-7"/>
                <w:sz w:val="21"/>
                <w:szCs w:val="21"/>
              </w:rPr>
              <w:t> </w:t>
            </w:r>
            <w:r>
              <w:rPr>
                <w:rFonts w:ascii="宋体" w:hAnsi="宋体" w:cs="宋体" w:eastAsia="宋体" w:hint="default"/>
                <w:sz w:val="21"/>
                <w:szCs w:val="21"/>
              </w:rPr>
              <w:t>公司</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中国联通</w:t>
            </w:r>
            <w:r>
              <w:rPr>
                <w:rFonts w:ascii="Arial" w:hAnsi="Arial" w:cs="Arial" w:eastAsia="Arial" w:hint="default"/>
                <w:sz w:val="21"/>
                <w:szCs w:val="21"/>
              </w:rPr>
              <w:t>(BVI)</w:t>
            </w:r>
            <w:r>
              <w:rPr>
                <w:rFonts w:ascii="宋体" w:hAnsi="宋体" w:cs="宋体" w:eastAsia="宋体" w:hint="default"/>
                <w:sz w:val="21"/>
                <w:szCs w:val="21"/>
              </w:rPr>
              <w:t>有限公司</w:t>
            </w:r>
            <w:r>
              <w:rPr>
                <w:rFonts w:ascii="Arial" w:hAnsi="Arial" w:cs="Arial" w:eastAsia="Arial" w:hint="default"/>
                <w:sz w:val="21"/>
                <w:szCs w:val="21"/>
              </w:rPr>
              <w:t>(China Unicom  (BVI)</w:t>
            </w:r>
            <w:r>
              <w:rPr>
                <w:rFonts w:ascii="Arial" w:hAnsi="Arial" w:cs="Arial" w:eastAsia="Arial" w:hint="default"/>
                <w:spacing w:val="26"/>
                <w:sz w:val="21"/>
                <w:szCs w:val="21"/>
              </w:rPr>
              <w:t> </w:t>
            </w:r>
            <w:r>
              <w:rPr>
                <w:rFonts w:ascii="Arial" w:hAnsi="Arial" w:cs="Arial" w:eastAsia="Arial" w:hint="default"/>
                <w:sz w:val="21"/>
                <w:szCs w:val="21"/>
              </w:rPr>
              <w:t>Limited)</w:t>
            </w:r>
            <w:r>
              <w:rPr>
                <w:rFonts w:ascii="宋体" w:hAnsi="宋体" w:cs="宋体" w:eastAsia="宋体" w:hint="default"/>
                <w:sz w:val="21"/>
                <w:szCs w:val="21"/>
              </w:rPr>
              <w:t>，一家按照英</w:t>
            </w:r>
          </w:p>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属维尔京群岛法律注册成立的有限公司</w:t>
            </w:r>
          </w:p>
        </w:tc>
      </w:tr>
      <w:tr>
        <w:trPr>
          <w:trHeight w:val="1099"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Arial" w:hAnsi="Arial" w:cs="Arial" w:eastAsia="Arial" w:hint="default"/>
                <w:sz w:val="21"/>
                <w:szCs w:val="21"/>
              </w:rPr>
            </w:pPr>
            <w:r>
              <w:rPr>
                <w:rFonts w:ascii="Arial" w:hAnsi="Arial" w:cs="Arial" w:eastAsia="Arial" w:hint="default"/>
                <w:sz w:val="21"/>
                <w:szCs w:val="21"/>
              </w:rPr>
              <w:t>GSM</w:t>
            </w:r>
            <w:r>
              <w:rPr>
                <w:rFonts w:ascii="宋体" w:hAnsi="宋体" w:cs="宋体" w:eastAsia="宋体" w:hint="default"/>
                <w:sz w:val="21"/>
                <w:szCs w:val="21"/>
              </w:rPr>
              <w:t>、</w:t>
            </w:r>
            <w:r>
              <w:rPr>
                <w:rFonts w:ascii="Arial" w:hAnsi="Arial" w:cs="Arial" w:eastAsia="Arial" w:hint="default"/>
                <w:sz w:val="21"/>
                <w:szCs w:val="21"/>
              </w:rPr>
              <w:t>2G</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Arial" w:hAnsi="Arial" w:cs="Arial" w:eastAsia="Arial" w:hint="default"/>
                <w:sz w:val="21"/>
                <w:szCs w:val="21"/>
              </w:rPr>
              <w:t>Global System for Mobile</w:t>
            </w:r>
            <w:r>
              <w:rPr>
                <w:rFonts w:ascii="Arial" w:hAnsi="Arial" w:cs="Arial" w:eastAsia="Arial" w:hint="default"/>
                <w:spacing w:val="-15"/>
                <w:sz w:val="21"/>
                <w:szCs w:val="21"/>
              </w:rPr>
              <w:t> </w:t>
            </w:r>
            <w:r>
              <w:rPr>
                <w:rFonts w:ascii="Arial" w:hAnsi="Arial" w:cs="Arial" w:eastAsia="Arial" w:hint="default"/>
                <w:sz w:val="21"/>
                <w:szCs w:val="21"/>
              </w:rPr>
              <w:t>Communications</w:t>
            </w:r>
            <w:r>
              <w:rPr>
                <w:rFonts w:ascii="宋体" w:hAnsi="宋体" w:cs="宋体" w:eastAsia="宋体" w:hint="default"/>
                <w:sz w:val="21"/>
                <w:szCs w:val="21"/>
              </w:rPr>
              <w:t>，即全球移动通信系统，</w:t>
            </w:r>
          </w:p>
          <w:p>
            <w:pPr>
              <w:pStyle w:val="TableParagraph"/>
              <w:spacing w:line="225" w:lineRule="auto" w:before="6"/>
              <w:ind w:left="103" w:right="-3"/>
              <w:jc w:val="left"/>
              <w:rPr>
                <w:rFonts w:ascii="宋体" w:hAnsi="宋体" w:cs="宋体" w:eastAsia="宋体" w:hint="default"/>
                <w:sz w:val="21"/>
                <w:szCs w:val="21"/>
              </w:rPr>
            </w:pPr>
            <w:r>
              <w:rPr>
                <w:rFonts w:ascii="宋体" w:hAnsi="宋体" w:cs="宋体" w:eastAsia="宋体" w:hint="default"/>
                <w:sz w:val="21"/>
                <w:szCs w:val="21"/>
              </w:rPr>
              <w:t>基于数字传输和蜂窝移动网络结构，采用时分接入技术，被称为</w:t>
            </w:r>
            <w:r>
              <w:rPr>
                <w:rFonts w:ascii="宋体" w:hAnsi="宋体" w:cs="宋体" w:eastAsia="宋体" w:hint="default"/>
                <w:spacing w:val="-17"/>
                <w:sz w:val="21"/>
                <w:szCs w:val="21"/>
              </w:rPr>
              <w:t> </w:t>
            </w:r>
            <w:r>
              <w:rPr>
                <w:rFonts w:ascii="Arial" w:hAnsi="Arial" w:cs="Arial" w:eastAsia="Arial" w:hint="default"/>
                <w:sz w:val="21"/>
                <w:szCs w:val="21"/>
              </w:rPr>
              <w:t>2G</w:t>
            </w:r>
            <w:r>
              <w:rPr>
                <w:rFonts w:ascii="Arial" w:hAnsi="Arial" w:cs="Arial" w:eastAsia="Arial" w:hint="default"/>
                <w:w w:val="100"/>
                <w:sz w:val="21"/>
                <w:szCs w:val="21"/>
              </w:rPr>
              <w:t> </w:t>
            </w:r>
            <w:r>
              <w:rPr>
                <w:rFonts w:ascii="宋体" w:hAnsi="宋体" w:cs="宋体" w:eastAsia="宋体" w:hint="default"/>
                <w:sz w:val="21"/>
                <w:szCs w:val="21"/>
              </w:rPr>
              <w:t>无线标准。主要部署在</w:t>
            </w:r>
            <w:r>
              <w:rPr>
                <w:rFonts w:ascii="宋体" w:hAnsi="宋体" w:cs="宋体" w:eastAsia="宋体" w:hint="default"/>
                <w:spacing w:val="-57"/>
                <w:sz w:val="21"/>
                <w:szCs w:val="21"/>
              </w:rPr>
              <w:t> </w:t>
            </w:r>
            <w:r>
              <w:rPr>
                <w:rFonts w:ascii="Arial" w:hAnsi="Arial" w:cs="Arial" w:eastAsia="Arial" w:hint="default"/>
                <w:sz w:val="21"/>
                <w:szCs w:val="21"/>
              </w:rPr>
              <w:t>900MHz</w:t>
            </w:r>
            <w:r>
              <w:rPr>
                <w:rFonts w:ascii="宋体" w:hAnsi="宋体" w:cs="宋体" w:eastAsia="宋体" w:hint="default"/>
                <w:sz w:val="21"/>
                <w:szCs w:val="21"/>
              </w:rPr>
              <w:t>、</w:t>
            </w:r>
            <w:r>
              <w:rPr>
                <w:rFonts w:ascii="Arial" w:hAnsi="Arial" w:cs="Arial" w:eastAsia="Arial" w:hint="default"/>
                <w:sz w:val="21"/>
                <w:szCs w:val="21"/>
              </w:rPr>
              <w:t>1800MHz</w:t>
            </w:r>
            <w:r>
              <w:rPr>
                <w:rFonts w:ascii="Arial" w:hAnsi="Arial" w:cs="Arial" w:eastAsia="Arial" w:hint="default"/>
                <w:spacing w:val="-10"/>
                <w:sz w:val="21"/>
                <w:szCs w:val="21"/>
              </w:rPr>
              <w:t> </w:t>
            </w:r>
            <w:r>
              <w:rPr>
                <w:rFonts w:ascii="宋体" w:hAnsi="宋体" w:cs="宋体" w:eastAsia="宋体" w:hint="default"/>
                <w:sz w:val="21"/>
                <w:szCs w:val="21"/>
              </w:rPr>
              <w:t>和</w:t>
            </w:r>
            <w:r>
              <w:rPr>
                <w:rFonts w:ascii="宋体" w:hAnsi="宋体" w:cs="宋体" w:eastAsia="宋体" w:hint="default"/>
                <w:spacing w:val="-57"/>
                <w:sz w:val="21"/>
                <w:szCs w:val="21"/>
              </w:rPr>
              <w:t> </w:t>
            </w:r>
            <w:r>
              <w:rPr>
                <w:rFonts w:ascii="Arial" w:hAnsi="Arial" w:cs="Arial" w:eastAsia="Arial" w:hint="default"/>
                <w:sz w:val="21"/>
                <w:szCs w:val="21"/>
              </w:rPr>
              <w:t>1900MHz</w:t>
            </w:r>
            <w:r>
              <w:rPr>
                <w:rFonts w:ascii="Arial" w:hAnsi="Arial" w:cs="Arial" w:eastAsia="Arial" w:hint="default"/>
                <w:spacing w:val="-10"/>
                <w:sz w:val="21"/>
                <w:szCs w:val="21"/>
              </w:rPr>
              <w:t> </w:t>
            </w:r>
            <w:r>
              <w:rPr>
                <w:rFonts w:ascii="宋体" w:hAnsi="宋体" w:cs="宋体" w:eastAsia="宋体" w:hint="default"/>
                <w:sz w:val="21"/>
                <w:szCs w:val="21"/>
              </w:rPr>
              <w:t>等频率上，</w:t>
            </w:r>
            <w:r>
              <w:rPr>
                <w:rFonts w:ascii="宋体" w:hAnsi="宋体" w:cs="宋体" w:eastAsia="宋体" w:hint="default"/>
                <w:w w:val="100"/>
                <w:sz w:val="21"/>
                <w:szCs w:val="21"/>
              </w:rPr>
              <w:t> </w:t>
            </w:r>
            <w:r>
              <w:rPr>
                <w:rFonts w:ascii="宋体" w:hAnsi="宋体" w:cs="宋体" w:eastAsia="宋体" w:hint="default"/>
                <w:sz w:val="21"/>
                <w:szCs w:val="21"/>
              </w:rPr>
              <w:t>已经在全球实现漫游。</w:t>
            </w:r>
          </w:p>
        </w:tc>
      </w:tr>
      <w:tr>
        <w:trPr>
          <w:trHeight w:val="110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Arial" w:hAnsi="Arial" w:cs="Arial" w:eastAsia="Arial" w:hint="default"/>
                <w:sz w:val="21"/>
                <w:szCs w:val="21"/>
              </w:rPr>
            </w:pPr>
            <w:r>
              <w:rPr>
                <w:rFonts w:ascii="Arial" w:hAnsi="Arial" w:cs="Arial" w:eastAsia="Arial" w:hint="default"/>
                <w:sz w:val="21"/>
                <w:szCs w:val="21"/>
              </w:rPr>
              <w:t>WCDMA</w:t>
            </w:r>
            <w:r>
              <w:rPr>
                <w:rFonts w:ascii="宋体" w:hAnsi="宋体" w:cs="宋体" w:eastAsia="宋体" w:hint="default"/>
                <w:sz w:val="21"/>
                <w:szCs w:val="21"/>
              </w:rPr>
              <w:t>、</w:t>
            </w:r>
            <w:r>
              <w:rPr>
                <w:rFonts w:ascii="Arial" w:hAnsi="Arial" w:cs="Arial" w:eastAsia="Arial" w:hint="default"/>
                <w:sz w:val="21"/>
                <w:szCs w:val="21"/>
              </w:rPr>
              <w:t>3G</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Arial" w:hAnsi="Arial" w:cs="Arial" w:eastAsia="Arial" w:hint="default"/>
                <w:sz w:val="21"/>
                <w:szCs w:val="21"/>
              </w:rPr>
              <w:t>Wideband Code Division Multiple</w:t>
            </w:r>
            <w:r>
              <w:rPr>
                <w:rFonts w:ascii="Arial" w:hAnsi="Arial" w:cs="Arial" w:eastAsia="Arial" w:hint="default"/>
                <w:spacing w:val="-14"/>
                <w:sz w:val="21"/>
                <w:szCs w:val="21"/>
              </w:rPr>
              <w:t> </w:t>
            </w:r>
            <w:r>
              <w:rPr>
                <w:rFonts w:ascii="Arial" w:hAnsi="Arial" w:cs="Arial" w:eastAsia="Arial" w:hint="default"/>
                <w:spacing w:val="-5"/>
                <w:sz w:val="21"/>
                <w:szCs w:val="21"/>
              </w:rPr>
              <w:t>Access</w:t>
            </w:r>
            <w:r>
              <w:rPr>
                <w:rFonts w:ascii="宋体" w:hAnsi="宋体" w:cs="宋体" w:eastAsia="宋体" w:hint="default"/>
                <w:spacing w:val="-5"/>
                <w:sz w:val="21"/>
                <w:szCs w:val="21"/>
              </w:rPr>
              <w:t>，即宽带码分多址技术，在</w:t>
            </w:r>
          </w:p>
          <w:p>
            <w:pPr>
              <w:pStyle w:val="TableParagraph"/>
              <w:spacing w:line="273" w:lineRule="exact"/>
              <w:ind w:left="103" w:right="0"/>
              <w:jc w:val="left"/>
              <w:rPr>
                <w:rFonts w:ascii="宋体" w:hAnsi="宋体" w:cs="宋体" w:eastAsia="宋体" w:hint="default"/>
                <w:sz w:val="21"/>
                <w:szCs w:val="21"/>
              </w:rPr>
            </w:pPr>
            <w:r>
              <w:rPr>
                <w:rFonts w:ascii="Arial" w:hAnsi="Arial" w:cs="Arial" w:eastAsia="Arial" w:hint="default"/>
                <w:sz w:val="21"/>
                <w:szCs w:val="21"/>
              </w:rPr>
              <w:t>5MHz</w:t>
            </w:r>
            <w:r>
              <w:rPr>
                <w:rFonts w:ascii="Arial" w:hAnsi="Arial" w:cs="Arial" w:eastAsia="Arial" w:hint="default"/>
                <w:spacing w:val="-3"/>
                <w:sz w:val="21"/>
                <w:szCs w:val="21"/>
              </w:rPr>
              <w:t> </w:t>
            </w:r>
            <w:r>
              <w:rPr>
                <w:rFonts w:ascii="宋体" w:hAnsi="宋体" w:cs="宋体" w:eastAsia="宋体" w:hint="default"/>
                <w:spacing w:val="-6"/>
                <w:sz w:val="21"/>
                <w:szCs w:val="21"/>
              </w:rPr>
              <w:t>带宽频谱上传输语音和数据，是与</w:t>
            </w:r>
            <w:r>
              <w:rPr>
                <w:rFonts w:ascii="宋体" w:hAnsi="宋体" w:cs="宋体" w:eastAsia="宋体" w:hint="default"/>
                <w:spacing w:val="-51"/>
                <w:sz w:val="21"/>
                <w:szCs w:val="21"/>
              </w:rPr>
              <w:t> </w:t>
            </w:r>
            <w:r>
              <w:rPr>
                <w:rFonts w:ascii="Arial" w:hAnsi="Arial" w:cs="Arial" w:eastAsia="Arial" w:hint="default"/>
                <w:sz w:val="21"/>
                <w:szCs w:val="21"/>
              </w:rPr>
              <w:t>EV-DO\TD-SCDMA </w:t>
            </w:r>
            <w:r>
              <w:rPr>
                <w:rFonts w:ascii="宋体" w:hAnsi="宋体" w:cs="宋体" w:eastAsia="宋体" w:hint="default"/>
                <w:sz w:val="21"/>
                <w:szCs w:val="21"/>
              </w:rPr>
              <w:t>并列的</w:t>
            </w:r>
          </w:p>
          <w:p>
            <w:pPr>
              <w:pStyle w:val="TableParagraph"/>
              <w:spacing w:line="274" w:lineRule="exact" w:before="16"/>
              <w:ind w:left="103" w:right="103"/>
              <w:jc w:val="left"/>
              <w:rPr>
                <w:rFonts w:ascii="宋体" w:hAnsi="宋体" w:cs="宋体" w:eastAsia="宋体" w:hint="default"/>
                <w:sz w:val="21"/>
                <w:szCs w:val="21"/>
              </w:rPr>
            </w:pPr>
            <w:r>
              <w:rPr>
                <w:rFonts w:ascii="Arial" w:hAnsi="Arial" w:cs="Arial" w:eastAsia="Arial" w:hint="default"/>
                <w:sz w:val="21"/>
                <w:szCs w:val="21"/>
              </w:rPr>
              <w:t>3G </w:t>
            </w:r>
            <w:r>
              <w:rPr>
                <w:rFonts w:ascii="宋体" w:hAnsi="宋体" w:cs="宋体" w:eastAsia="宋体" w:hint="default"/>
                <w:spacing w:val="-8"/>
                <w:sz w:val="21"/>
                <w:szCs w:val="21"/>
              </w:rPr>
              <w:t>无线标准，不同的</w:t>
            </w:r>
            <w:r>
              <w:rPr>
                <w:rFonts w:ascii="宋体" w:hAnsi="宋体" w:cs="宋体" w:eastAsia="宋体" w:hint="default"/>
                <w:spacing w:val="-46"/>
                <w:sz w:val="21"/>
                <w:szCs w:val="21"/>
              </w:rPr>
              <w:t> </w:t>
            </w:r>
            <w:r>
              <w:rPr>
                <w:rFonts w:ascii="Arial" w:hAnsi="Arial" w:cs="Arial" w:eastAsia="Arial" w:hint="default"/>
                <w:sz w:val="21"/>
                <w:szCs w:val="21"/>
              </w:rPr>
              <w:t>3GPP</w:t>
            </w:r>
            <w:r>
              <w:rPr>
                <w:rFonts w:ascii="Arial" w:hAnsi="Arial" w:cs="Arial" w:eastAsia="Arial" w:hint="default"/>
                <w:spacing w:val="2"/>
                <w:sz w:val="21"/>
                <w:szCs w:val="21"/>
              </w:rPr>
              <w:t> </w:t>
            </w:r>
            <w:r>
              <w:rPr>
                <w:rFonts w:ascii="宋体" w:hAnsi="宋体" w:cs="宋体" w:eastAsia="宋体" w:hint="default"/>
                <w:sz w:val="21"/>
                <w:szCs w:val="21"/>
              </w:rPr>
              <w:t>版本可以达到</w:t>
            </w:r>
            <w:r>
              <w:rPr>
                <w:rFonts w:ascii="宋体" w:hAnsi="宋体" w:cs="宋体" w:eastAsia="宋体" w:hint="default"/>
                <w:spacing w:val="-45"/>
                <w:sz w:val="21"/>
                <w:szCs w:val="21"/>
              </w:rPr>
              <w:t> </w:t>
            </w:r>
            <w:r>
              <w:rPr>
                <w:rFonts w:ascii="Arial" w:hAnsi="Arial" w:cs="Arial" w:eastAsia="Arial" w:hint="default"/>
                <w:spacing w:val="-5"/>
                <w:sz w:val="21"/>
                <w:szCs w:val="21"/>
              </w:rPr>
              <w:t>14.4Mbps</w:t>
            </w:r>
            <w:r>
              <w:rPr>
                <w:rFonts w:ascii="宋体" w:hAnsi="宋体" w:cs="宋体" w:eastAsia="宋体" w:hint="default"/>
                <w:spacing w:val="-5"/>
                <w:sz w:val="21"/>
                <w:szCs w:val="21"/>
              </w:rPr>
              <w:t>、</w:t>
            </w:r>
            <w:r>
              <w:rPr>
                <w:rFonts w:ascii="Arial" w:hAnsi="Arial" w:cs="Arial" w:eastAsia="Arial" w:hint="default"/>
                <w:spacing w:val="-5"/>
                <w:sz w:val="21"/>
                <w:szCs w:val="21"/>
              </w:rPr>
              <w:t>21Mbps</w:t>
            </w:r>
            <w:r>
              <w:rPr>
                <w:rFonts w:ascii="Arial" w:hAnsi="Arial" w:cs="Arial" w:eastAsia="Arial" w:hint="default"/>
                <w:spacing w:val="1"/>
                <w:sz w:val="21"/>
                <w:szCs w:val="21"/>
              </w:rPr>
              <w:t> </w:t>
            </w:r>
            <w:r>
              <w:rPr>
                <w:rFonts w:ascii="宋体" w:hAnsi="宋体" w:cs="宋体" w:eastAsia="宋体" w:hint="default"/>
                <w:spacing w:val="-3"/>
                <w:sz w:val="21"/>
                <w:szCs w:val="21"/>
              </w:rPr>
              <w:t>甚至</w:t>
            </w:r>
            <w:r>
              <w:rPr>
                <w:rFonts w:ascii="宋体" w:hAnsi="宋体" w:cs="宋体" w:eastAsia="宋体" w:hint="default"/>
                <w:spacing w:val="-102"/>
                <w:sz w:val="21"/>
                <w:szCs w:val="21"/>
              </w:rPr>
              <w:t> </w:t>
            </w:r>
            <w:r>
              <w:rPr>
                <w:rFonts w:ascii="宋体" w:hAnsi="宋体" w:cs="宋体" w:eastAsia="宋体" w:hint="default"/>
                <w:sz w:val="21"/>
                <w:szCs w:val="21"/>
              </w:rPr>
              <w:t>更高的峰值速率。主要部署在</w:t>
            </w:r>
            <w:r>
              <w:rPr>
                <w:rFonts w:ascii="宋体" w:hAnsi="宋体" w:cs="宋体" w:eastAsia="宋体" w:hint="default"/>
                <w:spacing w:val="-54"/>
                <w:sz w:val="21"/>
                <w:szCs w:val="21"/>
              </w:rPr>
              <w:t> </w:t>
            </w:r>
            <w:r>
              <w:rPr>
                <w:rFonts w:ascii="Arial" w:hAnsi="Arial" w:cs="Arial" w:eastAsia="Arial" w:hint="default"/>
                <w:sz w:val="21"/>
                <w:szCs w:val="21"/>
              </w:rPr>
              <w:t>2.1GHz</w:t>
            </w:r>
            <w:r>
              <w:rPr>
                <w:rFonts w:ascii="Arial" w:hAnsi="Arial" w:cs="Arial" w:eastAsia="Arial" w:hint="default"/>
                <w:spacing w:val="-9"/>
                <w:sz w:val="21"/>
                <w:szCs w:val="21"/>
              </w:rPr>
              <w:t> </w:t>
            </w:r>
            <w:r>
              <w:rPr>
                <w:rFonts w:ascii="宋体" w:hAnsi="宋体" w:cs="宋体" w:eastAsia="宋体" w:hint="default"/>
                <w:sz w:val="21"/>
                <w:szCs w:val="21"/>
              </w:rPr>
              <w:t>频率上。</w:t>
            </w:r>
          </w:p>
        </w:tc>
      </w:tr>
      <w:tr>
        <w:trPr>
          <w:trHeight w:val="55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Arial" w:hAnsi="Arial" w:cs="Arial" w:eastAsia="Arial" w:hint="default"/>
                <w:sz w:val="21"/>
                <w:szCs w:val="21"/>
              </w:rPr>
            </w:pPr>
            <w:r>
              <w:rPr>
                <w:rFonts w:ascii="Arial"/>
                <w:sz w:val="21"/>
              </w:rPr>
              <w:t>4G</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Arial" w:hAnsi="Arial" w:cs="Arial" w:eastAsia="Arial" w:hint="default"/>
                <w:sz w:val="21"/>
                <w:szCs w:val="21"/>
              </w:rPr>
            </w:pPr>
            <w:r>
              <w:rPr>
                <w:rFonts w:ascii="Arial" w:hAnsi="Arial" w:cs="Arial" w:eastAsia="Arial" w:hint="default"/>
                <w:sz w:val="21"/>
                <w:szCs w:val="21"/>
              </w:rPr>
              <w:t>4G</w:t>
            </w:r>
            <w:r>
              <w:rPr>
                <w:rFonts w:ascii="Arial" w:hAnsi="Arial" w:cs="Arial" w:eastAsia="Arial" w:hint="default"/>
                <w:spacing w:val="-4"/>
                <w:sz w:val="21"/>
                <w:szCs w:val="21"/>
              </w:rPr>
              <w:t> </w:t>
            </w:r>
            <w:r>
              <w:rPr>
                <w:rFonts w:ascii="宋体" w:hAnsi="宋体" w:cs="宋体" w:eastAsia="宋体" w:hint="default"/>
                <w:sz w:val="21"/>
                <w:szCs w:val="21"/>
              </w:rPr>
              <w:t>是第四代通讯技术的简称，也称为</w:t>
            </w:r>
            <w:r>
              <w:rPr>
                <w:rFonts w:ascii="宋体" w:hAnsi="宋体" w:cs="宋体" w:eastAsia="宋体" w:hint="default"/>
                <w:spacing w:val="-49"/>
                <w:sz w:val="21"/>
                <w:szCs w:val="21"/>
              </w:rPr>
              <w:t> </w:t>
            </w:r>
            <w:r>
              <w:rPr>
                <w:rFonts w:ascii="Arial" w:hAnsi="Arial" w:cs="Arial" w:eastAsia="Arial" w:hint="default"/>
                <w:sz w:val="21"/>
                <w:szCs w:val="21"/>
              </w:rPr>
              <w:t>IMT-Advanced</w:t>
            </w:r>
            <w:r>
              <w:rPr>
                <w:rFonts w:ascii="宋体" w:hAnsi="宋体" w:cs="宋体" w:eastAsia="宋体" w:hint="default"/>
                <w:sz w:val="21"/>
                <w:szCs w:val="21"/>
              </w:rPr>
              <w:t>，</w:t>
            </w:r>
            <w:r>
              <w:rPr>
                <w:rFonts w:ascii="Arial" w:hAnsi="Arial" w:cs="Arial" w:eastAsia="Arial" w:hint="default"/>
                <w:sz w:val="21"/>
                <w:szCs w:val="21"/>
              </w:rPr>
              <w:t>ITU</w:t>
            </w:r>
            <w:r>
              <w:rPr>
                <w:rFonts w:ascii="Arial" w:hAnsi="Arial" w:cs="Arial" w:eastAsia="Arial" w:hint="default"/>
                <w:spacing w:val="-5"/>
                <w:sz w:val="21"/>
                <w:szCs w:val="21"/>
              </w:rPr>
              <w:t> </w:t>
            </w:r>
            <w:r>
              <w:rPr>
                <w:rFonts w:ascii="宋体" w:hAnsi="宋体" w:cs="宋体" w:eastAsia="宋体" w:hint="default"/>
                <w:sz w:val="21"/>
                <w:szCs w:val="21"/>
              </w:rPr>
              <w:t>在</w:t>
            </w:r>
            <w:r>
              <w:rPr>
                <w:rFonts w:ascii="宋体" w:hAnsi="宋体" w:cs="宋体" w:eastAsia="宋体" w:hint="default"/>
                <w:spacing w:val="-49"/>
                <w:sz w:val="21"/>
                <w:szCs w:val="21"/>
              </w:rPr>
              <w:t> </w:t>
            </w:r>
            <w:r>
              <w:rPr>
                <w:rFonts w:ascii="Arial" w:hAnsi="Arial" w:cs="Arial" w:eastAsia="Arial" w:hint="default"/>
                <w:sz w:val="21"/>
                <w:szCs w:val="21"/>
              </w:rPr>
              <w:t>2010</w:t>
            </w:r>
          </w:p>
          <w:p>
            <w:pPr>
              <w:pStyle w:val="TableParagraph"/>
              <w:spacing w:line="280" w:lineRule="exact"/>
              <w:ind w:left="103" w:right="0"/>
              <w:jc w:val="left"/>
              <w:rPr>
                <w:rFonts w:ascii="宋体" w:hAnsi="宋体" w:cs="宋体" w:eastAsia="宋体" w:hint="default"/>
                <w:sz w:val="21"/>
                <w:szCs w:val="21"/>
              </w:rPr>
            </w:pPr>
            <w:r>
              <w:rPr>
                <w:rFonts w:ascii="宋体" w:hAnsi="宋体" w:cs="宋体" w:eastAsia="宋体" w:hint="default"/>
                <w:sz w:val="21"/>
                <w:szCs w:val="21"/>
              </w:rPr>
              <w:t>年将</w:t>
            </w:r>
            <w:r>
              <w:rPr>
                <w:rFonts w:ascii="宋体" w:hAnsi="宋体" w:cs="宋体" w:eastAsia="宋体" w:hint="default"/>
                <w:spacing w:val="-54"/>
                <w:sz w:val="21"/>
                <w:szCs w:val="21"/>
              </w:rPr>
              <w:t> </w:t>
            </w:r>
            <w:r>
              <w:rPr>
                <w:rFonts w:ascii="Arial" w:hAnsi="Arial" w:cs="Arial" w:eastAsia="Arial" w:hint="default"/>
                <w:sz w:val="21"/>
                <w:szCs w:val="21"/>
              </w:rPr>
              <w:t>LTE-Advanced</w:t>
            </w:r>
            <w:r>
              <w:rPr>
                <w:rFonts w:ascii="Arial" w:hAnsi="Arial" w:cs="Arial" w:eastAsia="Arial" w:hint="default"/>
                <w:spacing w:val="-8"/>
                <w:sz w:val="21"/>
                <w:szCs w:val="21"/>
              </w:rPr>
              <w:t> </w:t>
            </w:r>
            <w:r>
              <w:rPr>
                <w:rFonts w:ascii="宋体" w:hAnsi="宋体" w:cs="宋体" w:eastAsia="宋体" w:hint="default"/>
                <w:sz w:val="21"/>
                <w:szCs w:val="21"/>
              </w:rPr>
              <w:t>和</w:t>
            </w:r>
            <w:r>
              <w:rPr>
                <w:rFonts w:ascii="宋体" w:hAnsi="宋体" w:cs="宋体" w:eastAsia="宋体" w:hint="default"/>
                <w:spacing w:val="-54"/>
                <w:sz w:val="21"/>
                <w:szCs w:val="21"/>
              </w:rPr>
              <w:t> </w:t>
            </w:r>
            <w:r>
              <w:rPr>
                <w:rFonts w:ascii="Arial" w:hAnsi="Arial" w:cs="Arial" w:eastAsia="Arial" w:hint="default"/>
                <w:sz w:val="21"/>
                <w:szCs w:val="21"/>
              </w:rPr>
              <w:t>IEEE</w:t>
            </w:r>
            <w:r>
              <w:rPr>
                <w:rFonts w:ascii="Arial" w:hAnsi="Arial" w:cs="Arial" w:eastAsia="Arial" w:hint="default"/>
                <w:spacing w:val="-2"/>
                <w:sz w:val="21"/>
                <w:szCs w:val="21"/>
              </w:rPr>
              <w:t> </w:t>
            </w:r>
            <w:r>
              <w:rPr>
                <w:rFonts w:ascii="Arial" w:hAnsi="Arial" w:cs="Arial" w:eastAsia="Arial" w:hint="default"/>
                <w:sz w:val="21"/>
                <w:szCs w:val="21"/>
              </w:rPr>
              <w:t>802.16m</w:t>
            </w:r>
            <w:r>
              <w:rPr>
                <w:rFonts w:ascii="Arial" w:hAnsi="Arial" w:cs="Arial" w:eastAsia="Arial" w:hint="default"/>
                <w:spacing w:val="-6"/>
                <w:sz w:val="21"/>
                <w:szCs w:val="21"/>
              </w:rPr>
              <w:t> </w:t>
            </w:r>
            <w:r>
              <w:rPr>
                <w:rFonts w:ascii="宋体" w:hAnsi="宋体" w:cs="宋体" w:eastAsia="宋体" w:hint="default"/>
                <w:sz w:val="21"/>
                <w:szCs w:val="21"/>
              </w:rPr>
              <w:t>定为</w:t>
            </w:r>
            <w:r>
              <w:rPr>
                <w:rFonts w:ascii="宋体" w:hAnsi="宋体" w:cs="宋体" w:eastAsia="宋体" w:hint="default"/>
                <w:spacing w:val="-54"/>
                <w:sz w:val="21"/>
                <w:szCs w:val="21"/>
              </w:rPr>
              <w:t> </w:t>
            </w:r>
            <w:r>
              <w:rPr>
                <w:rFonts w:ascii="Arial" w:hAnsi="Arial" w:cs="Arial" w:eastAsia="Arial" w:hint="default"/>
                <w:sz w:val="21"/>
                <w:szCs w:val="21"/>
              </w:rPr>
              <w:t>4G</w:t>
            </w:r>
            <w:r>
              <w:rPr>
                <w:rFonts w:ascii="Arial" w:hAnsi="Arial" w:cs="Arial" w:eastAsia="Arial" w:hint="default"/>
                <w:spacing w:val="-11"/>
                <w:sz w:val="21"/>
                <w:szCs w:val="21"/>
              </w:rPr>
              <w:t> </w:t>
            </w:r>
            <w:r>
              <w:rPr>
                <w:rFonts w:ascii="宋体" w:hAnsi="宋体" w:cs="宋体" w:eastAsia="宋体" w:hint="default"/>
                <w:sz w:val="21"/>
                <w:szCs w:val="21"/>
              </w:rPr>
              <w:t>的无线接入技术。</w:t>
            </w: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Arial" w:hAnsi="Arial" w:cs="Arial" w:eastAsia="Arial" w:hint="default"/>
                <w:sz w:val="21"/>
                <w:szCs w:val="21"/>
              </w:rPr>
            </w:pPr>
            <w:r>
              <w:rPr>
                <w:rFonts w:ascii="Arial"/>
                <w:sz w:val="21"/>
              </w:rPr>
              <w:t>ARPU</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平均每个用户每月贡献的业务收入</w:t>
            </w:r>
          </w:p>
        </w:tc>
      </w:tr>
      <w:tr>
        <w:trPr>
          <w:trHeight w:val="82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Arial" w:hAnsi="Arial" w:cs="Arial" w:eastAsia="Arial" w:hint="default"/>
                <w:sz w:val="21"/>
                <w:szCs w:val="21"/>
              </w:rPr>
            </w:pPr>
            <w:r>
              <w:rPr>
                <w:rFonts w:ascii="Arial"/>
                <w:sz w:val="21"/>
              </w:rPr>
              <w:t>EBITDA</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反映加回（减去）财务费用（收入）、所得税、扣除非流动资产处置</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4"/>
                <w:sz w:val="21"/>
                <w:szCs w:val="21"/>
              </w:rPr>
              <w:t>损益的营业外支出（收入）、营业成本及管理费用中的折旧及摊销以</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及减去投资收益的营业利润。</w:t>
            </w:r>
          </w:p>
        </w:tc>
      </w:tr>
      <w:tr>
        <w:trPr>
          <w:trHeight w:val="137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03" w:right="0"/>
              <w:jc w:val="left"/>
              <w:rPr>
                <w:rFonts w:ascii="Arial" w:hAnsi="Arial" w:cs="Arial" w:eastAsia="Arial" w:hint="default"/>
                <w:sz w:val="21"/>
                <w:szCs w:val="21"/>
              </w:rPr>
            </w:pPr>
            <w:r>
              <w:rPr>
                <w:rFonts w:ascii="Arial"/>
                <w:sz w:val="21"/>
              </w:rPr>
              <w:t>LTE</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both"/>
              <w:rPr>
                <w:rFonts w:ascii="宋体" w:hAnsi="宋体" w:cs="宋体" w:eastAsia="宋体" w:hint="default"/>
                <w:sz w:val="21"/>
                <w:szCs w:val="21"/>
              </w:rPr>
            </w:pPr>
            <w:r>
              <w:rPr>
                <w:rFonts w:ascii="宋体" w:hAnsi="宋体" w:cs="宋体" w:eastAsia="宋体" w:hint="default"/>
                <w:sz w:val="21"/>
                <w:szCs w:val="21"/>
              </w:rPr>
              <w:t>全称是</w:t>
            </w:r>
            <w:r>
              <w:rPr>
                <w:rFonts w:ascii="宋体" w:hAnsi="宋体" w:cs="宋体" w:eastAsia="宋体" w:hint="default"/>
                <w:spacing w:val="-55"/>
                <w:sz w:val="21"/>
                <w:szCs w:val="21"/>
              </w:rPr>
              <w:t> </w:t>
            </w:r>
            <w:r>
              <w:rPr>
                <w:rFonts w:ascii="Arial" w:hAnsi="Arial" w:cs="Arial" w:eastAsia="Arial" w:hint="default"/>
                <w:sz w:val="21"/>
                <w:szCs w:val="21"/>
              </w:rPr>
              <w:t>Long</w:t>
            </w:r>
            <w:r>
              <w:rPr>
                <w:rFonts w:ascii="Arial" w:hAnsi="Arial" w:cs="Arial" w:eastAsia="Arial" w:hint="default"/>
                <w:spacing w:val="9"/>
                <w:sz w:val="21"/>
                <w:szCs w:val="21"/>
              </w:rPr>
              <w:t> </w:t>
            </w:r>
            <w:r>
              <w:rPr>
                <w:rFonts w:ascii="Arial" w:hAnsi="Arial" w:cs="Arial" w:eastAsia="Arial" w:hint="default"/>
                <w:sz w:val="21"/>
                <w:szCs w:val="21"/>
              </w:rPr>
              <w:t>Term</w:t>
            </w:r>
            <w:r>
              <w:rPr>
                <w:rFonts w:ascii="Arial" w:hAnsi="Arial" w:cs="Arial" w:eastAsia="Arial" w:hint="default"/>
                <w:spacing w:val="10"/>
                <w:sz w:val="21"/>
                <w:szCs w:val="21"/>
              </w:rPr>
              <w:t> </w:t>
            </w:r>
            <w:r>
              <w:rPr>
                <w:rFonts w:ascii="Arial" w:hAnsi="Arial" w:cs="Arial" w:eastAsia="Arial" w:hint="default"/>
                <w:sz w:val="21"/>
                <w:szCs w:val="21"/>
              </w:rPr>
              <w:t>Evolution</w:t>
            </w:r>
            <w:r>
              <w:rPr>
                <w:rFonts w:ascii="宋体" w:hAnsi="宋体" w:cs="宋体" w:eastAsia="宋体" w:hint="default"/>
                <w:sz w:val="21"/>
                <w:szCs w:val="21"/>
              </w:rPr>
              <w:t>，是一种由国际标准化组织</w:t>
            </w:r>
            <w:r>
              <w:rPr>
                <w:rFonts w:ascii="宋体" w:hAnsi="宋体" w:cs="宋体" w:eastAsia="宋体" w:hint="default"/>
                <w:spacing w:val="-55"/>
                <w:sz w:val="21"/>
                <w:szCs w:val="21"/>
              </w:rPr>
              <w:t> </w:t>
            </w:r>
            <w:r>
              <w:rPr>
                <w:rFonts w:ascii="Arial" w:hAnsi="Arial" w:cs="Arial" w:eastAsia="Arial" w:hint="default"/>
                <w:sz w:val="21"/>
                <w:szCs w:val="21"/>
              </w:rPr>
              <w:t>3GPP</w:t>
            </w:r>
            <w:r>
              <w:rPr>
                <w:rFonts w:ascii="Arial" w:hAnsi="Arial" w:cs="Arial" w:eastAsia="Arial" w:hint="default"/>
                <w:spacing w:val="-7"/>
                <w:sz w:val="21"/>
                <w:szCs w:val="21"/>
              </w:rPr>
              <w:t> </w:t>
            </w:r>
            <w:r>
              <w:rPr>
                <w:rFonts w:ascii="宋体" w:hAnsi="宋体" w:cs="宋体" w:eastAsia="宋体" w:hint="default"/>
                <w:spacing w:val="-3"/>
                <w:sz w:val="21"/>
                <w:szCs w:val="21"/>
              </w:rPr>
              <w:t>主导</w:t>
            </w:r>
            <w:r>
              <w:rPr>
                <w:rFonts w:ascii="宋体" w:hAnsi="宋体" w:cs="宋体" w:eastAsia="宋体" w:hint="default"/>
                <w:sz w:val="21"/>
                <w:szCs w:val="21"/>
              </w:rPr>
            </w:r>
          </w:p>
          <w:p>
            <w:pPr>
              <w:pStyle w:val="TableParagraph"/>
              <w:spacing w:line="225" w:lineRule="auto" w:before="5"/>
              <w:ind w:left="103" w:right="87"/>
              <w:jc w:val="both"/>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46"/>
                <w:sz w:val="21"/>
                <w:szCs w:val="21"/>
              </w:rPr>
              <w:t> </w:t>
            </w:r>
            <w:r>
              <w:rPr>
                <w:rFonts w:ascii="Arial" w:hAnsi="Arial" w:cs="Arial" w:eastAsia="Arial" w:hint="default"/>
                <w:sz w:val="21"/>
                <w:szCs w:val="21"/>
              </w:rPr>
              <w:t>3G</w:t>
            </w:r>
            <w:r>
              <w:rPr>
                <w:rFonts w:ascii="Arial" w:hAnsi="Arial" w:cs="Arial" w:eastAsia="Arial" w:hint="default"/>
                <w:spacing w:val="-3"/>
                <w:sz w:val="21"/>
                <w:szCs w:val="21"/>
              </w:rPr>
              <w:t> </w:t>
            </w:r>
            <w:r>
              <w:rPr>
                <w:rFonts w:ascii="宋体" w:hAnsi="宋体" w:cs="宋体" w:eastAsia="宋体" w:hint="default"/>
                <w:spacing w:val="-3"/>
                <w:sz w:val="21"/>
                <w:szCs w:val="21"/>
              </w:rPr>
              <w:t>演进技术，被公认为</w:t>
            </w:r>
            <w:r>
              <w:rPr>
                <w:rFonts w:ascii="宋体" w:hAnsi="宋体" w:cs="宋体" w:eastAsia="宋体" w:hint="default"/>
                <w:spacing w:val="-46"/>
                <w:sz w:val="21"/>
                <w:szCs w:val="21"/>
              </w:rPr>
              <w:t> </w:t>
            </w:r>
            <w:r>
              <w:rPr>
                <w:rFonts w:ascii="Arial" w:hAnsi="Arial" w:cs="Arial" w:eastAsia="Arial" w:hint="default"/>
                <w:sz w:val="21"/>
                <w:szCs w:val="21"/>
              </w:rPr>
              <w:t>4G</w:t>
            </w:r>
            <w:r>
              <w:rPr>
                <w:rFonts w:ascii="Arial" w:hAnsi="Arial" w:cs="Arial" w:eastAsia="Arial" w:hint="default"/>
                <w:spacing w:val="-3"/>
                <w:sz w:val="21"/>
                <w:szCs w:val="21"/>
              </w:rPr>
              <w:t> </w:t>
            </w:r>
            <w:r>
              <w:rPr>
                <w:rFonts w:ascii="宋体" w:hAnsi="宋体" w:cs="宋体" w:eastAsia="宋体" w:hint="default"/>
                <w:spacing w:val="-3"/>
                <w:sz w:val="21"/>
                <w:szCs w:val="21"/>
              </w:rPr>
              <w:t>时代的无线接入技术，采用了</w:t>
            </w:r>
            <w:r>
              <w:rPr>
                <w:rFonts w:ascii="宋体" w:hAnsi="宋体" w:cs="宋体" w:eastAsia="宋体" w:hint="default"/>
                <w:spacing w:val="-45"/>
                <w:sz w:val="21"/>
                <w:szCs w:val="21"/>
              </w:rPr>
              <w:t> </w:t>
            </w:r>
            <w:r>
              <w:rPr>
                <w:rFonts w:ascii="Arial" w:hAnsi="Arial" w:cs="Arial" w:eastAsia="Arial" w:hint="default"/>
                <w:sz w:val="21"/>
                <w:szCs w:val="21"/>
              </w:rPr>
              <w:t>OFDM</w:t>
            </w:r>
            <w:r>
              <w:rPr>
                <w:rFonts w:ascii="Arial" w:hAnsi="Arial" w:cs="Arial" w:eastAsia="Arial" w:hint="default"/>
                <w:spacing w:val="-53"/>
                <w:sz w:val="21"/>
                <w:szCs w:val="21"/>
              </w:rPr>
              <w:t> </w:t>
            </w:r>
            <w:r>
              <w:rPr>
                <w:rFonts w:ascii="Arial" w:hAnsi="Arial" w:cs="Arial" w:eastAsia="Arial" w:hint="default"/>
                <w:spacing w:val="-53"/>
                <w:sz w:val="21"/>
                <w:szCs w:val="21"/>
              </w:rPr>
            </w:r>
            <w:r>
              <w:rPr>
                <w:rFonts w:ascii="宋体" w:hAnsi="宋体" w:cs="宋体" w:eastAsia="宋体" w:hint="default"/>
                <w:sz w:val="21"/>
                <w:szCs w:val="21"/>
              </w:rPr>
              <w:t>和</w:t>
            </w:r>
            <w:r>
              <w:rPr>
                <w:rFonts w:ascii="宋体" w:hAnsi="宋体" w:cs="宋体" w:eastAsia="宋体" w:hint="default"/>
                <w:spacing w:val="-45"/>
                <w:sz w:val="21"/>
                <w:szCs w:val="21"/>
              </w:rPr>
              <w:t> </w:t>
            </w:r>
            <w:r>
              <w:rPr>
                <w:rFonts w:ascii="Arial" w:hAnsi="Arial" w:cs="Arial" w:eastAsia="Arial" w:hint="default"/>
                <w:sz w:val="21"/>
                <w:szCs w:val="21"/>
              </w:rPr>
              <w:t>MIMO</w:t>
            </w:r>
            <w:r>
              <w:rPr>
                <w:rFonts w:ascii="Arial" w:hAnsi="Arial" w:cs="Arial" w:eastAsia="Arial" w:hint="default"/>
                <w:spacing w:val="1"/>
                <w:sz w:val="21"/>
                <w:szCs w:val="21"/>
              </w:rPr>
              <w:t> </w:t>
            </w:r>
            <w:r>
              <w:rPr>
                <w:rFonts w:ascii="宋体" w:hAnsi="宋体" w:cs="宋体" w:eastAsia="宋体" w:hint="default"/>
                <w:sz w:val="21"/>
                <w:szCs w:val="21"/>
              </w:rPr>
              <w:t>等技术以及比</w:t>
            </w:r>
            <w:r>
              <w:rPr>
                <w:rFonts w:ascii="宋体" w:hAnsi="宋体" w:cs="宋体" w:eastAsia="宋体" w:hint="default"/>
                <w:spacing w:val="-45"/>
                <w:sz w:val="21"/>
                <w:szCs w:val="21"/>
              </w:rPr>
              <w:t> </w:t>
            </w:r>
            <w:r>
              <w:rPr>
                <w:rFonts w:ascii="Arial" w:hAnsi="Arial" w:cs="Arial" w:eastAsia="Arial" w:hint="default"/>
                <w:sz w:val="21"/>
                <w:szCs w:val="21"/>
              </w:rPr>
              <w:t>3G</w:t>
            </w:r>
            <w:r>
              <w:rPr>
                <w:rFonts w:ascii="Arial" w:hAnsi="Arial" w:cs="Arial" w:eastAsia="Arial" w:hint="default"/>
                <w:spacing w:val="1"/>
                <w:sz w:val="21"/>
                <w:szCs w:val="21"/>
              </w:rPr>
              <w:t> </w:t>
            </w:r>
            <w:r>
              <w:rPr>
                <w:rFonts w:ascii="宋体" w:hAnsi="宋体" w:cs="宋体" w:eastAsia="宋体" w:hint="default"/>
                <w:spacing w:val="-3"/>
                <w:sz w:val="21"/>
                <w:szCs w:val="21"/>
              </w:rPr>
              <w:t>更灵活的频谱带宽</w:t>
            </w:r>
            <w:r>
              <w:rPr>
                <w:rFonts w:ascii="Arial" w:hAnsi="Arial" w:cs="Arial" w:eastAsia="Arial" w:hint="default"/>
                <w:spacing w:val="-3"/>
                <w:sz w:val="21"/>
                <w:szCs w:val="21"/>
              </w:rPr>
              <w:t>(1.4~20MHz)</w:t>
            </w:r>
            <w:r>
              <w:rPr>
                <w:rFonts w:ascii="宋体" w:hAnsi="宋体" w:cs="宋体" w:eastAsia="宋体" w:hint="default"/>
                <w:spacing w:val="-3"/>
                <w:sz w:val="21"/>
                <w:szCs w:val="21"/>
              </w:rPr>
              <w:t>，实现峰</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7"/>
                <w:sz w:val="21"/>
                <w:szCs w:val="21"/>
              </w:rPr>
              <w:t>值速率</w:t>
            </w:r>
            <w:r>
              <w:rPr>
                <w:rFonts w:ascii="宋体" w:hAnsi="宋体" w:cs="宋体" w:eastAsia="宋体" w:hint="default"/>
                <w:spacing w:val="32"/>
                <w:sz w:val="21"/>
                <w:szCs w:val="21"/>
              </w:rPr>
              <w:t> </w:t>
            </w:r>
            <w:r>
              <w:rPr>
                <w:rFonts w:ascii="Arial" w:hAnsi="Arial" w:cs="Arial" w:eastAsia="Arial" w:hint="default"/>
                <w:sz w:val="21"/>
                <w:szCs w:val="21"/>
              </w:rPr>
              <w:t>100</w:t>
            </w:r>
            <w:r>
              <w:rPr>
                <w:rFonts w:ascii="宋体" w:hAnsi="宋体" w:cs="宋体" w:eastAsia="宋体" w:hint="default"/>
                <w:sz w:val="21"/>
                <w:szCs w:val="21"/>
              </w:rPr>
              <w:t>～</w:t>
            </w:r>
            <w:r>
              <w:rPr>
                <w:rFonts w:ascii="Arial" w:hAnsi="Arial" w:cs="Arial" w:eastAsia="Arial" w:hint="default"/>
                <w:sz w:val="21"/>
                <w:szCs w:val="21"/>
              </w:rPr>
              <w:t>150Mbps</w:t>
            </w:r>
            <w:r>
              <w:rPr>
                <w:rFonts w:ascii="宋体" w:hAnsi="宋体" w:cs="宋体" w:eastAsia="宋体" w:hint="default"/>
                <w:sz w:val="21"/>
                <w:szCs w:val="21"/>
              </w:rPr>
              <w:t>（</w:t>
            </w:r>
            <w:r>
              <w:rPr>
                <w:rFonts w:ascii="Arial" w:hAnsi="Arial" w:cs="Arial" w:eastAsia="Arial" w:hint="default"/>
                <w:sz w:val="21"/>
                <w:szCs w:val="21"/>
              </w:rPr>
              <w:t>20MHz</w:t>
            </w:r>
            <w:r>
              <w:rPr>
                <w:rFonts w:ascii="Arial" w:hAnsi="Arial" w:cs="Arial" w:eastAsia="Arial" w:hint="default"/>
                <w:spacing w:val="16"/>
                <w:sz w:val="21"/>
                <w:szCs w:val="21"/>
              </w:rPr>
              <w:t> </w:t>
            </w:r>
            <w:r>
              <w:rPr>
                <w:rFonts w:ascii="宋体" w:hAnsi="宋体" w:cs="宋体" w:eastAsia="宋体" w:hint="default"/>
                <w:spacing w:val="9"/>
                <w:sz w:val="21"/>
                <w:szCs w:val="21"/>
              </w:rPr>
              <w:t>带宽）。目前</w:t>
            </w:r>
            <w:r>
              <w:rPr>
                <w:rFonts w:ascii="宋体" w:hAnsi="宋体" w:cs="宋体" w:eastAsia="宋体" w:hint="default"/>
                <w:spacing w:val="29"/>
                <w:sz w:val="21"/>
                <w:szCs w:val="21"/>
              </w:rPr>
              <w:t> </w:t>
            </w:r>
            <w:r>
              <w:rPr>
                <w:rFonts w:ascii="Arial" w:hAnsi="Arial" w:cs="Arial" w:eastAsia="Arial" w:hint="default"/>
                <w:sz w:val="21"/>
                <w:szCs w:val="21"/>
              </w:rPr>
              <w:t>3GPP</w:t>
            </w:r>
            <w:r>
              <w:rPr>
                <w:rFonts w:ascii="Arial" w:hAnsi="Arial" w:cs="Arial" w:eastAsia="Arial" w:hint="default"/>
                <w:spacing w:val="17"/>
                <w:sz w:val="21"/>
                <w:szCs w:val="21"/>
              </w:rPr>
              <w:t> </w:t>
            </w:r>
            <w:r>
              <w:rPr>
                <w:rFonts w:ascii="宋体" w:hAnsi="宋体" w:cs="宋体" w:eastAsia="宋体" w:hint="default"/>
                <w:spacing w:val="11"/>
                <w:sz w:val="21"/>
                <w:szCs w:val="21"/>
              </w:rPr>
              <w:t>正在制定</w:t>
            </w:r>
            <w:r>
              <w:rPr>
                <w:rFonts w:ascii="宋体" w:hAnsi="宋体" w:cs="宋体" w:eastAsia="宋体" w:hint="default"/>
                <w:spacing w:val="-102"/>
                <w:sz w:val="21"/>
                <w:szCs w:val="21"/>
              </w:rPr>
              <w:t> </w:t>
            </w:r>
            <w:r>
              <w:rPr>
                <w:rFonts w:ascii="Arial" w:hAnsi="Arial" w:cs="Arial" w:eastAsia="Arial" w:hint="default"/>
                <w:sz w:val="21"/>
                <w:szCs w:val="21"/>
              </w:rPr>
              <w:t>LTE-Advanced</w:t>
            </w:r>
            <w:r>
              <w:rPr>
                <w:rFonts w:ascii="Arial" w:hAnsi="Arial" w:cs="Arial" w:eastAsia="Arial" w:hint="default"/>
                <w:spacing w:val="-9"/>
                <w:sz w:val="21"/>
                <w:szCs w:val="21"/>
              </w:rPr>
              <w:t> </w:t>
            </w:r>
            <w:r>
              <w:rPr>
                <w:rFonts w:ascii="宋体" w:hAnsi="宋体" w:cs="宋体" w:eastAsia="宋体" w:hint="default"/>
                <w:sz w:val="21"/>
                <w:szCs w:val="21"/>
              </w:rPr>
              <w:t>标准，可以达到更高的峰值速率。</w:t>
            </w: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Arial" w:hAnsi="Arial" w:cs="Arial" w:eastAsia="Arial" w:hint="default"/>
                <w:sz w:val="21"/>
                <w:szCs w:val="21"/>
              </w:rPr>
            </w:pPr>
            <w:r>
              <w:rPr>
                <w:rFonts w:ascii="Arial"/>
                <w:sz w:val="21"/>
              </w:rPr>
              <w:t>FTTH/B</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采用光纤到户和光纤到大楼的宽带接入方式。</w:t>
            </w:r>
          </w:p>
        </w:tc>
      </w:tr>
      <w:tr>
        <w:trPr>
          <w:trHeight w:val="55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Arial" w:hAnsi="Arial" w:cs="Arial" w:eastAsia="Arial" w:hint="default"/>
                <w:sz w:val="21"/>
                <w:szCs w:val="21"/>
              </w:rPr>
            </w:pPr>
            <w:r>
              <w:rPr>
                <w:rFonts w:ascii="Arial"/>
                <w:sz w:val="21"/>
              </w:rPr>
              <w:t>TD-LTE</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Arial" w:hAnsi="Arial" w:cs="Arial" w:eastAsia="Arial" w:hint="default"/>
                <w:sz w:val="21"/>
                <w:szCs w:val="21"/>
              </w:rPr>
              <w:t>LTE</w:t>
            </w:r>
            <w:r>
              <w:rPr>
                <w:rFonts w:ascii="Arial" w:hAnsi="Arial" w:cs="Arial" w:eastAsia="Arial" w:hint="default"/>
                <w:spacing w:val="-3"/>
                <w:sz w:val="21"/>
                <w:szCs w:val="21"/>
              </w:rPr>
              <w:t> </w:t>
            </w:r>
            <w:r>
              <w:rPr>
                <w:rFonts w:ascii="宋体" w:hAnsi="宋体" w:cs="宋体" w:eastAsia="宋体" w:hint="default"/>
                <w:sz w:val="21"/>
                <w:szCs w:val="21"/>
              </w:rPr>
              <w:t>是</w:t>
            </w:r>
            <w:r>
              <w:rPr>
                <w:rFonts w:ascii="宋体" w:hAnsi="宋体" w:cs="宋体" w:eastAsia="宋体" w:hint="default"/>
                <w:spacing w:val="-53"/>
                <w:sz w:val="21"/>
                <w:szCs w:val="21"/>
              </w:rPr>
              <w:t> </w:t>
            </w:r>
            <w:r>
              <w:rPr>
                <w:rFonts w:ascii="Arial" w:hAnsi="Arial" w:cs="Arial" w:eastAsia="Arial" w:hint="default"/>
                <w:sz w:val="21"/>
                <w:szCs w:val="21"/>
              </w:rPr>
              <w:t>3GPP</w:t>
            </w:r>
            <w:r>
              <w:rPr>
                <w:rFonts w:ascii="Arial" w:hAnsi="Arial" w:cs="Arial" w:eastAsia="Arial" w:hint="default"/>
                <w:spacing w:val="-3"/>
                <w:sz w:val="21"/>
                <w:szCs w:val="21"/>
              </w:rPr>
              <w:t> </w:t>
            </w:r>
            <w:r>
              <w:rPr>
                <w:rFonts w:ascii="宋体" w:hAnsi="宋体" w:cs="宋体" w:eastAsia="宋体" w:hint="default"/>
                <w:sz w:val="21"/>
                <w:szCs w:val="21"/>
              </w:rPr>
              <w:t>组织制定的</w:t>
            </w:r>
            <w:r>
              <w:rPr>
                <w:rFonts w:ascii="宋体" w:hAnsi="宋体" w:cs="宋体" w:eastAsia="宋体" w:hint="default"/>
                <w:spacing w:val="-53"/>
                <w:sz w:val="21"/>
                <w:szCs w:val="21"/>
              </w:rPr>
              <w:t> </w:t>
            </w:r>
            <w:r>
              <w:rPr>
                <w:rFonts w:ascii="Arial" w:hAnsi="Arial" w:cs="Arial" w:eastAsia="Arial" w:hint="default"/>
                <w:sz w:val="21"/>
                <w:szCs w:val="21"/>
              </w:rPr>
              <w:t>4G</w:t>
            </w:r>
            <w:r>
              <w:rPr>
                <w:rFonts w:ascii="Arial" w:hAnsi="Arial" w:cs="Arial" w:eastAsia="Arial" w:hint="default"/>
                <w:spacing w:val="-5"/>
                <w:sz w:val="21"/>
                <w:szCs w:val="21"/>
              </w:rPr>
              <w:t> </w:t>
            </w:r>
            <w:r>
              <w:rPr>
                <w:rFonts w:ascii="宋体" w:hAnsi="宋体" w:cs="宋体" w:eastAsia="宋体" w:hint="default"/>
                <w:spacing w:val="-3"/>
                <w:sz w:val="21"/>
                <w:szCs w:val="21"/>
              </w:rPr>
              <w:t>技术标准，基于</w:t>
            </w:r>
            <w:r>
              <w:rPr>
                <w:rFonts w:ascii="宋体" w:hAnsi="宋体" w:cs="宋体" w:eastAsia="宋体" w:hint="default"/>
                <w:spacing w:val="-50"/>
                <w:sz w:val="21"/>
                <w:szCs w:val="21"/>
              </w:rPr>
              <w:t> </w:t>
            </w:r>
            <w:r>
              <w:rPr>
                <w:rFonts w:ascii="Arial" w:hAnsi="Arial" w:cs="Arial" w:eastAsia="Arial" w:hint="default"/>
                <w:sz w:val="21"/>
                <w:szCs w:val="21"/>
              </w:rPr>
              <w:t>OFDM</w:t>
            </w:r>
            <w:r>
              <w:rPr>
                <w:rFonts w:ascii="Arial" w:hAnsi="Arial" w:cs="Arial" w:eastAsia="Arial" w:hint="default"/>
                <w:spacing w:val="-5"/>
                <w:sz w:val="21"/>
                <w:szCs w:val="21"/>
              </w:rPr>
              <w:t> </w:t>
            </w:r>
            <w:r>
              <w:rPr>
                <w:rFonts w:ascii="宋体" w:hAnsi="宋体" w:cs="宋体" w:eastAsia="宋体" w:hint="default"/>
                <w:spacing w:val="-3"/>
                <w:sz w:val="21"/>
                <w:szCs w:val="21"/>
              </w:rPr>
              <w:t>技术。</w:t>
            </w:r>
            <w:r>
              <w:rPr>
                <w:rFonts w:ascii="Arial" w:hAnsi="Arial" w:cs="Arial" w:eastAsia="Arial" w:hint="default"/>
                <w:spacing w:val="-3"/>
                <w:sz w:val="21"/>
                <w:szCs w:val="21"/>
              </w:rPr>
              <w:t>TDD</w:t>
            </w:r>
            <w:r>
              <w:rPr>
                <w:rFonts w:ascii="Arial" w:hAnsi="Arial" w:cs="Arial" w:eastAsia="Arial" w:hint="default"/>
                <w:spacing w:val="-5"/>
                <w:sz w:val="21"/>
                <w:szCs w:val="21"/>
              </w:rPr>
              <w:t> </w:t>
            </w:r>
            <w:r>
              <w:rPr>
                <w:rFonts w:ascii="宋体" w:hAnsi="宋体" w:cs="宋体" w:eastAsia="宋体" w:hint="default"/>
                <w:sz w:val="21"/>
                <w:szCs w:val="21"/>
              </w:rPr>
              <w:t>表</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示时分双工，</w:t>
            </w:r>
            <w:r>
              <w:rPr>
                <w:rFonts w:ascii="Arial" w:hAnsi="Arial" w:cs="Arial" w:eastAsia="Arial" w:hint="default"/>
                <w:sz w:val="21"/>
                <w:szCs w:val="21"/>
              </w:rPr>
              <w:t>TD-LTE</w:t>
            </w:r>
            <w:r>
              <w:rPr>
                <w:rFonts w:ascii="Arial" w:hAnsi="Arial" w:cs="Arial" w:eastAsia="Arial" w:hint="default"/>
                <w:spacing w:val="-6"/>
                <w:sz w:val="21"/>
                <w:szCs w:val="21"/>
              </w:rPr>
              <w:t> </w:t>
            </w:r>
            <w:r>
              <w:rPr>
                <w:rFonts w:ascii="宋体" w:hAnsi="宋体" w:cs="宋体" w:eastAsia="宋体" w:hint="default"/>
                <w:sz w:val="21"/>
                <w:szCs w:val="21"/>
              </w:rPr>
              <w:t>是</w:t>
            </w:r>
            <w:r>
              <w:rPr>
                <w:rFonts w:ascii="宋体" w:hAnsi="宋体" w:cs="宋体" w:eastAsia="宋体" w:hint="default"/>
                <w:spacing w:val="-56"/>
                <w:sz w:val="21"/>
                <w:szCs w:val="21"/>
              </w:rPr>
              <w:t> </w:t>
            </w:r>
            <w:r>
              <w:rPr>
                <w:rFonts w:ascii="Arial" w:hAnsi="Arial" w:cs="Arial" w:eastAsia="Arial" w:hint="default"/>
                <w:sz w:val="21"/>
                <w:szCs w:val="21"/>
              </w:rPr>
              <w:t>TDD</w:t>
            </w:r>
            <w:r>
              <w:rPr>
                <w:rFonts w:ascii="Arial" w:hAnsi="Arial" w:cs="Arial" w:eastAsia="Arial" w:hint="default"/>
                <w:spacing w:val="-6"/>
                <w:sz w:val="21"/>
                <w:szCs w:val="21"/>
              </w:rPr>
              <w:t> </w:t>
            </w:r>
            <w:r>
              <w:rPr>
                <w:rFonts w:ascii="宋体" w:hAnsi="宋体" w:cs="宋体" w:eastAsia="宋体" w:hint="default"/>
                <w:sz w:val="21"/>
                <w:szCs w:val="21"/>
              </w:rPr>
              <w:t>版本的</w:t>
            </w:r>
            <w:r>
              <w:rPr>
                <w:rFonts w:ascii="宋体" w:hAnsi="宋体" w:cs="宋体" w:eastAsia="宋体" w:hint="default"/>
                <w:spacing w:val="-56"/>
                <w:sz w:val="21"/>
                <w:szCs w:val="21"/>
              </w:rPr>
              <w:t> </w:t>
            </w:r>
            <w:r>
              <w:rPr>
                <w:rFonts w:ascii="Arial" w:hAnsi="Arial" w:cs="Arial" w:eastAsia="Arial" w:hint="default"/>
                <w:sz w:val="21"/>
                <w:szCs w:val="21"/>
              </w:rPr>
              <w:t>LTE</w:t>
            </w:r>
            <w:r>
              <w:rPr>
                <w:rFonts w:ascii="Arial" w:hAnsi="Arial" w:cs="Arial" w:eastAsia="Arial" w:hint="default"/>
                <w:spacing w:val="-6"/>
                <w:sz w:val="21"/>
                <w:szCs w:val="21"/>
              </w:rPr>
              <w:t> </w:t>
            </w:r>
            <w:r>
              <w:rPr>
                <w:rFonts w:ascii="宋体" w:hAnsi="宋体" w:cs="宋体" w:eastAsia="宋体" w:hint="default"/>
                <w:sz w:val="21"/>
                <w:szCs w:val="21"/>
              </w:rPr>
              <w:t>标准。</w:t>
            </w:r>
          </w:p>
        </w:tc>
      </w:tr>
      <w:tr>
        <w:trPr>
          <w:trHeight w:val="55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Arial" w:hAnsi="Arial" w:cs="Arial" w:eastAsia="Arial" w:hint="default"/>
                <w:sz w:val="21"/>
                <w:szCs w:val="21"/>
              </w:rPr>
            </w:pPr>
            <w:r>
              <w:rPr>
                <w:rFonts w:ascii="Arial"/>
                <w:sz w:val="21"/>
              </w:rPr>
              <w:t>LTE</w:t>
            </w:r>
            <w:r>
              <w:rPr>
                <w:rFonts w:ascii="Arial"/>
                <w:spacing w:val="-1"/>
                <w:sz w:val="21"/>
              </w:rPr>
              <w:t> </w:t>
            </w:r>
            <w:r>
              <w:rPr>
                <w:rFonts w:ascii="Arial"/>
                <w:sz w:val="21"/>
              </w:rPr>
              <w:t>FDD</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Arial" w:hAnsi="Arial" w:cs="Arial" w:eastAsia="Arial" w:hint="default"/>
                <w:sz w:val="21"/>
                <w:szCs w:val="21"/>
              </w:rPr>
              <w:t>LTE</w:t>
            </w:r>
            <w:r>
              <w:rPr>
                <w:rFonts w:ascii="Arial" w:hAnsi="Arial" w:cs="Arial" w:eastAsia="Arial" w:hint="default"/>
                <w:spacing w:val="-3"/>
                <w:sz w:val="21"/>
                <w:szCs w:val="21"/>
              </w:rPr>
              <w:t> </w:t>
            </w:r>
            <w:r>
              <w:rPr>
                <w:rFonts w:ascii="宋体" w:hAnsi="宋体" w:cs="宋体" w:eastAsia="宋体" w:hint="default"/>
                <w:sz w:val="21"/>
                <w:szCs w:val="21"/>
              </w:rPr>
              <w:t>是</w:t>
            </w:r>
            <w:r>
              <w:rPr>
                <w:rFonts w:ascii="宋体" w:hAnsi="宋体" w:cs="宋体" w:eastAsia="宋体" w:hint="default"/>
                <w:spacing w:val="-53"/>
                <w:sz w:val="21"/>
                <w:szCs w:val="21"/>
              </w:rPr>
              <w:t> </w:t>
            </w:r>
            <w:r>
              <w:rPr>
                <w:rFonts w:ascii="Arial" w:hAnsi="Arial" w:cs="Arial" w:eastAsia="Arial" w:hint="default"/>
                <w:sz w:val="21"/>
                <w:szCs w:val="21"/>
              </w:rPr>
              <w:t>3GPP</w:t>
            </w:r>
            <w:r>
              <w:rPr>
                <w:rFonts w:ascii="Arial" w:hAnsi="Arial" w:cs="Arial" w:eastAsia="Arial" w:hint="default"/>
                <w:spacing w:val="-3"/>
                <w:sz w:val="21"/>
                <w:szCs w:val="21"/>
              </w:rPr>
              <w:t> </w:t>
            </w:r>
            <w:r>
              <w:rPr>
                <w:rFonts w:ascii="宋体" w:hAnsi="宋体" w:cs="宋体" w:eastAsia="宋体" w:hint="default"/>
                <w:sz w:val="21"/>
                <w:szCs w:val="21"/>
              </w:rPr>
              <w:t>组织制定的</w:t>
            </w:r>
            <w:r>
              <w:rPr>
                <w:rFonts w:ascii="宋体" w:hAnsi="宋体" w:cs="宋体" w:eastAsia="宋体" w:hint="default"/>
                <w:spacing w:val="-53"/>
                <w:sz w:val="21"/>
                <w:szCs w:val="21"/>
              </w:rPr>
              <w:t> </w:t>
            </w:r>
            <w:r>
              <w:rPr>
                <w:rFonts w:ascii="Arial" w:hAnsi="Arial" w:cs="Arial" w:eastAsia="Arial" w:hint="default"/>
                <w:sz w:val="21"/>
                <w:szCs w:val="21"/>
              </w:rPr>
              <w:t>4G</w:t>
            </w:r>
            <w:r>
              <w:rPr>
                <w:rFonts w:ascii="Arial" w:hAnsi="Arial" w:cs="Arial" w:eastAsia="Arial" w:hint="default"/>
                <w:spacing w:val="-5"/>
                <w:sz w:val="21"/>
                <w:szCs w:val="21"/>
              </w:rPr>
              <w:t> </w:t>
            </w:r>
            <w:r>
              <w:rPr>
                <w:rFonts w:ascii="宋体" w:hAnsi="宋体" w:cs="宋体" w:eastAsia="宋体" w:hint="default"/>
                <w:spacing w:val="-3"/>
                <w:sz w:val="21"/>
                <w:szCs w:val="21"/>
              </w:rPr>
              <w:t>技术标准，基于</w:t>
            </w:r>
            <w:r>
              <w:rPr>
                <w:rFonts w:ascii="宋体" w:hAnsi="宋体" w:cs="宋体" w:eastAsia="宋体" w:hint="default"/>
                <w:spacing w:val="-50"/>
                <w:sz w:val="21"/>
                <w:szCs w:val="21"/>
              </w:rPr>
              <w:t> </w:t>
            </w:r>
            <w:r>
              <w:rPr>
                <w:rFonts w:ascii="Arial" w:hAnsi="Arial" w:cs="Arial" w:eastAsia="Arial" w:hint="default"/>
                <w:sz w:val="21"/>
                <w:szCs w:val="21"/>
              </w:rPr>
              <w:t>OFDM</w:t>
            </w:r>
            <w:r>
              <w:rPr>
                <w:rFonts w:ascii="Arial" w:hAnsi="Arial" w:cs="Arial" w:eastAsia="Arial" w:hint="default"/>
                <w:spacing w:val="-5"/>
                <w:sz w:val="21"/>
                <w:szCs w:val="21"/>
              </w:rPr>
              <w:t> </w:t>
            </w:r>
            <w:r>
              <w:rPr>
                <w:rFonts w:ascii="宋体" w:hAnsi="宋体" w:cs="宋体" w:eastAsia="宋体" w:hint="default"/>
                <w:spacing w:val="-3"/>
                <w:sz w:val="21"/>
                <w:szCs w:val="21"/>
              </w:rPr>
              <w:t>技术。</w:t>
            </w:r>
            <w:r>
              <w:rPr>
                <w:rFonts w:ascii="Arial" w:hAnsi="Arial" w:cs="Arial" w:eastAsia="Arial" w:hint="default"/>
                <w:spacing w:val="-3"/>
                <w:sz w:val="21"/>
                <w:szCs w:val="21"/>
              </w:rPr>
              <w:t>FDD</w:t>
            </w:r>
            <w:r>
              <w:rPr>
                <w:rFonts w:ascii="Arial" w:hAnsi="Arial" w:cs="Arial" w:eastAsia="Arial" w:hint="default"/>
                <w:spacing w:val="-5"/>
                <w:sz w:val="21"/>
                <w:szCs w:val="21"/>
              </w:rPr>
              <w:t> </w:t>
            </w:r>
            <w:r>
              <w:rPr>
                <w:rFonts w:ascii="宋体" w:hAnsi="宋体" w:cs="宋体" w:eastAsia="宋体" w:hint="default"/>
                <w:sz w:val="21"/>
                <w:szCs w:val="21"/>
              </w:rPr>
              <w:t>表</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示频分双工，</w:t>
            </w:r>
            <w:r>
              <w:rPr>
                <w:rFonts w:ascii="Arial" w:hAnsi="Arial" w:cs="Arial" w:eastAsia="Arial" w:hint="default"/>
                <w:sz w:val="21"/>
                <w:szCs w:val="21"/>
              </w:rPr>
              <w:t>LTE</w:t>
            </w:r>
            <w:r>
              <w:rPr>
                <w:rFonts w:ascii="Arial" w:hAnsi="Arial" w:cs="Arial" w:eastAsia="Arial" w:hint="default"/>
                <w:spacing w:val="-3"/>
                <w:sz w:val="21"/>
                <w:szCs w:val="21"/>
              </w:rPr>
              <w:t> </w:t>
            </w:r>
            <w:r>
              <w:rPr>
                <w:rFonts w:ascii="Arial" w:hAnsi="Arial" w:cs="Arial" w:eastAsia="Arial" w:hint="default"/>
                <w:sz w:val="21"/>
                <w:szCs w:val="21"/>
              </w:rPr>
              <w:t>FDD</w:t>
            </w:r>
            <w:r>
              <w:rPr>
                <w:rFonts w:ascii="Arial" w:hAnsi="Arial" w:cs="Arial" w:eastAsia="Arial" w:hint="default"/>
                <w:spacing w:val="-6"/>
                <w:sz w:val="21"/>
                <w:szCs w:val="21"/>
              </w:rPr>
              <w:t> </w:t>
            </w:r>
            <w:r>
              <w:rPr>
                <w:rFonts w:ascii="宋体" w:hAnsi="宋体" w:cs="宋体" w:eastAsia="宋体" w:hint="default"/>
                <w:sz w:val="21"/>
                <w:szCs w:val="21"/>
              </w:rPr>
              <w:t>是</w:t>
            </w:r>
            <w:r>
              <w:rPr>
                <w:rFonts w:ascii="宋体" w:hAnsi="宋体" w:cs="宋体" w:eastAsia="宋体" w:hint="default"/>
                <w:spacing w:val="-55"/>
                <w:sz w:val="21"/>
                <w:szCs w:val="21"/>
              </w:rPr>
              <w:t> </w:t>
            </w:r>
            <w:r>
              <w:rPr>
                <w:rFonts w:ascii="Arial" w:hAnsi="Arial" w:cs="Arial" w:eastAsia="Arial" w:hint="default"/>
                <w:sz w:val="21"/>
                <w:szCs w:val="21"/>
              </w:rPr>
              <w:t>FDD</w:t>
            </w:r>
            <w:r>
              <w:rPr>
                <w:rFonts w:ascii="Arial" w:hAnsi="Arial" w:cs="Arial" w:eastAsia="Arial" w:hint="default"/>
                <w:spacing w:val="-7"/>
                <w:sz w:val="21"/>
                <w:szCs w:val="21"/>
              </w:rPr>
              <w:t> </w:t>
            </w:r>
            <w:r>
              <w:rPr>
                <w:rFonts w:ascii="宋体" w:hAnsi="宋体" w:cs="宋体" w:eastAsia="宋体" w:hint="default"/>
                <w:sz w:val="21"/>
                <w:szCs w:val="21"/>
              </w:rPr>
              <w:t>版本的</w:t>
            </w:r>
            <w:r>
              <w:rPr>
                <w:rFonts w:ascii="宋体" w:hAnsi="宋体" w:cs="宋体" w:eastAsia="宋体" w:hint="default"/>
                <w:spacing w:val="-52"/>
                <w:sz w:val="21"/>
                <w:szCs w:val="21"/>
              </w:rPr>
              <w:t> </w:t>
            </w:r>
            <w:r>
              <w:rPr>
                <w:rFonts w:ascii="Arial" w:hAnsi="Arial" w:cs="Arial" w:eastAsia="Arial" w:hint="default"/>
                <w:sz w:val="21"/>
                <w:szCs w:val="21"/>
              </w:rPr>
              <w:t>LTE</w:t>
            </w:r>
            <w:r>
              <w:rPr>
                <w:rFonts w:ascii="Arial" w:hAnsi="Arial" w:cs="Arial" w:eastAsia="Arial" w:hint="default"/>
                <w:spacing w:val="-5"/>
                <w:sz w:val="21"/>
                <w:szCs w:val="21"/>
              </w:rPr>
              <w:t> </w:t>
            </w:r>
            <w:r>
              <w:rPr>
                <w:rFonts w:ascii="宋体" w:hAnsi="宋体" w:cs="宋体" w:eastAsia="宋体" w:hint="default"/>
                <w:sz w:val="21"/>
                <w:szCs w:val="21"/>
              </w:rPr>
              <w:t>标准。</w:t>
            </w:r>
          </w:p>
        </w:tc>
      </w:tr>
      <w:tr>
        <w:trPr>
          <w:trHeight w:val="137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云计算</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“云计算” </w:t>
            </w:r>
            <w:r>
              <w:rPr>
                <w:rFonts w:ascii="Arial" w:hAnsi="Arial" w:cs="Arial" w:eastAsia="Arial" w:hint="default"/>
                <w:sz w:val="21"/>
                <w:szCs w:val="21"/>
              </w:rPr>
              <w:t>(Cloud Compting)</w:t>
            </w:r>
            <w:r>
              <w:rPr>
                <w:rFonts w:ascii="Arial" w:hAnsi="Arial" w:cs="Arial" w:eastAsia="Arial" w:hint="default"/>
                <w:spacing w:val="18"/>
                <w:sz w:val="21"/>
                <w:szCs w:val="21"/>
              </w:rPr>
              <w:t> </w:t>
            </w:r>
            <w:r>
              <w:rPr>
                <w:rFonts w:ascii="宋体" w:hAnsi="宋体" w:cs="宋体" w:eastAsia="宋体" w:hint="default"/>
                <w:sz w:val="21"/>
                <w:szCs w:val="21"/>
              </w:rPr>
              <w:t>是一种新的计算方法和商业模式。通</w:t>
            </w:r>
          </w:p>
          <w:p>
            <w:pPr>
              <w:pStyle w:val="TableParagraph"/>
              <w:spacing w:line="232" w:lineRule="auto"/>
              <w:ind w:left="103" w:right="-7"/>
              <w:jc w:val="left"/>
              <w:rPr>
                <w:rFonts w:ascii="宋体" w:hAnsi="宋体" w:cs="宋体" w:eastAsia="宋体" w:hint="default"/>
                <w:sz w:val="21"/>
                <w:szCs w:val="21"/>
              </w:rPr>
            </w:pPr>
            <w:r>
              <w:rPr>
                <w:rFonts w:ascii="宋体" w:hAnsi="宋体" w:cs="宋体" w:eastAsia="宋体" w:hint="default"/>
                <w:spacing w:val="-4"/>
                <w:sz w:val="21"/>
                <w:szCs w:val="21"/>
              </w:rPr>
              <w:t>过虚拟化等技术按照“即插即用”的方式，自助管理运算、存储等资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7"/>
                <w:sz w:val="21"/>
                <w:szCs w:val="21"/>
              </w:rPr>
              <w:t>源能力形成高效资源池，以按需分配的服务形式提供计算能力。并且，</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可以通过公众通信网络整合 </w:t>
            </w:r>
            <w:r>
              <w:rPr>
                <w:rFonts w:ascii="Arial" w:hAnsi="Arial" w:cs="Arial" w:eastAsia="Arial" w:hint="default"/>
                <w:sz w:val="21"/>
                <w:szCs w:val="21"/>
              </w:rPr>
              <w:t>IT</w:t>
            </w:r>
            <w:r>
              <w:rPr>
                <w:rFonts w:ascii="Arial" w:hAnsi="Arial" w:cs="Arial" w:eastAsia="Arial" w:hint="default"/>
                <w:spacing w:val="15"/>
                <w:sz w:val="21"/>
                <w:szCs w:val="21"/>
              </w:rPr>
              <w:t> </w:t>
            </w:r>
            <w:r>
              <w:rPr>
                <w:rFonts w:ascii="宋体" w:hAnsi="宋体" w:cs="宋体" w:eastAsia="宋体" w:hint="default"/>
                <w:sz w:val="21"/>
                <w:szCs w:val="21"/>
              </w:rPr>
              <w:t>资源和业务，向用户提供新型的业务</w:t>
            </w:r>
            <w:r>
              <w:rPr>
                <w:rFonts w:ascii="宋体" w:hAnsi="宋体" w:cs="宋体" w:eastAsia="宋体" w:hint="default"/>
                <w:w w:val="100"/>
                <w:sz w:val="21"/>
                <w:szCs w:val="21"/>
              </w:rPr>
              <w:t> </w:t>
            </w:r>
            <w:r>
              <w:rPr>
                <w:rFonts w:ascii="宋体" w:hAnsi="宋体" w:cs="宋体" w:eastAsia="宋体" w:hint="default"/>
                <w:sz w:val="21"/>
                <w:szCs w:val="21"/>
              </w:rPr>
              <w:t>产品和新的交付模式。</w:t>
            </w:r>
          </w:p>
        </w:tc>
      </w:tr>
    </w:tbl>
    <w:p>
      <w:pPr>
        <w:spacing w:after="0" w:line="232" w:lineRule="auto"/>
        <w:jc w:val="left"/>
        <w:rPr>
          <w:rFonts w:ascii="宋体" w:hAnsi="宋体" w:cs="宋体" w:eastAsia="宋体" w:hint="default"/>
          <w:sz w:val="21"/>
          <w:szCs w:val="21"/>
        </w:rPr>
        <w:sectPr>
          <w:headerReference w:type="default" r:id="rId8"/>
          <w:footerReference w:type="default" r:id="rId9"/>
          <w:pgSz w:w="11910" w:h="16840"/>
          <w:pgMar w:header="880" w:footer="1194" w:top="1120" w:bottom="1380" w:left="1660" w:right="1140"/>
          <w:pgNumType w:start="1"/>
        </w:sectPr>
      </w:pPr>
    </w:p>
    <w:p>
      <w:pPr>
        <w:spacing w:line="240" w:lineRule="auto" w:before="11"/>
        <w:rPr>
          <w:rFonts w:ascii="宋体" w:hAnsi="宋体" w:cs="宋体" w:eastAsia="宋体" w:hint="default"/>
          <w:sz w:val="29"/>
          <w:szCs w:val="29"/>
        </w:rPr>
      </w:pPr>
    </w:p>
    <w:p>
      <w:pPr>
        <w:spacing w:before="36"/>
        <w:ind w:left="138" w:right="1922" w:firstLine="0"/>
        <w:jc w:val="left"/>
        <w:rPr>
          <w:rFonts w:ascii="宋体" w:hAnsi="宋体" w:cs="宋体" w:eastAsia="宋体" w:hint="default"/>
          <w:sz w:val="21"/>
          <w:szCs w:val="21"/>
        </w:rPr>
      </w:pPr>
      <w:r>
        <w:rPr>
          <w:rFonts w:ascii="宋体" w:hAnsi="宋体" w:cs="宋体" w:eastAsia="宋体" w:hint="default"/>
          <w:b/>
          <w:bCs/>
          <w:sz w:val="21"/>
          <w:szCs w:val="21"/>
        </w:rPr>
        <w:t>一、释义（续）</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1844"/>
        <w:gridCol w:w="480"/>
        <w:gridCol w:w="6467"/>
      </w:tblGrid>
      <w:tr>
        <w:trPr>
          <w:trHeight w:val="281" w:hRule="exact"/>
        </w:trPr>
        <w:tc>
          <w:tcPr>
            <w:tcW w:w="87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常用词语释义（续）</w:t>
            </w: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沃、</w:t>
            </w:r>
            <w:r>
              <w:rPr>
                <w:rFonts w:ascii="Arial" w:hAnsi="Arial" w:cs="Arial" w:eastAsia="Arial" w:hint="default"/>
                <w:sz w:val="21"/>
                <w:szCs w:val="21"/>
              </w:rPr>
              <w:t>Wo</w:t>
            </w:r>
            <w:r>
              <w:rPr>
                <w:rFonts w:ascii="宋体" w:hAnsi="宋体" w:cs="宋体" w:eastAsia="宋体" w:hint="default"/>
                <w:sz w:val="21"/>
                <w:szCs w:val="21"/>
              </w:rPr>
              <w:t>、沃家庭</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本集团的</w:t>
            </w:r>
            <w:r>
              <w:rPr>
                <w:rFonts w:ascii="宋体" w:hAnsi="宋体" w:cs="宋体" w:eastAsia="宋体" w:hint="default"/>
                <w:spacing w:val="-52"/>
                <w:sz w:val="21"/>
                <w:szCs w:val="21"/>
              </w:rPr>
              <w:t> </w:t>
            </w:r>
            <w:r>
              <w:rPr>
                <w:rFonts w:ascii="Arial" w:hAnsi="Arial" w:cs="Arial" w:eastAsia="Arial" w:hint="default"/>
                <w:sz w:val="21"/>
                <w:szCs w:val="21"/>
              </w:rPr>
              <w:t>3G</w:t>
            </w:r>
            <w:r>
              <w:rPr>
                <w:rFonts w:ascii="宋体" w:hAnsi="宋体" w:cs="宋体" w:eastAsia="宋体" w:hint="default"/>
                <w:sz w:val="21"/>
                <w:szCs w:val="21"/>
              </w:rPr>
              <w:t>、</w:t>
            </w:r>
            <w:r>
              <w:rPr>
                <w:rFonts w:ascii="Arial" w:hAnsi="Arial" w:cs="Arial" w:eastAsia="Arial" w:hint="default"/>
                <w:sz w:val="21"/>
                <w:szCs w:val="21"/>
              </w:rPr>
              <w:t>4G</w:t>
            </w:r>
            <w:r>
              <w:rPr>
                <w:rFonts w:ascii="Arial" w:hAnsi="Arial" w:cs="Arial" w:eastAsia="Arial" w:hint="default"/>
                <w:spacing w:val="-9"/>
                <w:sz w:val="21"/>
                <w:szCs w:val="21"/>
              </w:rPr>
              <w:t> </w:t>
            </w:r>
            <w:r>
              <w:rPr>
                <w:rFonts w:ascii="宋体" w:hAnsi="宋体" w:cs="宋体" w:eastAsia="宋体" w:hint="default"/>
                <w:sz w:val="21"/>
                <w:szCs w:val="21"/>
              </w:rPr>
              <w:t>及融合业务营销品牌。</w:t>
            </w:r>
          </w:p>
        </w:tc>
      </w:tr>
      <w:tr>
        <w:trPr>
          <w:trHeight w:val="55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沃易购</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公司创建的 </w:t>
            </w:r>
            <w:r>
              <w:rPr>
                <w:rFonts w:ascii="Arial" w:hAnsi="Arial" w:cs="Arial" w:eastAsia="Arial" w:hint="default"/>
                <w:sz w:val="21"/>
                <w:szCs w:val="21"/>
              </w:rPr>
              <w:t>B2B</w:t>
            </w:r>
            <w:r>
              <w:rPr>
                <w:rFonts w:ascii="Arial" w:hAnsi="Arial" w:cs="Arial" w:eastAsia="Arial" w:hint="default"/>
                <w:spacing w:val="12"/>
                <w:sz w:val="21"/>
                <w:szCs w:val="21"/>
              </w:rPr>
              <w:t> </w:t>
            </w:r>
            <w:r>
              <w:rPr>
                <w:rFonts w:ascii="宋体" w:hAnsi="宋体" w:cs="宋体" w:eastAsia="宋体" w:hint="default"/>
                <w:sz w:val="21"/>
                <w:szCs w:val="21"/>
              </w:rPr>
              <w:t>电子商务平台品牌，“沃易购”平台是为中小渠道</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提供终端、业务、金融等一揽子解决方案的服务平台。</w:t>
            </w:r>
          </w:p>
        </w:tc>
      </w:tr>
      <w:tr>
        <w:trPr>
          <w:trHeight w:val="82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3" w:right="0"/>
              <w:jc w:val="left"/>
              <w:rPr>
                <w:rFonts w:ascii="Arial" w:hAnsi="Arial" w:cs="Arial" w:eastAsia="Arial" w:hint="default"/>
                <w:sz w:val="21"/>
                <w:szCs w:val="21"/>
              </w:rPr>
            </w:pPr>
            <w:r>
              <w:rPr>
                <w:rFonts w:ascii="Arial"/>
                <w:sz w:val="21"/>
              </w:rPr>
              <w:t>IDC</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Arial" w:hAnsi="Arial" w:cs="Arial" w:eastAsia="Arial" w:hint="default"/>
                <w:sz w:val="21"/>
                <w:szCs w:val="21"/>
              </w:rPr>
              <w:t>IDC (Internet Data Center) </w:t>
            </w:r>
            <w:r>
              <w:rPr>
                <w:rFonts w:ascii="宋体" w:hAnsi="宋体" w:cs="宋体" w:eastAsia="宋体" w:hint="default"/>
                <w:sz w:val="21"/>
                <w:szCs w:val="21"/>
              </w:rPr>
              <w:t>是基于 </w:t>
            </w:r>
            <w:r>
              <w:rPr>
                <w:rFonts w:ascii="Arial" w:hAnsi="Arial" w:cs="Arial" w:eastAsia="Arial" w:hint="default"/>
                <w:sz w:val="21"/>
                <w:szCs w:val="21"/>
              </w:rPr>
              <w:t>Internet</w:t>
            </w:r>
            <w:r>
              <w:rPr>
                <w:rFonts w:ascii="Arial" w:hAnsi="Arial" w:cs="Arial" w:eastAsia="Arial" w:hint="default"/>
                <w:spacing w:val="-19"/>
                <w:sz w:val="21"/>
                <w:szCs w:val="21"/>
              </w:rPr>
              <w:t> </w:t>
            </w:r>
            <w:r>
              <w:rPr>
                <w:rFonts w:ascii="宋体" w:hAnsi="宋体" w:cs="宋体" w:eastAsia="宋体" w:hint="default"/>
                <w:spacing w:val="-7"/>
                <w:sz w:val="21"/>
                <w:szCs w:val="21"/>
              </w:rPr>
              <w:t>网络，为集中式收集、存</w:t>
            </w:r>
          </w:p>
          <w:p>
            <w:pPr>
              <w:pStyle w:val="TableParagraph"/>
              <w:spacing w:line="272" w:lineRule="exact" w:before="19"/>
              <w:ind w:left="103" w:right="99"/>
              <w:jc w:val="left"/>
              <w:rPr>
                <w:rFonts w:ascii="宋体" w:hAnsi="宋体" w:cs="宋体" w:eastAsia="宋体" w:hint="default"/>
                <w:sz w:val="21"/>
                <w:szCs w:val="21"/>
              </w:rPr>
            </w:pPr>
            <w:r>
              <w:rPr>
                <w:rFonts w:ascii="宋体" w:hAnsi="宋体" w:cs="宋体" w:eastAsia="宋体" w:hint="default"/>
                <w:spacing w:val="-4"/>
                <w:sz w:val="21"/>
                <w:szCs w:val="21"/>
              </w:rPr>
              <w:t>储、处理和发送数据的设备提供运行维护的设施基地并提供相关的服</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务。</w:t>
            </w:r>
          </w:p>
        </w:tc>
      </w:tr>
      <w:tr>
        <w:trPr>
          <w:trHeight w:val="1099"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智慧沃家</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中国联通面向家庭客户，依托 </w:t>
            </w:r>
            <w:r>
              <w:rPr>
                <w:rFonts w:ascii="Arial" w:hAnsi="Arial" w:cs="Arial" w:eastAsia="Arial" w:hint="default"/>
                <w:sz w:val="21"/>
                <w:szCs w:val="21"/>
              </w:rPr>
              <w:t>4G/3G</w:t>
            </w:r>
            <w:r>
              <w:rPr>
                <w:rFonts w:ascii="Arial" w:hAnsi="Arial" w:cs="Arial" w:eastAsia="Arial" w:hint="default"/>
                <w:spacing w:val="2"/>
                <w:sz w:val="21"/>
                <w:szCs w:val="21"/>
              </w:rPr>
              <w:t> </w:t>
            </w:r>
            <w:r>
              <w:rPr>
                <w:rFonts w:ascii="宋体" w:hAnsi="宋体" w:cs="宋体" w:eastAsia="宋体" w:hint="default"/>
                <w:sz w:val="21"/>
                <w:szCs w:val="21"/>
              </w:rPr>
              <w:t>移动宽带与固网光纤宽带，利</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4"/>
                <w:sz w:val="21"/>
                <w:szCs w:val="21"/>
              </w:rPr>
              <w:t>用家庭互联网、物联网、云计算和大数据等新一代信息技术，以融合</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sz w:val="21"/>
                <w:szCs w:val="21"/>
              </w:rPr>
              <w:t>接入、信息共享、应用服务和交互控制为业务特性的家庭客户通信应</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用解决方案。</w:t>
            </w:r>
          </w:p>
        </w:tc>
      </w:tr>
      <w:tr>
        <w:trPr>
          <w:trHeight w:val="82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3" w:right="0"/>
              <w:jc w:val="left"/>
              <w:rPr>
                <w:rFonts w:ascii="Arial" w:hAnsi="Arial" w:cs="Arial" w:eastAsia="Arial" w:hint="default"/>
                <w:sz w:val="21"/>
                <w:szCs w:val="21"/>
              </w:rPr>
            </w:pPr>
            <w:r>
              <w:rPr>
                <w:rFonts w:ascii="宋体" w:hAnsi="宋体" w:cs="宋体" w:eastAsia="宋体" w:hint="default"/>
                <w:sz w:val="21"/>
                <w:szCs w:val="21"/>
              </w:rPr>
              <w:t>双</w:t>
            </w:r>
            <w:r>
              <w:rPr>
                <w:rFonts w:ascii="宋体" w:hAnsi="宋体" w:cs="宋体" w:eastAsia="宋体" w:hint="default"/>
                <w:spacing w:val="-51"/>
                <w:sz w:val="21"/>
                <w:szCs w:val="21"/>
              </w:rPr>
              <w:t> </w:t>
            </w:r>
            <w:r>
              <w:rPr>
                <w:rFonts w:ascii="Arial" w:hAnsi="Arial" w:cs="Arial" w:eastAsia="Arial" w:hint="default"/>
                <w:sz w:val="21"/>
                <w:szCs w:val="21"/>
              </w:rPr>
              <w:t>4G</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中国联通推出的</w:t>
            </w:r>
            <w:r>
              <w:rPr>
                <w:rFonts w:ascii="宋体" w:hAnsi="宋体" w:cs="宋体" w:eastAsia="宋体" w:hint="default"/>
                <w:spacing w:val="-60"/>
                <w:sz w:val="21"/>
                <w:szCs w:val="21"/>
              </w:rPr>
              <w:t> </w:t>
            </w:r>
            <w:r>
              <w:rPr>
                <w:rFonts w:ascii="Arial" w:hAnsi="Arial" w:cs="Arial" w:eastAsia="Arial" w:hint="default"/>
                <w:sz w:val="21"/>
                <w:szCs w:val="21"/>
              </w:rPr>
              <w:t>4G</w:t>
            </w:r>
            <w:r>
              <w:rPr>
                <w:rFonts w:ascii="Arial" w:hAnsi="Arial" w:cs="Arial" w:eastAsia="Arial" w:hint="default"/>
                <w:spacing w:val="-14"/>
                <w:sz w:val="21"/>
                <w:szCs w:val="21"/>
              </w:rPr>
              <w:t> </w:t>
            </w:r>
            <w:r>
              <w:rPr>
                <w:rFonts w:ascii="宋体" w:hAnsi="宋体" w:cs="宋体" w:eastAsia="宋体" w:hint="default"/>
                <w:sz w:val="21"/>
                <w:szCs w:val="21"/>
              </w:rPr>
              <w:t>定制终端，为四模（</w:t>
            </w:r>
            <w:r>
              <w:rPr>
                <w:rFonts w:ascii="Arial" w:hAnsi="Arial" w:cs="Arial" w:eastAsia="Arial" w:hint="default"/>
                <w:sz w:val="21"/>
                <w:szCs w:val="21"/>
              </w:rPr>
              <w:t>FDD/TDD/WCDMA/GSM</w:t>
            </w:r>
            <w:r>
              <w:rPr>
                <w:rFonts w:ascii="宋体" w:hAnsi="宋体" w:cs="宋体" w:eastAsia="宋体" w:hint="default"/>
                <w:sz w:val="21"/>
                <w:szCs w:val="21"/>
              </w:rPr>
              <w:t>）</w:t>
            </w:r>
          </w:p>
          <w:p>
            <w:pPr>
              <w:pStyle w:val="TableParagraph"/>
              <w:spacing w:line="274" w:lineRule="exact" w:before="16"/>
              <w:ind w:left="103" w:right="118"/>
              <w:jc w:val="left"/>
              <w:rPr>
                <w:rFonts w:ascii="宋体" w:hAnsi="宋体" w:cs="宋体" w:eastAsia="宋体" w:hint="default"/>
                <w:sz w:val="21"/>
                <w:szCs w:val="21"/>
              </w:rPr>
            </w:pPr>
            <w:r>
              <w:rPr>
                <w:rFonts w:ascii="宋体" w:hAnsi="宋体" w:cs="宋体" w:eastAsia="宋体" w:hint="default"/>
                <w:spacing w:val="-2"/>
                <w:sz w:val="21"/>
                <w:szCs w:val="21"/>
              </w:rPr>
              <w:t>或五模（</w:t>
            </w:r>
            <w:r>
              <w:rPr>
                <w:rFonts w:ascii="Arial" w:hAnsi="Arial" w:cs="Arial" w:eastAsia="Arial" w:hint="default"/>
                <w:spacing w:val="-2"/>
                <w:sz w:val="21"/>
                <w:szCs w:val="21"/>
              </w:rPr>
              <w:t>FDD/TDD/WCDMA/TD-SCDMA/GSM</w:t>
            </w:r>
            <w:r>
              <w:rPr>
                <w:rFonts w:ascii="宋体" w:hAnsi="宋体" w:cs="宋体" w:eastAsia="宋体" w:hint="default"/>
                <w:spacing w:val="-2"/>
                <w:sz w:val="21"/>
                <w:szCs w:val="21"/>
              </w:rPr>
              <w:t>）智能终端，同时支</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持</w:t>
            </w:r>
            <w:r>
              <w:rPr>
                <w:rFonts w:ascii="宋体" w:hAnsi="宋体" w:cs="宋体" w:eastAsia="宋体" w:hint="default"/>
                <w:spacing w:val="-53"/>
                <w:sz w:val="21"/>
                <w:szCs w:val="21"/>
              </w:rPr>
              <w:t> </w:t>
            </w:r>
            <w:r>
              <w:rPr>
                <w:rFonts w:ascii="Arial" w:hAnsi="Arial" w:cs="Arial" w:eastAsia="Arial" w:hint="default"/>
                <w:sz w:val="21"/>
                <w:szCs w:val="21"/>
              </w:rPr>
              <w:t>LTE</w:t>
            </w:r>
            <w:r>
              <w:rPr>
                <w:rFonts w:ascii="Arial" w:hAnsi="Arial" w:cs="Arial" w:eastAsia="Arial" w:hint="default"/>
                <w:spacing w:val="-1"/>
                <w:sz w:val="21"/>
                <w:szCs w:val="21"/>
              </w:rPr>
              <w:t> </w:t>
            </w:r>
            <w:r>
              <w:rPr>
                <w:rFonts w:ascii="Arial" w:hAnsi="Arial" w:cs="Arial" w:eastAsia="Arial" w:hint="default"/>
                <w:sz w:val="21"/>
                <w:szCs w:val="21"/>
              </w:rPr>
              <w:t>FDD</w:t>
            </w:r>
            <w:r>
              <w:rPr>
                <w:rFonts w:ascii="Arial" w:hAnsi="Arial" w:cs="Arial" w:eastAsia="Arial" w:hint="default"/>
                <w:spacing w:val="-7"/>
                <w:sz w:val="21"/>
                <w:szCs w:val="21"/>
              </w:rPr>
              <w:t> </w:t>
            </w:r>
            <w:r>
              <w:rPr>
                <w:rFonts w:ascii="宋体" w:hAnsi="宋体" w:cs="宋体" w:eastAsia="宋体" w:hint="default"/>
                <w:sz w:val="21"/>
                <w:szCs w:val="21"/>
              </w:rPr>
              <w:t>与</w:t>
            </w:r>
            <w:r>
              <w:rPr>
                <w:rFonts w:ascii="宋体" w:hAnsi="宋体" w:cs="宋体" w:eastAsia="宋体" w:hint="default"/>
                <w:spacing w:val="-52"/>
                <w:sz w:val="21"/>
                <w:szCs w:val="21"/>
              </w:rPr>
              <w:t> </w:t>
            </w:r>
            <w:r>
              <w:rPr>
                <w:rFonts w:ascii="Arial" w:hAnsi="Arial" w:cs="Arial" w:eastAsia="Arial" w:hint="default"/>
                <w:sz w:val="21"/>
                <w:szCs w:val="21"/>
              </w:rPr>
              <w:t>TD-LTE</w:t>
            </w:r>
            <w:r>
              <w:rPr>
                <w:rFonts w:ascii="Arial" w:hAnsi="Arial" w:cs="Arial" w:eastAsia="Arial" w:hint="default"/>
                <w:spacing w:val="-5"/>
                <w:sz w:val="21"/>
                <w:szCs w:val="21"/>
              </w:rPr>
              <w:t> </w:t>
            </w:r>
            <w:r>
              <w:rPr>
                <w:rFonts w:ascii="宋体" w:hAnsi="宋体" w:cs="宋体" w:eastAsia="宋体" w:hint="default"/>
                <w:sz w:val="21"/>
                <w:szCs w:val="21"/>
              </w:rPr>
              <w:t>两种</w:t>
            </w:r>
            <w:r>
              <w:rPr>
                <w:rFonts w:ascii="宋体" w:hAnsi="宋体" w:cs="宋体" w:eastAsia="宋体" w:hint="default"/>
                <w:spacing w:val="-53"/>
                <w:sz w:val="21"/>
                <w:szCs w:val="21"/>
              </w:rPr>
              <w:t> </w:t>
            </w:r>
            <w:r>
              <w:rPr>
                <w:rFonts w:ascii="Arial" w:hAnsi="Arial" w:cs="Arial" w:eastAsia="Arial" w:hint="default"/>
                <w:sz w:val="21"/>
                <w:szCs w:val="21"/>
              </w:rPr>
              <w:t>4G</w:t>
            </w:r>
            <w:r>
              <w:rPr>
                <w:rFonts w:ascii="Arial" w:hAnsi="Arial" w:cs="Arial" w:eastAsia="Arial" w:hint="default"/>
                <w:spacing w:val="-10"/>
                <w:sz w:val="21"/>
                <w:szCs w:val="21"/>
              </w:rPr>
              <w:t> </w:t>
            </w:r>
            <w:r>
              <w:rPr>
                <w:rFonts w:ascii="宋体" w:hAnsi="宋体" w:cs="宋体" w:eastAsia="宋体" w:hint="default"/>
                <w:sz w:val="21"/>
                <w:szCs w:val="21"/>
              </w:rPr>
              <w:t>网络制式。</w:t>
            </w:r>
          </w:p>
        </w:tc>
      </w:tr>
      <w:tr>
        <w:trPr>
          <w:trHeight w:val="1099"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双百兆</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5"/>
              <w:jc w:val="left"/>
              <w:rPr>
                <w:rFonts w:ascii="宋体" w:hAnsi="宋体" w:cs="宋体" w:eastAsia="宋体" w:hint="default"/>
                <w:sz w:val="21"/>
                <w:szCs w:val="21"/>
              </w:rPr>
            </w:pPr>
            <w:r>
              <w:rPr>
                <w:rFonts w:ascii="宋体" w:hAnsi="宋体" w:cs="宋体" w:eastAsia="宋体" w:hint="default"/>
                <w:sz w:val="21"/>
                <w:szCs w:val="21"/>
              </w:rPr>
              <w:t>国内使用的两种 </w:t>
            </w:r>
            <w:r>
              <w:rPr>
                <w:rFonts w:ascii="Arial" w:hAnsi="Arial" w:cs="Arial" w:eastAsia="Arial" w:hint="default"/>
                <w:sz w:val="21"/>
                <w:szCs w:val="21"/>
              </w:rPr>
              <w:t>4G </w:t>
            </w:r>
            <w:r>
              <w:rPr>
                <w:rFonts w:ascii="宋体" w:hAnsi="宋体" w:cs="宋体" w:eastAsia="宋体" w:hint="default"/>
                <w:sz w:val="21"/>
                <w:szCs w:val="21"/>
              </w:rPr>
              <w:t>网络制式，分别是 </w:t>
            </w:r>
            <w:r>
              <w:rPr>
                <w:rFonts w:ascii="Arial" w:hAnsi="Arial" w:cs="Arial" w:eastAsia="Arial" w:hint="default"/>
                <w:sz w:val="21"/>
                <w:szCs w:val="21"/>
              </w:rPr>
              <w:t>LTE FDD </w:t>
            </w:r>
            <w:r>
              <w:rPr>
                <w:rFonts w:ascii="宋体" w:hAnsi="宋体" w:cs="宋体" w:eastAsia="宋体" w:hint="default"/>
                <w:sz w:val="21"/>
                <w:szCs w:val="21"/>
              </w:rPr>
              <w:t>和</w:t>
            </w:r>
            <w:r>
              <w:rPr>
                <w:rFonts w:ascii="宋体" w:hAnsi="宋体" w:cs="宋体" w:eastAsia="宋体" w:hint="default"/>
                <w:spacing w:val="-71"/>
                <w:sz w:val="21"/>
                <w:szCs w:val="21"/>
              </w:rPr>
              <w:t> </w:t>
            </w:r>
            <w:r>
              <w:rPr>
                <w:rFonts w:ascii="Arial" w:hAnsi="Arial" w:cs="Arial" w:eastAsia="Arial" w:hint="default"/>
                <w:sz w:val="21"/>
                <w:szCs w:val="21"/>
              </w:rPr>
              <w:t>TD-LTE</w:t>
            </w:r>
            <w:r>
              <w:rPr>
                <w:rFonts w:ascii="宋体" w:hAnsi="宋体" w:cs="宋体" w:eastAsia="宋体" w:hint="default"/>
                <w:sz w:val="21"/>
                <w:szCs w:val="21"/>
              </w:rPr>
              <w:t>，其中</w:t>
            </w:r>
          </w:p>
          <w:p>
            <w:pPr>
              <w:pStyle w:val="TableParagraph"/>
              <w:spacing w:line="225" w:lineRule="auto" w:before="6"/>
              <w:ind w:left="103" w:right="-5"/>
              <w:jc w:val="left"/>
              <w:rPr>
                <w:rFonts w:ascii="宋体" w:hAnsi="宋体" w:cs="宋体" w:eastAsia="宋体" w:hint="default"/>
                <w:sz w:val="21"/>
                <w:szCs w:val="21"/>
              </w:rPr>
            </w:pPr>
            <w:r>
              <w:rPr>
                <w:rFonts w:ascii="Arial" w:hAnsi="Arial" w:cs="Arial" w:eastAsia="Arial" w:hint="default"/>
                <w:spacing w:val="-1"/>
                <w:w w:val="100"/>
                <w:sz w:val="21"/>
                <w:szCs w:val="21"/>
              </w:rPr>
              <w:t>LTE</w:t>
            </w:r>
            <w:r>
              <w:rPr>
                <w:rFonts w:ascii="Arial" w:hAnsi="Arial" w:cs="Arial" w:eastAsia="Arial" w:hint="default"/>
                <w:spacing w:val="-4"/>
                <w:w w:val="100"/>
                <w:sz w:val="21"/>
                <w:szCs w:val="21"/>
              </w:rPr>
              <w:t> </w:t>
            </w:r>
            <w:r>
              <w:rPr>
                <w:rFonts w:ascii="Arial" w:hAnsi="Arial" w:cs="Arial" w:eastAsia="Arial" w:hint="default"/>
                <w:spacing w:val="-1"/>
                <w:w w:val="100"/>
                <w:sz w:val="21"/>
                <w:szCs w:val="21"/>
              </w:rPr>
              <w:t>FDD</w:t>
            </w:r>
            <w:r>
              <w:rPr>
                <w:rFonts w:ascii="Arial" w:hAnsi="Arial" w:cs="Arial" w:eastAsia="Arial" w:hint="default"/>
                <w:spacing w:val="-12"/>
                <w:w w:val="100"/>
                <w:sz w:val="21"/>
                <w:szCs w:val="21"/>
              </w:rPr>
              <w:t> </w:t>
            </w:r>
            <w:r>
              <w:rPr>
                <w:rFonts w:ascii="宋体" w:hAnsi="宋体" w:cs="宋体" w:eastAsia="宋体" w:hint="default"/>
                <w:spacing w:val="-1"/>
                <w:w w:val="100"/>
                <w:sz w:val="21"/>
                <w:szCs w:val="21"/>
              </w:rPr>
              <w:t>的峰值速率为</w:t>
            </w:r>
            <w:r>
              <w:rPr>
                <w:rFonts w:ascii="宋体" w:hAnsi="宋体" w:cs="宋体" w:eastAsia="宋体" w:hint="default"/>
                <w:spacing w:val="-59"/>
                <w:w w:val="100"/>
                <w:sz w:val="21"/>
                <w:szCs w:val="21"/>
              </w:rPr>
              <w:t> </w:t>
            </w:r>
            <w:r>
              <w:rPr>
                <w:rFonts w:ascii="Arial" w:hAnsi="Arial" w:cs="Arial" w:eastAsia="Arial" w:hint="default"/>
                <w:spacing w:val="-9"/>
                <w:w w:val="100"/>
                <w:sz w:val="21"/>
                <w:szCs w:val="21"/>
              </w:rPr>
              <w:t>150Mbps</w:t>
            </w:r>
            <w:r>
              <w:rPr>
                <w:rFonts w:ascii="宋体" w:hAnsi="宋体" w:cs="宋体" w:eastAsia="宋体" w:hint="default"/>
                <w:spacing w:val="-9"/>
                <w:w w:val="100"/>
                <w:sz w:val="21"/>
                <w:szCs w:val="21"/>
              </w:rPr>
              <w:t>，</w:t>
            </w:r>
            <w:r>
              <w:rPr>
                <w:rFonts w:ascii="Arial" w:hAnsi="Arial" w:cs="Arial" w:eastAsia="Arial" w:hint="default"/>
                <w:spacing w:val="-9"/>
                <w:w w:val="100"/>
                <w:sz w:val="21"/>
                <w:szCs w:val="21"/>
              </w:rPr>
              <w:t>TD-LTE</w:t>
            </w:r>
            <w:r>
              <w:rPr>
                <w:rFonts w:ascii="Arial" w:hAnsi="Arial" w:cs="Arial" w:eastAsia="Arial" w:hint="default"/>
                <w:spacing w:val="-12"/>
                <w:w w:val="100"/>
                <w:sz w:val="21"/>
                <w:szCs w:val="21"/>
              </w:rPr>
              <w:t> </w:t>
            </w:r>
            <w:r>
              <w:rPr>
                <w:rFonts w:ascii="宋体" w:hAnsi="宋体" w:cs="宋体" w:eastAsia="宋体" w:hint="default"/>
                <w:spacing w:val="-1"/>
                <w:w w:val="100"/>
                <w:sz w:val="21"/>
                <w:szCs w:val="21"/>
              </w:rPr>
              <w:t>的峰值速率为</w:t>
            </w:r>
            <w:r>
              <w:rPr>
                <w:rFonts w:ascii="宋体" w:hAnsi="宋体" w:cs="宋体" w:eastAsia="宋体" w:hint="default"/>
                <w:spacing w:val="-59"/>
                <w:w w:val="100"/>
                <w:sz w:val="21"/>
                <w:szCs w:val="21"/>
              </w:rPr>
              <w:t> </w:t>
            </w:r>
            <w:r>
              <w:rPr>
                <w:rFonts w:ascii="Arial" w:hAnsi="Arial" w:cs="Arial" w:eastAsia="Arial" w:hint="default"/>
                <w:spacing w:val="-1"/>
                <w:w w:val="100"/>
                <w:sz w:val="21"/>
                <w:szCs w:val="21"/>
              </w:rPr>
              <w:t>100Mbps</w:t>
            </w:r>
            <w:r>
              <w:rPr>
                <w:rFonts w:ascii="宋体" w:hAnsi="宋体" w:cs="宋体" w:eastAsia="宋体" w:hint="default"/>
                <w:spacing w:val="-1"/>
                <w:w w:val="100"/>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中国联通</w:t>
            </w:r>
            <w:r>
              <w:rPr>
                <w:rFonts w:ascii="宋体" w:hAnsi="宋体" w:cs="宋体" w:eastAsia="宋体" w:hint="default"/>
                <w:spacing w:val="-41"/>
                <w:sz w:val="21"/>
                <w:szCs w:val="21"/>
              </w:rPr>
              <w:t> </w:t>
            </w:r>
            <w:r>
              <w:rPr>
                <w:rFonts w:ascii="Arial" w:hAnsi="Arial" w:cs="Arial" w:eastAsia="Arial" w:hint="default"/>
                <w:sz w:val="21"/>
                <w:szCs w:val="21"/>
              </w:rPr>
              <w:t>4G</w:t>
            </w:r>
            <w:r>
              <w:rPr>
                <w:rFonts w:ascii="Arial" w:hAnsi="Arial" w:cs="Arial" w:eastAsia="Arial" w:hint="default"/>
                <w:spacing w:val="1"/>
                <w:sz w:val="21"/>
                <w:szCs w:val="21"/>
              </w:rPr>
              <w:t> </w:t>
            </w:r>
            <w:r>
              <w:rPr>
                <w:rFonts w:ascii="宋体" w:hAnsi="宋体" w:cs="宋体" w:eastAsia="宋体" w:hint="default"/>
                <w:spacing w:val="-3"/>
                <w:sz w:val="21"/>
                <w:szCs w:val="21"/>
              </w:rPr>
              <w:t>采用混合组网模式是一种完全开放的组网方式，用户既</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能用</w:t>
            </w:r>
            <w:r>
              <w:rPr>
                <w:rFonts w:ascii="宋体" w:hAnsi="宋体" w:cs="宋体" w:eastAsia="宋体" w:hint="default"/>
                <w:spacing w:val="-53"/>
                <w:sz w:val="21"/>
                <w:szCs w:val="21"/>
              </w:rPr>
              <w:t> </w:t>
            </w:r>
            <w:r>
              <w:rPr>
                <w:rFonts w:ascii="Arial" w:hAnsi="Arial" w:cs="Arial" w:eastAsia="Arial" w:hint="default"/>
                <w:sz w:val="21"/>
                <w:szCs w:val="21"/>
              </w:rPr>
              <w:t>LTE</w:t>
            </w:r>
            <w:r>
              <w:rPr>
                <w:rFonts w:ascii="Arial" w:hAnsi="Arial" w:cs="Arial" w:eastAsia="Arial" w:hint="default"/>
                <w:spacing w:val="-1"/>
                <w:sz w:val="21"/>
                <w:szCs w:val="21"/>
              </w:rPr>
              <w:t> </w:t>
            </w:r>
            <w:r>
              <w:rPr>
                <w:rFonts w:ascii="Arial" w:hAnsi="Arial" w:cs="Arial" w:eastAsia="Arial" w:hint="default"/>
                <w:sz w:val="21"/>
                <w:szCs w:val="21"/>
              </w:rPr>
              <w:t>FDD</w:t>
            </w:r>
            <w:r>
              <w:rPr>
                <w:rFonts w:ascii="Arial" w:hAnsi="Arial" w:cs="Arial" w:eastAsia="Arial" w:hint="default"/>
                <w:spacing w:val="-4"/>
                <w:sz w:val="21"/>
                <w:szCs w:val="21"/>
              </w:rPr>
              <w:t> </w:t>
            </w:r>
            <w:r>
              <w:rPr>
                <w:rFonts w:ascii="宋体" w:hAnsi="宋体" w:cs="宋体" w:eastAsia="宋体" w:hint="default"/>
                <w:sz w:val="21"/>
                <w:szCs w:val="21"/>
              </w:rPr>
              <w:t>也能用</w:t>
            </w:r>
            <w:r>
              <w:rPr>
                <w:rFonts w:ascii="宋体" w:hAnsi="宋体" w:cs="宋体" w:eastAsia="宋体" w:hint="default"/>
                <w:spacing w:val="-55"/>
                <w:sz w:val="21"/>
                <w:szCs w:val="21"/>
              </w:rPr>
              <w:t> </w:t>
            </w:r>
            <w:r>
              <w:rPr>
                <w:rFonts w:ascii="Arial" w:hAnsi="Arial" w:cs="Arial" w:eastAsia="Arial" w:hint="default"/>
                <w:sz w:val="21"/>
                <w:szCs w:val="21"/>
              </w:rPr>
              <w:t>TD LTE</w:t>
            </w:r>
            <w:r>
              <w:rPr>
                <w:rFonts w:ascii="Arial" w:hAnsi="Arial" w:cs="Arial" w:eastAsia="Arial" w:hint="default"/>
                <w:spacing w:val="-5"/>
                <w:sz w:val="21"/>
                <w:szCs w:val="21"/>
              </w:rPr>
              <w:t> </w:t>
            </w:r>
            <w:r>
              <w:rPr>
                <w:rFonts w:ascii="宋体" w:hAnsi="宋体" w:cs="宋体" w:eastAsia="宋体" w:hint="default"/>
                <w:sz w:val="21"/>
                <w:szCs w:val="21"/>
              </w:rPr>
              <w:t>的</w:t>
            </w:r>
            <w:r>
              <w:rPr>
                <w:rFonts w:ascii="宋体" w:hAnsi="宋体" w:cs="宋体" w:eastAsia="宋体" w:hint="default"/>
                <w:spacing w:val="-55"/>
                <w:sz w:val="21"/>
                <w:szCs w:val="21"/>
              </w:rPr>
              <w:t> </w:t>
            </w:r>
            <w:r>
              <w:rPr>
                <w:rFonts w:ascii="Arial" w:hAnsi="Arial" w:cs="Arial" w:eastAsia="Arial" w:hint="default"/>
                <w:sz w:val="21"/>
                <w:szCs w:val="21"/>
              </w:rPr>
              <w:t>4G</w:t>
            </w:r>
            <w:r>
              <w:rPr>
                <w:rFonts w:ascii="Arial" w:hAnsi="Arial" w:cs="Arial" w:eastAsia="Arial" w:hint="default"/>
                <w:spacing w:val="-7"/>
                <w:sz w:val="21"/>
                <w:szCs w:val="21"/>
              </w:rPr>
              <w:t> </w:t>
            </w:r>
            <w:r>
              <w:rPr>
                <w:rFonts w:ascii="宋体" w:hAnsi="宋体" w:cs="宋体" w:eastAsia="宋体" w:hint="default"/>
                <w:sz w:val="21"/>
                <w:szCs w:val="21"/>
              </w:rPr>
              <w:t>网络。</w:t>
            </w: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营改增</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营业税改征增值税</w:t>
            </w:r>
          </w:p>
        </w:tc>
      </w:tr>
      <w:tr>
        <w:trPr>
          <w:trHeight w:val="164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7"/>
              <w:ind w:left="103" w:right="0"/>
              <w:jc w:val="left"/>
              <w:rPr>
                <w:rFonts w:ascii="Arial" w:hAnsi="Arial" w:cs="Arial" w:eastAsia="Arial" w:hint="default"/>
                <w:sz w:val="21"/>
                <w:szCs w:val="21"/>
              </w:rPr>
            </w:pPr>
            <w:r>
              <w:rPr>
                <w:rFonts w:ascii="Arial"/>
                <w:sz w:val="21"/>
              </w:rPr>
              <w:t>ICT</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Arial" w:hAnsi="Arial" w:cs="Arial" w:eastAsia="Arial" w:hint="default"/>
                <w:sz w:val="21"/>
                <w:szCs w:val="21"/>
              </w:rPr>
              <w:t>ICT (Information Communication Technology)</w:t>
            </w:r>
            <w:r>
              <w:rPr>
                <w:rFonts w:ascii="Arial" w:hAnsi="Arial" w:cs="Arial" w:eastAsia="Arial" w:hint="default"/>
                <w:spacing w:val="37"/>
                <w:sz w:val="21"/>
                <w:szCs w:val="21"/>
              </w:rPr>
              <w:t> </w:t>
            </w:r>
            <w:r>
              <w:rPr>
                <w:rFonts w:ascii="宋体" w:hAnsi="宋体" w:cs="宋体" w:eastAsia="宋体" w:hint="default"/>
                <w:sz w:val="21"/>
                <w:szCs w:val="21"/>
              </w:rPr>
              <w:t>是信息、通信和技术</w:t>
            </w:r>
          </w:p>
          <w:p>
            <w:pPr>
              <w:pStyle w:val="TableParagraph"/>
              <w:spacing w:line="228" w:lineRule="auto" w:before="4"/>
              <w:ind w:left="103" w:right="98"/>
              <w:jc w:val="both"/>
              <w:rPr>
                <w:rFonts w:ascii="宋体" w:hAnsi="宋体" w:cs="宋体" w:eastAsia="宋体" w:hint="default"/>
                <w:sz w:val="21"/>
                <w:szCs w:val="21"/>
              </w:rPr>
            </w:pPr>
            <w:r>
              <w:rPr>
                <w:rFonts w:ascii="宋体" w:hAnsi="宋体" w:cs="宋体" w:eastAsia="宋体" w:hint="default"/>
                <w:spacing w:val="-4"/>
                <w:sz w:val="21"/>
                <w:szCs w:val="21"/>
              </w:rPr>
              <w:t>三个英文单词的词头组合。它是信息技术与通信技术相融合而形成的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6"/>
                <w:sz w:val="21"/>
                <w:szCs w:val="21"/>
              </w:rPr>
              <w:t>一个新的概念和新的技术领域。目前更多地把</w:t>
            </w:r>
            <w:r>
              <w:rPr>
                <w:rFonts w:ascii="宋体" w:hAnsi="宋体" w:cs="宋体" w:eastAsia="宋体" w:hint="default"/>
                <w:spacing w:val="-35"/>
                <w:sz w:val="21"/>
                <w:szCs w:val="21"/>
              </w:rPr>
              <w:t> </w:t>
            </w:r>
            <w:r>
              <w:rPr>
                <w:rFonts w:ascii="Arial" w:hAnsi="Arial" w:cs="Arial" w:eastAsia="Arial" w:hint="default"/>
                <w:sz w:val="21"/>
                <w:szCs w:val="21"/>
              </w:rPr>
              <w:t>ICT</w:t>
            </w:r>
            <w:r>
              <w:rPr>
                <w:rFonts w:ascii="Arial" w:hAnsi="Arial" w:cs="Arial" w:eastAsia="Arial" w:hint="default"/>
                <w:spacing w:val="8"/>
                <w:sz w:val="21"/>
                <w:szCs w:val="21"/>
              </w:rPr>
              <w:t> </w:t>
            </w:r>
            <w:r>
              <w:rPr>
                <w:rFonts w:ascii="宋体" w:hAnsi="宋体" w:cs="宋体" w:eastAsia="宋体" w:hint="default"/>
                <w:sz w:val="21"/>
                <w:szCs w:val="21"/>
              </w:rPr>
              <w:t>作为一种向客户提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供的服务，这种服务是</w:t>
            </w:r>
            <w:r>
              <w:rPr>
                <w:rFonts w:ascii="宋体" w:hAnsi="宋体" w:cs="宋体" w:eastAsia="宋体" w:hint="default"/>
                <w:spacing w:val="-53"/>
                <w:sz w:val="21"/>
                <w:szCs w:val="21"/>
              </w:rPr>
              <w:t> </w:t>
            </w:r>
            <w:r>
              <w:rPr>
                <w:rFonts w:ascii="Arial" w:hAnsi="Arial" w:cs="Arial" w:eastAsia="Arial" w:hint="default"/>
                <w:sz w:val="21"/>
                <w:szCs w:val="21"/>
              </w:rPr>
              <w:t>IT</w:t>
            </w:r>
            <w:r>
              <w:rPr>
                <w:rFonts w:ascii="宋体" w:hAnsi="宋体" w:cs="宋体" w:eastAsia="宋体" w:hint="default"/>
                <w:sz w:val="21"/>
                <w:szCs w:val="21"/>
              </w:rPr>
              <w:t>（信息业）与</w:t>
            </w:r>
            <w:r>
              <w:rPr>
                <w:rFonts w:ascii="宋体" w:hAnsi="宋体" w:cs="宋体" w:eastAsia="宋体" w:hint="default"/>
                <w:spacing w:val="-55"/>
                <w:sz w:val="21"/>
                <w:szCs w:val="21"/>
              </w:rPr>
              <w:t> </w:t>
            </w:r>
            <w:r>
              <w:rPr>
                <w:rFonts w:ascii="Arial" w:hAnsi="Arial" w:cs="Arial" w:eastAsia="Arial" w:hint="default"/>
                <w:sz w:val="21"/>
                <w:szCs w:val="21"/>
              </w:rPr>
              <w:t>CT</w:t>
            </w:r>
            <w:r>
              <w:rPr>
                <w:rFonts w:ascii="宋体" w:hAnsi="宋体" w:cs="宋体" w:eastAsia="宋体" w:hint="default"/>
                <w:sz w:val="21"/>
                <w:szCs w:val="21"/>
              </w:rPr>
              <w:t>（通信业）两种服务的结</w:t>
            </w:r>
            <w:r>
              <w:rPr>
                <w:rFonts w:ascii="宋体" w:hAnsi="宋体" w:cs="宋体" w:eastAsia="宋体" w:hint="default"/>
                <w:w w:val="100"/>
                <w:sz w:val="21"/>
                <w:szCs w:val="21"/>
              </w:rPr>
              <w:t> </w:t>
            </w:r>
            <w:r>
              <w:rPr>
                <w:rFonts w:ascii="宋体" w:hAnsi="宋体" w:cs="宋体" w:eastAsia="宋体" w:hint="default"/>
                <w:spacing w:val="-3"/>
                <w:sz w:val="21"/>
                <w:szCs w:val="21"/>
              </w:rPr>
              <w:t>合和交融，通信业、电子信息产业、互联网、传媒业都将融合在</w:t>
            </w:r>
            <w:r>
              <w:rPr>
                <w:rFonts w:ascii="宋体" w:hAnsi="宋体" w:cs="宋体" w:eastAsia="宋体" w:hint="default"/>
                <w:spacing w:val="-16"/>
                <w:sz w:val="21"/>
                <w:szCs w:val="21"/>
              </w:rPr>
              <w:t> </w:t>
            </w:r>
            <w:r>
              <w:rPr>
                <w:rFonts w:ascii="Arial" w:hAnsi="Arial" w:cs="Arial" w:eastAsia="Arial" w:hint="default"/>
                <w:sz w:val="21"/>
                <w:szCs w:val="21"/>
              </w:rPr>
              <w:t>ICT</w:t>
            </w:r>
            <w:r>
              <w:rPr>
                <w:rFonts w:ascii="Arial" w:hAnsi="Arial" w:cs="Arial" w:eastAsia="Arial" w:hint="default"/>
                <w:spacing w:val="-42"/>
                <w:sz w:val="21"/>
                <w:szCs w:val="21"/>
              </w:rPr>
              <w:t> </w:t>
            </w:r>
            <w:r>
              <w:rPr>
                <w:rFonts w:ascii="Arial" w:hAnsi="Arial" w:cs="Arial" w:eastAsia="Arial" w:hint="default"/>
                <w:spacing w:val="-42"/>
                <w:sz w:val="21"/>
                <w:szCs w:val="21"/>
              </w:rPr>
            </w:r>
            <w:r>
              <w:rPr>
                <w:rFonts w:ascii="宋体" w:hAnsi="宋体" w:cs="宋体" w:eastAsia="宋体" w:hint="default"/>
                <w:sz w:val="21"/>
                <w:szCs w:val="21"/>
              </w:rPr>
              <w:t>的范围内。</w:t>
            </w: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Arial" w:hAnsi="Arial" w:cs="Arial" w:eastAsia="Arial" w:hint="default"/>
                <w:sz w:val="21"/>
                <w:szCs w:val="21"/>
              </w:rPr>
            </w:pPr>
            <w:r>
              <w:rPr>
                <w:rFonts w:ascii="Arial"/>
                <w:sz w:val="21"/>
              </w:rPr>
              <w:t>cBSS</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Arial" w:hAnsi="Arial" w:cs="Arial" w:eastAsia="Arial" w:hint="default"/>
                <w:sz w:val="21"/>
                <w:szCs w:val="21"/>
              </w:rPr>
            </w:pPr>
            <w:r>
              <w:rPr>
                <w:rFonts w:ascii="宋体" w:hAnsi="宋体" w:cs="宋体" w:eastAsia="宋体" w:hint="default"/>
                <w:sz w:val="21"/>
                <w:szCs w:val="21"/>
              </w:rPr>
              <w:t>集中业务支撑系统</w:t>
            </w:r>
            <w:r>
              <w:rPr>
                <w:rFonts w:ascii="Arial" w:hAnsi="Arial" w:cs="Arial" w:eastAsia="Arial" w:hint="default"/>
                <w:sz w:val="21"/>
                <w:szCs w:val="21"/>
              </w:rPr>
              <w:t>(Central </w:t>
            </w:r>
            <w:r>
              <w:rPr>
                <w:rFonts w:ascii="Arial" w:hAnsi="Arial" w:cs="Arial" w:eastAsia="Arial" w:hint="default"/>
                <w:color w:val="333333"/>
                <w:sz w:val="21"/>
                <w:szCs w:val="21"/>
              </w:rPr>
              <w:t>Business Support</w:t>
            </w:r>
            <w:r>
              <w:rPr>
                <w:rFonts w:ascii="Arial" w:hAnsi="Arial" w:cs="Arial" w:eastAsia="Arial" w:hint="default"/>
                <w:color w:val="333333"/>
                <w:spacing w:val="-11"/>
                <w:sz w:val="21"/>
                <w:szCs w:val="21"/>
              </w:rPr>
              <w:t> </w:t>
            </w:r>
            <w:r>
              <w:rPr>
                <w:rFonts w:ascii="Arial" w:hAnsi="Arial" w:cs="Arial" w:eastAsia="Arial" w:hint="default"/>
                <w:color w:val="333333"/>
                <w:sz w:val="21"/>
                <w:szCs w:val="21"/>
              </w:rPr>
              <w:t>System</w:t>
            </w:r>
            <w:r>
              <w:rPr>
                <w:rFonts w:ascii="Arial" w:hAnsi="Arial" w:cs="Arial" w:eastAsia="Arial" w:hint="default"/>
                <w:sz w:val="21"/>
                <w:szCs w:val="21"/>
              </w:rPr>
              <w:t>)</w:t>
            </w:r>
          </w:p>
        </w:tc>
      </w:tr>
    </w:tbl>
    <w:p>
      <w:pPr>
        <w:spacing w:line="240" w:lineRule="auto" w:before="7"/>
        <w:rPr>
          <w:rFonts w:ascii="宋体" w:hAnsi="宋体" w:cs="宋体" w:eastAsia="宋体" w:hint="default"/>
          <w:b/>
          <w:bCs/>
          <w:sz w:val="17"/>
          <w:szCs w:val="17"/>
        </w:rPr>
      </w:pPr>
    </w:p>
    <w:p>
      <w:pPr>
        <w:spacing w:before="36"/>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二、重大风险提示</w:t>
      </w:r>
      <w:r>
        <w:rPr>
          <w:rFonts w:ascii="宋体" w:hAnsi="宋体" w:cs="宋体" w:eastAsia="宋体" w:hint="default"/>
          <w:sz w:val="21"/>
          <w:szCs w:val="21"/>
        </w:rPr>
      </w:r>
    </w:p>
    <w:p>
      <w:pPr>
        <w:spacing w:line="240" w:lineRule="auto" w:before="5"/>
        <w:rPr>
          <w:rFonts w:ascii="宋体" w:hAnsi="宋体" w:cs="宋体" w:eastAsia="宋体" w:hint="default"/>
          <w:b/>
          <w:bCs/>
          <w:sz w:val="25"/>
          <w:szCs w:val="25"/>
        </w:rPr>
      </w:pPr>
    </w:p>
    <w:p>
      <w:pPr>
        <w:spacing w:line="237" w:lineRule="auto" w:before="0"/>
        <w:ind w:left="138" w:right="128" w:firstLine="0"/>
        <w:jc w:val="both"/>
        <w:rPr>
          <w:rFonts w:ascii="宋体" w:hAnsi="宋体" w:cs="宋体" w:eastAsia="宋体" w:hint="default"/>
          <w:sz w:val="21"/>
          <w:szCs w:val="21"/>
        </w:rPr>
      </w:pPr>
      <w:r>
        <w:rPr>
          <w:rFonts w:ascii="宋体" w:hAnsi="宋体" w:cs="宋体" w:eastAsia="宋体" w:hint="default"/>
          <w:spacing w:val="-3"/>
          <w:sz w:val="21"/>
          <w:szCs w:val="21"/>
        </w:rPr>
        <w:t>公司已在本报告中详细描述存在的行业监管政策变化风险、市场竞争风险、技术升级的风险、利</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3"/>
          <w:sz w:val="21"/>
          <w:szCs w:val="21"/>
        </w:rPr>
        <w:t>率和汇率的风险，敬请查阅第四节董事会报告中关于公司未来发展的讨论与分析中可能面对的风</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险因素的内容。</w:t>
      </w:r>
    </w:p>
    <w:p>
      <w:pPr>
        <w:spacing w:after="0" w:line="237" w:lineRule="auto"/>
        <w:jc w:val="both"/>
        <w:rPr>
          <w:rFonts w:ascii="宋体" w:hAnsi="宋体" w:cs="宋体" w:eastAsia="宋体" w:hint="default"/>
          <w:sz w:val="21"/>
          <w:szCs w:val="21"/>
        </w:rPr>
        <w:sectPr>
          <w:pgSz w:w="11910" w:h="16840"/>
          <w:pgMar w:header="880" w:footer="1194" w:top="1120" w:bottom="1380" w:left="1660" w:right="1200"/>
        </w:sectPr>
      </w:pPr>
    </w:p>
    <w:p>
      <w:pPr>
        <w:spacing w:line="240" w:lineRule="auto" w:before="0"/>
        <w:rPr>
          <w:rFonts w:ascii="宋体" w:hAnsi="宋体" w:cs="宋体" w:eastAsia="宋体" w:hint="default"/>
          <w:sz w:val="20"/>
          <w:szCs w:val="20"/>
        </w:rPr>
      </w:pPr>
    </w:p>
    <w:p>
      <w:pPr>
        <w:pStyle w:val="Heading1"/>
        <w:tabs>
          <w:tab w:pos="1260" w:val="left" w:leader="none"/>
        </w:tabs>
        <w:spacing w:line="240" w:lineRule="auto"/>
        <w:ind w:right="17"/>
        <w:jc w:val="center"/>
        <w:rPr>
          <w:b w:val="0"/>
          <w:bCs w:val="0"/>
        </w:rPr>
      </w:pPr>
      <w:bookmarkStart w:name="_TOC_250009" w:id="2"/>
      <w:r>
        <w:rPr>
          <w:w w:val="95"/>
        </w:rPr>
        <w:t>第二节</w:t>
        <w:tab/>
      </w:r>
      <w:r>
        <w:rPr/>
        <w:t>公司简介</w:t>
      </w:r>
      <w:bookmarkEnd w:id="2"/>
      <w:r>
        <w:rPr>
          <w:b w:val="0"/>
          <w:bCs w:val="0"/>
        </w:rPr>
      </w:r>
    </w:p>
    <w:p>
      <w:pPr>
        <w:spacing w:line="240" w:lineRule="auto" w:before="7"/>
        <w:rPr>
          <w:rFonts w:ascii="黑体" w:hAnsi="黑体" w:cs="黑体" w:eastAsia="黑体" w:hint="default"/>
          <w:b/>
          <w:bCs/>
          <w:sz w:val="16"/>
          <w:szCs w:val="16"/>
        </w:rPr>
      </w:pPr>
    </w:p>
    <w:p>
      <w:pPr>
        <w:spacing w:before="3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一、公司信息</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tbl>
      <w:tblPr>
        <w:tblW w:w="0" w:type="auto"/>
        <w:jc w:val="left"/>
        <w:tblInd w:w="115" w:type="dxa"/>
        <w:tblLayout w:type="fixed"/>
        <w:tblCellMar>
          <w:top w:w="0" w:type="dxa"/>
          <w:left w:w="0" w:type="dxa"/>
          <w:bottom w:w="0" w:type="dxa"/>
          <w:right w:w="0" w:type="dxa"/>
        </w:tblCellMar>
        <w:tblLook w:val="01E0"/>
      </w:tblPr>
      <w:tblGrid>
        <w:gridCol w:w="3807"/>
        <w:gridCol w:w="5016"/>
      </w:tblGrid>
      <w:tr>
        <w:trPr>
          <w:trHeight w:val="305" w:hRule="exact"/>
        </w:trPr>
        <w:tc>
          <w:tcPr>
            <w:tcW w:w="38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3"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公司的中文名称</w:t>
            </w:r>
            <w:r>
              <w:rPr>
                <w:rFonts w:ascii="宋体" w:hAnsi="宋体" w:cs="宋体" w:eastAsia="宋体" w:hint="default"/>
                <w:sz w:val="21"/>
                <w:szCs w:val="21"/>
              </w:rPr>
            </w:r>
          </w:p>
        </w:tc>
        <w:tc>
          <w:tcPr>
            <w:tcW w:w="5016" w:type="dxa"/>
            <w:tcBorders>
              <w:top w:val="single" w:sz="4" w:space="0" w:color="000000"/>
              <w:left w:val="single" w:sz="14" w:space="0" w:color="E4E4E4"/>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中国联合网络通信股份有限公司</w:t>
            </w:r>
          </w:p>
        </w:tc>
      </w:tr>
      <w:tr>
        <w:trPr>
          <w:trHeight w:val="302" w:hRule="exact"/>
        </w:trPr>
        <w:tc>
          <w:tcPr>
            <w:tcW w:w="38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0"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公司的中文简称</w:t>
            </w:r>
            <w:r>
              <w:rPr>
                <w:rFonts w:ascii="宋体" w:hAnsi="宋体" w:cs="宋体" w:eastAsia="宋体" w:hint="default"/>
                <w:sz w:val="21"/>
                <w:szCs w:val="21"/>
              </w:rPr>
            </w:r>
          </w:p>
        </w:tc>
        <w:tc>
          <w:tcPr>
            <w:tcW w:w="5016" w:type="dxa"/>
            <w:tcBorders>
              <w:top w:val="single" w:sz="4" w:space="0" w:color="000000"/>
              <w:left w:val="single" w:sz="14" w:space="0" w:color="E4E4E4"/>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中国联通</w:t>
            </w:r>
          </w:p>
        </w:tc>
      </w:tr>
      <w:tr>
        <w:trPr>
          <w:trHeight w:val="302" w:hRule="exact"/>
        </w:trPr>
        <w:tc>
          <w:tcPr>
            <w:tcW w:w="38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0"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公司的外文名称</w:t>
            </w:r>
            <w:r>
              <w:rPr>
                <w:rFonts w:ascii="宋体" w:hAnsi="宋体" w:cs="宋体" w:eastAsia="宋体" w:hint="default"/>
                <w:sz w:val="21"/>
                <w:szCs w:val="21"/>
              </w:rPr>
            </w:r>
          </w:p>
        </w:tc>
        <w:tc>
          <w:tcPr>
            <w:tcW w:w="5016" w:type="dxa"/>
            <w:tcBorders>
              <w:top w:val="single" w:sz="4" w:space="0" w:color="000000"/>
              <w:left w:val="single" w:sz="14" w:space="0" w:color="E4E4E4"/>
              <w:bottom w:val="single" w:sz="4" w:space="0" w:color="000000"/>
              <w:right w:val="single" w:sz="4" w:space="0" w:color="000000"/>
            </w:tcBorders>
          </w:tcPr>
          <w:p>
            <w:pPr>
              <w:pStyle w:val="TableParagraph"/>
              <w:spacing w:line="240" w:lineRule="auto" w:before="21"/>
              <w:ind w:left="23" w:right="0"/>
              <w:jc w:val="left"/>
              <w:rPr>
                <w:rFonts w:ascii="Arial" w:hAnsi="Arial" w:cs="Arial" w:eastAsia="Arial" w:hint="default"/>
                <w:sz w:val="21"/>
                <w:szCs w:val="21"/>
              </w:rPr>
            </w:pPr>
            <w:r>
              <w:rPr>
                <w:rFonts w:ascii="Arial"/>
                <w:sz w:val="21"/>
              </w:rPr>
              <w:t>China United Network Communications</w:t>
            </w:r>
            <w:r>
              <w:rPr>
                <w:rFonts w:ascii="Arial"/>
                <w:spacing w:val="-17"/>
                <w:sz w:val="21"/>
              </w:rPr>
              <w:t> </w:t>
            </w:r>
            <w:r>
              <w:rPr>
                <w:rFonts w:ascii="Arial"/>
                <w:sz w:val="21"/>
              </w:rPr>
              <w:t>Limited</w:t>
            </w:r>
          </w:p>
        </w:tc>
      </w:tr>
      <w:tr>
        <w:trPr>
          <w:trHeight w:val="302" w:hRule="exact"/>
        </w:trPr>
        <w:tc>
          <w:tcPr>
            <w:tcW w:w="38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3"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公司的外文名称缩写</w:t>
            </w:r>
            <w:r>
              <w:rPr>
                <w:rFonts w:ascii="宋体" w:hAnsi="宋体" w:cs="宋体" w:eastAsia="宋体" w:hint="default"/>
                <w:sz w:val="21"/>
                <w:szCs w:val="21"/>
              </w:rPr>
            </w:r>
          </w:p>
        </w:tc>
        <w:tc>
          <w:tcPr>
            <w:tcW w:w="5016" w:type="dxa"/>
            <w:tcBorders>
              <w:top w:val="single" w:sz="4" w:space="0" w:color="000000"/>
              <w:left w:val="single" w:sz="14" w:space="0" w:color="E4E4E4"/>
              <w:bottom w:val="single" w:sz="4" w:space="0" w:color="000000"/>
              <w:right w:val="single" w:sz="4" w:space="0" w:color="000000"/>
            </w:tcBorders>
          </w:tcPr>
          <w:p>
            <w:pPr>
              <w:pStyle w:val="TableParagraph"/>
              <w:spacing w:line="240" w:lineRule="auto" w:before="21"/>
              <w:ind w:left="23" w:right="0"/>
              <w:jc w:val="left"/>
              <w:rPr>
                <w:rFonts w:ascii="Arial" w:hAnsi="Arial" w:cs="Arial" w:eastAsia="Arial" w:hint="default"/>
                <w:sz w:val="21"/>
                <w:szCs w:val="21"/>
              </w:rPr>
            </w:pPr>
            <w:r>
              <w:rPr>
                <w:rFonts w:ascii="Arial"/>
                <w:sz w:val="21"/>
              </w:rPr>
              <w:t>China</w:t>
            </w:r>
            <w:r>
              <w:rPr>
                <w:rFonts w:ascii="Arial"/>
                <w:spacing w:val="-5"/>
                <w:sz w:val="21"/>
              </w:rPr>
              <w:t> </w:t>
            </w:r>
            <w:r>
              <w:rPr>
                <w:rFonts w:ascii="Arial"/>
                <w:sz w:val="21"/>
              </w:rPr>
              <w:t>unicom</w:t>
            </w:r>
          </w:p>
        </w:tc>
      </w:tr>
      <w:tr>
        <w:trPr>
          <w:trHeight w:val="305" w:hRule="exact"/>
        </w:trPr>
        <w:tc>
          <w:tcPr>
            <w:tcW w:w="38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3"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公司的法定代表人</w:t>
            </w:r>
            <w:r>
              <w:rPr>
                <w:rFonts w:ascii="宋体" w:hAnsi="宋体" w:cs="宋体" w:eastAsia="宋体" w:hint="default"/>
                <w:sz w:val="21"/>
                <w:szCs w:val="21"/>
              </w:rPr>
            </w:r>
          </w:p>
        </w:tc>
        <w:tc>
          <w:tcPr>
            <w:tcW w:w="5016" w:type="dxa"/>
            <w:tcBorders>
              <w:top w:val="single" w:sz="4" w:space="0" w:color="000000"/>
              <w:left w:val="single" w:sz="14" w:space="0" w:color="E4E4E4"/>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hAnsi="宋体" w:cs="宋体" w:eastAsia="宋体" w:hint="default"/>
                <w:sz w:val="21"/>
                <w:szCs w:val="21"/>
              </w:rPr>
              <w:t>常小兵</w:t>
            </w:r>
          </w:p>
        </w:tc>
      </w:tr>
    </w:tbl>
    <w:p>
      <w:pPr>
        <w:spacing w:line="240" w:lineRule="auto" w:before="7"/>
        <w:rPr>
          <w:rFonts w:ascii="宋体" w:hAnsi="宋体" w:cs="宋体" w:eastAsia="宋体" w:hint="default"/>
          <w:b/>
          <w:bCs/>
          <w:sz w:val="17"/>
          <w:szCs w:val="17"/>
        </w:rPr>
      </w:pPr>
    </w:p>
    <w:p>
      <w:pPr>
        <w:spacing w:before="3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二、联系人和联系方式</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tbl>
      <w:tblPr>
        <w:tblW w:w="0" w:type="auto"/>
        <w:jc w:val="left"/>
        <w:tblInd w:w="115" w:type="dxa"/>
        <w:tblLayout w:type="fixed"/>
        <w:tblCellMar>
          <w:top w:w="0" w:type="dxa"/>
          <w:left w:w="0" w:type="dxa"/>
          <w:bottom w:w="0" w:type="dxa"/>
          <w:right w:w="0" w:type="dxa"/>
        </w:tblCellMar>
        <w:tblLook w:val="01E0"/>
      </w:tblPr>
      <w:tblGrid>
        <w:gridCol w:w="1414"/>
        <w:gridCol w:w="3533"/>
        <w:gridCol w:w="3877"/>
      </w:tblGrid>
      <w:tr>
        <w:trPr>
          <w:trHeight w:val="284" w:hRule="exact"/>
        </w:trPr>
        <w:tc>
          <w:tcPr>
            <w:tcW w:w="1414"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353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center"/>
              <w:rPr>
                <w:rFonts w:ascii="宋体" w:hAnsi="宋体" w:cs="宋体" w:eastAsia="宋体" w:hint="default"/>
                <w:sz w:val="21"/>
                <w:szCs w:val="21"/>
              </w:rPr>
            </w:pPr>
            <w:r>
              <w:rPr>
                <w:rFonts w:ascii="宋体" w:hAnsi="宋体" w:cs="宋体" w:eastAsia="宋体" w:hint="default"/>
                <w:b/>
                <w:bCs/>
                <w:sz w:val="21"/>
                <w:szCs w:val="21"/>
              </w:rPr>
              <w:t>董事会秘书</w:t>
            </w:r>
            <w:r>
              <w:rPr>
                <w:rFonts w:ascii="宋体" w:hAnsi="宋体" w:cs="宋体" w:eastAsia="宋体" w:hint="default"/>
                <w:sz w:val="21"/>
                <w:szCs w:val="21"/>
              </w:rPr>
            </w:r>
          </w:p>
        </w:tc>
        <w:tc>
          <w:tcPr>
            <w:tcW w:w="387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证券事务代表</w:t>
            </w:r>
            <w:r>
              <w:rPr>
                <w:rFonts w:ascii="宋体" w:hAnsi="宋体" w:cs="宋体" w:eastAsia="宋体" w:hint="default"/>
                <w:sz w:val="21"/>
                <w:szCs w:val="21"/>
              </w:rPr>
            </w:r>
          </w:p>
        </w:tc>
      </w:tr>
      <w:tr>
        <w:trPr>
          <w:trHeight w:val="283" w:hRule="exact"/>
        </w:trPr>
        <w:tc>
          <w:tcPr>
            <w:tcW w:w="141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3533" w:type="dxa"/>
            <w:tcBorders>
              <w:top w:val="single" w:sz="4" w:space="0" w:color="000000"/>
              <w:left w:val="single" w:sz="14" w:space="0" w:color="E4E4E4"/>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李超</w:t>
            </w:r>
          </w:p>
        </w:tc>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杨九英</w:t>
            </w:r>
          </w:p>
        </w:tc>
      </w:tr>
      <w:tr>
        <w:trPr>
          <w:trHeight w:val="281" w:hRule="exact"/>
        </w:trPr>
        <w:tc>
          <w:tcPr>
            <w:tcW w:w="141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联系地址</w:t>
            </w:r>
            <w:r>
              <w:rPr>
                <w:rFonts w:ascii="宋体" w:hAnsi="宋体" w:cs="宋体" w:eastAsia="宋体" w:hint="default"/>
                <w:sz w:val="21"/>
                <w:szCs w:val="21"/>
              </w:rPr>
            </w:r>
          </w:p>
        </w:tc>
        <w:tc>
          <w:tcPr>
            <w:tcW w:w="3533" w:type="dxa"/>
            <w:tcBorders>
              <w:top w:val="single" w:sz="4" w:space="0" w:color="000000"/>
              <w:left w:val="single" w:sz="14" w:space="0" w:color="E4E4E4"/>
              <w:bottom w:val="single" w:sz="4" w:space="0" w:color="000000"/>
              <w:right w:val="single" w:sz="4" w:space="0" w:color="000000"/>
            </w:tcBorders>
          </w:tcPr>
          <w:p>
            <w:pPr>
              <w:pStyle w:val="TableParagraph"/>
              <w:spacing w:line="256"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上海市长宁区长宁路</w:t>
            </w:r>
            <w:r>
              <w:rPr>
                <w:rFonts w:ascii="Arial" w:hAnsi="Arial" w:cs="Arial" w:eastAsia="Arial" w:hint="default"/>
                <w:sz w:val="21"/>
                <w:szCs w:val="21"/>
              </w:rPr>
              <w:t>1033</w:t>
            </w:r>
            <w:r>
              <w:rPr>
                <w:rFonts w:ascii="宋体" w:hAnsi="宋体" w:cs="宋体" w:eastAsia="宋体" w:hint="default"/>
                <w:sz w:val="21"/>
                <w:szCs w:val="21"/>
              </w:rPr>
              <w:t>号</w:t>
            </w:r>
            <w:r>
              <w:rPr>
                <w:rFonts w:ascii="Arial" w:hAnsi="Arial" w:cs="Arial" w:eastAsia="Arial" w:hint="default"/>
                <w:sz w:val="21"/>
                <w:szCs w:val="21"/>
              </w:rPr>
              <w:t>29</w:t>
            </w:r>
            <w:r>
              <w:rPr>
                <w:rFonts w:ascii="宋体" w:hAnsi="宋体" w:cs="宋体" w:eastAsia="宋体" w:hint="default"/>
                <w:sz w:val="21"/>
                <w:szCs w:val="21"/>
              </w:rPr>
              <w:t>楼</w:t>
            </w:r>
          </w:p>
        </w:tc>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上海市长宁区长宁路</w:t>
            </w:r>
            <w:r>
              <w:rPr>
                <w:rFonts w:ascii="Arial" w:hAnsi="Arial" w:cs="Arial" w:eastAsia="Arial" w:hint="default"/>
                <w:sz w:val="21"/>
                <w:szCs w:val="21"/>
              </w:rPr>
              <w:t>1033</w:t>
            </w:r>
            <w:r>
              <w:rPr>
                <w:rFonts w:ascii="宋体" w:hAnsi="宋体" w:cs="宋体" w:eastAsia="宋体" w:hint="default"/>
                <w:sz w:val="21"/>
                <w:szCs w:val="21"/>
              </w:rPr>
              <w:t>号</w:t>
            </w:r>
            <w:r>
              <w:rPr>
                <w:rFonts w:ascii="Arial" w:hAnsi="Arial" w:cs="Arial" w:eastAsia="Arial" w:hint="default"/>
                <w:sz w:val="21"/>
                <w:szCs w:val="21"/>
              </w:rPr>
              <w:t>29</w:t>
            </w:r>
            <w:r>
              <w:rPr>
                <w:rFonts w:ascii="宋体" w:hAnsi="宋体" w:cs="宋体" w:eastAsia="宋体" w:hint="default"/>
                <w:sz w:val="21"/>
                <w:szCs w:val="21"/>
              </w:rPr>
              <w:t>楼</w:t>
            </w:r>
          </w:p>
        </w:tc>
      </w:tr>
      <w:tr>
        <w:trPr>
          <w:trHeight w:val="283" w:hRule="exact"/>
        </w:trPr>
        <w:tc>
          <w:tcPr>
            <w:tcW w:w="141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电话</w:t>
            </w:r>
            <w:r>
              <w:rPr>
                <w:rFonts w:ascii="宋体" w:hAnsi="宋体" w:cs="宋体" w:eastAsia="宋体" w:hint="default"/>
                <w:sz w:val="21"/>
                <w:szCs w:val="21"/>
              </w:rPr>
            </w:r>
          </w:p>
        </w:tc>
        <w:tc>
          <w:tcPr>
            <w:tcW w:w="3533" w:type="dxa"/>
            <w:tcBorders>
              <w:top w:val="single" w:sz="4" w:space="0" w:color="000000"/>
              <w:left w:val="single" w:sz="14" w:space="0" w:color="E4E4E4"/>
              <w:bottom w:val="single" w:sz="4" w:space="0" w:color="000000"/>
              <w:right w:val="single" w:sz="4" w:space="0" w:color="000000"/>
            </w:tcBorders>
          </w:tcPr>
          <w:p>
            <w:pPr>
              <w:pStyle w:val="TableParagraph"/>
              <w:spacing w:line="237" w:lineRule="exact"/>
              <w:ind w:left="24" w:right="0"/>
              <w:jc w:val="left"/>
              <w:rPr>
                <w:rFonts w:ascii="Arial" w:hAnsi="Arial" w:cs="Arial" w:eastAsia="Arial" w:hint="default"/>
                <w:sz w:val="21"/>
                <w:szCs w:val="21"/>
              </w:rPr>
            </w:pPr>
            <w:r>
              <w:rPr>
                <w:rFonts w:ascii="Arial"/>
                <w:sz w:val="21"/>
              </w:rPr>
              <w:t>021-52732228</w:t>
            </w:r>
          </w:p>
        </w:tc>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Arial" w:hAnsi="Arial" w:cs="Arial" w:eastAsia="Arial" w:hint="default"/>
                <w:sz w:val="21"/>
                <w:szCs w:val="21"/>
              </w:rPr>
            </w:pPr>
            <w:r>
              <w:rPr>
                <w:rFonts w:ascii="Arial"/>
                <w:sz w:val="21"/>
              </w:rPr>
              <w:t>021-52732228</w:t>
            </w:r>
          </w:p>
        </w:tc>
      </w:tr>
      <w:tr>
        <w:trPr>
          <w:trHeight w:val="283" w:hRule="exact"/>
        </w:trPr>
        <w:tc>
          <w:tcPr>
            <w:tcW w:w="141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传真</w:t>
            </w:r>
            <w:r>
              <w:rPr>
                <w:rFonts w:ascii="宋体" w:hAnsi="宋体" w:cs="宋体" w:eastAsia="宋体" w:hint="default"/>
                <w:sz w:val="21"/>
                <w:szCs w:val="21"/>
              </w:rPr>
            </w:r>
          </w:p>
        </w:tc>
        <w:tc>
          <w:tcPr>
            <w:tcW w:w="3533" w:type="dxa"/>
            <w:tcBorders>
              <w:top w:val="single" w:sz="4" w:space="0" w:color="000000"/>
              <w:left w:val="single" w:sz="14" w:space="0" w:color="E4E4E4"/>
              <w:bottom w:val="single" w:sz="4" w:space="0" w:color="000000"/>
              <w:right w:val="single" w:sz="4" w:space="0" w:color="000000"/>
            </w:tcBorders>
          </w:tcPr>
          <w:p>
            <w:pPr>
              <w:pStyle w:val="TableParagraph"/>
              <w:spacing w:line="237" w:lineRule="exact"/>
              <w:ind w:left="24" w:right="0"/>
              <w:jc w:val="left"/>
              <w:rPr>
                <w:rFonts w:ascii="Arial" w:hAnsi="Arial" w:cs="Arial" w:eastAsia="Arial" w:hint="default"/>
                <w:sz w:val="21"/>
                <w:szCs w:val="21"/>
              </w:rPr>
            </w:pPr>
            <w:r>
              <w:rPr>
                <w:rFonts w:ascii="Arial"/>
                <w:sz w:val="21"/>
              </w:rPr>
              <w:t>021-52732220</w:t>
            </w:r>
          </w:p>
        </w:tc>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Arial" w:hAnsi="Arial" w:cs="Arial" w:eastAsia="Arial" w:hint="default"/>
                <w:sz w:val="21"/>
                <w:szCs w:val="21"/>
              </w:rPr>
            </w:pPr>
            <w:r>
              <w:rPr>
                <w:rFonts w:ascii="Arial"/>
                <w:sz w:val="21"/>
              </w:rPr>
              <w:t>021-52732220</w:t>
            </w:r>
          </w:p>
        </w:tc>
      </w:tr>
      <w:tr>
        <w:trPr>
          <w:trHeight w:val="281" w:hRule="exact"/>
        </w:trPr>
        <w:tc>
          <w:tcPr>
            <w:tcW w:w="141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电子信箱</w:t>
            </w:r>
            <w:r>
              <w:rPr>
                <w:rFonts w:ascii="宋体" w:hAnsi="宋体" w:cs="宋体" w:eastAsia="宋体" w:hint="default"/>
                <w:sz w:val="21"/>
                <w:szCs w:val="21"/>
              </w:rPr>
            </w:r>
          </w:p>
        </w:tc>
        <w:tc>
          <w:tcPr>
            <w:tcW w:w="3533" w:type="dxa"/>
            <w:tcBorders>
              <w:top w:val="single" w:sz="4" w:space="0" w:color="000000"/>
              <w:left w:val="single" w:sz="14" w:space="0" w:color="E4E4E4"/>
              <w:bottom w:val="single" w:sz="4" w:space="0" w:color="000000"/>
              <w:right w:val="single" w:sz="4" w:space="0" w:color="000000"/>
            </w:tcBorders>
          </w:tcPr>
          <w:p>
            <w:pPr>
              <w:pStyle w:val="TableParagraph"/>
              <w:spacing w:line="237" w:lineRule="exact"/>
              <w:ind w:left="24" w:right="0"/>
              <w:jc w:val="left"/>
              <w:rPr>
                <w:rFonts w:ascii="Arial" w:hAnsi="Arial" w:cs="Arial" w:eastAsia="Arial" w:hint="default"/>
                <w:sz w:val="21"/>
                <w:szCs w:val="21"/>
              </w:rPr>
            </w:pPr>
            <w:hyperlink r:id="rId10">
              <w:r>
                <w:rPr>
                  <w:rFonts w:ascii="Arial"/>
                  <w:sz w:val="21"/>
                </w:rPr>
                <w:t>chaoli@chinaunicom-a.com</w:t>
              </w:r>
            </w:hyperlink>
          </w:p>
        </w:tc>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Arial" w:hAnsi="Arial" w:cs="Arial" w:eastAsia="Arial" w:hint="default"/>
                <w:sz w:val="21"/>
                <w:szCs w:val="21"/>
              </w:rPr>
            </w:pPr>
            <w:hyperlink r:id="rId11">
              <w:r>
                <w:rPr>
                  <w:rFonts w:ascii="Arial"/>
                  <w:sz w:val="21"/>
                </w:rPr>
                <w:t>yangjy@chinaunicom-a.com</w:t>
              </w:r>
            </w:hyperlink>
          </w:p>
        </w:tc>
      </w:tr>
    </w:tbl>
    <w:p>
      <w:pPr>
        <w:spacing w:line="240" w:lineRule="auto" w:before="10"/>
        <w:rPr>
          <w:rFonts w:ascii="宋体" w:hAnsi="宋体" w:cs="宋体" w:eastAsia="宋体" w:hint="default"/>
          <w:b/>
          <w:bCs/>
          <w:sz w:val="17"/>
          <w:szCs w:val="17"/>
        </w:rPr>
      </w:pPr>
    </w:p>
    <w:p>
      <w:pPr>
        <w:spacing w:before="3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三、基本情况简介</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tbl>
      <w:tblPr>
        <w:tblW w:w="0" w:type="auto"/>
        <w:jc w:val="left"/>
        <w:tblInd w:w="115" w:type="dxa"/>
        <w:tblLayout w:type="fixed"/>
        <w:tblCellMar>
          <w:top w:w="0" w:type="dxa"/>
          <w:left w:w="0" w:type="dxa"/>
          <w:bottom w:w="0" w:type="dxa"/>
          <w:right w:w="0" w:type="dxa"/>
        </w:tblCellMar>
        <w:tblLook w:val="01E0"/>
      </w:tblPr>
      <w:tblGrid>
        <w:gridCol w:w="4088"/>
        <w:gridCol w:w="4735"/>
      </w:tblGrid>
      <w:tr>
        <w:trPr>
          <w:trHeight w:val="302" w:hRule="exact"/>
        </w:trPr>
        <w:tc>
          <w:tcPr>
            <w:tcW w:w="408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公司注册地址</w:t>
            </w:r>
            <w:r>
              <w:rPr>
                <w:rFonts w:ascii="宋体" w:hAnsi="宋体" w:cs="宋体" w:eastAsia="宋体" w:hint="default"/>
                <w:sz w:val="21"/>
                <w:szCs w:val="21"/>
              </w:rPr>
            </w:r>
          </w:p>
        </w:tc>
        <w:tc>
          <w:tcPr>
            <w:tcW w:w="4735" w:type="dxa"/>
            <w:tcBorders>
              <w:top w:val="single" w:sz="4" w:space="0" w:color="000000"/>
              <w:left w:val="single" w:sz="14" w:space="0" w:color="E4E4E4"/>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上海市长宁区长宁路</w:t>
            </w:r>
            <w:r>
              <w:rPr>
                <w:rFonts w:ascii="Arial" w:hAnsi="Arial" w:cs="Arial" w:eastAsia="Arial" w:hint="default"/>
                <w:sz w:val="21"/>
                <w:szCs w:val="21"/>
              </w:rPr>
              <w:t>1033</w:t>
            </w:r>
            <w:r>
              <w:rPr>
                <w:rFonts w:ascii="宋体" w:hAnsi="宋体" w:cs="宋体" w:eastAsia="宋体" w:hint="default"/>
                <w:sz w:val="21"/>
                <w:szCs w:val="21"/>
              </w:rPr>
              <w:t>号</w:t>
            </w:r>
            <w:r>
              <w:rPr>
                <w:rFonts w:ascii="Arial" w:hAnsi="Arial" w:cs="Arial" w:eastAsia="Arial" w:hint="default"/>
                <w:sz w:val="21"/>
                <w:szCs w:val="21"/>
              </w:rPr>
              <w:t>29</w:t>
            </w:r>
            <w:r>
              <w:rPr>
                <w:rFonts w:ascii="宋体" w:hAnsi="宋体" w:cs="宋体" w:eastAsia="宋体" w:hint="default"/>
                <w:sz w:val="21"/>
                <w:szCs w:val="21"/>
              </w:rPr>
              <w:t>楼</w:t>
            </w:r>
          </w:p>
        </w:tc>
      </w:tr>
      <w:tr>
        <w:trPr>
          <w:trHeight w:val="302" w:hRule="exact"/>
        </w:trPr>
        <w:tc>
          <w:tcPr>
            <w:tcW w:w="408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公司注册地址的邮政编码</w:t>
            </w:r>
            <w:r>
              <w:rPr>
                <w:rFonts w:ascii="宋体" w:hAnsi="宋体" w:cs="宋体" w:eastAsia="宋体" w:hint="default"/>
                <w:sz w:val="21"/>
                <w:szCs w:val="21"/>
              </w:rPr>
            </w:r>
          </w:p>
        </w:tc>
        <w:tc>
          <w:tcPr>
            <w:tcW w:w="4735" w:type="dxa"/>
            <w:tcBorders>
              <w:top w:val="single" w:sz="4" w:space="0" w:color="000000"/>
              <w:left w:val="single" w:sz="14" w:space="0" w:color="E4E4E4"/>
              <w:bottom w:val="single" w:sz="4" w:space="0" w:color="000000"/>
              <w:right w:val="single" w:sz="4" w:space="0" w:color="000000"/>
            </w:tcBorders>
          </w:tcPr>
          <w:p>
            <w:pPr>
              <w:pStyle w:val="TableParagraph"/>
              <w:spacing w:line="237" w:lineRule="exact"/>
              <w:ind w:left="23" w:right="0"/>
              <w:jc w:val="left"/>
              <w:rPr>
                <w:rFonts w:ascii="Arial" w:hAnsi="Arial" w:cs="Arial" w:eastAsia="Arial" w:hint="default"/>
                <w:sz w:val="21"/>
                <w:szCs w:val="21"/>
              </w:rPr>
            </w:pPr>
            <w:r>
              <w:rPr>
                <w:rFonts w:ascii="Arial"/>
                <w:sz w:val="21"/>
              </w:rPr>
              <w:t>200050</w:t>
            </w:r>
          </w:p>
        </w:tc>
      </w:tr>
      <w:tr>
        <w:trPr>
          <w:trHeight w:val="305" w:hRule="exact"/>
        </w:trPr>
        <w:tc>
          <w:tcPr>
            <w:tcW w:w="408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公司办公地址</w:t>
            </w:r>
            <w:r>
              <w:rPr>
                <w:rFonts w:ascii="宋体" w:hAnsi="宋体" w:cs="宋体" w:eastAsia="宋体" w:hint="default"/>
                <w:sz w:val="21"/>
                <w:szCs w:val="21"/>
              </w:rPr>
            </w:r>
          </w:p>
        </w:tc>
        <w:tc>
          <w:tcPr>
            <w:tcW w:w="4735" w:type="dxa"/>
            <w:tcBorders>
              <w:top w:val="single" w:sz="4" w:space="0" w:color="000000"/>
              <w:left w:val="single" w:sz="14" w:space="0" w:color="E4E4E4"/>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上海市长宁区长宁路</w:t>
            </w:r>
            <w:r>
              <w:rPr>
                <w:rFonts w:ascii="Arial" w:hAnsi="Arial" w:cs="Arial" w:eastAsia="Arial" w:hint="default"/>
                <w:sz w:val="21"/>
                <w:szCs w:val="21"/>
              </w:rPr>
              <w:t>1033</w:t>
            </w:r>
            <w:r>
              <w:rPr>
                <w:rFonts w:ascii="宋体" w:hAnsi="宋体" w:cs="宋体" w:eastAsia="宋体" w:hint="default"/>
                <w:sz w:val="21"/>
                <w:szCs w:val="21"/>
              </w:rPr>
              <w:t>号</w:t>
            </w:r>
            <w:r>
              <w:rPr>
                <w:rFonts w:ascii="Arial" w:hAnsi="Arial" w:cs="Arial" w:eastAsia="Arial" w:hint="default"/>
                <w:sz w:val="21"/>
                <w:szCs w:val="21"/>
              </w:rPr>
              <w:t>29</w:t>
            </w:r>
            <w:r>
              <w:rPr>
                <w:rFonts w:ascii="宋体" w:hAnsi="宋体" w:cs="宋体" w:eastAsia="宋体" w:hint="default"/>
                <w:sz w:val="21"/>
                <w:szCs w:val="21"/>
              </w:rPr>
              <w:t>楼</w:t>
            </w:r>
          </w:p>
        </w:tc>
      </w:tr>
      <w:tr>
        <w:trPr>
          <w:trHeight w:val="303" w:hRule="exact"/>
        </w:trPr>
        <w:tc>
          <w:tcPr>
            <w:tcW w:w="408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公司办公地址的邮政编码</w:t>
            </w:r>
            <w:r>
              <w:rPr>
                <w:rFonts w:ascii="宋体" w:hAnsi="宋体" w:cs="宋体" w:eastAsia="宋体" w:hint="default"/>
                <w:sz w:val="21"/>
                <w:szCs w:val="21"/>
              </w:rPr>
            </w:r>
          </w:p>
        </w:tc>
        <w:tc>
          <w:tcPr>
            <w:tcW w:w="4735" w:type="dxa"/>
            <w:tcBorders>
              <w:top w:val="single" w:sz="4" w:space="0" w:color="000000"/>
              <w:left w:val="single" w:sz="14" w:space="0" w:color="E4E4E4"/>
              <w:bottom w:val="single" w:sz="4" w:space="0" w:color="000000"/>
              <w:right w:val="single" w:sz="4" w:space="0" w:color="000000"/>
            </w:tcBorders>
          </w:tcPr>
          <w:p>
            <w:pPr>
              <w:pStyle w:val="TableParagraph"/>
              <w:spacing w:line="237" w:lineRule="exact"/>
              <w:ind w:left="23" w:right="0"/>
              <w:jc w:val="left"/>
              <w:rPr>
                <w:rFonts w:ascii="Arial" w:hAnsi="Arial" w:cs="Arial" w:eastAsia="Arial" w:hint="default"/>
                <w:sz w:val="21"/>
                <w:szCs w:val="21"/>
              </w:rPr>
            </w:pPr>
            <w:r>
              <w:rPr>
                <w:rFonts w:ascii="Arial"/>
                <w:sz w:val="21"/>
              </w:rPr>
              <w:t>200050</w:t>
            </w:r>
          </w:p>
        </w:tc>
      </w:tr>
      <w:tr>
        <w:trPr>
          <w:trHeight w:val="302" w:hRule="exact"/>
        </w:trPr>
        <w:tc>
          <w:tcPr>
            <w:tcW w:w="408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公司网址</w:t>
            </w:r>
            <w:r>
              <w:rPr>
                <w:rFonts w:ascii="宋体" w:hAnsi="宋体" w:cs="宋体" w:eastAsia="宋体" w:hint="default"/>
                <w:sz w:val="21"/>
                <w:szCs w:val="21"/>
              </w:rPr>
            </w:r>
          </w:p>
        </w:tc>
        <w:tc>
          <w:tcPr>
            <w:tcW w:w="4735" w:type="dxa"/>
            <w:tcBorders>
              <w:top w:val="single" w:sz="4" w:space="0" w:color="000000"/>
              <w:left w:val="single" w:sz="14" w:space="0" w:color="E4E4E4"/>
              <w:bottom w:val="single" w:sz="4" w:space="0" w:color="000000"/>
              <w:right w:val="single" w:sz="4" w:space="0" w:color="000000"/>
            </w:tcBorders>
          </w:tcPr>
          <w:p>
            <w:pPr>
              <w:pStyle w:val="TableParagraph"/>
              <w:spacing w:line="237" w:lineRule="exact"/>
              <w:ind w:left="23" w:right="0"/>
              <w:jc w:val="left"/>
              <w:rPr>
                <w:rFonts w:ascii="Arial" w:hAnsi="Arial" w:cs="Arial" w:eastAsia="Arial" w:hint="default"/>
                <w:sz w:val="21"/>
                <w:szCs w:val="21"/>
              </w:rPr>
            </w:pPr>
            <w:hyperlink r:id="rId12">
              <w:r>
                <w:rPr>
                  <w:rFonts w:ascii="Arial"/>
                  <w:sz w:val="21"/>
                </w:rPr>
                <w:t>www.chinaunicom-a.com</w:t>
              </w:r>
            </w:hyperlink>
          </w:p>
        </w:tc>
      </w:tr>
      <w:tr>
        <w:trPr>
          <w:trHeight w:val="305" w:hRule="exact"/>
        </w:trPr>
        <w:tc>
          <w:tcPr>
            <w:tcW w:w="408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电子信箱</w:t>
            </w:r>
            <w:r>
              <w:rPr>
                <w:rFonts w:ascii="宋体" w:hAnsi="宋体" w:cs="宋体" w:eastAsia="宋体" w:hint="default"/>
                <w:sz w:val="21"/>
                <w:szCs w:val="21"/>
              </w:rPr>
            </w:r>
          </w:p>
        </w:tc>
        <w:tc>
          <w:tcPr>
            <w:tcW w:w="4735" w:type="dxa"/>
            <w:tcBorders>
              <w:top w:val="single" w:sz="4" w:space="0" w:color="000000"/>
              <w:left w:val="single" w:sz="14" w:space="0" w:color="E4E4E4"/>
              <w:bottom w:val="single" w:sz="4" w:space="0" w:color="000000"/>
              <w:right w:val="single" w:sz="4" w:space="0" w:color="000000"/>
            </w:tcBorders>
          </w:tcPr>
          <w:p>
            <w:pPr>
              <w:pStyle w:val="TableParagraph"/>
              <w:spacing w:line="237" w:lineRule="exact"/>
              <w:ind w:left="23" w:right="0"/>
              <w:jc w:val="left"/>
              <w:rPr>
                <w:rFonts w:ascii="Arial" w:hAnsi="Arial" w:cs="Arial" w:eastAsia="Arial" w:hint="default"/>
                <w:sz w:val="21"/>
                <w:szCs w:val="21"/>
              </w:rPr>
            </w:pPr>
            <w:hyperlink r:id="rId13">
              <w:r>
                <w:rPr>
                  <w:rFonts w:ascii="Arial"/>
                  <w:sz w:val="21"/>
                </w:rPr>
                <w:t>ir@chinaunicom-a.com</w:t>
              </w:r>
            </w:hyperlink>
          </w:p>
        </w:tc>
      </w:tr>
    </w:tbl>
    <w:p>
      <w:pPr>
        <w:spacing w:line="240" w:lineRule="auto" w:before="7"/>
        <w:rPr>
          <w:rFonts w:ascii="宋体" w:hAnsi="宋体" w:cs="宋体" w:eastAsia="宋体" w:hint="default"/>
          <w:b/>
          <w:bCs/>
          <w:sz w:val="17"/>
          <w:szCs w:val="17"/>
        </w:rPr>
      </w:pPr>
    </w:p>
    <w:p>
      <w:pPr>
        <w:spacing w:before="3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四、信息披露及备置地点</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tbl>
      <w:tblPr>
        <w:tblW w:w="0" w:type="auto"/>
        <w:jc w:val="left"/>
        <w:tblInd w:w="115" w:type="dxa"/>
        <w:tblLayout w:type="fixed"/>
        <w:tblCellMar>
          <w:top w:w="0" w:type="dxa"/>
          <w:left w:w="0" w:type="dxa"/>
          <w:bottom w:w="0" w:type="dxa"/>
          <w:right w:w="0" w:type="dxa"/>
        </w:tblCellMar>
        <w:tblLook w:val="01E0"/>
      </w:tblPr>
      <w:tblGrid>
        <w:gridCol w:w="4088"/>
        <w:gridCol w:w="4735"/>
      </w:tblGrid>
      <w:tr>
        <w:trPr>
          <w:trHeight w:val="302" w:hRule="exact"/>
        </w:trPr>
        <w:tc>
          <w:tcPr>
            <w:tcW w:w="408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公司选定的信息披露报纸名称</w:t>
            </w:r>
            <w:r>
              <w:rPr>
                <w:rFonts w:ascii="宋体" w:hAnsi="宋体" w:cs="宋体" w:eastAsia="宋体" w:hint="default"/>
                <w:sz w:val="21"/>
                <w:szCs w:val="21"/>
              </w:rPr>
            </w:r>
          </w:p>
        </w:tc>
        <w:tc>
          <w:tcPr>
            <w:tcW w:w="4735" w:type="dxa"/>
            <w:tcBorders>
              <w:top w:val="single" w:sz="4" w:space="0" w:color="000000"/>
              <w:left w:val="single" w:sz="14" w:space="0" w:color="E4E4E4"/>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8"/>
                <w:sz w:val="21"/>
                <w:szCs w:val="21"/>
              </w:rPr>
              <w:t> </w:t>
            </w:r>
            <w:r>
              <w:rPr>
                <w:rFonts w:ascii="宋体" w:hAnsi="宋体" w:cs="宋体" w:eastAsia="宋体" w:hint="default"/>
                <w:sz w:val="21"/>
                <w:szCs w:val="21"/>
              </w:rPr>
              <w:t>上海证券报</w:t>
            </w:r>
          </w:p>
        </w:tc>
      </w:tr>
      <w:tr>
        <w:trPr>
          <w:trHeight w:val="305" w:hRule="exact"/>
        </w:trPr>
        <w:tc>
          <w:tcPr>
            <w:tcW w:w="408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登载年度报告的中国证监会指定网站的网址</w:t>
            </w:r>
            <w:r>
              <w:rPr>
                <w:rFonts w:ascii="宋体" w:hAnsi="宋体" w:cs="宋体" w:eastAsia="宋体" w:hint="default"/>
                <w:sz w:val="21"/>
                <w:szCs w:val="21"/>
              </w:rPr>
            </w:r>
          </w:p>
        </w:tc>
        <w:tc>
          <w:tcPr>
            <w:tcW w:w="4735" w:type="dxa"/>
            <w:tcBorders>
              <w:top w:val="single" w:sz="4" w:space="0" w:color="000000"/>
              <w:left w:val="single" w:sz="14" w:space="0" w:color="E4E4E4"/>
              <w:bottom w:val="single" w:sz="4" w:space="0" w:color="000000"/>
              <w:right w:val="single" w:sz="4" w:space="0" w:color="000000"/>
            </w:tcBorders>
          </w:tcPr>
          <w:p>
            <w:pPr>
              <w:pStyle w:val="TableParagraph"/>
              <w:spacing w:line="239" w:lineRule="exact"/>
              <w:ind w:left="23" w:right="0"/>
              <w:jc w:val="left"/>
              <w:rPr>
                <w:rFonts w:ascii="Arial" w:hAnsi="Arial" w:cs="Arial" w:eastAsia="Arial" w:hint="default"/>
                <w:sz w:val="21"/>
                <w:szCs w:val="21"/>
              </w:rPr>
            </w:pPr>
            <w:hyperlink r:id="rId14">
              <w:r>
                <w:rPr>
                  <w:rFonts w:ascii="Arial"/>
                  <w:sz w:val="21"/>
                </w:rPr>
                <w:t>www.sse.com.cn</w:t>
              </w:r>
            </w:hyperlink>
          </w:p>
        </w:tc>
      </w:tr>
      <w:tr>
        <w:trPr>
          <w:trHeight w:val="302" w:hRule="exact"/>
        </w:trPr>
        <w:tc>
          <w:tcPr>
            <w:tcW w:w="408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公司年度报告备置地点</w:t>
            </w:r>
            <w:r>
              <w:rPr>
                <w:rFonts w:ascii="宋体" w:hAnsi="宋体" w:cs="宋体" w:eastAsia="宋体" w:hint="default"/>
                <w:sz w:val="21"/>
                <w:szCs w:val="21"/>
              </w:rPr>
            </w:r>
          </w:p>
        </w:tc>
        <w:tc>
          <w:tcPr>
            <w:tcW w:w="4735" w:type="dxa"/>
            <w:tcBorders>
              <w:top w:val="single" w:sz="4" w:space="0" w:color="000000"/>
              <w:left w:val="single" w:sz="14" w:space="0" w:color="E4E4E4"/>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上海市长宁区长宁路</w:t>
            </w:r>
            <w:r>
              <w:rPr>
                <w:rFonts w:ascii="Arial" w:hAnsi="Arial" w:cs="Arial" w:eastAsia="Arial" w:hint="default"/>
                <w:sz w:val="21"/>
                <w:szCs w:val="21"/>
              </w:rPr>
              <w:t>1033</w:t>
            </w:r>
            <w:r>
              <w:rPr>
                <w:rFonts w:ascii="宋体" w:hAnsi="宋体" w:cs="宋体" w:eastAsia="宋体" w:hint="default"/>
                <w:sz w:val="21"/>
                <w:szCs w:val="21"/>
              </w:rPr>
              <w:t>号</w:t>
            </w:r>
            <w:r>
              <w:rPr>
                <w:rFonts w:ascii="Arial" w:hAnsi="Arial" w:cs="Arial" w:eastAsia="Arial" w:hint="default"/>
                <w:sz w:val="21"/>
                <w:szCs w:val="21"/>
              </w:rPr>
              <w:t>29</w:t>
            </w:r>
            <w:r>
              <w:rPr>
                <w:rFonts w:ascii="宋体" w:hAnsi="宋体" w:cs="宋体" w:eastAsia="宋体" w:hint="default"/>
                <w:sz w:val="21"/>
                <w:szCs w:val="21"/>
              </w:rPr>
              <w:t>楼</w:t>
            </w:r>
          </w:p>
        </w:tc>
      </w:tr>
    </w:tbl>
    <w:p>
      <w:pPr>
        <w:spacing w:line="240" w:lineRule="auto" w:before="10"/>
        <w:rPr>
          <w:rFonts w:ascii="宋体" w:hAnsi="宋体" w:cs="宋体" w:eastAsia="宋体" w:hint="default"/>
          <w:b/>
          <w:bCs/>
          <w:sz w:val="17"/>
          <w:szCs w:val="17"/>
        </w:rPr>
      </w:pPr>
    </w:p>
    <w:p>
      <w:pPr>
        <w:spacing w:before="3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五、公司股票简况</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tbl>
      <w:tblPr>
        <w:tblW w:w="0" w:type="auto"/>
        <w:jc w:val="left"/>
        <w:tblInd w:w="102" w:type="dxa"/>
        <w:tblLayout w:type="fixed"/>
        <w:tblCellMar>
          <w:top w:w="0" w:type="dxa"/>
          <w:left w:w="0" w:type="dxa"/>
          <w:bottom w:w="0" w:type="dxa"/>
          <w:right w:w="0" w:type="dxa"/>
        </w:tblCellMar>
        <w:tblLook w:val="01E0"/>
      </w:tblPr>
      <w:tblGrid>
        <w:gridCol w:w="2425"/>
        <w:gridCol w:w="2112"/>
        <w:gridCol w:w="2113"/>
        <w:gridCol w:w="2187"/>
      </w:tblGrid>
      <w:tr>
        <w:trPr>
          <w:trHeight w:val="276" w:hRule="exact"/>
        </w:trPr>
        <w:tc>
          <w:tcPr>
            <w:tcW w:w="24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股票种类</w:t>
            </w:r>
            <w:r>
              <w:rPr>
                <w:rFonts w:ascii="宋体" w:hAnsi="宋体" w:cs="宋体" w:eastAsia="宋体" w:hint="default"/>
                <w:sz w:val="21"/>
                <w:szCs w:val="21"/>
              </w:rPr>
            </w:r>
          </w:p>
        </w:tc>
        <w:tc>
          <w:tcPr>
            <w:tcW w:w="21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股票上市交易所</w:t>
            </w:r>
            <w:r>
              <w:rPr>
                <w:rFonts w:ascii="宋体" w:hAnsi="宋体" w:cs="宋体" w:eastAsia="宋体" w:hint="default"/>
                <w:sz w:val="21"/>
                <w:szCs w:val="21"/>
              </w:rPr>
            </w:r>
          </w:p>
        </w:tc>
        <w:tc>
          <w:tcPr>
            <w:tcW w:w="211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股票简称</w:t>
            </w:r>
            <w:r>
              <w:rPr>
                <w:rFonts w:ascii="宋体" w:hAnsi="宋体" w:cs="宋体" w:eastAsia="宋体" w:hint="default"/>
                <w:sz w:val="21"/>
                <w:szCs w:val="21"/>
              </w:rPr>
            </w:r>
          </w:p>
        </w:tc>
        <w:tc>
          <w:tcPr>
            <w:tcW w:w="218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股票代码</w:t>
            </w:r>
            <w:r>
              <w:rPr>
                <w:rFonts w:ascii="宋体" w:hAnsi="宋体" w:cs="宋体" w:eastAsia="宋体" w:hint="default"/>
                <w:sz w:val="21"/>
                <w:szCs w:val="21"/>
              </w:rPr>
            </w:r>
          </w:p>
        </w:tc>
      </w:tr>
      <w:tr>
        <w:trPr>
          <w:trHeight w:val="329" w:hRule="exact"/>
        </w:trPr>
        <w:tc>
          <w:tcPr>
            <w:tcW w:w="2425" w:type="dxa"/>
            <w:tcBorders>
              <w:top w:val="single" w:sz="9" w:space="0" w:color="E4E4E4"/>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1"/>
                <w:szCs w:val="21"/>
              </w:rPr>
            </w:pPr>
            <w:r>
              <w:rPr>
                <w:rFonts w:ascii="Arial" w:hAnsi="Arial" w:cs="Arial" w:eastAsia="Arial" w:hint="default"/>
                <w:sz w:val="21"/>
                <w:szCs w:val="21"/>
              </w:rPr>
              <w:t>A</w:t>
            </w:r>
            <w:r>
              <w:rPr>
                <w:rFonts w:ascii="宋体" w:hAnsi="宋体" w:cs="宋体" w:eastAsia="宋体" w:hint="default"/>
                <w:sz w:val="21"/>
                <w:szCs w:val="21"/>
              </w:rPr>
              <w:t>股</w:t>
            </w:r>
          </w:p>
        </w:tc>
        <w:tc>
          <w:tcPr>
            <w:tcW w:w="2112" w:type="dxa"/>
            <w:tcBorders>
              <w:top w:val="single" w:sz="9" w:space="0" w:color="E4E4E4"/>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2113" w:type="dxa"/>
            <w:tcBorders>
              <w:top w:val="single" w:sz="9" w:space="0" w:color="E4E4E4"/>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中国联通</w:t>
            </w:r>
          </w:p>
        </w:tc>
        <w:tc>
          <w:tcPr>
            <w:tcW w:w="2187" w:type="dxa"/>
            <w:tcBorders>
              <w:top w:val="single" w:sz="9" w:space="0" w:color="E4E4E4"/>
              <w:left w:val="single" w:sz="4" w:space="0" w:color="000000"/>
              <w:bottom w:val="single" w:sz="4" w:space="0" w:color="000000"/>
              <w:right w:val="single" w:sz="4" w:space="0" w:color="000000"/>
            </w:tcBorders>
          </w:tcPr>
          <w:p>
            <w:pPr>
              <w:pStyle w:val="TableParagraph"/>
              <w:spacing w:line="240" w:lineRule="auto" w:before="15"/>
              <w:ind w:right="3"/>
              <w:jc w:val="center"/>
              <w:rPr>
                <w:rFonts w:ascii="Arial" w:hAnsi="Arial" w:cs="Arial" w:eastAsia="Arial" w:hint="default"/>
                <w:sz w:val="21"/>
                <w:szCs w:val="21"/>
              </w:rPr>
            </w:pPr>
            <w:r>
              <w:rPr>
                <w:rFonts w:ascii="Arial"/>
                <w:sz w:val="21"/>
              </w:rPr>
              <w:t>600050</w:t>
            </w:r>
          </w:p>
        </w:tc>
      </w:tr>
    </w:tbl>
    <w:p>
      <w:pPr>
        <w:spacing w:after="0" w:line="240" w:lineRule="auto"/>
        <w:jc w:val="center"/>
        <w:rPr>
          <w:rFonts w:ascii="Arial" w:hAnsi="Arial" w:cs="Arial" w:eastAsia="Arial" w:hint="default"/>
          <w:sz w:val="21"/>
          <w:szCs w:val="21"/>
        </w:rPr>
        <w:sectPr>
          <w:pgSz w:w="11910" w:h="16840"/>
          <w:pgMar w:header="880" w:footer="1194" w:top="1120" w:bottom="1380" w:left="1660" w:right="1180"/>
        </w:sectPr>
      </w:pPr>
    </w:p>
    <w:p>
      <w:pPr>
        <w:spacing w:line="240" w:lineRule="auto" w:before="11"/>
        <w:rPr>
          <w:rFonts w:ascii="宋体" w:hAnsi="宋体" w:cs="宋体" w:eastAsia="宋体" w:hint="default"/>
          <w:b/>
          <w:bCs/>
          <w:sz w:val="29"/>
          <w:szCs w:val="29"/>
        </w:rPr>
      </w:pPr>
    </w:p>
    <w:p>
      <w:pPr>
        <w:spacing w:before="36"/>
        <w:ind w:left="138" w:right="204" w:firstLine="0"/>
        <w:jc w:val="left"/>
        <w:rPr>
          <w:rFonts w:ascii="宋体" w:hAnsi="宋体" w:cs="宋体" w:eastAsia="宋体" w:hint="default"/>
          <w:sz w:val="21"/>
          <w:szCs w:val="21"/>
        </w:rPr>
      </w:pPr>
      <w:r>
        <w:rPr>
          <w:rFonts w:ascii="宋体" w:hAnsi="宋体" w:cs="宋体" w:eastAsia="宋体" w:hint="default"/>
          <w:b/>
          <w:bCs/>
          <w:sz w:val="21"/>
          <w:szCs w:val="21"/>
        </w:rPr>
        <w:t>六、公司报告期内注册变更情况</w:t>
      </w:r>
      <w:r>
        <w:rPr>
          <w:rFonts w:ascii="宋体" w:hAnsi="宋体" w:cs="宋体" w:eastAsia="宋体" w:hint="default"/>
          <w:sz w:val="21"/>
          <w:szCs w:val="21"/>
        </w:rPr>
      </w:r>
    </w:p>
    <w:p>
      <w:pPr>
        <w:spacing w:line="240" w:lineRule="auto" w:before="11"/>
        <w:rPr>
          <w:rFonts w:ascii="宋体" w:hAnsi="宋体" w:cs="宋体" w:eastAsia="宋体" w:hint="default"/>
          <w:b/>
          <w:bCs/>
          <w:sz w:val="29"/>
          <w:szCs w:val="29"/>
        </w:rPr>
      </w:pPr>
    </w:p>
    <w:p>
      <w:pPr>
        <w:spacing w:before="0"/>
        <w:ind w:left="138" w:right="204"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一</w:t>
      </w:r>
      <w:r>
        <w:rPr>
          <w:rFonts w:ascii="Arial" w:hAnsi="Arial" w:cs="Arial" w:eastAsia="Arial" w:hint="default"/>
          <w:b/>
          <w:bCs/>
          <w:sz w:val="21"/>
          <w:szCs w:val="21"/>
        </w:rPr>
        <w:t>)</w:t>
      </w:r>
      <w:r>
        <w:rPr>
          <w:rFonts w:ascii="Arial" w:hAnsi="Arial" w:cs="Arial" w:eastAsia="Arial" w:hint="default"/>
          <w:b/>
          <w:bCs/>
          <w:spacing w:val="18"/>
          <w:sz w:val="21"/>
          <w:szCs w:val="21"/>
        </w:rPr>
        <w:t> </w:t>
      </w:r>
      <w:r>
        <w:rPr>
          <w:rFonts w:ascii="宋体" w:hAnsi="宋体" w:cs="宋体" w:eastAsia="宋体" w:hint="default"/>
          <w:b/>
          <w:bCs/>
          <w:sz w:val="21"/>
          <w:szCs w:val="21"/>
        </w:rPr>
        <w:t>基本情况</w:t>
      </w:r>
      <w:r>
        <w:rPr>
          <w:rFonts w:ascii="宋体" w:hAnsi="宋体" w:cs="宋体" w:eastAsia="宋体" w:hint="default"/>
          <w:sz w:val="21"/>
          <w:szCs w:val="21"/>
        </w:rPr>
      </w:r>
    </w:p>
    <w:p>
      <w:pPr>
        <w:spacing w:line="240" w:lineRule="auto" w:before="9"/>
        <w:rPr>
          <w:rFonts w:ascii="宋体" w:hAnsi="宋体" w:cs="宋体" w:eastAsia="宋体" w:hint="default"/>
          <w:b/>
          <w:bCs/>
          <w:sz w:val="21"/>
          <w:szCs w:val="21"/>
        </w:rPr>
      </w:pPr>
    </w:p>
    <w:p>
      <w:pPr>
        <w:spacing w:before="0"/>
        <w:ind w:left="565" w:right="204" w:firstLine="0"/>
        <w:jc w:val="left"/>
        <w:rPr>
          <w:rFonts w:ascii="宋体" w:hAnsi="宋体" w:cs="宋体" w:eastAsia="宋体" w:hint="default"/>
          <w:sz w:val="21"/>
          <w:szCs w:val="21"/>
        </w:rPr>
      </w:pPr>
      <w:r>
        <w:rPr>
          <w:rFonts w:ascii="宋体" w:hAnsi="宋体" w:cs="宋体" w:eastAsia="宋体" w:hint="default"/>
          <w:sz w:val="21"/>
          <w:szCs w:val="21"/>
        </w:rPr>
        <w:t>公司报告期内注册情况未变更。</w:t>
      </w:r>
    </w:p>
    <w:p>
      <w:pPr>
        <w:spacing w:line="240" w:lineRule="auto" w:before="0"/>
        <w:rPr>
          <w:rFonts w:ascii="宋体" w:hAnsi="宋体" w:cs="宋体" w:eastAsia="宋体" w:hint="default"/>
          <w:sz w:val="23"/>
          <w:szCs w:val="23"/>
        </w:rPr>
      </w:pPr>
    </w:p>
    <w:p>
      <w:pPr>
        <w:spacing w:before="0"/>
        <w:ind w:left="138" w:right="204"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二</w:t>
      </w:r>
      <w:r>
        <w:rPr>
          <w:rFonts w:ascii="Arial" w:hAnsi="Arial" w:cs="Arial" w:eastAsia="Arial" w:hint="default"/>
          <w:b/>
          <w:bCs/>
          <w:sz w:val="21"/>
          <w:szCs w:val="21"/>
        </w:rPr>
        <w:t>)</w:t>
      </w:r>
      <w:r>
        <w:rPr>
          <w:rFonts w:ascii="Arial" w:hAnsi="Arial" w:cs="Arial" w:eastAsia="Arial" w:hint="default"/>
          <w:b/>
          <w:bCs/>
          <w:spacing w:val="16"/>
          <w:sz w:val="21"/>
          <w:szCs w:val="21"/>
        </w:rPr>
        <w:t> </w:t>
      </w:r>
      <w:r>
        <w:rPr>
          <w:rFonts w:ascii="宋体" w:hAnsi="宋体" w:cs="宋体" w:eastAsia="宋体" w:hint="default"/>
          <w:b/>
          <w:bCs/>
          <w:sz w:val="21"/>
          <w:szCs w:val="21"/>
        </w:rPr>
        <w:t>公司首次注册情况的相关查询索引</w:t>
      </w:r>
      <w:r>
        <w:rPr>
          <w:rFonts w:ascii="宋体" w:hAnsi="宋体" w:cs="宋体" w:eastAsia="宋体" w:hint="default"/>
          <w:sz w:val="21"/>
          <w:szCs w:val="21"/>
        </w:rPr>
      </w:r>
    </w:p>
    <w:p>
      <w:pPr>
        <w:spacing w:line="240" w:lineRule="auto" w:before="9"/>
        <w:rPr>
          <w:rFonts w:ascii="宋体" w:hAnsi="宋体" w:cs="宋体" w:eastAsia="宋体" w:hint="default"/>
          <w:b/>
          <w:bCs/>
          <w:sz w:val="21"/>
          <w:szCs w:val="21"/>
        </w:rPr>
      </w:pPr>
    </w:p>
    <w:p>
      <w:pPr>
        <w:spacing w:before="0"/>
        <w:ind w:left="565" w:right="204" w:firstLine="0"/>
        <w:jc w:val="left"/>
        <w:rPr>
          <w:rFonts w:ascii="宋体" w:hAnsi="宋体" w:cs="宋体" w:eastAsia="宋体" w:hint="default"/>
          <w:sz w:val="21"/>
          <w:szCs w:val="21"/>
        </w:rPr>
      </w:pPr>
      <w:r>
        <w:rPr>
          <w:rFonts w:ascii="宋体" w:hAnsi="宋体" w:cs="宋体" w:eastAsia="宋体" w:hint="default"/>
          <w:sz w:val="21"/>
          <w:szCs w:val="21"/>
        </w:rPr>
        <w:t>公司首次注册情况详见</w:t>
      </w:r>
      <w:r>
        <w:rPr>
          <w:rFonts w:ascii="宋体" w:hAnsi="宋体" w:cs="宋体" w:eastAsia="宋体" w:hint="default"/>
          <w:spacing w:val="-55"/>
          <w:sz w:val="21"/>
          <w:szCs w:val="21"/>
        </w:rPr>
        <w:t> </w:t>
      </w:r>
      <w:r>
        <w:rPr>
          <w:rFonts w:ascii="Arial" w:hAnsi="Arial" w:cs="Arial" w:eastAsia="Arial" w:hint="default"/>
          <w:sz w:val="21"/>
          <w:szCs w:val="21"/>
        </w:rPr>
        <w:t>2011</w:t>
      </w:r>
      <w:r>
        <w:rPr>
          <w:rFonts w:ascii="Arial" w:hAnsi="Arial" w:cs="Arial" w:eastAsia="Arial" w:hint="default"/>
          <w:spacing w:val="-8"/>
          <w:sz w:val="21"/>
          <w:szCs w:val="21"/>
        </w:rPr>
        <w:t> </w:t>
      </w:r>
      <w:r>
        <w:rPr>
          <w:rFonts w:ascii="宋体" w:hAnsi="宋体" w:cs="宋体" w:eastAsia="宋体" w:hint="default"/>
          <w:sz w:val="21"/>
          <w:szCs w:val="21"/>
        </w:rPr>
        <w:t>年年度报告的公司基本情况。</w:t>
      </w:r>
    </w:p>
    <w:p>
      <w:pPr>
        <w:spacing w:line="240" w:lineRule="auto" w:before="9"/>
        <w:rPr>
          <w:rFonts w:ascii="宋体" w:hAnsi="宋体" w:cs="宋体" w:eastAsia="宋体" w:hint="default"/>
          <w:sz w:val="21"/>
          <w:szCs w:val="21"/>
        </w:rPr>
      </w:pPr>
    </w:p>
    <w:p>
      <w:pPr>
        <w:spacing w:before="0"/>
        <w:ind w:left="138" w:right="204"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三</w:t>
      </w:r>
      <w:r>
        <w:rPr>
          <w:rFonts w:ascii="Arial" w:hAnsi="Arial" w:cs="Arial" w:eastAsia="Arial" w:hint="default"/>
          <w:b/>
          <w:bCs/>
          <w:sz w:val="21"/>
          <w:szCs w:val="21"/>
        </w:rPr>
        <w:t>)</w:t>
      </w:r>
      <w:r>
        <w:rPr>
          <w:rFonts w:ascii="Arial" w:hAnsi="Arial" w:cs="Arial" w:eastAsia="Arial" w:hint="default"/>
          <w:b/>
          <w:bCs/>
          <w:spacing w:val="17"/>
          <w:sz w:val="21"/>
          <w:szCs w:val="21"/>
        </w:rPr>
        <w:t> </w:t>
      </w:r>
      <w:r>
        <w:rPr>
          <w:rFonts w:ascii="宋体" w:hAnsi="宋体" w:cs="宋体" w:eastAsia="宋体" w:hint="default"/>
          <w:b/>
          <w:bCs/>
          <w:sz w:val="21"/>
          <w:szCs w:val="21"/>
        </w:rPr>
        <w:t>公司上市以来，主营业务的变化情况</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spacing w:line="228" w:lineRule="auto" w:before="0"/>
        <w:ind w:left="565" w:right="204" w:firstLine="0"/>
        <w:jc w:val="left"/>
        <w:rPr>
          <w:rFonts w:ascii="宋体" w:hAnsi="宋体" w:cs="宋体" w:eastAsia="宋体" w:hint="default"/>
          <w:sz w:val="21"/>
          <w:szCs w:val="21"/>
        </w:rPr>
      </w:pPr>
      <w:r>
        <w:rPr>
          <w:rFonts w:ascii="宋体" w:hAnsi="宋体" w:cs="宋体" w:eastAsia="宋体" w:hint="default"/>
          <w:sz w:val="21"/>
          <w:szCs w:val="21"/>
        </w:rPr>
        <w:t>本公司是根据国务院批准的重组方案，由联通集团以其于联通</w:t>
      </w:r>
      <w:r>
        <w:rPr>
          <w:rFonts w:ascii="宋体" w:hAnsi="宋体" w:cs="宋体" w:eastAsia="宋体" w:hint="default"/>
          <w:spacing w:val="-54"/>
          <w:sz w:val="21"/>
          <w:szCs w:val="21"/>
        </w:rPr>
        <w:t> </w:t>
      </w:r>
      <w:r>
        <w:rPr>
          <w:rFonts w:ascii="Arial" w:hAnsi="Arial" w:cs="Arial" w:eastAsia="Arial" w:hint="default"/>
          <w:sz w:val="21"/>
          <w:szCs w:val="21"/>
        </w:rPr>
        <w:t>BVI</w:t>
      </w:r>
      <w:r>
        <w:rPr>
          <w:rFonts w:ascii="Arial" w:hAnsi="Arial" w:cs="Arial" w:eastAsia="Arial" w:hint="default"/>
          <w:spacing w:val="-9"/>
          <w:sz w:val="21"/>
          <w:szCs w:val="21"/>
        </w:rPr>
        <w:t> </w:t>
      </w:r>
      <w:r>
        <w:rPr>
          <w:rFonts w:ascii="宋体" w:hAnsi="宋体" w:cs="宋体" w:eastAsia="宋体" w:hint="default"/>
          <w:sz w:val="21"/>
          <w:szCs w:val="21"/>
        </w:rPr>
        <w:t>公司</w:t>
      </w:r>
      <w:r>
        <w:rPr>
          <w:rFonts w:ascii="宋体" w:hAnsi="宋体" w:cs="宋体" w:eastAsia="宋体" w:hint="default"/>
          <w:spacing w:val="-55"/>
          <w:sz w:val="21"/>
          <w:szCs w:val="21"/>
        </w:rPr>
        <w:t> </w:t>
      </w:r>
      <w:r>
        <w:rPr>
          <w:rFonts w:ascii="Arial" w:hAnsi="Arial" w:cs="Arial" w:eastAsia="Arial" w:hint="default"/>
          <w:sz w:val="21"/>
          <w:szCs w:val="21"/>
        </w:rPr>
        <w:t>51%</w:t>
      </w:r>
      <w:r>
        <w:rPr>
          <w:rFonts w:ascii="宋体" w:hAnsi="宋体" w:cs="宋体" w:eastAsia="宋体" w:hint="default"/>
          <w:sz w:val="21"/>
          <w:szCs w:val="21"/>
        </w:rPr>
        <w:t>的股权投资所</w:t>
      </w:r>
      <w:r>
        <w:rPr>
          <w:rFonts w:ascii="宋体" w:hAnsi="宋体" w:cs="宋体" w:eastAsia="宋体" w:hint="default"/>
          <w:w w:val="100"/>
          <w:sz w:val="21"/>
          <w:szCs w:val="21"/>
        </w:rPr>
        <w:t> </w:t>
      </w:r>
      <w:r>
        <w:rPr>
          <w:rFonts w:ascii="宋体" w:hAnsi="宋体" w:cs="宋体" w:eastAsia="宋体" w:hint="default"/>
          <w:spacing w:val="-3"/>
          <w:sz w:val="21"/>
          <w:szCs w:val="21"/>
        </w:rPr>
        <w:t>对应的经评估的净资产出资，并联合其他四家发起单位以现金出资于</w:t>
      </w:r>
      <w:r>
        <w:rPr>
          <w:rFonts w:ascii="宋体" w:hAnsi="宋体" w:cs="宋体" w:eastAsia="宋体" w:hint="default"/>
          <w:spacing w:val="-45"/>
          <w:sz w:val="21"/>
          <w:szCs w:val="21"/>
        </w:rPr>
        <w:t> </w:t>
      </w:r>
      <w:r>
        <w:rPr>
          <w:rFonts w:ascii="Arial" w:hAnsi="Arial" w:cs="Arial" w:eastAsia="Arial" w:hint="default"/>
          <w:sz w:val="21"/>
          <w:szCs w:val="21"/>
        </w:rPr>
        <w:t>2001</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Arial" w:hAnsi="Arial" w:cs="Arial" w:eastAsia="Arial" w:hint="default"/>
          <w:sz w:val="21"/>
          <w:szCs w:val="21"/>
        </w:rPr>
        <w:t>12</w:t>
      </w:r>
      <w:r>
        <w:rPr>
          <w:rFonts w:ascii="Arial" w:hAnsi="Arial" w:cs="Arial" w:eastAsia="Arial"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Arial" w:hAnsi="Arial" w:cs="Arial" w:eastAsia="Arial" w:hint="default"/>
          <w:sz w:val="21"/>
          <w:szCs w:val="21"/>
        </w:rPr>
        <w:t>31</w:t>
      </w:r>
      <w:r>
        <w:rPr>
          <w:rFonts w:ascii="Arial" w:hAnsi="Arial" w:cs="Arial" w:eastAsia="Arial" w:hint="default"/>
          <w:spacing w:val="2"/>
          <w:sz w:val="21"/>
          <w:szCs w:val="21"/>
        </w:rPr>
        <w:t> </w:t>
      </w:r>
      <w:r>
        <w:rPr>
          <w:rFonts w:ascii="宋体" w:hAnsi="宋体" w:cs="宋体" w:eastAsia="宋体" w:hint="default"/>
          <w:spacing w:val="-3"/>
          <w:sz w:val="21"/>
          <w:szCs w:val="21"/>
        </w:rPr>
        <w:t>日在</w:t>
      </w:r>
      <w:r>
        <w:rPr>
          <w:rFonts w:ascii="宋体" w:hAnsi="宋体" w:cs="宋体" w:eastAsia="宋体" w:hint="default"/>
          <w:spacing w:val="-102"/>
          <w:sz w:val="21"/>
          <w:szCs w:val="21"/>
        </w:rPr>
        <w:t> </w:t>
      </w:r>
      <w:r>
        <w:rPr>
          <w:rFonts w:ascii="宋体" w:hAnsi="宋体" w:cs="宋体" w:eastAsia="宋体" w:hint="default"/>
          <w:spacing w:val="-3"/>
          <w:sz w:val="21"/>
          <w:szCs w:val="21"/>
        </w:rPr>
        <w:t>中华人民共和国（“中国”）成立的股份有限公司，经批准的经营范围为从事国（境）内外</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电信行业的投资。自</w:t>
      </w:r>
      <w:r>
        <w:rPr>
          <w:rFonts w:ascii="宋体" w:hAnsi="宋体" w:cs="宋体" w:eastAsia="宋体" w:hint="default"/>
          <w:spacing w:val="-55"/>
          <w:sz w:val="21"/>
          <w:szCs w:val="21"/>
        </w:rPr>
        <w:t> </w:t>
      </w:r>
      <w:r>
        <w:rPr>
          <w:rFonts w:ascii="Arial" w:hAnsi="Arial" w:cs="Arial" w:eastAsia="Arial" w:hint="default"/>
          <w:sz w:val="21"/>
          <w:szCs w:val="21"/>
        </w:rPr>
        <w:t>2002</w:t>
      </w:r>
      <w:r>
        <w:rPr>
          <w:rFonts w:ascii="Arial" w:hAnsi="Arial" w:cs="Arial" w:eastAsia="Arial" w:hint="default"/>
          <w:spacing w:val="-9"/>
          <w:sz w:val="21"/>
          <w:szCs w:val="21"/>
        </w:rPr>
        <w:t> </w:t>
      </w:r>
      <w:r>
        <w:rPr>
          <w:rFonts w:ascii="宋体" w:hAnsi="宋体" w:cs="宋体" w:eastAsia="宋体" w:hint="default"/>
          <w:sz w:val="21"/>
          <w:szCs w:val="21"/>
        </w:rPr>
        <w:t>年本公司上市以来，本公司的主营业务一直未发生变化，目前本</w:t>
      </w:r>
      <w:r>
        <w:rPr>
          <w:rFonts w:ascii="宋体" w:hAnsi="宋体" w:cs="宋体" w:eastAsia="宋体" w:hint="default"/>
          <w:w w:val="100"/>
          <w:sz w:val="21"/>
          <w:szCs w:val="21"/>
        </w:rPr>
        <w:t> </w:t>
      </w:r>
      <w:r>
        <w:rPr>
          <w:rFonts w:ascii="宋体" w:hAnsi="宋体" w:cs="宋体" w:eastAsia="宋体" w:hint="default"/>
          <w:sz w:val="21"/>
          <w:szCs w:val="21"/>
        </w:rPr>
        <w:t>公司只直接持有对联通</w:t>
      </w:r>
      <w:r>
        <w:rPr>
          <w:rFonts w:ascii="宋体" w:hAnsi="宋体" w:cs="宋体" w:eastAsia="宋体" w:hint="default"/>
          <w:spacing w:val="-55"/>
          <w:sz w:val="21"/>
          <w:szCs w:val="21"/>
        </w:rPr>
        <w:t> </w:t>
      </w:r>
      <w:r>
        <w:rPr>
          <w:rFonts w:ascii="Arial" w:hAnsi="Arial" w:cs="Arial" w:eastAsia="Arial" w:hint="default"/>
          <w:sz w:val="21"/>
          <w:szCs w:val="21"/>
        </w:rPr>
        <w:t>BVI</w:t>
      </w:r>
      <w:r>
        <w:rPr>
          <w:rFonts w:ascii="Arial" w:hAnsi="Arial" w:cs="Arial" w:eastAsia="Arial" w:hint="default"/>
          <w:spacing w:val="-7"/>
          <w:sz w:val="21"/>
          <w:szCs w:val="21"/>
        </w:rPr>
        <w:t> </w:t>
      </w:r>
      <w:r>
        <w:rPr>
          <w:rFonts w:ascii="宋体" w:hAnsi="宋体" w:cs="宋体" w:eastAsia="宋体" w:hint="default"/>
          <w:sz w:val="21"/>
          <w:szCs w:val="21"/>
        </w:rPr>
        <w:t>公司的股权投资。</w:t>
      </w:r>
    </w:p>
    <w:p>
      <w:pPr>
        <w:spacing w:line="240" w:lineRule="auto" w:before="11"/>
        <w:rPr>
          <w:rFonts w:ascii="宋体" w:hAnsi="宋体" w:cs="宋体" w:eastAsia="宋体" w:hint="default"/>
          <w:sz w:val="17"/>
          <w:szCs w:val="17"/>
        </w:rPr>
      </w:pPr>
    </w:p>
    <w:p>
      <w:pPr>
        <w:spacing w:line="232" w:lineRule="auto" w:before="0"/>
        <w:ind w:left="565" w:right="204" w:firstLine="0"/>
        <w:jc w:val="left"/>
        <w:rPr>
          <w:rFonts w:ascii="宋体" w:hAnsi="宋体" w:cs="宋体" w:eastAsia="宋体" w:hint="default"/>
          <w:sz w:val="21"/>
          <w:szCs w:val="21"/>
        </w:rPr>
      </w:pPr>
      <w:r>
        <w:rPr>
          <w:rFonts w:ascii="宋体" w:hAnsi="宋体" w:cs="宋体" w:eastAsia="宋体" w:hint="default"/>
          <w:sz w:val="21"/>
          <w:szCs w:val="21"/>
        </w:rPr>
        <w:t>本公司主要通过联通</w:t>
      </w:r>
      <w:r>
        <w:rPr>
          <w:rFonts w:ascii="宋体" w:hAnsi="宋体" w:cs="宋体" w:eastAsia="宋体" w:hint="default"/>
          <w:spacing w:val="-53"/>
          <w:sz w:val="21"/>
          <w:szCs w:val="21"/>
        </w:rPr>
        <w:t> </w:t>
      </w:r>
      <w:r>
        <w:rPr>
          <w:rFonts w:ascii="Arial" w:hAnsi="Arial" w:cs="Arial" w:eastAsia="Arial" w:hint="default"/>
          <w:sz w:val="21"/>
          <w:szCs w:val="21"/>
        </w:rPr>
        <w:t>BVI</w:t>
      </w:r>
      <w:r>
        <w:rPr>
          <w:rFonts w:ascii="Arial" w:hAnsi="Arial" w:cs="Arial" w:eastAsia="Arial" w:hint="default"/>
          <w:spacing w:val="-10"/>
          <w:sz w:val="21"/>
          <w:szCs w:val="21"/>
        </w:rPr>
        <w:t> </w:t>
      </w:r>
      <w:r>
        <w:rPr>
          <w:rFonts w:ascii="宋体" w:hAnsi="宋体" w:cs="宋体" w:eastAsia="宋体" w:hint="default"/>
          <w:sz w:val="21"/>
          <w:szCs w:val="21"/>
        </w:rPr>
        <w:t>公司及其子公司联通红筹公司控股的联通运营公司在中国境内提</w:t>
      </w:r>
      <w:r>
        <w:rPr>
          <w:rFonts w:ascii="宋体" w:hAnsi="宋体" w:cs="宋体" w:eastAsia="宋体" w:hint="default"/>
          <w:w w:val="100"/>
          <w:sz w:val="21"/>
          <w:szCs w:val="21"/>
        </w:rPr>
        <w:t> </w:t>
      </w:r>
      <w:r>
        <w:rPr>
          <w:rFonts w:ascii="宋体" w:hAnsi="宋体" w:cs="宋体" w:eastAsia="宋体" w:hint="default"/>
          <w:spacing w:val="-3"/>
          <w:sz w:val="21"/>
          <w:szCs w:val="21"/>
        </w:rPr>
        <w:t>供综合电信服务，本公司亦通过联通红筹公司的香港及中国境外的子公司在其当地经营电信</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互联等通信服务。联通运营公司于本公司上市之初的主营业务包括：</w:t>
      </w:r>
    </w:p>
    <w:p>
      <w:pPr>
        <w:spacing w:line="240" w:lineRule="auto" w:before="6"/>
        <w:rPr>
          <w:rFonts w:ascii="宋体" w:hAnsi="宋体" w:cs="宋体" w:eastAsia="宋体" w:hint="default"/>
          <w:sz w:val="20"/>
          <w:szCs w:val="20"/>
        </w:rPr>
      </w:pPr>
    </w:p>
    <w:p>
      <w:pPr>
        <w:spacing w:line="272" w:lineRule="exact" w:before="0"/>
        <w:ind w:left="961" w:right="204" w:hanging="36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pacing w:val="-62"/>
          <w:sz w:val="21"/>
          <w:szCs w:val="21"/>
        </w:rPr>
        <w:t> </w:t>
      </w:r>
      <w:r>
        <w:rPr>
          <w:rFonts w:ascii="宋体" w:hAnsi="宋体" w:cs="宋体" w:eastAsia="宋体" w:hint="default"/>
          <w:spacing w:val="-3"/>
          <w:sz w:val="21"/>
          <w:szCs w:val="21"/>
        </w:rPr>
        <w:t>在中国的广东、福建、安徽、江苏、浙江、山东、辽宁、河北及湖北</w:t>
      </w:r>
      <w:r>
        <w:rPr>
          <w:rFonts w:ascii="宋体" w:hAnsi="宋体" w:cs="宋体" w:eastAsia="宋体" w:hint="default"/>
          <w:spacing w:val="-34"/>
          <w:sz w:val="21"/>
          <w:szCs w:val="21"/>
        </w:rPr>
        <w:t> </w:t>
      </w:r>
      <w:r>
        <w:rPr>
          <w:rFonts w:ascii="Arial" w:hAnsi="Arial" w:cs="Arial" w:eastAsia="Arial" w:hint="default"/>
          <w:sz w:val="21"/>
          <w:szCs w:val="21"/>
        </w:rPr>
        <w:t>9</w:t>
      </w:r>
      <w:r>
        <w:rPr>
          <w:rFonts w:ascii="Arial" w:hAnsi="Arial" w:cs="Arial" w:eastAsia="Arial" w:hint="default"/>
          <w:spacing w:val="14"/>
          <w:sz w:val="21"/>
          <w:szCs w:val="21"/>
        </w:rPr>
        <w:t> </w:t>
      </w:r>
      <w:r>
        <w:rPr>
          <w:rFonts w:ascii="宋体" w:hAnsi="宋体" w:cs="宋体" w:eastAsia="宋体" w:hint="default"/>
          <w:spacing w:val="-3"/>
          <w:sz w:val="21"/>
          <w:szCs w:val="21"/>
        </w:rPr>
        <w:t>个省和北京、上</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海、天津</w:t>
      </w:r>
      <w:r>
        <w:rPr>
          <w:rFonts w:ascii="宋体" w:hAnsi="宋体" w:cs="宋体" w:eastAsia="宋体" w:hint="default"/>
          <w:spacing w:val="-57"/>
          <w:sz w:val="21"/>
          <w:szCs w:val="21"/>
        </w:rPr>
        <w:t> </w:t>
      </w:r>
      <w:r>
        <w:rPr>
          <w:rFonts w:ascii="Arial" w:hAnsi="Arial" w:cs="Arial" w:eastAsia="Arial" w:hint="default"/>
          <w:sz w:val="21"/>
          <w:szCs w:val="21"/>
        </w:rPr>
        <w:t>3</w:t>
      </w:r>
      <w:r>
        <w:rPr>
          <w:rFonts w:ascii="Arial" w:hAnsi="Arial" w:cs="Arial" w:eastAsia="Arial" w:hint="default"/>
          <w:spacing w:val="-8"/>
          <w:sz w:val="21"/>
          <w:szCs w:val="21"/>
        </w:rPr>
        <w:t> </w:t>
      </w:r>
      <w:r>
        <w:rPr>
          <w:rFonts w:ascii="宋体" w:hAnsi="宋体" w:cs="宋体" w:eastAsia="宋体" w:hint="default"/>
          <w:sz w:val="21"/>
          <w:szCs w:val="21"/>
        </w:rPr>
        <w:t>个直辖市的移动通信业务（包括</w:t>
      </w:r>
      <w:r>
        <w:rPr>
          <w:rFonts w:ascii="宋体" w:hAnsi="宋体" w:cs="宋体" w:eastAsia="宋体" w:hint="default"/>
          <w:spacing w:val="-55"/>
          <w:sz w:val="21"/>
          <w:szCs w:val="21"/>
        </w:rPr>
        <w:t> </w:t>
      </w:r>
      <w:r>
        <w:rPr>
          <w:rFonts w:ascii="Arial" w:hAnsi="Arial" w:cs="Arial" w:eastAsia="Arial" w:hint="default"/>
          <w:sz w:val="21"/>
          <w:szCs w:val="21"/>
        </w:rPr>
        <w:t>GSM</w:t>
      </w:r>
      <w:r>
        <w:rPr>
          <w:rFonts w:ascii="Arial" w:hAnsi="Arial" w:cs="Arial" w:eastAsia="Arial" w:hint="default"/>
          <w:spacing w:val="-11"/>
          <w:sz w:val="21"/>
          <w:szCs w:val="21"/>
        </w:rPr>
        <w:t> </w:t>
      </w:r>
      <w:r>
        <w:rPr>
          <w:rFonts w:ascii="宋体" w:hAnsi="宋体" w:cs="宋体" w:eastAsia="宋体" w:hint="default"/>
          <w:sz w:val="21"/>
          <w:szCs w:val="21"/>
        </w:rPr>
        <w:t>和</w:t>
      </w:r>
      <w:r>
        <w:rPr>
          <w:rFonts w:ascii="宋体" w:hAnsi="宋体" w:cs="宋体" w:eastAsia="宋体" w:hint="default"/>
          <w:spacing w:val="-55"/>
          <w:sz w:val="21"/>
          <w:szCs w:val="21"/>
        </w:rPr>
        <w:t> </w:t>
      </w:r>
      <w:r>
        <w:rPr>
          <w:rFonts w:ascii="Arial" w:hAnsi="Arial" w:cs="Arial" w:eastAsia="Arial" w:hint="default"/>
          <w:sz w:val="21"/>
          <w:szCs w:val="21"/>
        </w:rPr>
        <w:t>CDMA</w:t>
      </w:r>
      <w:r>
        <w:rPr>
          <w:rFonts w:ascii="Arial" w:hAnsi="Arial" w:cs="Arial" w:eastAsia="Arial" w:hint="default"/>
          <w:spacing w:val="-9"/>
          <w:sz w:val="21"/>
          <w:szCs w:val="21"/>
        </w:rPr>
        <w:t> </w:t>
      </w:r>
      <w:r>
        <w:rPr>
          <w:rFonts w:ascii="宋体" w:hAnsi="宋体" w:cs="宋体" w:eastAsia="宋体" w:hint="default"/>
          <w:sz w:val="21"/>
          <w:szCs w:val="21"/>
        </w:rPr>
        <w:t>移动通信业务）；</w:t>
      </w:r>
    </w:p>
    <w:p>
      <w:pPr>
        <w:spacing w:line="240" w:lineRule="auto" w:before="5"/>
        <w:rPr>
          <w:rFonts w:ascii="宋体" w:hAnsi="宋体" w:cs="宋体" w:eastAsia="宋体" w:hint="default"/>
          <w:sz w:val="18"/>
          <w:szCs w:val="18"/>
        </w:rPr>
      </w:pPr>
    </w:p>
    <w:p>
      <w:pPr>
        <w:spacing w:line="274" w:lineRule="exact" w:before="0"/>
        <w:ind w:left="961" w:right="204" w:hanging="36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pacing w:val="-57"/>
          <w:sz w:val="21"/>
          <w:szCs w:val="21"/>
        </w:rPr>
        <w:t> </w:t>
      </w:r>
      <w:r>
        <w:rPr>
          <w:rFonts w:ascii="宋体" w:hAnsi="宋体" w:cs="宋体" w:eastAsia="宋体" w:hint="default"/>
          <w:spacing w:val="-3"/>
          <w:sz w:val="21"/>
          <w:szCs w:val="21"/>
        </w:rPr>
        <w:t>全国的国内及国际长途电话业务，包括利用互联网传输的话音业务（</w:t>
      </w:r>
      <w:r>
        <w:rPr>
          <w:rFonts w:ascii="Arial" w:hAnsi="Arial" w:cs="Arial" w:eastAsia="Arial" w:hint="default"/>
          <w:spacing w:val="-3"/>
          <w:sz w:val="21"/>
          <w:szCs w:val="21"/>
        </w:rPr>
        <w:t>IP</w:t>
      </w:r>
      <w:r>
        <w:rPr>
          <w:rFonts w:ascii="Arial" w:hAnsi="Arial" w:cs="Arial" w:eastAsia="Arial" w:hint="default"/>
          <w:spacing w:val="20"/>
          <w:sz w:val="21"/>
          <w:szCs w:val="21"/>
        </w:rPr>
        <w:t> </w:t>
      </w:r>
      <w:r>
        <w:rPr>
          <w:rFonts w:ascii="宋体" w:hAnsi="宋体" w:cs="宋体" w:eastAsia="宋体" w:hint="default"/>
          <w:spacing w:val="-6"/>
          <w:sz w:val="21"/>
          <w:szCs w:val="21"/>
        </w:rPr>
        <w:t>电话）和全国数</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据及互联网业务和数字寻呼业务。</w:t>
      </w:r>
    </w:p>
    <w:p>
      <w:pPr>
        <w:spacing w:line="240" w:lineRule="auto" w:before="1"/>
        <w:rPr>
          <w:rFonts w:ascii="宋体" w:hAnsi="宋体" w:cs="宋体" w:eastAsia="宋体" w:hint="default"/>
          <w:sz w:val="17"/>
          <w:szCs w:val="17"/>
        </w:rPr>
      </w:pPr>
    </w:p>
    <w:p>
      <w:pPr>
        <w:spacing w:line="230" w:lineRule="auto" w:before="0"/>
        <w:ind w:left="565" w:right="100" w:firstLine="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47"/>
          <w:sz w:val="21"/>
          <w:szCs w:val="21"/>
        </w:rPr>
        <w:t> </w:t>
      </w:r>
      <w:r>
        <w:rPr>
          <w:rFonts w:ascii="Arial" w:hAnsi="Arial" w:cs="Arial" w:eastAsia="Arial" w:hint="default"/>
          <w:sz w:val="21"/>
          <w:szCs w:val="21"/>
        </w:rPr>
        <w:t>2002</w:t>
      </w:r>
      <w:r>
        <w:rPr>
          <w:rFonts w:ascii="Arial" w:hAnsi="Arial" w:cs="Arial" w:eastAsia="Arial"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Arial" w:hAnsi="Arial" w:cs="Arial" w:eastAsia="Arial" w:hint="default"/>
          <w:sz w:val="21"/>
          <w:szCs w:val="21"/>
        </w:rPr>
        <w:t>12</w:t>
      </w:r>
      <w:r>
        <w:rPr>
          <w:rFonts w:ascii="Arial" w:hAnsi="Arial" w:cs="Arial" w:eastAsia="Arial"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Arial" w:hAnsi="Arial" w:cs="Arial" w:eastAsia="Arial" w:hint="default"/>
          <w:sz w:val="21"/>
          <w:szCs w:val="21"/>
        </w:rPr>
        <w:t>31 </w:t>
      </w:r>
      <w:r>
        <w:rPr>
          <w:rFonts w:ascii="宋体" w:hAnsi="宋体" w:cs="宋体" w:eastAsia="宋体" w:hint="default"/>
          <w:spacing w:val="-3"/>
          <w:sz w:val="21"/>
          <w:szCs w:val="21"/>
        </w:rPr>
        <w:t>日，本公司通过联通红筹公司向联通集团收购了联通新世纪通信有限公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司（“联通新世纪”）的全部股权，使本集团的移动通信业务扩大到四川、黑龙江、吉林、</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河南、江西、广西、新疆、陕西</w:t>
      </w:r>
      <w:r>
        <w:rPr>
          <w:rFonts w:ascii="宋体" w:hAnsi="宋体" w:cs="宋体" w:eastAsia="宋体" w:hint="default"/>
          <w:spacing w:val="-53"/>
          <w:sz w:val="21"/>
          <w:szCs w:val="21"/>
        </w:rPr>
        <w:t> </w:t>
      </w:r>
      <w:r>
        <w:rPr>
          <w:rFonts w:ascii="Arial" w:hAnsi="Arial" w:cs="Arial" w:eastAsia="Arial" w:hint="default"/>
          <w:sz w:val="21"/>
          <w:szCs w:val="21"/>
        </w:rPr>
        <w:t>8</w:t>
      </w:r>
      <w:r>
        <w:rPr>
          <w:rFonts w:ascii="Arial" w:hAnsi="Arial" w:cs="Arial" w:eastAsia="Arial" w:hint="default"/>
          <w:spacing w:val="-8"/>
          <w:sz w:val="21"/>
          <w:szCs w:val="21"/>
        </w:rPr>
        <w:t> </w:t>
      </w:r>
      <w:r>
        <w:rPr>
          <w:rFonts w:ascii="宋体" w:hAnsi="宋体" w:cs="宋体" w:eastAsia="宋体" w:hint="default"/>
          <w:sz w:val="21"/>
          <w:szCs w:val="21"/>
        </w:rPr>
        <w:t>个省、自治区和重庆直辖市。后于</w:t>
      </w:r>
      <w:r>
        <w:rPr>
          <w:rFonts w:ascii="宋体" w:hAnsi="宋体" w:cs="宋体" w:eastAsia="宋体" w:hint="default"/>
          <w:spacing w:val="-52"/>
          <w:sz w:val="21"/>
          <w:szCs w:val="21"/>
        </w:rPr>
        <w:t> </w:t>
      </w:r>
      <w:r>
        <w:rPr>
          <w:rFonts w:ascii="Arial" w:hAnsi="Arial" w:cs="Arial" w:eastAsia="Arial" w:hint="default"/>
          <w:sz w:val="21"/>
          <w:szCs w:val="21"/>
        </w:rPr>
        <w:t>2004</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7</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30</w:t>
      </w:r>
      <w:r>
        <w:rPr>
          <w:rFonts w:ascii="Arial" w:hAnsi="Arial" w:cs="Arial" w:eastAsia="Arial" w:hint="default"/>
          <w:spacing w:val="-8"/>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联通运营公司完成了与联通新世纪的合并，联通新世纪被注销。</w:t>
      </w:r>
    </w:p>
    <w:p>
      <w:pPr>
        <w:spacing w:line="240" w:lineRule="auto" w:before="1"/>
        <w:rPr>
          <w:rFonts w:ascii="宋体" w:hAnsi="宋体" w:cs="宋体" w:eastAsia="宋体" w:hint="default"/>
          <w:sz w:val="19"/>
          <w:szCs w:val="19"/>
        </w:rPr>
      </w:pPr>
    </w:p>
    <w:p>
      <w:pPr>
        <w:spacing w:line="232" w:lineRule="auto" w:before="0"/>
        <w:ind w:left="565" w:right="207" w:firstLine="0"/>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47"/>
          <w:sz w:val="21"/>
          <w:szCs w:val="21"/>
        </w:rPr>
        <w:t> </w:t>
      </w:r>
      <w:r>
        <w:rPr>
          <w:rFonts w:ascii="Arial" w:hAnsi="Arial" w:cs="Arial" w:eastAsia="Arial" w:hint="default"/>
          <w:sz w:val="21"/>
          <w:szCs w:val="21"/>
        </w:rPr>
        <w:t>2003</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Arial" w:hAnsi="Arial" w:cs="Arial" w:eastAsia="Arial" w:hint="default"/>
          <w:sz w:val="21"/>
          <w:szCs w:val="21"/>
        </w:rPr>
        <w:t>12</w:t>
      </w:r>
      <w:r>
        <w:rPr>
          <w:rFonts w:ascii="Arial" w:hAnsi="Arial" w:cs="Arial" w:eastAsia="Arial"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Arial" w:hAnsi="Arial" w:cs="Arial" w:eastAsia="Arial" w:hint="default"/>
          <w:sz w:val="21"/>
          <w:szCs w:val="21"/>
        </w:rPr>
        <w:t>31 </w:t>
      </w:r>
      <w:r>
        <w:rPr>
          <w:rFonts w:ascii="宋体" w:hAnsi="宋体" w:cs="宋体" w:eastAsia="宋体" w:hint="default"/>
          <w:spacing w:val="-3"/>
          <w:sz w:val="21"/>
          <w:szCs w:val="21"/>
        </w:rPr>
        <w:t>日，本公司与联通集团达成股权转让安排，本公司将全国的寻呼业务出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售与联通集团，本集团不再经营寻呼业务。与此同时，本公司还向联通集团收购其持有的联</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3"/>
          <w:sz w:val="21"/>
          <w:szCs w:val="21"/>
        </w:rPr>
        <w:t>通新世界通信有限公司（“联通新世界”）的全部股权，收购完成后，本集团的移动通信业</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务扩大到山西、内蒙古、湖南、海南、云南、宁夏、甘肃、青海和西藏 </w:t>
      </w:r>
      <w:r>
        <w:rPr>
          <w:rFonts w:ascii="Arial" w:hAnsi="Arial" w:cs="Arial" w:eastAsia="Arial" w:hint="default"/>
          <w:sz w:val="21"/>
          <w:szCs w:val="21"/>
        </w:rPr>
        <w:t>9</w:t>
      </w:r>
      <w:r>
        <w:rPr>
          <w:rFonts w:ascii="Arial" w:hAnsi="Arial" w:cs="Arial" w:eastAsia="Arial" w:hint="default"/>
          <w:spacing w:val="20"/>
          <w:sz w:val="21"/>
          <w:szCs w:val="21"/>
        </w:rPr>
        <w:t> </w:t>
      </w:r>
      <w:r>
        <w:rPr>
          <w:rFonts w:ascii="宋体" w:hAnsi="宋体" w:cs="宋体" w:eastAsia="宋体" w:hint="default"/>
          <w:spacing w:val="-4"/>
          <w:sz w:val="21"/>
          <w:szCs w:val="21"/>
        </w:rPr>
        <w:t>个省、自治区。后</w:t>
      </w:r>
    </w:p>
    <w:p>
      <w:pPr>
        <w:spacing w:line="273" w:lineRule="exact" w:before="0"/>
        <w:ind w:left="565" w:right="204" w:firstLine="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Arial" w:hAnsi="Arial" w:cs="Arial" w:eastAsia="Arial" w:hint="default"/>
          <w:sz w:val="21"/>
          <w:szCs w:val="21"/>
        </w:rPr>
        <w:t>2005</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9</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8"/>
          <w:sz w:val="21"/>
          <w:szCs w:val="21"/>
        </w:rPr>
        <w:t> </w:t>
      </w:r>
      <w:r>
        <w:rPr>
          <w:rFonts w:ascii="宋体" w:hAnsi="宋体" w:cs="宋体" w:eastAsia="宋体" w:hint="default"/>
          <w:sz w:val="21"/>
          <w:szCs w:val="21"/>
        </w:rPr>
        <w:t>日，联通运营公司完成了与联通新世界的合并，联通新世界被注销。</w:t>
      </w:r>
    </w:p>
    <w:p>
      <w:pPr>
        <w:spacing w:line="240" w:lineRule="auto" w:before="6"/>
        <w:rPr>
          <w:rFonts w:ascii="宋体" w:hAnsi="宋体" w:cs="宋体" w:eastAsia="宋体" w:hint="default"/>
          <w:sz w:val="19"/>
          <w:szCs w:val="19"/>
        </w:rPr>
      </w:pPr>
    </w:p>
    <w:p>
      <w:pPr>
        <w:spacing w:line="272" w:lineRule="exact" w:before="0"/>
        <w:ind w:left="565" w:right="100" w:firstLine="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48"/>
          <w:sz w:val="21"/>
          <w:szCs w:val="21"/>
        </w:rPr>
        <w:t> </w:t>
      </w:r>
      <w:r>
        <w:rPr>
          <w:rFonts w:ascii="Arial" w:hAnsi="Arial" w:cs="Arial" w:eastAsia="Arial" w:hint="default"/>
          <w:sz w:val="21"/>
          <w:szCs w:val="21"/>
        </w:rPr>
        <w:t>2007</w:t>
      </w:r>
      <w:r>
        <w:rPr>
          <w:rFonts w:ascii="Arial" w:hAnsi="Arial" w:cs="Arial" w:eastAsia="Arial"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Arial" w:hAnsi="Arial" w:cs="Arial" w:eastAsia="Arial" w:hint="default"/>
          <w:sz w:val="21"/>
          <w:szCs w:val="21"/>
        </w:rPr>
        <w:t>12</w:t>
      </w:r>
      <w:r>
        <w:rPr>
          <w:rFonts w:ascii="Arial" w:hAnsi="Arial" w:cs="Arial" w:eastAsia="Arial"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Arial" w:hAnsi="Arial" w:cs="Arial" w:eastAsia="Arial" w:hint="default"/>
          <w:sz w:val="21"/>
          <w:szCs w:val="21"/>
        </w:rPr>
        <w:t>31</w:t>
      </w:r>
      <w:r>
        <w:rPr>
          <w:rFonts w:ascii="Arial" w:hAnsi="Arial" w:cs="Arial" w:eastAsia="Arial" w:hint="default"/>
          <w:spacing w:val="-1"/>
          <w:sz w:val="21"/>
          <w:szCs w:val="21"/>
        </w:rPr>
        <w:t> </w:t>
      </w:r>
      <w:r>
        <w:rPr>
          <w:rFonts w:ascii="宋体" w:hAnsi="宋体" w:cs="宋体" w:eastAsia="宋体" w:hint="default"/>
          <w:spacing w:val="-3"/>
          <w:sz w:val="21"/>
          <w:szCs w:val="21"/>
        </w:rPr>
        <w:t>日，本公司再次完成联通集团收购其贵州分公司的移动通信业务及相关</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Arial" w:hAnsi="Arial" w:cs="Arial" w:eastAsia="Arial" w:hint="default"/>
          <w:sz w:val="21"/>
          <w:szCs w:val="21"/>
        </w:rPr>
        <w:t>GSM </w:t>
      </w:r>
      <w:r>
        <w:rPr>
          <w:rFonts w:ascii="宋体" w:hAnsi="宋体" w:cs="宋体" w:eastAsia="宋体" w:hint="default"/>
          <w:spacing w:val="-4"/>
          <w:sz w:val="21"/>
          <w:szCs w:val="21"/>
        </w:rPr>
        <w:t>网络资产，使得本集团的移动业务覆盖范围扩大到全国范围（不包括香港特别行政区、</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澳门特别行政区和台湾地区）。</w:t>
      </w:r>
    </w:p>
    <w:p>
      <w:pPr>
        <w:spacing w:line="240" w:lineRule="auto" w:before="9"/>
        <w:rPr>
          <w:rFonts w:ascii="宋体" w:hAnsi="宋体" w:cs="宋体" w:eastAsia="宋体" w:hint="default"/>
          <w:sz w:val="17"/>
          <w:szCs w:val="17"/>
        </w:rPr>
      </w:pPr>
    </w:p>
    <w:p>
      <w:pPr>
        <w:spacing w:line="225" w:lineRule="auto" w:before="0"/>
        <w:ind w:left="565" w:right="207" w:firstLine="0"/>
        <w:jc w:val="both"/>
        <w:rPr>
          <w:rFonts w:ascii="宋体" w:hAnsi="宋体" w:cs="宋体" w:eastAsia="宋体" w:hint="default"/>
          <w:sz w:val="21"/>
          <w:szCs w:val="21"/>
        </w:rPr>
      </w:pPr>
      <w:r>
        <w:rPr>
          <w:rFonts w:ascii="宋体" w:hAnsi="宋体" w:cs="宋体" w:eastAsia="宋体" w:hint="default"/>
          <w:spacing w:val="-6"/>
          <w:w w:val="100"/>
          <w:sz w:val="21"/>
          <w:szCs w:val="21"/>
        </w:rPr>
        <w:t>另外，根据本公司与联通集团及其子公司联通新时空在</w:t>
      </w:r>
      <w:r>
        <w:rPr>
          <w:rFonts w:ascii="宋体" w:hAnsi="宋体" w:cs="宋体" w:eastAsia="宋体" w:hint="default"/>
          <w:spacing w:val="-47"/>
          <w:w w:val="100"/>
          <w:sz w:val="21"/>
          <w:szCs w:val="21"/>
        </w:rPr>
        <w:t> </w:t>
      </w:r>
      <w:r>
        <w:rPr>
          <w:rFonts w:ascii="Arial" w:hAnsi="Arial" w:cs="Arial" w:eastAsia="Arial" w:hint="default"/>
          <w:spacing w:val="-1"/>
          <w:w w:val="100"/>
          <w:sz w:val="21"/>
          <w:szCs w:val="21"/>
        </w:rPr>
        <w:t>2002 </w:t>
      </w:r>
      <w:r>
        <w:rPr>
          <w:rFonts w:ascii="宋体" w:hAnsi="宋体" w:cs="宋体" w:eastAsia="宋体" w:hint="default"/>
          <w:spacing w:val="-2"/>
          <w:w w:val="100"/>
          <w:sz w:val="21"/>
          <w:szCs w:val="21"/>
        </w:rPr>
        <w:t>年签订的有条件租赁</w:t>
      </w:r>
      <w:r>
        <w:rPr>
          <w:rFonts w:ascii="宋体" w:hAnsi="宋体" w:cs="宋体" w:eastAsia="宋体" w:hint="default"/>
          <w:spacing w:val="-49"/>
          <w:w w:val="100"/>
          <w:sz w:val="21"/>
          <w:szCs w:val="21"/>
        </w:rPr>
        <w:t> </w:t>
      </w:r>
      <w:r>
        <w:rPr>
          <w:rFonts w:ascii="Arial" w:hAnsi="Arial" w:cs="Arial" w:eastAsia="Arial" w:hint="default"/>
          <w:spacing w:val="-2"/>
          <w:w w:val="100"/>
          <w:sz w:val="21"/>
          <w:szCs w:val="21"/>
        </w:rPr>
        <w:t>CDMA</w:t>
      </w:r>
      <w:r>
        <w:rPr>
          <w:rFonts w:ascii="Arial" w:hAnsi="Arial" w:cs="Arial" w:eastAsia="Arial" w:hint="default"/>
          <w:spacing w:val="1"/>
          <w:w w:val="100"/>
          <w:sz w:val="21"/>
          <w:szCs w:val="21"/>
        </w:rPr>
        <w:t> </w:t>
      </w:r>
      <w:r>
        <w:rPr>
          <w:rFonts w:ascii="宋体" w:hAnsi="宋体" w:cs="宋体" w:eastAsia="宋体" w:hint="default"/>
          <w:w w:val="100"/>
          <w:sz w:val="21"/>
          <w:szCs w:val="21"/>
        </w:rPr>
        <w:t>网</w:t>
      </w:r>
      <w:r>
        <w:rPr>
          <w:rFonts w:ascii="宋体" w:hAnsi="宋体" w:cs="宋体" w:eastAsia="宋体" w:hint="default"/>
          <w:spacing w:val="-103"/>
          <w:w w:val="100"/>
          <w:sz w:val="21"/>
          <w:szCs w:val="21"/>
        </w:rPr>
        <w:t> </w:t>
      </w:r>
      <w:r>
        <w:rPr>
          <w:rFonts w:ascii="宋体" w:hAnsi="宋体" w:cs="宋体" w:eastAsia="宋体" w:hint="default"/>
          <w:spacing w:val="-5"/>
          <w:sz w:val="21"/>
          <w:szCs w:val="21"/>
        </w:rPr>
        <w:t>络容量协议，本集团的</w:t>
      </w:r>
      <w:r>
        <w:rPr>
          <w:rFonts w:ascii="宋体" w:hAnsi="宋体" w:cs="宋体" w:eastAsia="宋体" w:hint="default"/>
          <w:spacing w:val="-52"/>
          <w:sz w:val="21"/>
          <w:szCs w:val="21"/>
        </w:rPr>
        <w:t> </w:t>
      </w:r>
      <w:r>
        <w:rPr>
          <w:rFonts w:ascii="Arial" w:hAnsi="Arial" w:cs="Arial" w:eastAsia="Arial" w:hint="default"/>
          <w:sz w:val="21"/>
          <w:szCs w:val="21"/>
        </w:rPr>
        <w:t>CDMA</w:t>
      </w:r>
      <w:r>
        <w:rPr>
          <w:rFonts w:ascii="Arial" w:hAnsi="Arial" w:cs="Arial" w:eastAsia="Arial" w:hint="default"/>
          <w:spacing w:val="-2"/>
          <w:sz w:val="21"/>
          <w:szCs w:val="21"/>
        </w:rPr>
        <w:t> </w:t>
      </w:r>
      <w:r>
        <w:rPr>
          <w:rFonts w:ascii="宋体" w:hAnsi="宋体" w:cs="宋体" w:eastAsia="宋体" w:hint="default"/>
          <w:sz w:val="21"/>
          <w:szCs w:val="21"/>
        </w:rPr>
        <w:t>移动通信业务一直通过租赁联通新时空拥有的</w:t>
      </w:r>
      <w:r>
        <w:rPr>
          <w:rFonts w:ascii="宋体" w:hAnsi="宋体" w:cs="宋体" w:eastAsia="宋体" w:hint="default"/>
          <w:spacing w:val="-52"/>
          <w:sz w:val="21"/>
          <w:szCs w:val="21"/>
        </w:rPr>
        <w:t> </w:t>
      </w:r>
      <w:r>
        <w:rPr>
          <w:rFonts w:ascii="Arial" w:hAnsi="Arial" w:cs="Arial" w:eastAsia="Arial" w:hint="default"/>
          <w:sz w:val="21"/>
          <w:szCs w:val="21"/>
        </w:rPr>
        <w:t>CDMA</w:t>
      </w:r>
      <w:r>
        <w:rPr>
          <w:rFonts w:ascii="Arial" w:hAnsi="Arial" w:cs="Arial" w:eastAsia="Arial" w:hint="default"/>
          <w:spacing w:val="-4"/>
          <w:sz w:val="21"/>
          <w:szCs w:val="21"/>
        </w:rPr>
        <w:t> </w:t>
      </w:r>
      <w:r>
        <w:rPr>
          <w:rFonts w:ascii="宋体" w:hAnsi="宋体" w:cs="宋体" w:eastAsia="宋体" w:hint="default"/>
          <w:sz w:val="21"/>
          <w:szCs w:val="21"/>
        </w:rPr>
        <w:t>移动通</w:t>
      </w:r>
      <w:r>
        <w:rPr>
          <w:rFonts w:ascii="宋体" w:hAnsi="宋体" w:cs="宋体" w:eastAsia="宋体" w:hint="default"/>
          <w:w w:val="100"/>
          <w:sz w:val="21"/>
          <w:szCs w:val="21"/>
        </w:rPr>
        <w:t> </w:t>
      </w:r>
      <w:r>
        <w:rPr>
          <w:rFonts w:ascii="宋体" w:hAnsi="宋体" w:cs="宋体" w:eastAsia="宋体" w:hint="default"/>
          <w:sz w:val="21"/>
          <w:szCs w:val="21"/>
        </w:rPr>
        <w:t>信网络容量进行运营，首个租赁期始于</w:t>
      </w:r>
      <w:r>
        <w:rPr>
          <w:rFonts w:ascii="宋体" w:hAnsi="宋体" w:cs="宋体" w:eastAsia="宋体" w:hint="default"/>
          <w:spacing w:val="-52"/>
          <w:sz w:val="21"/>
          <w:szCs w:val="21"/>
        </w:rPr>
        <w:t> </w:t>
      </w:r>
      <w:r>
        <w:rPr>
          <w:rFonts w:ascii="Arial" w:hAnsi="Arial" w:cs="Arial" w:eastAsia="Arial" w:hint="default"/>
          <w:sz w:val="21"/>
          <w:szCs w:val="21"/>
        </w:rPr>
        <w:t>2002</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8</w:t>
      </w:r>
      <w:r>
        <w:rPr>
          <w:rFonts w:ascii="Arial" w:hAnsi="Arial" w:cs="Arial" w:eastAsia="Arial" w:hint="default"/>
          <w:spacing w:val="-8"/>
          <w:sz w:val="21"/>
          <w:szCs w:val="21"/>
        </w:rPr>
        <w:t> </w:t>
      </w:r>
      <w:r>
        <w:rPr>
          <w:rFonts w:ascii="宋体" w:hAnsi="宋体" w:cs="宋体" w:eastAsia="宋体" w:hint="default"/>
          <w:sz w:val="21"/>
          <w:szCs w:val="21"/>
        </w:rPr>
        <w:t>日。</w:t>
      </w:r>
    </w:p>
    <w:p>
      <w:pPr>
        <w:spacing w:after="0" w:line="225" w:lineRule="auto"/>
        <w:jc w:val="both"/>
        <w:rPr>
          <w:rFonts w:ascii="宋体" w:hAnsi="宋体" w:cs="宋体" w:eastAsia="宋体" w:hint="default"/>
          <w:sz w:val="21"/>
          <w:szCs w:val="21"/>
        </w:rPr>
        <w:sectPr>
          <w:pgSz w:w="11910" w:h="16840"/>
          <w:pgMar w:header="880" w:footer="1194" w:top="1120" w:bottom="1380" w:left="1660" w:right="1120"/>
        </w:sectPr>
      </w:pPr>
    </w:p>
    <w:p>
      <w:pPr>
        <w:spacing w:line="240" w:lineRule="auto" w:before="11"/>
        <w:rPr>
          <w:rFonts w:ascii="宋体" w:hAnsi="宋体" w:cs="宋体" w:eastAsia="宋体" w:hint="default"/>
          <w:sz w:val="29"/>
          <w:szCs w:val="29"/>
        </w:rPr>
      </w:pPr>
    </w:p>
    <w:p>
      <w:pPr>
        <w:spacing w:before="36"/>
        <w:ind w:left="138" w:right="204" w:firstLine="0"/>
        <w:jc w:val="left"/>
        <w:rPr>
          <w:rFonts w:ascii="宋体" w:hAnsi="宋体" w:cs="宋体" w:eastAsia="宋体" w:hint="default"/>
          <w:sz w:val="21"/>
          <w:szCs w:val="21"/>
        </w:rPr>
      </w:pPr>
      <w:r>
        <w:rPr>
          <w:rFonts w:ascii="宋体" w:hAnsi="宋体" w:cs="宋体" w:eastAsia="宋体" w:hint="default"/>
          <w:b/>
          <w:bCs/>
          <w:sz w:val="21"/>
          <w:szCs w:val="21"/>
        </w:rPr>
        <w:t>六、公司报告期内注册变更情况（续）</w:t>
      </w:r>
      <w:r>
        <w:rPr>
          <w:rFonts w:ascii="宋体" w:hAnsi="宋体" w:cs="宋体" w:eastAsia="宋体" w:hint="default"/>
          <w:sz w:val="21"/>
          <w:szCs w:val="21"/>
        </w:rPr>
      </w:r>
    </w:p>
    <w:p>
      <w:pPr>
        <w:spacing w:line="240" w:lineRule="auto" w:before="11"/>
        <w:rPr>
          <w:rFonts w:ascii="宋体" w:hAnsi="宋体" w:cs="宋体" w:eastAsia="宋体" w:hint="default"/>
          <w:b/>
          <w:bCs/>
          <w:sz w:val="29"/>
          <w:szCs w:val="29"/>
        </w:rPr>
      </w:pPr>
    </w:p>
    <w:p>
      <w:pPr>
        <w:spacing w:before="0"/>
        <w:ind w:left="138" w:right="204"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三</w:t>
      </w:r>
      <w:r>
        <w:rPr>
          <w:rFonts w:ascii="Arial" w:hAnsi="Arial" w:cs="Arial" w:eastAsia="Arial" w:hint="default"/>
          <w:b/>
          <w:bCs/>
          <w:sz w:val="21"/>
          <w:szCs w:val="21"/>
        </w:rPr>
        <w:t>)</w:t>
      </w:r>
      <w:r>
        <w:rPr>
          <w:rFonts w:ascii="Arial" w:hAnsi="Arial" w:cs="Arial" w:eastAsia="Arial" w:hint="default"/>
          <w:b/>
          <w:bCs/>
          <w:spacing w:val="18"/>
          <w:sz w:val="21"/>
          <w:szCs w:val="21"/>
        </w:rPr>
        <w:t> </w:t>
      </w:r>
      <w:r>
        <w:rPr>
          <w:rFonts w:ascii="宋体" w:hAnsi="宋体" w:cs="宋体" w:eastAsia="宋体" w:hint="default"/>
          <w:b/>
          <w:bCs/>
          <w:sz w:val="21"/>
          <w:szCs w:val="21"/>
        </w:rPr>
        <w:t>公司上市以来，主营业务的变化情况（续）</w:t>
      </w:r>
      <w:r>
        <w:rPr>
          <w:rFonts w:ascii="宋体" w:hAnsi="宋体" w:cs="宋体" w:eastAsia="宋体" w:hint="default"/>
          <w:sz w:val="21"/>
          <w:szCs w:val="21"/>
        </w:rPr>
      </w:r>
    </w:p>
    <w:p>
      <w:pPr>
        <w:spacing w:line="240" w:lineRule="auto" w:before="11"/>
        <w:rPr>
          <w:rFonts w:ascii="宋体" w:hAnsi="宋体" w:cs="宋体" w:eastAsia="宋体" w:hint="default"/>
          <w:b/>
          <w:bCs/>
          <w:sz w:val="22"/>
          <w:szCs w:val="22"/>
        </w:rPr>
      </w:pPr>
    </w:p>
    <w:p>
      <w:pPr>
        <w:spacing w:line="225" w:lineRule="auto" w:before="0"/>
        <w:ind w:left="565" w:right="207" w:firstLine="0"/>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4"/>
          <w:sz w:val="21"/>
          <w:szCs w:val="21"/>
        </w:rPr>
        <w:t> </w:t>
      </w:r>
      <w:r>
        <w:rPr>
          <w:rFonts w:ascii="Arial" w:hAnsi="Arial" w:cs="Arial" w:eastAsia="Arial" w:hint="default"/>
          <w:sz w:val="21"/>
          <w:szCs w:val="21"/>
        </w:rPr>
        <w:t>2008</w:t>
      </w:r>
      <w:r>
        <w:rPr>
          <w:rFonts w:ascii="Arial" w:hAnsi="Arial" w:cs="Arial" w:eastAsia="Arial"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24</w:t>
      </w:r>
      <w:r>
        <w:rPr>
          <w:rFonts w:ascii="Arial" w:hAnsi="Arial" w:cs="Arial" w:eastAsia="Arial" w:hint="default"/>
          <w:spacing w:val="-7"/>
          <w:sz w:val="21"/>
          <w:szCs w:val="21"/>
        </w:rPr>
        <w:t> </w:t>
      </w:r>
      <w:r>
        <w:rPr>
          <w:rFonts w:ascii="宋体" w:hAnsi="宋体" w:cs="宋体" w:eastAsia="宋体" w:hint="default"/>
          <w:sz w:val="21"/>
          <w:szCs w:val="21"/>
        </w:rPr>
        <w:t>日，工信部、发改委和财政部联合发出的《关于深化电信体制改革的通</w:t>
      </w:r>
      <w:r>
        <w:rPr>
          <w:rFonts w:ascii="宋体" w:hAnsi="宋体" w:cs="宋体" w:eastAsia="宋体" w:hint="default"/>
          <w:w w:val="100"/>
          <w:sz w:val="21"/>
          <w:szCs w:val="21"/>
        </w:rPr>
        <w:t> </w:t>
      </w:r>
      <w:r>
        <w:rPr>
          <w:rFonts w:ascii="宋体" w:hAnsi="宋体" w:cs="宋体" w:eastAsia="宋体" w:hint="default"/>
          <w:sz w:val="21"/>
          <w:szCs w:val="21"/>
        </w:rPr>
        <w:t>告》，鼓励中国电信收购中国联通</w:t>
      </w:r>
      <w:r>
        <w:rPr>
          <w:rFonts w:ascii="宋体" w:hAnsi="宋体" w:cs="宋体" w:eastAsia="宋体" w:hint="default"/>
          <w:spacing w:val="-57"/>
          <w:sz w:val="21"/>
          <w:szCs w:val="21"/>
        </w:rPr>
        <w:t> </w:t>
      </w:r>
      <w:r>
        <w:rPr>
          <w:rFonts w:ascii="Arial" w:hAnsi="Arial" w:cs="Arial" w:eastAsia="Arial" w:hint="default"/>
          <w:sz w:val="21"/>
          <w:szCs w:val="21"/>
        </w:rPr>
        <w:t>CDMA</w:t>
      </w:r>
      <w:r>
        <w:rPr>
          <w:rFonts w:ascii="Arial" w:hAnsi="Arial" w:cs="Arial" w:eastAsia="Arial" w:hint="default"/>
          <w:spacing w:val="-8"/>
          <w:sz w:val="21"/>
          <w:szCs w:val="21"/>
        </w:rPr>
        <w:t> </w:t>
      </w:r>
      <w:r>
        <w:rPr>
          <w:rFonts w:ascii="宋体" w:hAnsi="宋体" w:cs="宋体" w:eastAsia="宋体" w:hint="default"/>
          <w:sz w:val="21"/>
          <w:szCs w:val="21"/>
        </w:rPr>
        <w:t>网络，中国联通和中国网通合并以深化对中国电</w:t>
      </w:r>
      <w:r>
        <w:rPr>
          <w:rFonts w:ascii="宋体" w:hAnsi="宋体" w:cs="宋体" w:eastAsia="宋体" w:hint="default"/>
          <w:w w:val="100"/>
          <w:sz w:val="21"/>
          <w:szCs w:val="21"/>
        </w:rPr>
        <w:t> </w:t>
      </w:r>
      <w:r>
        <w:rPr>
          <w:rFonts w:ascii="宋体" w:hAnsi="宋体" w:cs="宋体" w:eastAsia="宋体" w:hint="default"/>
          <w:spacing w:val="-5"/>
          <w:sz w:val="21"/>
          <w:szCs w:val="21"/>
        </w:rPr>
        <w:t>信行业的改革。作为对此的回应，于</w:t>
      </w:r>
      <w:r>
        <w:rPr>
          <w:rFonts w:ascii="宋体" w:hAnsi="宋体" w:cs="宋体" w:eastAsia="宋体" w:hint="default"/>
          <w:spacing w:val="-52"/>
          <w:sz w:val="21"/>
          <w:szCs w:val="21"/>
        </w:rPr>
        <w:t> </w:t>
      </w:r>
      <w:r>
        <w:rPr>
          <w:rFonts w:ascii="Arial" w:hAnsi="Arial" w:cs="Arial" w:eastAsia="Arial" w:hint="default"/>
          <w:sz w:val="21"/>
          <w:szCs w:val="21"/>
        </w:rPr>
        <w:t>2008</w:t>
      </w:r>
      <w:r>
        <w:rPr>
          <w:rFonts w:ascii="Arial" w:hAnsi="Arial" w:cs="Arial" w:eastAsia="Arial"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6</w:t>
      </w:r>
      <w:r>
        <w:rPr>
          <w:rFonts w:ascii="Arial" w:hAnsi="Arial" w:cs="Arial" w:eastAsia="Arial"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w:t>
      </w:r>
      <w:r>
        <w:rPr>
          <w:rFonts w:ascii="Arial" w:hAnsi="Arial" w:cs="Arial" w:eastAsia="Arial" w:hint="default"/>
          <w:spacing w:val="-3"/>
          <w:sz w:val="21"/>
          <w:szCs w:val="21"/>
        </w:rPr>
        <w:t> </w:t>
      </w:r>
      <w:r>
        <w:rPr>
          <w:rFonts w:ascii="宋体" w:hAnsi="宋体" w:cs="宋体" w:eastAsia="宋体" w:hint="default"/>
          <w:sz w:val="21"/>
          <w:szCs w:val="21"/>
        </w:rPr>
        <w:t>日和</w:t>
      </w:r>
      <w:r>
        <w:rPr>
          <w:rFonts w:ascii="宋体" w:hAnsi="宋体" w:cs="宋体" w:eastAsia="宋体" w:hint="default"/>
          <w:spacing w:val="-50"/>
          <w:sz w:val="21"/>
          <w:szCs w:val="21"/>
        </w:rPr>
        <w:t> </w:t>
      </w:r>
      <w:r>
        <w:rPr>
          <w:rFonts w:ascii="Arial" w:hAnsi="Arial" w:cs="Arial" w:eastAsia="Arial" w:hint="default"/>
          <w:sz w:val="21"/>
          <w:szCs w:val="21"/>
        </w:rPr>
        <w:t>2008</w:t>
      </w:r>
      <w:r>
        <w:rPr>
          <w:rFonts w:ascii="Arial" w:hAnsi="Arial" w:cs="Arial" w:eastAsia="Arial"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w:hAnsi="Arial" w:cs="Arial" w:eastAsia="Arial" w:hint="default"/>
          <w:sz w:val="21"/>
          <w:szCs w:val="21"/>
        </w:rPr>
        <w:t>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Arial" w:hAnsi="Arial" w:cs="Arial" w:eastAsia="Arial" w:hint="default"/>
          <w:sz w:val="21"/>
          <w:szCs w:val="21"/>
        </w:rPr>
        <w:t>27</w:t>
      </w:r>
      <w:r>
        <w:rPr>
          <w:rFonts w:ascii="Arial" w:hAnsi="Arial" w:cs="Arial" w:eastAsia="Arial" w:hint="default"/>
          <w:spacing w:val="-5"/>
          <w:sz w:val="21"/>
          <w:szCs w:val="21"/>
        </w:rPr>
        <w:t> </w:t>
      </w:r>
      <w:r>
        <w:rPr>
          <w:rFonts w:ascii="宋体" w:hAnsi="宋体" w:cs="宋体" w:eastAsia="宋体" w:hint="default"/>
          <w:spacing w:val="-8"/>
          <w:sz w:val="21"/>
          <w:szCs w:val="21"/>
        </w:rPr>
        <w:t>日，本公司、联通</w:t>
      </w:r>
      <w:r>
        <w:rPr>
          <w:rFonts w:ascii="宋体" w:hAnsi="宋体" w:cs="宋体" w:eastAsia="宋体" w:hint="default"/>
          <w:w w:val="100"/>
          <w:sz w:val="21"/>
          <w:szCs w:val="21"/>
        </w:rPr>
        <w:t> </w:t>
      </w:r>
      <w:r>
        <w:rPr>
          <w:rFonts w:ascii="宋体" w:hAnsi="宋体" w:cs="宋体" w:eastAsia="宋体" w:hint="default"/>
          <w:sz w:val="21"/>
          <w:szCs w:val="21"/>
        </w:rPr>
        <w:t>红筹公司与中国电信分别订立了《关于转让</w:t>
      </w:r>
      <w:r>
        <w:rPr>
          <w:rFonts w:ascii="宋体" w:hAnsi="宋体" w:cs="宋体" w:eastAsia="宋体" w:hint="default"/>
          <w:spacing w:val="-57"/>
          <w:sz w:val="21"/>
          <w:szCs w:val="21"/>
        </w:rPr>
        <w:t> </w:t>
      </w:r>
      <w:r>
        <w:rPr>
          <w:rFonts w:ascii="Arial" w:hAnsi="Arial" w:cs="Arial" w:eastAsia="Arial" w:hint="default"/>
          <w:sz w:val="21"/>
          <w:szCs w:val="21"/>
        </w:rPr>
        <w:t>CDMA</w:t>
      </w:r>
      <w:r>
        <w:rPr>
          <w:rFonts w:ascii="Arial" w:hAnsi="Arial" w:cs="Arial" w:eastAsia="Arial" w:hint="default"/>
          <w:spacing w:val="-9"/>
          <w:sz w:val="21"/>
          <w:szCs w:val="21"/>
        </w:rPr>
        <w:t> </w:t>
      </w:r>
      <w:r>
        <w:rPr>
          <w:rFonts w:ascii="宋体" w:hAnsi="宋体" w:cs="宋体" w:eastAsia="宋体" w:hint="default"/>
          <w:sz w:val="21"/>
          <w:szCs w:val="21"/>
        </w:rPr>
        <w:t>业务的框架协议》和《关于转让</w:t>
      </w:r>
      <w:r>
        <w:rPr>
          <w:rFonts w:ascii="宋体" w:hAnsi="宋体" w:cs="宋体" w:eastAsia="宋体" w:hint="default"/>
          <w:spacing w:val="-54"/>
          <w:sz w:val="21"/>
          <w:szCs w:val="21"/>
        </w:rPr>
        <w:t> </w:t>
      </w:r>
      <w:r>
        <w:rPr>
          <w:rFonts w:ascii="Arial" w:hAnsi="Arial" w:cs="Arial" w:eastAsia="Arial" w:hint="default"/>
          <w:sz w:val="21"/>
          <w:szCs w:val="21"/>
        </w:rPr>
        <w:t>CDMA</w:t>
      </w:r>
      <w:r>
        <w:rPr>
          <w:rFonts w:ascii="Arial" w:hAnsi="Arial" w:cs="Arial" w:eastAsia="Arial" w:hint="default"/>
          <w:w w:val="100"/>
          <w:sz w:val="21"/>
          <w:szCs w:val="21"/>
        </w:rPr>
        <w:t> </w:t>
      </w:r>
      <w:r>
        <w:rPr>
          <w:rFonts w:ascii="宋体" w:hAnsi="宋体" w:cs="宋体" w:eastAsia="宋体" w:hint="default"/>
          <w:sz w:val="21"/>
          <w:szCs w:val="21"/>
        </w:rPr>
        <w:t>业务的协议》，将本集团经营的</w:t>
      </w:r>
      <w:r>
        <w:rPr>
          <w:rFonts w:ascii="宋体" w:hAnsi="宋体" w:cs="宋体" w:eastAsia="宋体" w:hint="default"/>
          <w:spacing w:val="-56"/>
          <w:sz w:val="21"/>
          <w:szCs w:val="21"/>
        </w:rPr>
        <w:t> </w:t>
      </w:r>
      <w:r>
        <w:rPr>
          <w:rFonts w:ascii="Arial" w:hAnsi="Arial" w:cs="Arial" w:eastAsia="Arial" w:hint="default"/>
          <w:sz w:val="21"/>
          <w:szCs w:val="21"/>
        </w:rPr>
        <w:t>CDMA</w:t>
      </w:r>
      <w:r>
        <w:rPr>
          <w:rFonts w:ascii="Arial" w:hAnsi="Arial" w:cs="Arial" w:eastAsia="Arial" w:hint="default"/>
          <w:spacing w:val="-10"/>
          <w:sz w:val="21"/>
          <w:szCs w:val="21"/>
        </w:rPr>
        <w:t> </w:t>
      </w:r>
      <w:r>
        <w:rPr>
          <w:rFonts w:ascii="宋体" w:hAnsi="宋体" w:cs="宋体" w:eastAsia="宋体" w:hint="default"/>
          <w:sz w:val="21"/>
          <w:szCs w:val="21"/>
        </w:rPr>
        <w:t>业务全部出售与中国电信，该交易于</w:t>
      </w:r>
      <w:r>
        <w:rPr>
          <w:rFonts w:ascii="宋体" w:hAnsi="宋体" w:cs="宋体" w:eastAsia="宋体" w:hint="default"/>
          <w:spacing w:val="-58"/>
          <w:sz w:val="21"/>
          <w:szCs w:val="21"/>
        </w:rPr>
        <w:t> </w:t>
      </w:r>
      <w:r>
        <w:rPr>
          <w:rFonts w:ascii="Arial" w:hAnsi="Arial" w:cs="Arial" w:eastAsia="Arial" w:hint="default"/>
          <w:sz w:val="21"/>
          <w:szCs w:val="21"/>
        </w:rPr>
        <w:t>2008</w:t>
      </w:r>
      <w:r>
        <w:rPr>
          <w:rFonts w:ascii="Arial" w:hAnsi="Arial" w:cs="Arial" w:eastAsia="Arial"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10</w:t>
      </w:r>
      <w:r>
        <w:rPr>
          <w:rFonts w:ascii="Arial" w:hAnsi="Arial" w:cs="Arial" w:eastAsia="Arial" w:hint="default"/>
          <w:spacing w:val="-9"/>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Arial" w:hAnsi="Arial" w:cs="Arial" w:eastAsia="Arial" w:hint="default"/>
          <w:sz w:val="21"/>
          <w:szCs w:val="21"/>
        </w:rPr>
        <w:t>1</w:t>
      </w:r>
      <w:r>
        <w:rPr>
          <w:rFonts w:ascii="Arial" w:hAnsi="Arial" w:cs="Arial" w:eastAsia="Arial" w:hint="default"/>
          <w:spacing w:val="-8"/>
          <w:sz w:val="21"/>
          <w:szCs w:val="21"/>
        </w:rPr>
        <w:t> </w:t>
      </w:r>
      <w:r>
        <w:rPr>
          <w:rFonts w:ascii="宋体" w:hAnsi="宋体" w:cs="宋体" w:eastAsia="宋体" w:hint="default"/>
          <w:sz w:val="21"/>
          <w:szCs w:val="21"/>
        </w:rPr>
        <w:t>日完成，本集团不再经营原有</w:t>
      </w:r>
      <w:r>
        <w:rPr>
          <w:rFonts w:ascii="宋体" w:hAnsi="宋体" w:cs="宋体" w:eastAsia="宋体" w:hint="default"/>
          <w:spacing w:val="-55"/>
          <w:sz w:val="21"/>
          <w:szCs w:val="21"/>
        </w:rPr>
        <w:t> </w:t>
      </w:r>
      <w:r>
        <w:rPr>
          <w:rFonts w:ascii="Arial" w:hAnsi="Arial" w:cs="Arial" w:eastAsia="Arial" w:hint="default"/>
          <w:sz w:val="21"/>
          <w:szCs w:val="21"/>
        </w:rPr>
        <w:t>CDMA</w:t>
      </w:r>
      <w:r>
        <w:rPr>
          <w:rFonts w:ascii="Arial" w:hAnsi="Arial" w:cs="Arial" w:eastAsia="Arial" w:hint="default"/>
          <w:spacing w:val="-9"/>
          <w:sz w:val="21"/>
          <w:szCs w:val="21"/>
        </w:rPr>
        <w:t> </w:t>
      </w:r>
      <w:r>
        <w:rPr>
          <w:rFonts w:ascii="宋体" w:hAnsi="宋体" w:cs="宋体" w:eastAsia="宋体" w:hint="default"/>
          <w:sz w:val="21"/>
          <w:szCs w:val="21"/>
        </w:rPr>
        <w:t>通信业务，亦于同日停止向联通新时空租赁</w:t>
      </w:r>
      <w:r>
        <w:rPr>
          <w:rFonts w:ascii="宋体" w:hAnsi="宋体" w:cs="宋体" w:eastAsia="宋体" w:hint="default"/>
          <w:spacing w:val="-55"/>
          <w:sz w:val="21"/>
          <w:szCs w:val="21"/>
        </w:rPr>
        <w:t> </w:t>
      </w:r>
      <w:r>
        <w:rPr>
          <w:rFonts w:ascii="Arial" w:hAnsi="Arial" w:cs="Arial" w:eastAsia="Arial" w:hint="default"/>
          <w:sz w:val="21"/>
          <w:szCs w:val="21"/>
        </w:rPr>
        <w:t>CDMA</w:t>
      </w:r>
      <w:r>
        <w:rPr>
          <w:rFonts w:ascii="Arial" w:hAnsi="Arial" w:cs="Arial" w:eastAsia="Arial" w:hint="default"/>
          <w:w w:val="100"/>
          <w:sz w:val="21"/>
          <w:szCs w:val="21"/>
        </w:rPr>
        <w:t> </w:t>
      </w:r>
      <w:r>
        <w:rPr>
          <w:rFonts w:ascii="宋体" w:hAnsi="宋体" w:cs="宋体" w:eastAsia="宋体" w:hint="default"/>
          <w:sz w:val="21"/>
          <w:szCs w:val="21"/>
        </w:rPr>
        <w:t>移动通信网络容量。</w:t>
      </w:r>
    </w:p>
    <w:p>
      <w:pPr>
        <w:spacing w:line="240" w:lineRule="auto" w:before="12"/>
        <w:rPr>
          <w:rFonts w:ascii="宋体" w:hAnsi="宋体" w:cs="宋体" w:eastAsia="宋体" w:hint="default"/>
          <w:sz w:val="18"/>
          <w:szCs w:val="18"/>
        </w:rPr>
      </w:pPr>
    </w:p>
    <w:p>
      <w:pPr>
        <w:spacing w:line="232" w:lineRule="auto" w:before="0"/>
        <w:ind w:left="565" w:right="204" w:firstLine="0"/>
        <w:jc w:val="left"/>
        <w:rPr>
          <w:rFonts w:ascii="宋体" w:hAnsi="宋体" w:cs="宋体" w:eastAsia="宋体" w:hint="default"/>
          <w:sz w:val="21"/>
          <w:szCs w:val="21"/>
        </w:rPr>
      </w:pPr>
      <w:r>
        <w:rPr>
          <w:rFonts w:ascii="宋体" w:hAnsi="宋体" w:cs="宋体" w:eastAsia="宋体" w:hint="default"/>
          <w:spacing w:val="-3"/>
          <w:sz w:val="21"/>
          <w:szCs w:val="21"/>
        </w:rPr>
        <w:t>另外，作为上述中国电信行业改革的一部分，于</w:t>
      </w:r>
      <w:r>
        <w:rPr>
          <w:rFonts w:ascii="宋体" w:hAnsi="宋体" w:cs="宋体" w:eastAsia="宋体" w:hint="default"/>
          <w:spacing w:val="-45"/>
          <w:sz w:val="21"/>
          <w:szCs w:val="21"/>
        </w:rPr>
        <w:t> </w:t>
      </w:r>
      <w:r>
        <w:rPr>
          <w:rFonts w:ascii="Arial" w:hAnsi="Arial" w:cs="Arial" w:eastAsia="Arial" w:hint="default"/>
          <w:sz w:val="21"/>
          <w:szCs w:val="21"/>
        </w:rPr>
        <w:t>2008</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Arial" w:hAnsi="Arial" w:cs="Arial" w:eastAsia="Arial" w:hint="default"/>
          <w:sz w:val="21"/>
          <w:szCs w:val="21"/>
        </w:rPr>
        <w:t>10</w:t>
      </w:r>
      <w:r>
        <w:rPr>
          <w:rFonts w:ascii="Arial" w:hAnsi="Arial" w:cs="Arial" w:eastAsia="Arial"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Arial" w:hAnsi="Arial" w:cs="Arial" w:eastAsia="Arial" w:hint="default"/>
          <w:sz w:val="21"/>
          <w:szCs w:val="21"/>
        </w:rPr>
        <w:t>15</w:t>
      </w:r>
      <w:r>
        <w:rPr>
          <w:rFonts w:ascii="Arial" w:hAnsi="Arial" w:cs="Arial" w:eastAsia="Arial" w:hint="default"/>
          <w:spacing w:val="1"/>
          <w:sz w:val="21"/>
          <w:szCs w:val="21"/>
        </w:rPr>
        <w:t> </w:t>
      </w:r>
      <w:r>
        <w:rPr>
          <w:rFonts w:ascii="宋体" w:hAnsi="宋体" w:cs="宋体" w:eastAsia="宋体" w:hint="default"/>
          <w:spacing w:val="-3"/>
          <w:sz w:val="21"/>
          <w:szCs w:val="21"/>
        </w:rPr>
        <w:t>日，本公司子公司联通红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筹公司与网通红筹公司以协议安排通过换股方式完成了两家公司的合并。同时，联通运营公</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3"/>
          <w:sz w:val="21"/>
          <w:szCs w:val="21"/>
        </w:rPr>
        <w:t>司也对网通红筹公司境内全资子公司中国网通（集团）有限公司（“网通运营公司”）进行</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了吸收合并，该合并于</w:t>
      </w:r>
      <w:r>
        <w:rPr>
          <w:rFonts w:ascii="宋体" w:hAnsi="宋体" w:cs="宋体" w:eastAsia="宋体" w:hint="default"/>
          <w:spacing w:val="-46"/>
          <w:sz w:val="21"/>
          <w:szCs w:val="21"/>
        </w:rPr>
        <w:t> </w:t>
      </w:r>
      <w:r>
        <w:rPr>
          <w:rFonts w:ascii="Arial" w:hAnsi="Arial" w:cs="Arial" w:eastAsia="Arial" w:hint="default"/>
          <w:sz w:val="21"/>
          <w:szCs w:val="21"/>
        </w:rPr>
        <w:t>2009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w:hAnsi="Arial" w:cs="Arial" w:eastAsia="Arial" w:hint="default"/>
          <w:sz w:val="21"/>
          <w:szCs w:val="21"/>
        </w:rPr>
        <w:t>1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Arial" w:hAnsi="Arial" w:cs="Arial" w:eastAsia="Arial" w:hint="default"/>
          <w:sz w:val="21"/>
          <w:szCs w:val="21"/>
        </w:rPr>
        <w:t>6 </w:t>
      </w:r>
      <w:r>
        <w:rPr>
          <w:rFonts w:ascii="宋体" w:hAnsi="宋体" w:cs="宋体" w:eastAsia="宋体" w:hint="default"/>
          <w:spacing w:val="-3"/>
          <w:sz w:val="21"/>
          <w:szCs w:val="21"/>
        </w:rPr>
        <w:t>日完成，合并后联通运营公司存续，网通运营公司注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销。至此，本集团的主营业务范围增加了原网通运营公司经营的固定电话通信（“固网业</w:t>
      </w:r>
      <w:r>
        <w:rPr>
          <w:rFonts w:ascii="宋体" w:hAnsi="宋体" w:cs="宋体" w:eastAsia="宋体" w:hint="default"/>
          <w:w w:val="100"/>
          <w:sz w:val="21"/>
          <w:szCs w:val="21"/>
        </w:rPr>
        <w:t> </w:t>
      </w:r>
      <w:r>
        <w:rPr>
          <w:rFonts w:ascii="宋体" w:hAnsi="宋体" w:cs="宋体" w:eastAsia="宋体" w:hint="default"/>
          <w:sz w:val="21"/>
          <w:szCs w:val="21"/>
        </w:rPr>
        <w:t>务”）及相关业务。</w:t>
      </w:r>
    </w:p>
    <w:p>
      <w:pPr>
        <w:spacing w:line="240" w:lineRule="auto" w:before="6"/>
        <w:rPr>
          <w:rFonts w:ascii="宋体" w:hAnsi="宋体" w:cs="宋体" w:eastAsia="宋体" w:hint="default"/>
          <w:sz w:val="19"/>
          <w:szCs w:val="19"/>
        </w:rPr>
      </w:pPr>
    </w:p>
    <w:p>
      <w:pPr>
        <w:spacing w:line="225" w:lineRule="auto" w:before="0"/>
        <w:ind w:left="565" w:right="207" w:firstLine="0"/>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4"/>
          <w:sz w:val="21"/>
          <w:szCs w:val="21"/>
        </w:rPr>
        <w:t> </w:t>
      </w:r>
      <w:r>
        <w:rPr>
          <w:rFonts w:ascii="Arial" w:hAnsi="Arial" w:cs="Arial" w:eastAsia="Arial" w:hint="default"/>
          <w:sz w:val="21"/>
          <w:szCs w:val="21"/>
        </w:rPr>
        <w:t>2009</w:t>
      </w:r>
      <w:r>
        <w:rPr>
          <w:rFonts w:ascii="Arial" w:hAnsi="Arial" w:cs="Arial" w:eastAsia="Arial"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9"/>
          <w:sz w:val="21"/>
          <w:szCs w:val="21"/>
        </w:rPr>
        <w:t> </w:t>
      </w:r>
      <w:r>
        <w:rPr>
          <w:rFonts w:ascii="宋体" w:hAnsi="宋体" w:cs="宋体" w:eastAsia="宋体" w:hint="default"/>
          <w:sz w:val="21"/>
          <w:szCs w:val="21"/>
        </w:rPr>
        <w:t>日，在联通集团获得国家颁发的</w:t>
      </w:r>
      <w:r>
        <w:rPr>
          <w:rFonts w:ascii="宋体" w:hAnsi="宋体" w:cs="宋体" w:eastAsia="宋体" w:hint="default"/>
          <w:spacing w:val="-56"/>
          <w:sz w:val="21"/>
          <w:szCs w:val="21"/>
        </w:rPr>
        <w:t> </w:t>
      </w:r>
      <w:r>
        <w:rPr>
          <w:rFonts w:ascii="Arial" w:hAnsi="Arial" w:cs="Arial" w:eastAsia="Arial" w:hint="default"/>
          <w:sz w:val="21"/>
          <w:szCs w:val="21"/>
        </w:rPr>
        <w:t>WCDMA</w:t>
      </w:r>
      <w:r>
        <w:rPr>
          <w:rFonts w:ascii="Arial" w:hAnsi="Arial" w:cs="Arial" w:eastAsia="Arial" w:hint="default"/>
          <w:spacing w:val="-6"/>
          <w:sz w:val="21"/>
          <w:szCs w:val="21"/>
        </w:rPr>
        <w:t> </w:t>
      </w:r>
      <w:r>
        <w:rPr>
          <w:rFonts w:ascii="宋体" w:hAnsi="宋体" w:cs="宋体" w:eastAsia="宋体" w:hint="default"/>
          <w:sz w:val="21"/>
          <w:szCs w:val="21"/>
        </w:rPr>
        <w:t>移动通信（</w:t>
      </w:r>
      <w:r>
        <w:rPr>
          <w:rFonts w:ascii="Arial" w:hAnsi="Arial" w:cs="Arial" w:eastAsia="Arial" w:hint="default"/>
          <w:sz w:val="21"/>
          <w:szCs w:val="21"/>
        </w:rPr>
        <w:t>3G</w:t>
      </w:r>
      <w:r>
        <w:rPr>
          <w:rFonts w:ascii="宋体" w:hAnsi="宋体" w:cs="宋体" w:eastAsia="宋体" w:hint="default"/>
          <w:sz w:val="21"/>
          <w:szCs w:val="21"/>
        </w:rPr>
        <w:t>）运营牌照后，</w:t>
      </w:r>
      <w:r>
        <w:rPr>
          <w:rFonts w:ascii="宋体" w:hAnsi="宋体" w:cs="宋体" w:eastAsia="宋体" w:hint="default"/>
          <w:w w:val="100"/>
          <w:sz w:val="21"/>
          <w:szCs w:val="21"/>
        </w:rPr>
        <w:t> </w:t>
      </w:r>
      <w:r>
        <w:rPr>
          <w:rFonts w:ascii="宋体" w:hAnsi="宋体" w:cs="宋体" w:eastAsia="宋体" w:hint="default"/>
          <w:spacing w:val="-2"/>
          <w:w w:val="100"/>
          <w:sz w:val="21"/>
          <w:szCs w:val="21"/>
        </w:rPr>
        <w:t>联通运营公司经联通集团授权在中国境内开始</w:t>
      </w:r>
      <w:r>
        <w:rPr>
          <w:rFonts w:ascii="宋体" w:hAnsi="宋体" w:cs="宋体" w:eastAsia="宋体" w:hint="default"/>
          <w:spacing w:val="-50"/>
          <w:w w:val="100"/>
          <w:sz w:val="21"/>
          <w:szCs w:val="21"/>
        </w:rPr>
        <w:t> </w:t>
      </w:r>
      <w:r>
        <w:rPr>
          <w:rFonts w:ascii="Arial" w:hAnsi="Arial" w:cs="Arial" w:eastAsia="Arial" w:hint="default"/>
          <w:w w:val="100"/>
          <w:sz w:val="21"/>
          <w:szCs w:val="21"/>
        </w:rPr>
        <w:t>3G</w:t>
      </w:r>
      <w:r>
        <w:rPr>
          <w:rFonts w:ascii="Arial" w:hAnsi="Arial" w:cs="Arial" w:eastAsia="Arial" w:hint="default"/>
          <w:spacing w:val="-8"/>
          <w:w w:val="100"/>
          <w:sz w:val="21"/>
          <w:szCs w:val="21"/>
        </w:rPr>
        <w:t> </w:t>
      </w:r>
      <w:r>
        <w:rPr>
          <w:rFonts w:ascii="宋体" w:hAnsi="宋体" w:cs="宋体" w:eastAsia="宋体" w:hint="default"/>
          <w:spacing w:val="-14"/>
          <w:w w:val="100"/>
          <w:sz w:val="21"/>
          <w:szCs w:val="21"/>
        </w:rPr>
        <w:t>网络建设，并于</w:t>
      </w:r>
      <w:r>
        <w:rPr>
          <w:rFonts w:ascii="宋体" w:hAnsi="宋体" w:cs="宋体" w:eastAsia="宋体" w:hint="default"/>
          <w:spacing w:val="-50"/>
          <w:w w:val="100"/>
          <w:sz w:val="21"/>
          <w:szCs w:val="21"/>
        </w:rPr>
        <w:t> </w:t>
      </w:r>
      <w:r>
        <w:rPr>
          <w:rFonts w:ascii="Arial" w:hAnsi="Arial" w:cs="Arial" w:eastAsia="Arial" w:hint="default"/>
          <w:spacing w:val="-1"/>
          <w:w w:val="100"/>
          <w:sz w:val="21"/>
          <w:szCs w:val="21"/>
        </w:rPr>
        <w:t>2009</w:t>
      </w:r>
      <w:r>
        <w:rPr>
          <w:rFonts w:ascii="Arial" w:hAnsi="Arial" w:cs="Arial" w:eastAsia="Arial" w:hint="default"/>
          <w:spacing w:val="-6"/>
          <w:w w:val="100"/>
          <w:sz w:val="21"/>
          <w:szCs w:val="21"/>
        </w:rPr>
        <w:t> </w:t>
      </w:r>
      <w:r>
        <w:rPr>
          <w:rFonts w:ascii="宋体" w:hAnsi="宋体" w:cs="宋体" w:eastAsia="宋体" w:hint="default"/>
          <w:w w:val="100"/>
          <w:sz w:val="21"/>
          <w:szCs w:val="21"/>
        </w:rPr>
        <w:t>年</w:t>
      </w:r>
      <w:r>
        <w:rPr>
          <w:rFonts w:ascii="宋体" w:hAnsi="宋体" w:cs="宋体" w:eastAsia="宋体" w:hint="default"/>
          <w:spacing w:val="-51"/>
          <w:w w:val="100"/>
          <w:sz w:val="21"/>
          <w:szCs w:val="21"/>
        </w:rPr>
        <w:t> </w:t>
      </w:r>
      <w:r>
        <w:rPr>
          <w:rFonts w:ascii="Arial" w:hAnsi="Arial" w:cs="Arial" w:eastAsia="Arial" w:hint="default"/>
          <w:spacing w:val="-2"/>
          <w:w w:val="100"/>
          <w:sz w:val="21"/>
          <w:szCs w:val="21"/>
        </w:rPr>
        <w:t>10</w:t>
      </w:r>
      <w:r>
        <w:rPr>
          <w:rFonts w:ascii="Arial" w:hAnsi="Arial" w:cs="Arial" w:eastAsia="Arial" w:hint="default"/>
          <w:spacing w:val="-4"/>
          <w:w w:val="100"/>
          <w:sz w:val="21"/>
          <w:szCs w:val="21"/>
        </w:rPr>
        <w:t> </w:t>
      </w:r>
      <w:r>
        <w:rPr>
          <w:rFonts w:ascii="宋体" w:hAnsi="宋体" w:cs="宋体" w:eastAsia="宋体" w:hint="default"/>
          <w:spacing w:val="-2"/>
          <w:w w:val="100"/>
          <w:sz w:val="21"/>
          <w:szCs w:val="21"/>
        </w:rPr>
        <w:t>月正式于全国</w:t>
      </w:r>
      <w:r>
        <w:rPr>
          <w:rFonts w:ascii="宋体" w:hAnsi="宋体" w:cs="宋体" w:eastAsia="宋体" w:hint="default"/>
          <w:w w:val="100"/>
          <w:sz w:val="21"/>
          <w:szCs w:val="21"/>
        </w:rPr>
        <w:t> </w:t>
      </w:r>
      <w:r>
        <w:rPr>
          <w:rFonts w:ascii="宋体" w:hAnsi="宋体" w:cs="宋体" w:eastAsia="宋体" w:hint="default"/>
          <w:sz w:val="21"/>
          <w:szCs w:val="21"/>
        </w:rPr>
        <w:t>投入运营。</w:t>
      </w:r>
    </w:p>
    <w:p>
      <w:pPr>
        <w:spacing w:line="240" w:lineRule="auto" w:before="12"/>
        <w:rPr>
          <w:rFonts w:ascii="宋体" w:hAnsi="宋体" w:cs="宋体" w:eastAsia="宋体" w:hint="default"/>
          <w:sz w:val="18"/>
          <w:szCs w:val="18"/>
        </w:rPr>
      </w:pPr>
    </w:p>
    <w:p>
      <w:pPr>
        <w:spacing w:line="232" w:lineRule="auto" w:before="0"/>
        <w:ind w:left="565" w:right="100" w:firstLine="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4"/>
          <w:sz w:val="21"/>
          <w:szCs w:val="21"/>
        </w:rPr>
        <w:t> </w:t>
      </w:r>
      <w:r>
        <w:rPr>
          <w:rFonts w:ascii="Arial" w:hAnsi="Arial" w:cs="Arial" w:eastAsia="Arial" w:hint="default"/>
          <w:sz w:val="21"/>
          <w:szCs w:val="21"/>
        </w:rPr>
        <w:t>2009</w:t>
      </w:r>
      <w:r>
        <w:rPr>
          <w:rFonts w:ascii="Arial" w:hAnsi="Arial" w:cs="Arial" w:eastAsia="Arial"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日，本公司完成了向联通集团和中国网络通信集团有限公司（原网通集</w:t>
      </w:r>
      <w:r>
        <w:rPr>
          <w:rFonts w:ascii="宋体" w:hAnsi="宋体" w:cs="宋体" w:eastAsia="宋体" w:hint="default"/>
          <w:w w:val="100"/>
          <w:sz w:val="21"/>
          <w:szCs w:val="21"/>
        </w:rPr>
        <w:t> </w:t>
      </w:r>
      <w:r>
        <w:rPr>
          <w:rFonts w:ascii="宋体" w:hAnsi="宋体" w:cs="宋体" w:eastAsia="宋体" w:hint="default"/>
          <w:spacing w:val="-3"/>
          <w:sz w:val="21"/>
          <w:szCs w:val="21"/>
        </w:rPr>
        <w:t>团）收购其在上海市、江苏省、浙江省、安徽省、福建省、江西省、湖北省、湖南省、广东</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省、广西壮族自治区、海南省、重庆市、四川省、贵州省、云南省、西藏自治区、陕西省、</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甘肃省、青海省、宁夏回族自治区和新疆维吾尔自治区（“南方</w:t>
      </w:r>
      <w:r>
        <w:rPr>
          <w:rFonts w:ascii="宋体" w:hAnsi="宋体" w:cs="宋体" w:eastAsia="宋体" w:hint="default"/>
          <w:spacing w:val="-56"/>
          <w:sz w:val="21"/>
          <w:szCs w:val="21"/>
        </w:rPr>
        <w:t> </w:t>
      </w:r>
      <w:r>
        <w:rPr>
          <w:rFonts w:ascii="Arial" w:hAnsi="Arial" w:cs="Arial" w:eastAsia="Arial" w:hint="default"/>
          <w:sz w:val="21"/>
          <w:szCs w:val="21"/>
        </w:rPr>
        <w:t>21</w:t>
      </w:r>
      <w:r>
        <w:rPr>
          <w:rFonts w:ascii="Arial" w:hAnsi="Arial" w:cs="Arial" w:eastAsia="Arial" w:hint="default"/>
          <w:spacing w:val="-10"/>
          <w:sz w:val="21"/>
          <w:szCs w:val="21"/>
        </w:rPr>
        <w:t> </w:t>
      </w:r>
      <w:r>
        <w:rPr>
          <w:rFonts w:ascii="宋体" w:hAnsi="宋体" w:cs="宋体" w:eastAsia="宋体" w:hint="default"/>
          <w:sz w:val="21"/>
          <w:szCs w:val="21"/>
        </w:rPr>
        <w:t>省”）的固网业务（不</w:t>
      </w:r>
    </w:p>
    <w:p>
      <w:pPr>
        <w:spacing w:line="266" w:lineRule="exact" w:before="0"/>
        <w:ind w:left="565" w:right="100" w:firstLine="0"/>
        <w:jc w:val="left"/>
        <w:rPr>
          <w:rFonts w:ascii="宋体" w:hAnsi="宋体" w:cs="宋体" w:eastAsia="宋体" w:hint="default"/>
          <w:sz w:val="21"/>
          <w:szCs w:val="21"/>
        </w:rPr>
      </w:pPr>
      <w:r>
        <w:rPr>
          <w:rFonts w:ascii="宋体" w:hAnsi="宋体" w:cs="宋体" w:eastAsia="宋体" w:hint="default"/>
          <w:spacing w:val="-4"/>
          <w:sz w:val="21"/>
          <w:szCs w:val="21"/>
        </w:rPr>
        <w:t>含固网通信资产）及天津本地固话业务和资产、北方一级干线传输资产以及联通兴业等 </w:t>
      </w:r>
      <w:r>
        <w:rPr>
          <w:rFonts w:ascii="Arial" w:hAnsi="Arial" w:cs="Arial" w:eastAsia="Arial" w:hint="default"/>
          <w:sz w:val="21"/>
          <w:szCs w:val="21"/>
        </w:rPr>
        <w:t>3</w:t>
      </w:r>
      <w:r>
        <w:rPr>
          <w:rFonts w:ascii="Arial" w:hAnsi="Arial" w:cs="Arial" w:eastAsia="Arial" w:hint="default"/>
          <w:spacing w:val="24"/>
          <w:sz w:val="21"/>
          <w:szCs w:val="21"/>
        </w:rPr>
        <w:t> </w:t>
      </w:r>
      <w:r>
        <w:rPr>
          <w:rFonts w:ascii="宋体" w:hAnsi="宋体" w:cs="宋体" w:eastAsia="宋体" w:hint="default"/>
          <w:sz w:val="21"/>
          <w:szCs w:val="21"/>
        </w:rPr>
        <w:t>家</w:t>
      </w:r>
    </w:p>
    <w:p>
      <w:pPr>
        <w:spacing w:line="272" w:lineRule="exact" w:before="0"/>
        <w:ind w:left="565" w:right="204" w:firstLine="0"/>
        <w:jc w:val="left"/>
        <w:rPr>
          <w:rFonts w:ascii="宋体" w:hAnsi="宋体" w:cs="宋体" w:eastAsia="宋体" w:hint="default"/>
          <w:sz w:val="21"/>
          <w:szCs w:val="21"/>
        </w:rPr>
      </w:pPr>
      <w:r>
        <w:rPr>
          <w:rFonts w:ascii="宋体" w:hAnsi="宋体" w:cs="宋体" w:eastAsia="宋体" w:hint="default"/>
          <w:sz w:val="21"/>
          <w:szCs w:val="21"/>
        </w:rPr>
        <w:t>电信服务子公司股权的交易，并通过向联通新时空租赁其拥有的南方</w:t>
      </w:r>
      <w:r>
        <w:rPr>
          <w:rFonts w:ascii="宋体" w:hAnsi="宋体" w:cs="宋体" w:eastAsia="宋体" w:hint="default"/>
          <w:spacing w:val="-56"/>
          <w:sz w:val="21"/>
          <w:szCs w:val="21"/>
        </w:rPr>
        <w:t> </w:t>
      </w:r>
      <w:r>
        <w:rPr>
          <w:rFonts w:ascii="Arial" w:hAnsi="Arial" w:cs="Arial" w:eastAsia="Arial" w:hint="default"/>
          <w:sz w:val="21"/>
          <w:szCs w:val="21"/>
        </w:rPr>
        <w:t>21</w:t>
      </w:r>
      <w:r>
        <w:rPr>
          <w:rFonts w:ascii="Arial" w:hAnsi="Arial" w:cs="Arial" w:eastAsia="Arial" w:hint="default"/>
          <w:spacing w:val="-10"/>
          <w:sz w:val="21"/>
          <w:szCs w:val="21"/>
        </w:rPr>
        <w:t> </w:t>
      </w:r>
      <w:r>
        <w:rPr>
          <w:rFonts w:ascii="宋体" w:hAnsi="宋体" w:cs="宋体" w:eastAsia="宋体" w:hint="default"/>
          <w:sz w:val="21"/>
          <w:szCs w:val="21"/>
        </w:rPr>
        <w:t>省固网通信资产经</w:t>
      </w:r>
    </w:p>
    <w:p>
      <w:pPr>
        <w:spacing w:line="272" w:lineRule="exact" w:before="0"/>
        <w:ind w:left="565" w:right="100" w:firstLine="0"/>
        <w:jc w:val="left"/>
        <w:rPr>
          <w:rFonts w:ascii="宋体" w:hAnsi="宋体" w:cs="宋体" w:eastAsia="宋体" w:hint="default"/>
          <w:sz w:val="21"/>
          <w:szCs w:val="21"/>
        </w:rPr>
      </w:pPr>
      <w:r>
        <w:rPr>
          <w:rFonts w:ascii="宋体" w:hAnsi="宋体" w:cs="宋体" w:eastAsia="宋体" w:hint="default"/>
          <w:spacing w:val="-5"/>
          <w:sz w:val="21"/>
          <w:szCs w:val="21"/>
        </w:rPr>
        <w:t>营固网业务。于</w:t>
      </w:r>
      <w:r>
        <w:rPr>
          <w:rFonts w:ascii="宋体" w:hAnsi="宋体" w:cs="宋体" w:eastAsia="宋体" w:hint="default"/>
          <w:spacing w:val="-43"/>
          <w:sz w:val="21"/>
          <w:szCs w:val="21"/>
        </w:rPr>
        <w:t> </w:t>
      </w:r>
      <w:r>
        <w:rPr>
          <w:rFonts w:ascii="Arial" w:hAnsi="Arial" w:cs="Arial" w:eastAsia="Arial" w:hint="default"/>
          <w:sz w:val="21"/>
          <w:szCs w:val="21"/>
        </w:rPr>
        <w:t>2012</w:t>
      </w:r>
      <w:r>
        <w:rPr>
          <w:rFonts w:ascii="Arial" w:hAnsi="Arial" w:cs="Arial" w:eastAsia="Arial"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Arial" w:hAnsi="Arial" w:cs="Arial" w:eastAsia="Arial" w:hint="default"/>
          <w:sz w:val="21"/>
          <w:szCs w:val="21"/>
        </w:rPr>
        <w:t>12</w:t>
      </w:r>
      <w:r>
        <w:rPr>
          <w:rFonts w:ascii="Arial" w:hAnsi="Arial" w:cs="Arial" w:eastAsia="Arial"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Arial" w:hAnsi="Arial" w:cs="Arial" w:eastAsia="Arial" w:hint="default"/>
          <w:sz w:val="21"/>
          <w:szCs w:val="21"/>
        </w:rPr>
        <w:t>26</w:t>
      </w:r>
      <w:r>
        <w:rPr>
          <w:rFonts w:ascii="Arial" w:hAnsi="Arial" w:cs="Arial" w:eastAsia="Arial" w:hint="default"/>
          <w:spacing w:val="3"/>
          <w:sz w:val="21"/>
          <w:szCs w:val="21"/>
        </w:rPr>
        <w:t> </w:t>
      </w:r>
      <w:r>
        <w:rPr>
          <w:rFonts w:ascii="宋体" w:hAnsi="宋体" w:cs="宋体" w:eastAsia="宋体" w:hint="default"/>
          <w:spacing w:val="-3"/>
          <w:sz w:val="21"/>
          <w:szCs w:val="21"/>
        </w:rPr>
        <w:t>日，本公司通过联通运营公司向联通集团完成收购联通新</w:t>
      </w:r>
    </w:p>
    <w:p>
      <w:pPr>
        <w:spacing w:line="274" w:lineRule="exact" w:before="16"/>
        <w:ind w:left="565" w:right="228" w:firstLine="0"/>
        <w:jc w:val="left"/>
        <w:rPr>
          <w:rFonts w:ascii="宋体" w:hAnsi="宋体" w:cs="宋体" w:eastAsia="宋体" w:hint="default"/>
          <w:sz w:val="21"/>
          <w:szCs w:val="21"/>
        </w:rPr>
      </w:pPr>
      <w:r>
        <w:rPr>
          <w:rFonts w:ascii="宋体" w:hAnsi="宋体" w:cs="宋体" w:eastAsia="宋体" w:hint="default"/>
          <w:sz w:val="21"/>
          <w:szCs w:val="21"/>
        </w:rPr>
        <w:t>时空的全部股权，南方</w:t>
      </w:r>
      <w:r>
        <w:rPr>
          <w:rFonts w:ascii="宋体" w:hAnsi="宋体" w:cs="宋体" w:eastAsia="宋体" w:hint="default"/>
          <w:spacing w:val="-54"/>
          <w:sz w:val="21"/>
          <w:szCs w:val="21"/>
        </w:rPr>
        <w:t> </w:t>
      </w:r>
      <w:r>
        <w:rPr>
          <w:rFonts w:ascii="Arial" w:hAnsi="Arial" w:cs="Arial" w:eastAsia="Arial" w:hint="default"/>
          <w:sz w:val="21"/>
          <w:szCs w:val="21"/>
        </w:rPr>
        <w:t>21</w:t>
      </w:r>
      <w:r>
        <w:rPr>
          <w:rFonts w:ascii="Arial" w:hAnsi="Arial" w:cs="Arial" w:eastAsia="Arial" w:hint="default"/>
          <w:spacing w:val="-10"/>
          <w:sz w:val="21"/>
          <w:szCs w:val="21"/>
        </w:rPr>
        <w:t> </w:t>
      </w:r>
      <w:r>
        <w:rPr>
          <w:rFonts w:ascii="宋体" w:hAnsi="宋体" w:cs="宋体" w:eastAsia="宋体" w:hint="default"/>
          <w:sz w:val="21"/>
          <w:szCs w:val="21"/>
        </w:rPr>
        <w:t>省的固网通信资产亦被计入本集团。前述交易使本集团的固话业</w:t>
      </w:r>
      <w:r>
        <w:rPr>
          <w:rFonts w:ascii="宋体" w:hAnsi="宋体" w:cs="宋体" w:eastAsia="宋体" w:hint="default"/>
          <w:w w:val="100"/>
          <w:sz w:val="21"/>
          <w:szCs w:val="21"/>
        </w:rPr>
        <w:t> </w:t>
      </w:r>
      <w:r>
        <w:rPr>
          <w:rFonts w:ascii="宋体" w:hAnsi="宋体" w:cs="宋体" w:eastAsia="宋体" w:hint="default"/>
          <w:sz w:val="21"/>
          <w:szCs w:val="21"/>
        </w:rPr>
        <w:t>务经营范围进一步扩大，并向电信增值服务和电信工程设计等相关领域进一步拓展。</w:t>
      </w:r>
    </w:p>
    <w:p>
      <w:pPr>
        <w:spacing w:line="240" w:lineRule="auto" w:before="4"/>
        <w:rPr>
          <w:rFonts w:ascii="宋体" w:hAnsi="宋体" w:cs="宋体" w:eastAsia="宋体" w:hint="default"/>
          <w:sz w:val="16"/>
          <w:szCs w:val="16"/>
        </w:rPr>
      </w:pPr>
    </w:p>
    <w:p>
      <w:pPr>
        <w:spacing w:line="280" w:lineRule="exact" w:before="0"/>
        <w:ind w:left="565" w:right="204" w:firstLine="0"/>
        <w:jc w:val="left"/>
        <w:rPr>
          <w:rFonts w:ascii="宋体" w:hAnsi="宋体" w:cs="宋体" w:eastAsia="宋体" w:hint="default"/>
          <w:sz w:val="21"/>
          <w:szCs w:val="21"/>
        </w:rPr>
      </w:pPr>
      <w:r>
        <w:rPr>
          <w:rFonts w:ascii="宋体" w:hAnsi="宋体" w:cs="宋体" w:eastAsia="宋体" w:hint="default"/>
          <w:sz w:val="21"/>
          <w:szCs w:val="21"/>
        </w:rPr>
        <w:t>本公司还于</w:t>
      </w:r>
      <w:r>
        <w:rPr>
          <w:rFonts w:ascii="宋体" w:hAnsi="宋体" w:cs="宋体" w:eastAsia="宋体" w:hint="default"/>
          <w:spacing w:val="-52"/>
          <w:sz w:val="21"/>
          <w:szCs w:val="21"/>
        </w:rPr>
        <w:t> </w:t>
      </w:r>
      <w:r>
        <w:rPr>
          <w:rFonts w:ascii="Arial" w:hAnsi="Arial" w:cs="Arial" w:eastAsia="Arial" w:hint="default"/>
          <w:sz w:val="21"/>
          <w:szCs w:val="21"/>
        </w:rPr>
        <w:t>2011</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日完成了向联通集团收购其子公司联通新时讯通信有限公司</w:t>
      </w:r>
    </w:p>
    <w:p>
      <w:pPr>
        <w:spacing w:line="266" w:lineRule="exact" w:before="0"/>
        <w:ind w:left="565" w:right="204" w:firstLine="0"/>
        <w:jc w:val="left"/>
        <w:rPr>
          <w:rFonts w:ascii="宋体" w:hAnsi="宋体" w:cs="宋体" w:eastAsia="宋体" w:hint="default"/>
          <w:sz w:val="21"/>
          <w:szCs w:val="21"/>
        </w:rPr>
      </w:pPr>
      <w:r>
        <w:rPr>
          <w:rFonts w:ascii="宋体" w:hAnsi="宋体" w:cs="宋体" w:eastAsia="宋体" w:hint="default"/>
          <w:sz w:val="21"/>
          <w:szCs w:val="21"/>
        </w:rPr>
        <w:t>（“联通新时讯”）的交易。联通新时讯是一家经营电信增值业务的公司。</w:t>
      </w:r>
    </w:p>
    <w:p>
      <w:pPr>
        <w:spacing w:line="240" w:lineRule="auto" w:before="11"/>
        <w:rPr>
          <w:rFonts w:ascii="宋体" w:hAnsi="宋体" w:cs="宋体" w:eastAsia="宋体" w:hint="default"/>
          <w:sz w:val="18"/>
          <w:szCs w:val="18"/>
        </w:rPr>
      </w:pPr>
    </w:p>
    <w:p>
      <w:pPr>
        <w:spacing w:line="232" w:lineRule="auto" w:before="0"/>
        <w:ind w:left="565" w:right="100" w:firstLine="0"/>
        <w:jc w:val="left"/>
        <w:rPr>
          <w:rFonts w:ascii="宋体" w:hAnsi="宋体" w:cs="宋体" w:eastAsia="宋体" w:hint="default"/>
          <w:sz w:val="21"/>
          <w:szCs w:val="21"/>
        </w:rPr>
      </w:pPr>
      <w:r>
        <w:rPr>
          <w:rFonts w:ascii="宋体" w:hAnsi="宋体" w:cs="宋体" w:eastAsia="宋体" w:hint="default"/>
          <w:sz w:val="21"/>
          <w:szCs w:val="21"/>
        </w:rPr>
        <w:t>经过上述一系列的重组与交易，本集团目前的主营业务包括于中国</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9"/>
          <w:sz w:val="21"/>
          <w:szCs w:val="21"/>
        </w:rPr>
        <w:t> </w:t>
      </w:r>
      <w:r>
        <w:rPr>
          <w:rFonts w:ascii="宋体" w:hAnsi="宋体" w:cs="宋体" w:eastAsia="宋体" w:hint="default"/>
          <w:sz w:val="21"/>
          <w:szCs w:val="21"/>
        </w:rPr>
        <w:t>个省（自治区、直辖</w:t>
      </w:r>
      <w:r>
        <w:rPr>
          <w:rFonts w:ascii="宋体" w:hAnsi="宋体" w:cs="宋体" w:eastAsia="宋体" w:hint="default"/>
          <w:w w:val="100"/>
          <w:sz w:val="21"/>
          <w:szCs w:val="21"/>
        </w:rPr>
        <w:t> </w:t>
      </w:r>
      <w:r>
        <w:rPr>
          <w:rFonts w:ascii="宋体" w:hAnsi="宋体" w:cs="宋体" w:eastAsia="宋体" w:hint="default"/>
          <w:spacing w:val="-11"/>
          <w:sz w:val="21"/>
          <w:szCs w:val="21"/>
        </w:rPr>
        <w:t>市）经营的 </w:t>
      </w:r>
      <w:r>
        <w:rPr>
          <w:rFonts w:ascii="Arial" w:hAnsi="Arial" w:cs="Arial" w:eastAsia="Arial" w:hint="default"/>
          <w:sz w:val="21"/>
          <w:szCs w:val="21"/>
        </w:rPr>
        <w:t>GSM </w:t>
      </w:r>
      <w:r>
        <w:rPr>
          <w:rFonts w:ascii="宋体" w:hAnsi="宋体" w:cs="宋体" w:eastAsia="宋体" w:hint="default"/>
          <w:spacing w:val="-7"/>
          <w:sz w:val="21"/>
          <w:szCs w:val="21"/>
        </w:rPr>
        <w:t>移动通信、</w:t>
      </w:r>
      <w:r>
        <w:rPr>
          <w:rFonts w:ascii="Arial" w:hAnsi="Arial" w:cs="Arial" w:eastAsia="Arial" w:hint="default"/>
          <w:spacing w:val="-7"/>
          <w:sz w:val="21"/>
          <w:szCs w:val="21"/>
        </w:rPr>
        <w:t>WCDMA </w:t>
      </w:r>
      <w:r>
        <w:rPr>
          <w:rFonts w:ascii="宋体" w:hAnsi="宋体" w:cs="宋体" w:eastAsia="宋体" w:hint="default"/>
          <w:spacing w:val="-4"/>
          <w:sz w:val="21"/>
          <w:szCs w:val="21"/>
        </w:rPr>
        <w:t>移动通信业务和增值服务业务；固网语音和增值服务、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固网宽带和其他与互联网相关的服务；商务和数据通信服务；全国范围的信息通信技术服务</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3"/>
          <w:sz w:val="21"/>
          <w:szCs w:val="21"/>
        </w:rPr>
        <w:t>及相关的系统集成、技术开发、技术服务、设备生产、销售及设计施工业务；电子通信器材</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的销售；技术交流和信息咨询等相关业务。</w:t>
      </w:r>
    </w:p>
    <w:p>
      <w:pPr>
        <w:spacing w:line="240" w:lineRule="auto" w:before="6"/>
        <w:rPr>
          <w:rFonts w:ascii="宋体" w:hAnsi="宋体" w:cs="宋体" w:eastAsia="宋体" w:hint="default"/>
          <w:sz w:val="19"/>
          <w:szCs w:val="19"/>
        </w:rPr>
      </w:pPr>
    </w:p>
    <w:p>
      <w:pPr>
        <w:spacing w:line="225" w:lineRule="auto" w:before="0"/>
        <w:ind w:left="565" w:right="207" w:firstLine="0"/>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4"/>
          <w:sz w:val="21"/>
          <w:szCs w:val="21"/>
        </w:rPr>
        <w:t> </w:t>
      </w:r>
      <w:r>
        <w:rPr>
          <w:rFonts w:ascii="Arial" w:hAnsi="Arial" w:cs="Arial" w:eastAsia="Arial" w:hint="default"/>
          <w:sz w:val="21"/>
          <w:szCs w:val="21"/>
        </w:rPr>
        <w:t>2013</w:t>
      </w:r>
      <w:r>
        <w:rPr>
          <w:rFonts w:ascii="Arial" w:hAnsi="Arial" w:cs="Arial" w:eastAsia="Arial"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4</w:t>
      </w:r>
      <w:r>
        <w:rPr>
          <w:rFonts w:ascii="Arial" w:hAnsi="Arial" w:cs="Arial" w:eastAsia="Arial" w:hint="default"/>
          <w:spacing w:val="-7"/>
          <w:sz w:val="21"/>
          <w:szCs w:val="21"/>
        </w:rPr>
        <w:t> </w:t>
      </w:r>
      <w:r>
        <w:rPr>
          <w:rFonts w:ascii="宋体" w:hAnsi="宋体" w:cs="宋体" w:eastAsia="宋体" w:hint="default"/>
          <w:sz w:val="21"/>
          <w:szCs w:val="21"/>
        </w:rPr>
        <w:t>日，联通集团获得由工信部发放的“</w:t>
      </w:r>
      <w:r>
        <w:rPr>
          <w:rFonts w:ascii="Arial" w:hAnsi="Arial" w:cs="Arial" w:eastAsia="Arial" w:hint="default"/>
          <w:sz w:val="21"/>
          <w:szCs w:val="21"/>
        </w:rPr>
        <w:t>LTE/</w:t>
      </w:r>
      <w:r>
        <w:rPr>
          <w:rFonts w:ascii="宋体" w:hAnsi="宋体" w:cs="宋体" w:eastAsia="宋体" w:hint="default"/>
          <w:sz w:val="21"/>
          <w:szCs w:val="21"/>
        </w:rPr>
        <w:t>第四代数字蜂窝移动通信业务</w:t>
      </w:r>
      <w:r>
        <w:rPr>
          <w:rFonts w:ascii="宋体" w:hAnsi="宋体" w:cs="宋体" w:eastAsia="宋体" w:hint="default"/>
          <w:w w:val="100"/>
          <w:sz w:val="21"/>
          <w:szCs w:val="21"/>
        </w:rPr>
        <w:t> </w:t>
      </w:r>
      <w:r>
        <w:rPr>
          <w:rFonts w:ascii="Arial" w:hAnsi="Arial" w:cs="Arial" w:eastAsia="Arial" w:hint="default"/>
          <w:spacing w:val="-4"/>
          <w:w w:val="100"/>
          <w:sz w:val="21"/>
          <w:szCs w:val="21"/>
        </w:rPr>
        <w:t>(TD-LTE)</w:t>
      </w:r>
      <w:r>
        <w:rPr>
          <w:rFonts w:ascii="宋体" w:hAnsi="宋体" w:cs="宋体" w:eastAsia="宋体" w:hint="default"/>
          <w:spacing w:val="-4"/>
          <w:w w:val="100"/>
          <w:sz w:val="21"/>
          <w:szCs w:val="21"/>
        </w:rPr>
        <w:t>”经营许可。工信部同时批准联通集团授权本公司拥有的下属公司中国联合网络通</w:t>
      </w:r>
      <w:r>
        <w:rPr>
          <w:rFonts w:ascii="宋体" w:hAnsi="宋体" w:cs="宋体" w:eastAsia="宋体" w:hint="default"/>
          <w:spacing w:val="-77"/>
          <w:w w:val="100"/>
          <w:sz w:val="21"/>
          <w:szCs w:val="21"/>
        </w:rPr>
        <w:t> </w:t>
      </w:r>
      <w:r>
        <w:rPr>
          <w:rFonts w:ascii="宋体" w:hAnsi="宋体" w:cs="宋体" w:eastAsia="宋体" w:hint="default"/>
          <w:spacing w:val="-77"/>
          <w:w w:val="100"/>
          <w:sz w:val="21"/>
          <w:szCs w:val="21"/>
        </w:rPr>
      </w:r>
      <w:r>
        <w:rPr>
          <w:rFonts w:ascii="宋体" w:hAnsi="宋体" w:cs="宋体" w:eastAsia="宋体" w:hint="default"/>
          <w:spacing w:val="-2"/>
          <w:sz w:val="21"/>
          <w:szCs w:val="21"/>
        </w:rPr>
        <w:t>信有限公司在全国范围内经营</w:t>
      </w:r>
      <w:r>
        <w:rPr>
          <w:rFonts w:ascii="宋体" w:hAnsi="宋体" w:cs="宋体" w:eastAsia="宋体" w:hint="default"/>
          <w:spacing w:val="18"/>
          <w:sz w:val="21"/>
          <w:szCs w:val="21"/>
        </w:rPr>
        <w:t> </w:t>
      </w:r>
      <w:r>
        <w:rPr>
          <w:rFonts w:ascii="Arial" w:hAnsi="Arial" w:cs="Arial" w:eastAsia="Arial" w:hint="default"/>
          <w:spacing w:val="-2"/>
          <w:sz w:val="21"/>
          <w:szCs w:val="21"/>
        </w:rPr>
        <w:t>LTE/</w:t>
      </w:r>
      <w:r>
        <w:rPr>
          <w:rFonts w:ascii="宋体" w:hAnsi="宋体" w:cs="宋体" w:eastAsia="宋体" w:hint="default"/>
          <w:spacing w:val="-2"/>
          <w:sz w:val="21"/>
          <w:szCs w:val="21"/>
        </w:rPr>
        <w:t>第四代数字蜂窝移动通信业务</w:t>
      </w:r>
      <w:r>
        <w:rPr>
          <w:rFonts w:ascii="Arial" w:hAnsi="Arial" w:cs="Arial" w:eastAsia="Arial" w:hint="default"/>
          <w:spacing w:val="-2"/>
          <w:sz w:val="21"/>
          <w:szCs w:val="21"/>
        </w:rPr>
        <w:t>(TD-LTE)</w:t>
      </w:r>
      <w:r>
        <w:rPr>
          <w:rFonts w:ascii="宋体" w:hAnsi="宋体" w:cs="宋体" w:eastAsia="宋体" w:hint="default"/>
          <w:spacing w:val="-2"/>
          <w:sz w:val="21"/>
          <w:szCs w:val="21"/>
        </w:rPr>
        <w:t>。</w:t>
      </w:r>
    </w:p>
    <w:p>
      <w:pPr>
        <w:spacing w:line="240" w:lineRule="auto" w:before="4"/>
        <w:rPr>
          <w:rFonts w:ascii="宋体" w:hAnsi="宋体" w:cs="宋体" w:eastAsia="宋体" w:hint="default"/>
          <w:sz w:val="19"/>
          <w:szCs w:val="19"/>
        </w:rPr>
      </w:pPr>
    </w:p>
    <w:p>
      <w:pPr>
        <w:spacing w:line="274" w:lineRule="exact" w:before="0"/>
        <w:ind w:left="565" w:right="204" w:firstLine="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48"/>
          <w:sz w:val="21"/>
          <w:szCs w:val="21"/>
        </w:rPr>
        <w:t> </w:t>
      </w:r>
      <w:r>
        <w:rPr>
          <w:rFonts w:ascii="Arial" w:hAnsi="Arial" w:cs="Arial" w:eastAsia="Arial" w:hint="default"/>
          <w:sz w:val="21"/>
          <w:szCs w:val="21"/>
        </w:rPr>
        <w:t>2014</w:t>
      </w:r>
      <w:r>
        <w:rPr>
          <w:rFonts w:ascii="Arial" w:hAnsi="Arial" w:cs="Arial" w:eastAsia="Arial"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Arial" w:hAnsi="Arial" w:cs="Arial" w:eastAsia="Arial" w:hint="default"/>
          <w:sz w:val="21"/>
          <w:szCs w:val="21"/>
        </w:rPr>
        <w:t>6</w:t>
      </w:r>
      <w:r>
        <w:rPr>
          <w:rFonts w:ascii="Arial" w:hAnsi="Arial" w:cs="Arial" w:eastAsia="Arial"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Arial" w:hAnsi="Arial" w:cs="Arial" w:eastAsia="Arial" w:hint="default"/>
          <w:sz w:val="21"/>
          <w:szCs w:val="21"/>
        </w:rPr>
        <w:t>27</w:t>
      </w:r>
      <w:r>
        <w:rPr>
          <w:rFonts w:ascii="Arial" w:hAnsi="Arial" w:cs="Arial" w:eastAsia="Arial" w:hint="default"/>
          <w:spacing w:val="-1"/>
          <w:sz w:val="21"/>
          <w:szCs w:val="21"/>
        </w:rPr>
        <w:t> </w:t>
      </w:r>
      <w:r>
        <w:rPr>
          <w:rFonts w:ascii="宋体" w:hAnsi="宋体" w:cs="宋体" w:eastAsia="宋体" w:hint="default"/>
          <w:spacing w:val="-6"/>
          <w:sz w:val="21"/>
          <w:szCs w:val="21"/>
        </w:rPr>
        <w:t>日起，联通集团陆续获准在上海、广州等五十六个城市开展</w:t>
      </w:r>
      <w:r>
        <w:rPr>
          <w:rFonts w:ascii="宋体" w:hAnsi="宋体" w:cs="宋体" w:eastAsia="宋体" w:hint="default"/>
          <w:spacing w:val="-48"/>
          <w:sz w:val="21"/>
          <w:szCs w:val="21"/>
        </w:rPr>
        <w:t> </w:t>
      </w:r>
      <w:r>
        <w:rPr>
          <w:rFonts w:ascii="Arial" w:hAnsi="Arial" w:cs="Arial" w:eastAsia="Arial" w:hint="default"/>
          <w:sz w:val="21"/>
          <w:szCs w:val="21"/>
        </w:rPr>
        <w:t>TD-LTE/LTE</w:t>
      </w:r>
      <w:r>
        <w:rPr>
          <w:rFonts w:ascii="Arial" w:hAnsi="Arial" w:cs="Arial" w:eastAsia="Arial" w:hint="default"/>
          <w:spacing w:val="-56"/>
          <w:sz w:val="21"/>
          <w:szCs w:val="21"/>
        </w:rPr>
        <w:t> </w:t>
      </w:r>
      <w:r>
        <w:rPr>
          <w:rFonts w:ascii="Arial" w:hAnsi="Arial" w:cs="Arial" w:eastAsia="Arial" w:hint="default"/>
          <w:spacing w:val="-56"/>
          <w:sz w:val="21"/>
          <w:szCs w:val="21"/>
        </w:rPr>
      </w:r>
      <w:r>
        <w:rPr>
          <w:rFonts w:ascii="Arial" w:hAnsi="Arial" w:cs="Arial" w:eastAsia="Arial" w:hint="default"/>
          <w:spacing w:val="-1"/>
          <w:sz w:val="21"/>
          <w:szCs w:val="21"/>
        </w:rPr>
        <w:t>FDD</w:t>
      </w:r>
      <w:r>
        <w:rPr>
          <w:rFonts w:ascii="Arial" w:hAnsi="Arial" w:cs="Arial" w:eastAsia="Arial" w:hint="default"/>
          <w:spacing w:val="58"/>
          <w:sz w:val="21"/>
          <w:szCs w:val="21"/>
        </w:rPr>
        <w:t> </w:t>
      </w:r>
      <w:r>
        <w:rPr>
          <w:rFonts w:ascii="宋体" w:hAnsi="宋体" w:cs="宋体" w:eastAsia="宋体" w:hint="default"/>
          <w:spacing w:val="-2"/>
          <w:sz w:val="21"/>
          <w:szCs w:val="21"/>
        </w:rPr>
        <w:t>混合组网试验，联通运营公司经联通集团授权承担相关混合组网试验任务。</w:t>
      </w:r>
    </w:p>
    <w:p>
      <w:pPr>
        <w:spacing w:after="0" w:line="274" w:lineRule="exact"/>
        <w:jc w:val="left"/>
        <w:rPr>
          <w:rFonts w:ascii="宋体" w:hAnsi="宋体" w:cs="宋体" w:eastAsia="宋体" w:hint="default"/>
          <w:sz w:val="21"/>
          <w:szCs w:val="21"/>
        </w:rPr>
        <w:sectPr>
          <w:pgSz w:w="11910" w:h="16840"/>
          <w:pgMar w:header="880" w:footer="1194" w:top="1120" w:bottom="1380" w:left="1660" w:right="1120"/>
        </w:sectPr>
      </w:pPr>
    </w:p>
    <w:p>
      <w:pPr>
        <w:spacing w:line="240" w:lineRule="auto" w:before="3"/>
        <w:rPr>
          <w:rFonts w:ascii="宋体" w:hAnsi="宋体" w:cs="宋体" w:eastAsia="宋体" w:hint="default"/>
          <w:sz w:val="25"/>
          <w:szCs w:val="25"/>
        </w:rPr>
      </w:pPr>
    </w:p>
    <w:p>
      <w:pPr>
        <w:spacing w:before="36"/>
        <w:ind w:left="138" w:right="1922" w:firstLine="0"/>
        <w:jc w:val="left"/>
        <w:rPr>
          <w:rFonts w:ascii="宋体" w:hAnsi="宋体" w:cs="宋体" w:eastAsia="宋体" w:hint="default"/>
          <w:sz w:val="21"/>
          <w:szCs w:val="21"/>
        </w:rPr>
      </w:pPr>
      <w:r>
        <w:rPr>
          <w:rFonts w:ascii="宋体" w:hAnsi="宋体" w:cs="宋体" w:eastAsia="宋体" w:hint="default"/>
          <w:b/>
          <w:bCs/>
          <w:sz w:val="21"/>
          <w:szCs w:val="21"/>
        </w:rPr>
        <w:t>六、公司报告期内注册变更情况（续）</w:t>
      </w:r>
      <w:r>
        <w:rPr>
          <w:rFonts w:ascii="宋体" w:hAnsi="宋体" w:cs="宋体" w:eastAsia="宋体" w:hint="default"/>
          <w:sz w:val="21"/>
          <w:szCs w:val="21"/>
        </w:rPr>
      </w:r>
    </w:p>
    <w:p>
      <w:pPr>
        <w:spacing w:line="240" w:lineRule="auto" w:before="3"/>
        <w:rPr>
          <w:rFonts w:ascii="宋体" w:hAnsi="宋体" w:cs="宋体" w:eastAsia="宋体" w:hint="default"/>
          <w:b/>
          <w:bCs/>
          <w:sz w:val="25"/>
          <w:szCs w:val="25"/>
        </w:rPr>
      </w:pPr>
    </w:p>
    <w:p>
      <w:pPr>
        <w:spacing w:before="0"/>
        <w:ind w:left="138" w:right="1922"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三</w:t>
      </w:r>
      <w:r>
        <w:rPr>
          <w:rFonts w:ascii="Arial" w:hAnsi="Arial" w:cs="Arial" w:eastAsia="Arial" w:hint="default"/>
          <w:b/>
          <w:bCs/>
          <w:sz w:val="21"/>
          <w:szCs w:val="21"/>
        </w:rPr>
        <w:t>)</w:t>
      </w:r>
      <w:r>
        <w:rPr>
          <w:rFonts w:ascii="Arial" w:hAnsi="Arial" w:cs="Arial" w:eastAsia="Arial" w:hint="default"/>
          <w:b/>
          <w:bCs/>
          <w:spacing w:val="18"/>
          <w:sz w:val="21"/>
          <w:szCs w:val="21"/>
        </w:rPr>
        <w:t> </w:t>
      </w:r>
      <w:r>
        <w:rPr>
          <w:rFonts w:ascii="宋体" w:hAnsi="宋体" w:cs="宋体" w:eastAsia="宋体" w:hint="default"/>
          <w:b/>
          <w:bCs/>
          <w:sz w:val="21"/>
          <w:szCs w:val="21"/>
        </w:rPr>
        <w:t>公司上市以来，主营业务的变化情况（续）</w:t>
      </w:r>
      <w:r>
        <w:rPr>
          <w:rFonts w:ascii="宋体" w:hAnsi="宋体" w:cs="宋体" w:eastAsia="宋体" w:hint="default"/>
          <w:sz w:val="21"/>
          <w:szCs w:val="21"/>
        </w:rPr>
      </w:r>
    </w:p>
    <w:p>
      <w:pPr>
        <w:spacing w:line="240" w:lineRule="auto" w:before="11"/>
        <w:rPr>
          <w:rFonts w:ascii="宋体" w:hAnsi="宋体" w:cs="宋体" w:eastAsia="宋体" w:hint="default"/>
          <w:b/>
          <w:bCs/>
          <w:sz w:val="22"/>
          <w:szCs w:val="22"/>
        </w:rPr>
      </w:pPr>
    </w:p>
    <w:p>
      <w:pPr>
        <w:spacing w:line="225" w:lineRule="auto" w:before="0"/>
        <w:ind w:left="565" w:right="127" w:firstLine="0"/>
        <w:jc w:val="both"/>
        <w:rPr>
          <w:rFonts w:ascii="宋体" w:hAnsi="宋体" w:cs="宋体" w:eastAsia="宋体" w:hint="default"/>
          <w:sz w:val="21"/>
          <w:szCs w:val="21"/>
        </w:rPr>
      </w:pPr>
      <w:r>
        <w:rPr>
          <w:rFonts w:ascii="宋体" w:hAnsi="宋体" w:cs="宋体" w:eastAsia="宋体" w:hint="default"/>
          <w:sz w:val="21"/>
          <w:szCs w:val="21"/>
        </w:rPr>
        <w:t>此外，于</w:t>
      </w:r>
      <w:r>
        <w:rPr>
          <w:rFonts w:ascii="宋体" w:hAnsi="宋体" w:cs="宋体" w:eastAsia="宋体" w:hint="default"/>
          <w:spacing w:val="-54"/>
          <w:sz w:val="21"/>
          <w:szCs w:val="21"/>
        </w:rPr>
        <w:t> </w:t>
      </w:r>
      <w:r>
        <w:rPr>
          <w:rFonts w:ascii="Arial" w:hAnsi="Arial" w:cs="Arial" w:eastAsia="Arial" w:hint="default"/>
          <w:sz w:val="21"/>
          <w:szCs w:val="21"/>
        </w:rPr>
        <w:t>2015</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27</w:t>
      </w:r>
      <w:r>
        <w:rPr>
          <w:rFonts w:ascii="Arial" w:hAnsi="Arial" w:cs="Arial" w:eastAsia="Arial" w:hint="default"/>
          <w:spacing w:val="-9"/>
          <w:sz w:val="21"/>
          <w:szCs w:val="21"/>
        </w:rPr>
        <w:t> </w:t>
      </w:r>
      <w:r>
        <w:rPr>
          <w:rFonts w:ascii="宋体" w:hAnsi="宋体" w:cs="宋体" w:eastAsia="宋体" w:hint="default"/>
          <w:sz w:val="21"/>
          <w:szCs w:val="21"/>
        </w:rPr>
        <w:t>日，联通集团获得由工信部发放的“</w:t>
      </w:r>
      <w:r>
        <w:rPr>
          <w:rFonts w:ascii="Arial" w:hAnsi="Arial" w:cs="Arial" w:eastAsia="Arial" w:hint="default"/>
          <w:sz w:val="21"/>
          <w:szCs w:val="21"/>
        </w:rPr>
        <w:t>LTE/</w:t>
      </w:r>
      <w:r>
        <w:rPr>
          <w:rFonts w:ascii="宋体" w:hAnsi="宋体" w:cs="宋体" w:eastAsia="宋体" w:hint="default"/>
          <w:sz w:val="21"/>
          <w:szCs w:val="21"/>
        </w:rPr>
        <w:t>第四代数字蜂窝移动通</w:t>
      </w:r>
      <w:r>
        <w:rPr>
          <w:rFonts w:ascii="宋体" w:hAnsi="宋体" w:cs="宋体" w:eastAsia="宋体" w:hint="default"/>
          <w:w w:val="100"/>
          <w:sz w:val="21"/>
          <w:szCs w:val="21"/>
        </w:rPr>
        <w:t> </w:t>
      </w:r>
      <w:r>
        <w:rPr>
          <w:rFonts w:ascii="宋体" w:hAnsi="宋体" w:cs="宋体" w:eastAsia="宋体" w:hint="default"/>
          <w:spacing w:val="-1"/>
          <w:sz w:val="21"/>
          <w:szCs w:val="21"/>
        </w:rPr>
        <w:t>信业务</w:t>
      </w:r>
      <w:r>
        <w:rPr>
          <w:rFonts w:ascii="Arial" w:hAnsi="Arial" w:cs="Arial" w:eastAsia="Arial" w:hint="default"/>
          <w:spacing w:val="-1"/>
          <w:sz w:val="21"/>
          <w:szCs w:val="21"/>
        </w:rPr>
        <w:t>(LTE</w:t>
      </w:r>
      <w:r>
        <w:rPr>
          <w:rFonts w:ascii="Arial" w:hAnsi="Arial" w:cs="Arial" w:eastAsia="Arial" w:hint="default"/>
          <w:sz w:val="21"/>
          <w:szCs w:val="21"/>
        </w:rPr>
        <w:t> </w:t>
      </w:r>
      <w:r>
        <w:rPr>
          <w:rFonts w:ascii="Arial" w:hAnsi="Arial" w:cs="Arial" w:eastAsia="Arial" w:hint="default"/>
          <w:spacing w:val="-2"/>
          <w:sz w:val="21"/>
          <w:szCs w:val="21"/>
        </w:rPr>
        <w:t>FDD)</w:t>
      </w:r>
      <w:r>
        <w:rPr>
          <w:rFonts w:ascii="宋体" w:hAnsi="宋体" w:cs="宋体" w:eastAsia="宋体" w:hint="default"/>
          <w:spacing w:val="-2"/>
          <w:sz w:val="21"/>
          <w:szCs w:val="21"/>
        </w:rPr>
        <w:t>”经营许可。工信部同时批准联通集团授权本公司间接控股的子公司中国</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联合网络通信有限公司在全国范围内经营</w:t>
      </w:r>
      <w:r>
        <w:rPr>
          <w:rFonts w:ascii="宋体" w:hAnsi="宋体" w:cs="宋体" w:eastAsia="宋体" w:hint="default"/>
          <w:spacing w:val="-57"/>
          <w:sz w:val="21"/>
          <w:szCs w:val="21"/>
        </w:rPr>
        <w:t> </w:t>
      </w:r>
      <w:r>
        <w:rPr>
          <w:rFonts w:ascii="Arial" w:hAnsi="Arial" w:cs="Arial" w:eastAsia="Arial" w:hint="default"/>
          <w:sz w:val="21"/>
          <w:szCs w:val="21"/>
        </w:rPr>
        <w:t>LTE/</w:t>
      </w:r>
      <w:r>
        <w:rPr>
          <w:rFonts w:ascii="宋体" w:hAnsi="宋体" w:cs="宋体" w:eastAsia="宋体" w:hint="default"/>
          <w:sz w:val="21"/>
          <w:szCs w:val="21"/>
        </w:rPr>
        <w:t>第四代数字蜂窝移动通信业务</w:t>
      </w:r>
      <w:r>
        <w:rPr>
          <w:rFonts w:ascii="Arial" w:hAnsi="Arial" w:cs="Arial" w:eastAsia="Arial" w:hint="default"/>
          <w:sz w:val="21"/>
          <w:szCs w:val="21"/>
        </w:rPr>
        <w:t>(LTE</w:t>
      </w:r>
      <w:r>
        <w:rPr>
          <w:rFonts w:ascii="Arial" w:hAnsi="Arial" w:cs="Arial" w:eastAsia="Arial" w:hint="default"/>
          <w:spacing w:val="-6"/>
          <w:sz w:val="21"/>
          <w:szCs w:val="21"/>
        </w:rPr>
        <w:t> </w:t>
      </w:r>
      <w:r>
        <w:rPr>
          <w:rFonts w:ascii="Arial" w:hAnsi="Arial" w:cs="Arial" w:eastAsia="Arial" w:hint="default"/>
          <w:sz w:val="21"/>
          <w:szCs w:val="21"/>
        </w:rPr>
        <w:t>FDD)</w:t>
      </w:r>
      <w:r>
        <w:rPr>
          <w:rFonts w:ascii="宋体" w:hAnsi="宋体" w:cs="宋体" w:eastAsia="宋体" w:hint="default"/>
          <w:sz w:val="21"/>
          <w:szCs w:val="21"/>
        </w:rPr>
        <w:t>。</w:t>
      </w:r>
    </w:p>
    <w:p>
      <w:pPr>
        <w:spacing w:line="240" w:lineRule="auto" w:before="1"/>
        <w:rPr>
          <w:rFonts w:ascii="宋体" w:hAnsi="宋体" w:cs="宋体" w:eastAsia="宋体" w:hint="default"/>
          <w:sz w:val="22"/>
          <w:szCs w:val="22"/>
        </w:rPr>
      </w:pPr>
    </w:p>
    <w:p>
      <w:pPr>
        <w:spacing w:line="460" w:lineRule="auto" w:before="0"/>
        <w:ind w:left="565" w:right="1922" w:hanging="428"/>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四</w:t>
      </w:r>
      <w:r>
        <w:rPr>
          <w:rFonts w:ascii="Arial" w:hAnsi="Arial" w:cs="Arial" w:eastAsia="Arial" w:hint="default"/>
          <w:b/>
          <w:bCs/>
          <w:sz w:val="21"/>
          <w:szCs w:val="21"/>
        </w:rPr>
        <w:t>)</w:t>
      </w:r>
      <w:r>
        <w:rPr>
          <w:rFonts w:ascii="Arial" w:hAnsi="Arial" w:cs="Arial" w:eastAsia="Arial" w:hint="default"/>
          <w:b/>
          <w:bCs/>
          <w:spacing w:val="16"/>
          <w:sz w:val="21"/>
          <w:szCs w:val="21"/>
        </w:rPr>
        <w:t> </w:t>
      </w:r>
      <w:r>
        <w:rPr>
          <w:rFonts w:ascii="宋体" w:hAnsi="宋体" w:cs="宋体" w:eastAsia="宋体" w:hint="default"/>
          <w:b/>
          <w:bCs/>
          <w:sz w:val="21"/>
          <w:szCs w:val="21"/>
        </w:rPr>
        <w:t>公司上市以来</w:t>
      </w:r>
      <w:r>
        <w:rPr>
          <w:rFonts w:ascii="Arial" w:hAnsi="Arial" w:cs="Arial" w:eastAsia="Arial" w:hint="default"/>
          <w:b/>
          <w:bCs/>
          <w:sz w:val="21"/>
          <w:szCs w:val="21"/>
        </w:rPr>
        <w:t>,</w:t>
      </w:r>
      <w:r>
        <w:rPr>
          <w:rFonts w:ascii="宋体" w:hAnsi="宋体" w:cs="宋体" w:eastAsia="宋体" w:hint="default"/>
          <w:b/>
          <w:bCs/>
          <w:sz w:val="21"/>
          <w:szCs w:val="21"/>
        </w:rPr>
        <w:t>历次控股股东的变更情况</w:t>
      </w:r>
      <w:r>
        <w:rPr>
          <w:rFonts w:ascii="宋体" w:hAnsi="宋体" w:cs="宋体" w:eastAsia="宋体" w:hint="default"/>
          <w:b/>
          <w:bCs/>
          <w:spacing w:val="-103"/>
          <w:sz w:val="21"/>
          <w:szCs w:val="21"/>
        </w:rPr>
        <w:t> </w:t>
      </w:r>
      <w:r>
        <w:rPr>
          <w:rFonts w:ascii="宋体" w:hAnsi="宋体" w:cs="宋体" w:eastAsia="宋体" w:hint="default"/>
          <w:sz w:val="21"/>
          <w:szCs w:val="21"/>
        </w:rPr>
        <w:t>联通集团为本公司的控股股东。</w:t>
      </w:r>
      <w:r>
        <w:rPr>
          <w:rFonts w:ascii="宋体" w:hAnsi="宋体" w:cs="宋体" w:eastAsia="宋体" w:hint="default"/>
          <w:w w:val="100"/>
          <w:sz w:val="21"/>
          <w:szCs w:val="21"/>
        </w:rPr>
        <w:t> </w:t>
      </w:r>
      <w:r>
        <w:rPr>
          <w:rFonts w:ascii="宋体" w:hAnsi="宋体" w:cs="宋体" w:eastAsia="宋体" w:hint="default"/>
          <w:spacing w:val="-2"/>
          <w:sz w:val="21"/>
          <w:szCs w:val="21"/>
        </w:rPr>
        <w:t>本公司控股股东及实际控制人没有变化。</w:t>
      </w:r>
    </w:p>
    <w:p>
      <w:pPr>
        <w:spacing w:before="106"/>
        <w:ind w:left="138" w:right="1922" w:firstLine="0"/>
        <w:jc w:val="left"/>
        <w:rPr>
          <w:rFonts w:ascii="宋体" w:hAnsi="宋体" w:cs="宋体" w:eastAsia="宋体" w:hint="default"/>
          <w:sz w:val="21"/>
          <w:szCs w:val="21"/>
        </w:rPr>
      </w:pPr>
      <w:r>
        <w:rPr>
          <w:rFonts w:ascii="宋体" w:hAnsi="宋体" w:cs="宋体" w:eastAsia="宋体" w:hint="default"/>
          <w:b/>
          <w:bCs/>
          <w:sz w:val="21"/>
          <w:szCs w:val="21"/>
        </w:rPr>
        <w:t>六、其他有关资料</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tbl>
      <w:tblPr>
        <w:tblW w:w="0" w:type="auto"/>
        <w:jc w:val="left"/>
        <w:tblInd w:w="133" w:type="dxa"/>
        <w:tblLayout w:type="fixed"/>
        <w:tblCellMar>
          <w:top w:w="0" w:type="dxa"/>
          <w:left w:w="0" w:type="dxa"/>
          <w:bottom w:w="0" w:type="dxa"/>
          <w:right w:w="0" w:type="dxa"/>
        </w:tblCellMar>
        <w:tblLook w:val="01E0"/>
      </w:tblPr>
      <w:tblGrid>
        <w:gridCol w:w="2643"/>
        <w:gridCol w:w="1690"/>
        <w:gridCol w:w="4458"/>
      </w:tblGrid>
      <w:tr>
        <w:trPr>
          <w:trHeight w:val="242" w:hRule="exact"/>
        </w:trPr>
        <w:tc>
          <w:tcPr>
            <w:tcW w:w="2643" w:type="dxa"/>
            <w:vMerge w:val="restart"/>
            <w:tcBorders>
              <w:top w:val="single" w:sz="4" w:space="0" w:color="000000"/>
              <w:left w:val="single" w:sz="4" w:space="0" w:color="000000"/>
              <w:right w:val="single" w:sz="4" w:space="0" w:color="000000"/>
            </w:tcBorders>
            <w:shd w:val="clear" w:color="auto" w:fill="E4E4E4"/>
          </w:tcPr>
          <w:p>
            <w:pPr>
              <w:pStyle w:val="TableParagraph"/>
              <w:spacing w:line="234" w:lineRule="exact" w:before="97"/>
              <w:ind w:left="103" w:right="0"/>
              <w:jc w:val="left"/>
              <w:rPr>
                <w:rFonts w:ascii="宋体" w:hAnsi="宋体" w:cs="宋体" w:eastAsia="宋体" w:hint="default"/>
                <w:sz w:val="18"/>
                <w:szCs w:val="18"/>
              </w:rPr>
            </w:pPr>
            <w:r>
              <w:rPr>
                <w:rFonts w:ascii="宋体" w:hAnsi="宋体" w:cs="宋体" w:eastAsia="宋体" w:hint="default"/>
                <w:b/>
                <w:bCs/>
                <w:sz w:val="18"/>
                <w:szCs w:val="18"/>
              </w:rPr>
              <w:t>公司聘请的会计师事务所</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（境内）</w:t>
            </w:r>
            <w:r>
              <w:rPr>
                <w:rFonts w:ascii="宋体" w:hAnsi="宋体" w:cs="宋体" w:eastAsia="宋体" w:hint="default"/>
                <w:sz w:val="18"/>
                <w:szCs w:val="18"/>
              </w:rPr>
            </w:r>
          </w:p>
        </w:tc>
        <w:tc>
          <w:tcPr>
            <w:tcW w:w="169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毕马威华振会计师事务所（特殊普通合伙）</w:t>
            </w:r>
          </w:p>
        </w:tc>
      </w:tr>
      <w:tr>
        <w:trPr>
          <w:trHeight w:val="245" w:hRule="exact"/>
        </w:trPr>
        <w:tc>
          <w:tcPr>
            <w:tcW w:w="2643" w:type="dxa"/>
            <w:vMerge/>
            <w:tcBorders>
              <w:left w:val="single" w:sz="4" w:space="0" w:color="000000"/>
              <w:right w:val="single" w:sz="4" w:space="0" w:color="000000"/>
            </w:tcBorders>
            <w:shd w:val="clear" w:color="auto" w:fill="E4E4E4"/>
          </w:tcPr>
          <w:p>
            <w:pPr/>
          </w:p>
        </w:tc>
        <w:tc>
          <w:tcPr>
            <w:tcW w:w="169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办公地址</w:t>
            </w:r>
            <w:r>
              <w:rPr>
                <w:rFonts w:ascii="宋体" w:hAnsi="宋体" w:cs="宋体" w:eastAsia="宋体" w:hint="default"/>
                <w:sz w:val="18"/>
                <w:szCs w:val="18"/>
              </w:rPr>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北京市长安街</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号东方广场东</w:t>
            </w:r>
            <w:r>
              <w:rPr>
                <w:rFonts w:ascii="宋体" w:hAnsi="宋体" w:cs="宋体" w:eastAsia="宋体" w:hint="default"/>
                <w:spacing w:val="-47"/>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座办公楼</w:t>
            </w:r>
            <w:r>
              <w:rPr>
                <w:rFonts w:ascii="宋体" w:hAnsi="宋体" w:cs="宋体" w:eastAsia="宋体" w:hint="default"/>
                <w:spacing w:val="-45"/>
                <w:sz w:val="18"/>
                <w:szCs w:val="18"/>
              </w:rPr>
              <w:t> </w:t>
            </w:r>
            <w:r>
              <w:rPr>
                <w:rFonts w:ascii="Arial" w:hAnsi="Arial" w:cs="Arial" w:eastAsia="Arial" w:hint="default"/>
                <w:sz w:val="18"/>
                <w:szCs w:val="18"/>
              </w:rPr>
              <w:t>8</w:t>
            </w:r>
            <w:r>
              <w:rPr>
                <w:rFonts w:ascii="Arial" w:hAnsi="Arial" w:cs="Arial" w:eastAsia="Arial" w:hint="default"/>
                <w:spacing w:val="-4"/>
                <w:sz w:val="18"/>
                <w:szCs w:val="18"/>
              </w:rPr>
              <w:t> </w:t>
            </w:r>
            <w:r>
              <w:rPr>
                <w:rFonts w:ascii="宋体" w:hAnsi="宋体" w:cs="宋体" w:eastAsia="宋体" w:hint="default"/>
                <w:sz w:val="18"/>
                <w:szCs w:val="18"/>
              </w:rPr>
              <w:t>层</w:t>
            </w:r>
          </w:p>
        </w:tc>
      </w:tr>
      <w:tr>
        <w:trPr>
          <w:trHeight w:val="242" w:hRule="exact"/>
        </w:trPr>
        <w:tc>
          <w:tcPr>
            <w:tcW w:w="2643" w:type="dxa"/>
            <w:vMerge/>
            <w:tcBorders>
              <w:left w:val="single" w:sz="4" w:space="0" w:color="000000"/>
              <w:bottom w:val="single" w:sz="4" w:space="0" w:color="000000"/>
              <w:right w:val="single" w:sz="4" w:space="0" w:color="000000"/>
            </w:tcBorders>
            <w:shd w:val="clear" w:color="auto" w:fill="E4E4E4"/>
          </w:tcPr>
          <w:p>
            <w:pPr/>
          </w:p>
        </w:tc>
        <w:tc>
          <w:tcPr>
            <w:tcW w:w="169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签字会计师姓名</w:t>
            </w:r>
            <w:r>
              <w:rPr>
                <w:rFonts w:ascii="宋体" w:hAnsi="宋体" w:cs="宋体" w:eastAsia="宋体" w:hint="default"/>
                <w:sz w:val="18"/>
                <w:szCs w:val="18"/>
              </w:rPr>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罗科、况琳</w:t>
            </w:r>
          </w:p>
        </w:tc>
      </w:tr>
    </w:tbl>
    <w:p>
      <w:pPr>
        <w:spacing w:after="0" w:line="205" w:lineRule="exact"/>
        <w:jc w:val="left"/>
        <w:rPr>
          <w:rFonts w:ascii="宋体" w:hAnsi="宋体" w:cs="宋体" w:eastAsia="宋体" w:hint="default"/>
          <w:sz w:val="18"/>
          <w:szCs w:val="18"/>
        </w:rPr>
        <w:sectPr>
          <w:pgSz w:w="11910" w:h="16840"/>
          <w:pgMar w:header="880" w:footer="1194" w:top="1120" w:bottom="1380" w:left="1660" w:right="1200"/>
        </w:sectPr>
      </w:pPr>
    </w:p>
    <w:p>
      <w:pPr>
        <w:spacing w:line="240" w:lineRule="auto" w:before="0"/>
        <w:rPr>
          <w:rFonts w:ascii="宋体" w:hAnsi="宋体" w:cs="宋体" w:eastAsia="宋体" w:hint="default"/>
          <w:b/>
          <w:bCs/>
          <w:sz w:val="20"/>
          <w:szCs w:val="20"/>
        </w:rPr>
      </w:pPr>
    </w:p>
    <w:p>
      <w:pPr>
        <w:pStyle w:val="Heading1"/>
        <w:tabs>
          <w:tab w:pos="3608" w:val="left" w:leader="none"/>
        </w:tabs>
        <w:spacing w:line="240" w:lineRule="auto"/>
        <w:ind w:left="2348" w:right="1922"/>
        <w:jc w:val="left"/>
        <w:rPr>
          <w:b w:val="0"/>
          <w:bCs w:val="0"/>
        </w:rPr>
      </w:pPr>
      <w:bookmarkStart w:name="_TOC_250008" w:id="3"/>
      <w:r>
        <w:rPr>
          <w:w w:val="95"/>
        </w:rPr>
        <w:t>第三节</w:t>
        <w:tab/>
      </w:r>
      <w:r>
        <w:rPr/>
        <w:t>会计数据和财务指标摘要</w:t>
      </w:r>
      <w:bookmarkEnd w:id="3"/>
      <w:r>
        <w:rPr>
          <w:b w:val="0"/>
          <w:bCs w:val="0"/>
        </w:rPr>
      </w:r>
    </w:p>
    <w:p>
      <w:pPr>
        <w:spacing w:line="240" w:lineRule="auto" w:before="4"/>
        <w:rPr>
          <w:rFonts w:ascii="黑体" w:hAnsi="黑体" w:cs="黑体" w:eastAsia="黑体" w:hint="default"/>
          <w:b/>
          <w:bCs/>
          <w:sz w:val="19"/>
          <w:szCs w:val="19"/>
        </w:rPr>
      </w:pPr>
    </w:p>
    <w:p>
      <w:pPr>
        <w:spacing w:before="0"/>
        <w:ind w:left="138" w:right="1922" w:firstLine="0"/>
        <w:jc w:val="left"/>
        <w:rPr>
          <w:rFonts w:ascii="宋体" w:hAnsi="宋体" w:cs="宋体" w:eastAsia="宋体" w:hint="default"/>
          <w:sz w:val="21"/>
          <w:szCs w:val="21"/>
        </w:rPr>
      </w:pPr>
      <w:r>
        <w:rPr>
          <w:rFonts w:ascii="宋体" w:hAnsi="宋体" w:cs="宋体" w:eastAsia="宋体" w:hint="default"/>
          <w:b/>
          <w:bCs/>
          <w:sz w:val="21"/>
          <w:szCs w:val="21"/>
        </w:rPr>
        <w:t>一、报告期末公司近三年主要会计数据和财务指标</w:t>
      </w:r>
      <w:r>
        <w:rPr>
          <w:rFonts w:ascii="宋体" w:hAnsi="宋体" w:cs="宋体" w:eastAsia="宋体" w:hint="default"/>
          <w:sz w:val="21"/>
          <w:szCs w:val="21"/>
        </w:rPr>
      </w:r>
    </w:p>
    <w:p>
      <w:pPr>
        <w:spacing w:line="240" w:lineRule="auto" w:before="0"/>
        <w:rPr>
          <w:rFonts w:ascii="宋体" w:hAnsi="宋体" w:cs="宋体" w:eastAsia="宋体" w:hint="default"/>
          <w:b/>
          <w:bCs/>
          <w:sz w:val="27"/>
          <w:szCs w:val="27"/>
        </w:rPr>
      </w:pPr>
    </w:p>
    <w:p>
      <w:pPr>
        <w:spacing w:before="36"/>
        <w:ind w:left="138" w:right="1922"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一</w:t>
      </w:r>
      <w:r>
        <w:rPr>
          <w:rFonts w:ascii="Arial" w:hAnsi="Arial" w:cs="Arial" w:eastAsia="Arial" w:hint="default"/>
          <w:b/>
          <w:bCs/>
          <w:sz w:val="21"/>
          <w:szCs w:val="21"/>
        </w:rPr>
        <w:t>)</w:t>
      </w:r>
      <w:r>
        <w:rPr>
          <w:rFonts w:ascii="Arial" w:hAnsi="Arial" w:cs="Arial" w:eastAsia="Arial" w:hint="default"/>
          <w:b/>
          <w:bCs/>
          <w:spacing w:val="19"/>
          <w:sz w:val="21"/>
          <w:szCs w:val="21"/>
        </w:rPr>
        <w:t> </w:t>
      </w:r>
      <w:r>
        <w:rPr>
          <w:rFonts w:ascii="宋体" w:hAnsi="宋体" w:cs="宋体" w:eastAsia="宋体" w:hint="default"/>
          <w:b/>
          <w:bCs/>
          <w:sz w:val="21"/>
          <w:szCs w:val="21"/>
        </w:rPr>
        <w:t>主要会计数据</w:t>
      </w:r>
      <w:r>
        <w:rPr>
          <w:rFonts w:ascii="宋体" w:hAnsi="宋体" w:cs="宋体" w:eastAsia="宋体" w:hint="default"/>
          <w:sz w:val="21"/>
          <w:szCs w:val="21"/>
        </w:rPr>
      </w:r>
    </w:p>
    <w:p>
      <w:pPr>
        <w:tabs>
          <w:tab w:pos="1048" w:val="left" w:leader="none"/>
        </w:tabs>
        <w:spacing w:before="44"/>
        <w:ind w:left="0" w:right="130"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576"/>
        <w:gridCol w:w="1587"/>
        <w:gridCol w:w="1598"/>
        <w:gridCol w:w="1448"/>
        <w:gridCol w:w="1572"/>
      </w:tblGrid>
      <w:tr>
        <w:trPr>
          <w:trHeight w:val="607" w:hRule="exact"/>
        </w:trPr>
        <w:tc>
          <w:tcPr>
            <w:tcW w:w="257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52"/>
              <w:ind w:left="739" w:right="0"/>
              <w:jc w:val="left"/>
              <w:rPr>
                <w:rFonts w:ascii="宋体" w:hAnsi="宋体" w:cs="宋体" w:eastAsia="宋体" w:hint="default"/>
                <w:sz w:val="18"/>
                <w:szCs w:val="18"/>
              </w:rPr>
            </w:pPr>
            <w:r>
              <w:rPr>
                <w:rFonts w:ascii="宋体" w:hAnsi="宋体" w:cs="宋体" w:eastAsia="宋体" w:hint="default"/>
                <w:b/>
                <w:bCs/>
                <w:sz w:val="18"/>
                <w:szCs w:val="18"/>
              </w:rPr>
              <w:t>主要会计数据</w:t>
            </w:r>
            <w:r>
              <w:rPr>
                <w:rFonts w:ascii="宋体" w:hAnsi="宋体" w:cs="宋体" w:eastAsia="宋体" w:hint="default"/>
                <w:sz w:val="18"/>
                <w:szCs w:val="18"/>
              </w:rPr>
            </w:r>
          </w:p>
        </w:tc>
        <w:tc>
          <w:tcPr>
            <w:tcW w:w="158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52"/>
              <w:ind w:left="496" w:right="0"/>
              <w:jc w:val="left"/>
              <w:rPr>
                <w:rFonts w:ascii="宋体" w:hAnsi="宋体" w:cs="宋体" w:eastAsia="宋体" w:hint="default"/>
                <w:sz w:val="18"/>
                <w:szCs w:val="18"/>
              </w:rPr>
            </w:pPr>
            <w:r>
              <w:rPr>
                <w:rFonts w:ascii="Arial" w:hAnsi="Arial" w:cs="Arial" w:eastAsia="Arial" w:hint="default"/>
                <w:sz w:val="18"/>
                <w:szCs w:val="18"/>
              </w:rPr>
              <w:t>2014</w:t>
            </w:r>
            <w:r>
              <w:rPr>
                <w:rFonts w:ascii="宋体" w:hAnsi="宋体" w:cs="宋体" w:eastAsia="宋体" w:hint="default"/>
                <w:b/>
                <w:bCs/>
                <w:sz w:val="18"/>
                <w:szCs w:val="18"/>
              </w:rPr>
              <w:t>年</w:t>
            </w:r>
            <w:r>
              <w:rPr>
                <w:rFonts w:ascii="宋体" w:hAnsi="宋体" w:cs="宋体" w:eastAsia="宋体" w:hint="default"/>
                <w:sz w:val="18"/>
                <w:szCs w:val="18"/>
              </w:rPr>
            </w:r>
          </w:p>
        </w:tc>
        <w:tc>
          <w:tcPr>
            <w:tcW w:w="159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52"/>
              <w:ind w:left="503" w:right="0"/>
              <w:jc w:val="left"/>
              <w:rPr>
                <w:rFonts w:ascii="宋体" w:hAnsi="宋体" w:cs="宋体" w:eastAsia="宋体" w:hint="default"/>
                <w:sz w:val="18"/>
                <w:szCs w:val="18"/>
              </w:rPr>
            </w:pPr>
            <w:r>
              <w:rPr>
                <w:rFonts w:ascii="Arial" w:hAnsi="Arial" w:cs="Arial" w:eastAsia="Arial" w:hint="default"/>
                <w:sz w:val="18"/>
                <w:szCs w:val="18"/>
              </w:rPr>
              <w:t>2013</w:t>
            </w:r>
            <w:r>
              <w:rPr>
                <w:rFonts w:ascii="宋体" w:hAnsi="宋体" w:cs="宋体" w:eastAsia="宋体" w:hint="default"/>
                <w:b/>
                <w:bCs/>
                <w:sz w:val="18"/>
                <w:szCs w:val="18"/>
              </w:rPr>
              <w:t>年</w:t>
            </w:r>
            <w:r>
              <w:rPr>
                <w:rFonts w:ascii="宋体" w:hAnsi="宋体" w:cs="宋体" w:eastAsia="宋体" w:hint="default"/>
                <w:sz w:val="18"/>
                <w:szCs w:val="18"/>
              </w:rPr>
            </w:r>
          </w:p>
        </w:tc>
        <w:tc>
          <w:tcPr>
            <w:tcW w:w="144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34"/>
              <w:ind w:left="307" w:right="176" w:hanging="132"/>
              <w:jc w:val="left"/>
              <w:rPr>
                <w:rFonts w:ascii="Arial" w:hAnsi="Arial" w:cs="Arial" w:eastAsia="Arial" w:hint="default"/>
                <w:sz w:val="18"/>
                <w:szCs w:val="18"/>
              </w:rPr>
            </w:pPr>
            <w:r>
              <w:rPr>
                <w:rFonts w:ascii="宋体" w:hAnsi="宋体" w:cs="宋体" w:eastAsia="宋体" w:hint="default"/>
                <w:b/>
                <w:bCs/>
                <w:sz w:val="18"/>
                <w:szCs w:val="18"/>
              </w:rPr>
              <w:t>本期比上年同</w:t>
            </w:r>
            <w:r>
              <w:rPr>
                <w:rFonts w:ascii="宋体" w:hAnsi="宋体" w:cs="宋体" w:eastAsia="宋体" w:hint="default"/>
                <w:b/>
                <w:bCs/>
                <w:w w:val="99"/>
                <w:sz w:val="18"/>
                <w:szCs w:val="18"/>
              </w:rPr>
              <w:t> </w:t>
            </w:r>
            <w:r>
              <w:rPr>
                <w:rFonts w:ascii="宋体" w:hAnsi="宋体" w:cs="宋体" w:eastAsia="宋体" w:hint="default"/>
                <w:b/>
                <w:bCs/>
                <w:sz w:val="18"/>
                <w:szCs w:val="18"/>
              </w:rPr>
              <w:t>期增减</w:t>
            </w:r>
            <w:r>
              <w:rPr>
                <w:rFonts w:ascii="Arial" w:hAnsi="Arial" w:cs="Arial" w:eastAsia="Arial" w:hint="default"/>
                <w:b/>
                <w:bCs/>
                <w:sz w:val="18"/>
                <w:szCs w:val="18"/>
              </w:rPr>
              <w:t>(%)</w:t>
            </w:r>
            <w:r>
              <w:rPr>
                <w:rFonts w:ascii="Arial" w:hAnsi="Arial" w:cs="Arial" w:eastAsia="Arial" w:hint="default"/>
                <w:sz w:val="18"/>
                <w:szCs w:val="18"/>
              </w:rPr>
            </w:r>
          </w:p>
        </w:tc>
        <w:tc>
          <w:tcPr>
            <w:tcW w:w="157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52"/>
              <w:ind w:left="489" w:right="0"/>
              <w:jc w:val="left"/>
              <w:rPr>
                <w:rFonts w:ascii="宋体" w:hAnsi="宋体" w:cs="宋体" w:eastAsia="宋体" w:hint="default"/>
                <w:sz w:val="18"/>
                <w:szCs w:val="18"/>
              </w:rPr>
            </w:pPr>
            <w:r>
              <w:rPr>
                <w:rFonts w:ascii="Arial" w:hAnsi="Arial" w:cs="Arial" w:eastAsia="Arial" w:hint="default"/>
                <w:sz w:val="18"/>
                <w:szCs w:val="18"/>
              </w:rPr>
              <w:t>2012</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295"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Arial" w:hAnsi="Arial" w:cs="Arial" w:eastAsia="Arial" w:hint="default"/>
                <w:sz w:val="18"/>
                <w:szCs w:val="18"/>
              </w:rPr>
            </w:pPr>
            <w:r>
              <w:rPr>
                <w:rFonts w:ascii="Arial"/>
                <w:spacing w:val="-1"/>
                <w:sz w:val="18"/>
              </w:rPr>
              <w:t>288,570,874,374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Arial" w:hAnsi="Arial" w:cs="Arial" w:eastAsia="Arial" w:hint="default"/>
                <w:sz w:val="18"/>
                <w:szCs w:val="18"/>
              </w:rPr>
            </w:pPr>
            <w:r>
              <w:rPr>
                <w:rFonts w:ascii="Arial"/>
                <w:spacing w:val="-1"/>
                <w:sz w:val="18"/>
              </w:rPr>
              <w:t>303,727,203,182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46"/>
              <w:jc w:val="right"/>
              <w:rPr>
                <w:rFonts w:ascii="Arial" w:hAnsi="Arial" w:cs="Arial" w:eastAsia="Arial" w:hint="default"/>
                <w:sz w:val="18"/>
                <w:szCs w:val="18"/>
              </w:rPr>
            </w:pPr>
            <w:r>
              <w:rPr>
                <w:rFonts w:ascii="Arial"/>
                <w:sz w:val="18"/>
              </w:rPr>
              <w:t>(5.0)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Arial" w:hAnsi="Arial" w:cs="Arial" w:eastAsia="Arial" w:hint="default"/>
                <w:sz w:val="18"/>
                <w:szCs w:val="18"/>
              </w:rPr>
            </w:pPr>
            <w:r>
              <w:rPr>
                <w:rFonts w:ascii="Arial"/>
                <w:spacing w:val="-1"/>
                <w:sz w:val="18"/>
              </w:rPr>
              <w:t>256,264,749,435</w:t>
            </w:r>
          </w:p>
        </w:tc>
      </w:tr>
      <w:tr>
        <w:trPr>
          <w:trHeight w:val="295"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Arial" w:hAnsi="Arial" w:cs="Arial" w:eastAsia="Arial" w:hint="default"/>
                <w:sz w:val="18"/>
                <w:szCs w:val="18"/>
              </w:rPr>
            </w:pPr>
            <w:r>
              <w:rPr>
                <w:rFonts w:ascii="Arial"/>
                <w:spacing w:val="-1"/>
                <w:sz w:val="18"/>
              </w:rPr>
              <w:t>3,981,738,536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8"/>
                <w:szCs w:val="18"/>
              </w:rPr>
            </w:pPr>
            <w:r>
              <w:rPr>
                <w:rFonts w:ascii="Arial"/>
                <w:spacing w:val="-1"/>
                <w:sz w:val="18"/>
              </w:rPr>
              <w:t>3,442,853,809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Arial" w:hAnsi="Arial" w:cs="Arial" w:eastAsia="Arial" w:hint="default"/>
                <w:sz w:val="18"/>
                <w:szCs w:val="18"/>
              </w:rPr>
            </w:pPr>
            <w:r>
              <w:rPr>
                <w:rFonts w:ascii="Arial"/>
                <w:w w:val="95"/>
                <w:sz w:val="18"/>
              </w:rPr>
              <w:t>15.7</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Arial" w:hAnsi="Arial" w:cs="Arial" w:eastAsia="Arial" w:hint="default"/>
                <w:sz w:val="18"/>
                <w:szCs w:val="18"/>
              </w:rPr>
            </w:pPr>
            <w:r>
              <w:rPr>
                <w:rFonts w:ascii="Arial"/>
                <w:spacing w:val="-1"/>
                <w:sz w:val="18"/>
              </w:rPr>
              <w:t>2,368,106,789</w:t>
            </w:r>
          </w:p>
        </w:tc>
      </w:tr>
      <w:tr>
        <w:trPr>
          <w:trHeight w:val="475"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w:t>
            </w:r>
          </w:p>
          <w:p>
            <w:pPr>
              <w:pStyle w:val="TableParagraph"/>
              <w:spacing w:line="234" w:lineRule="exact"/>
              <w:ind w:left="299" w:right="0"/>
              <w:jc w:val="left"/>
              <w:rPr>
                <w:rFonts w:ascii="宋体" w:hAnsi="宋体" w:cs="宋体" w:eastAsia="宋体" w:hint="default"/>
                <w:sz w:val="18"/>
                <w:szCs w:val="18"/>
              </w:rPr>
            </w:pPr>
            <w:r>
              <w:rPr>
                <w:rFonts w:ascii="宋体" w:hAnsi="宋体" w:cs="宋体" w:eastAsia="宋体" w:hint="default"/>
                <w:sz w:val="18"/>
                <w:szCs w:val="18"/>
              </w:rPr>
              <w:t>经常性损益的净利润</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Arial" w:hAnsi="Arial" w:cs="Arial" w:eastAsia="Arial" w:hint="default"/>
                <w:sz w:val="18"/>
                <w:szCs w:val="18"/>
              </w:rPr>
            </w:pPr>
            <w:r>
              <w:rPr>
                <w:rFonts w:ascii="Arial"/>
                <w:spacing w:val="-1"/>
                <w:sz w:val="18"/>
              </w:rPr>
              <w:t>3,998,501,715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3,254,231,786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w w:val="95"/>
                <w:sz w:val="18"/>
              </w:rPr>
              <w:t>22.9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Arial" w:hAnsi="Arial" w:cs="Arial" w:eastAsia="Arial" w:hint="default"/>
                <w:sz w:val="18"/>
                <w:szCs w:val="18"/>
              </w:rPr>
            </w:pPr>
            <w:r>
              <w:rPr>
                <w:rFonts w:ascii="Arial"/>
                <w:spacing w:val="-1"/>
                <w:sz w:val="18"/>
              </w:rPr>
              <w:t>1,977,238,910</w:t>
            </w:r>
          </w:p>
        </w:tc>
      </w:tr>
      <w:tr>
        <w:trPr>
          <w:trHeight w:val="296"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Arial" w:hAnsi="Arial" w:cs="Arial" w:eastAsia="Arial" w:hint="default"/>
                <w:sz w:val="18"/>
                <w:szCs w:val="18"/>
              </w:rPr>
            </w:pPr>
            <w:r>
              <w:rPr>
                <w:rFonts w:ascii="Arial"/>
                <w:spacing w:val="-1"/>
                <w:sz w:val="18"/>
              </w:rPr>
              <w:t>92,429,180,159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w:hAnsi="Arial" w:cs="Arial" w:eastAsia="Arial" w:hint="default"/>
                <w:sz w:val="18"/>
                <w:szCs w:val="18"/>
              </w:rPr>
            </w:pPr>
            <w:r>
              <w:rPr>
                <w:rFonts w:ascii="Arial"/>
                <w:spacing w:val="-1"/>
                <w:sz w:val="18"/>
              </w:rPr>
              <w:t>83,369,464,367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w:hAnsi="Arial" w:cs="Arial" w:eastAsia="Arial" w:hint="default"/>
                <w:sz w:val="18"/>
                <w:szCs w:val="18"/>
              </w:rPr>
            </w:pPr>
            <w:r>
              <w:rPr>
                <w:rFonts w:ascii="Arial"/>
                <w:w w:val="95"/>
                <w:sz w:val="18"/>
              </w:rPr>
              <w:t>10.9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Arial" w:hAnsi="Arial" w:cs="Arial" w:eastAsia="Arial" w:hint="default"/>
                <w:sz w:val="18"/>
                <w:szCs w:val="18"/>
              </w:rPr>
            </w:pPr>
            <w:r>
              <w:rPr>
                <w:rFonts w:ascii="Arial"/>
                <w:spacing w:val="-1"/>
                <w:sz w:val="18"/>
              </w:rPr>
              <w:t>74,738,405,183</w:t>
            </w:r>
          </w:p>
        </w:tc>
      </w:tr>
      <w:tr>
        <w:trPr>
          <w:trHeight w:val="542" w:hRule="exact"/>
        </w:trPr>
        <w:tc>
          <w:tcPr>
            <w:tcW w:w="2576"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158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21"/>
              <w:ind w:left="405" w:right="0"/>
              <w:jc w:val="left"/>
              <w:rPr>
                <w:rFonts w:ascii="宋体" w:hAnsi="宋体" w:cs="宋体" w:eastAsia="宋体" w:hint="default"/>
                <w:sz w:val="18"/>
                <w:szCs w:val="18"/>
              </w:rPr>
            </w:pPr>
            <w:r>
              <w:rPr>
                <w:rFonts w:ascii="Arial" w:hAnsi="Arial" w:cs="Arial" w:eastAsia="Arial" w:hint="default"/>
                <w:sz w:val="18"/>
                <w:szCs w:val="18"/>
              </w:rPr>
              <w:t>2014</w:t>
            </w:r>
            <w:r>
              <w:rPr>
                <w:rFonts w:ascii="宋体" w:hAnsi="宋体" w:cs="宋体" w:eastAsia="宋体" w:hint="default"/>
                <w:b/>
                <w:bCs/>
                <w:sz w:val="18"/>
                <w:szCs w:val="18"/>
              </w:rPr>
              <w:t>年末</w:t>
            </w:r>
            <w:r>
              <w:rPr>
                <w:rFonts w:ascii="宋体" w:hAnsi="宋体" w:cs="宋体" w:eastAsia="宋体" w:hint="default"/>
                <w:sz w:val="18"/>
                <w:szCs w:val="18"/>
              </w:rPr>
            </w:r>
          </w:p>
        </w:tc>
        <w:tc>
          <w:tcPr>
            <w:tcW w:w="159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21"/>
              <w:ind w:left="412" w:right="0"/>
              <w:jc w:val="left"/>
              <w:rPr>
                <w:rFonts w:ascii="宋体" w:hAnsi="宋体" w:cs="宋体" w:eastAsia="宋体" w:hint="default"/>
                <w:sz w:val="18"/>
                <w:szCs w:val="18"/>
              </w:rPr>
            </w:pPr>
            <w:r>
              <w:rPr>
                <w:rFonts w:ascii="Arial" w:hAnsi="Arial" w:cs="Arial" w:eastAsia="Arial" w:hint="default"/>
                <w:sz w:val="18"/>
                <w:szCs w:val="18"/>
              </w:rPr>
              <w:t>2013</w:t>
            </w:r>
            <w:r>
              <w:rPr>
                <w:rFonts w:ascii="宋体" w:hAnsi="宋体" w:cs="宋体" w:eastAsia="宋体" w:hint="default"/>
                <w:b/>
                <w:bCs/>
                <w:sz w:val="18"/>
                <w:szCs w:val="18"/>
              </w:rPr>
              <w:t>年末</w:t>
            </w:r>
            <w:r>
              <w:rPr>
                <w:rFonts w:ascii="宋体" w:hAnsi="宋体" w:cs="宋体" w:eastAsia="宋体" w:hint="default"/>
                <w:sz w:val="18"/>
                <w:szCs w:val="18"/>
              </w:rPr>
            </w:r>
          </w:p>
        </w:tc>
        <w:tc>
          <w:tcPr>
            <w:tcW w:w="144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2" w:lineRule="exact" w:before="28"/>
              <w:ind w:left="127" w:right="127" w:firstLine="48"/>
              <w:jc w:val="left"/>
              <w:rPr>
                <w:rFonts w:ascii="Arial" w:hAnsi="Arial" w:cs="Arial" w:eastAsia="Arial" w:hint="default"/>
                <w:sz w:val="18"/>
                <w:szCs w:val="18"/>
              </w:rPr>
            </w:pPr>
            <w:r>
              <w:rPr>
                <w:rFonts w:ascii="宋体" w:hAnsi="宋体" w:cs="宋体" w:eastAsia="宋体" w:hint="default"/>
                <w:b/>
                <w:bCs/>
                <w:sz w:val="18"/>
                <w:szCs w:val="18"/>
              </w:rPr>
              <w:t>本期末比上年</w:t>
            </w:r>
            <w:r>
              <w:rPr>
                <w:rFonts w:ascii="宋体" w:hAnsi="宋体" w:cs="宋体" w:eastAsia="宋体" w:hint="default"/>
                <w:b/>
                <w:bCs/>
                <w:w w:val="99"/>
                <w:sz w:val="18"/>
                <w:szCs w:val="18"/>
              </w:rPr>
              <w:t> </w:t>
            </w:r>
            <w:r>
              <w:rPr>
                <w:rFonts w:ascii="宋体" w:hAnsi="宋体" w:cs="宋体" w:eastAsia="宋体" w:hint="default"/>
                <w:b/>
                <w:bCs/>
                <w:sz w:val="18"/>
                <w:szCs w:val="18"/>
              </w:rPr>
              <w:t>同期末增减</w:t>
            </w:r>
            <w:r>
              <w:rPr>
                <w:rFonts w:ascii="Arial" w:hAnsi="Arial" w:cs="Arial" w:eastAsia="Arial" w:hint="default"/>
                <w:b/>
                <w:bCs/>
                <w:sz w:val="18"/>
                <w:szCs w:val="18"/>
              </w:rPr>
              <w:t>(%)</w:t>
            </w:r>
            <w:r>
              <w:rPr>
                <w:rFonts w:ascii="Arial" w:hAnsi="Arial" w:cs="Arial" w:eastAsia="Arial" w:hint="default"/>
                <w:sz w:val="18"/>
                <w:szCs w:val="18"/>
              </w:rPr>
            </w:r>
          </w:p>
        </w:tc>
        <w:tc>
          <w:tcPr>
            <w:tcW w:w="157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21"/>
              <w:ind w:left="398" w:right="0"/>
              <w:jc w:val="left"/>
              <w:rPr>
                <w:rFonts w:ascii="宋体" w:hAnsi="宋体" w:cs="宋体" w:eastAsia="宋体" w:hint="default"/>
                <w:sz w:val="18"/>
                <w:szCs w:val="18"/>
              </w:rPr>
            </w:pPr>
            <w:r>
              <w:rPr>
                <w:rFonts w:ascii="Arial" w:hAnsi="Arial" w:cs="Arial" w:eastAsia="Arial" w:hint="default"/>
                <w:sz w:val="18"/>
                <w:szCs w:val="18"/>
              </w:rPr>
              <w:t>2012</w:t>
            </w:r>
            <w:r>
              <w:rPr>
                <w:rFonts w:ascii="宋体" w:hAnsi="宋体" w:cs="宋体" w:eastAsia="宋体" w:hint="default"/>
                <w:b/>
                <w:bCs/>
                <w:sz w:val="18"/>
                <w:szCs w:val="18"/>
              </w:rPr>
              <w:t>年末</w:t>
            </w:r>
            <w:r>
              <w:rPr>
                <w:rFonts w:ascii="宋体" w:hAnsi="宋体" w:cs="宋体" w:eastAsia="宋体" w:hint="default"/>
                <w:sz w:val="18"/>
                <w:szCs w:val="18"/>
              </w:rPr>
            </w:r>
          </w:p>
        </w:tc>
      </w:tr>
      <w:tr>
        <w:trPr>
          <w:trHeight w:val="295"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Arial" w:hAnsi="Arial" w:cs="Arial" w:eastAsia="Arial" w:hint="default"/>
                <w:sz w:val="18"/>
                <w:szCs w:val="18"/>
              </w:rPr>
            </w:pPr>
            <w:r>
              <w:rPr>
                <w:rFonts w:ascii="Arial"/>
                <w:spacing w:val="-1"/>
                <w:sz w:val="18"/>
              </w:rPr>
              <w:t>77,336,519,372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w:hAnsi="Arial" w:cs="Arial" w:eastAsia="Arial" w:hint="default"/>
                <w:sz w:val="18"/>
                <w:szCs w:val="18"/>
              </w:rPr>
            </w:pPr>
            <w:r>
              <w:rPr>
                <w:rFonts w:ascii="Arial"/>
                <w:spacing w:val="-1"/>
                <w:sz w:val="18"/>
              </w:rPr>
              <w:t>74,858,939,461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w:hAnsi="Arial" w:cs="Arial" w:eastAsia="Arial" w:hint="default"/>
                <w:sz w:val="18"/>
                <w:szCs w:val="18"/>
              </w:rPr>
            </w:pPr>
            <w:r>
              <w:rPr>
                <w:rFonts w:ascii="Arial"/>
                <w:w w:val="95"/>
                <w:sz w:val="18"/>
              </w:rPr>
              <w:t>3.3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Arial" w:hAnsi="Arial" w:cs="Arial" w:eastAsia="Arial" w:hint="default"/>
                <w:sz w:val="18"/>
                <w:szCs w:val="18"/>
              </w:rPr>
            </w:pPr>
            <w:r>
              <w:rPr>
                <w:rFonts w:ascii="Arial"/>
                <w:spacing w:val="-1"/>
                <w:sz w:val="18"/>
              </w:rPr>
              <w:t>72,297,283,180</w:t>
            </w:r>
          </w:p>
        </w:tc>
      </w:tr>
      <w:tr>
        <w:trPr>
          <w:trHeight w:val="295"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Arial" w:hAnsi="Arial" w:cs="Arial" w:eastAsia="Arial" w:hint="default"/>
                <w:sz w:val="18"/>
                <w:szCs w:val="18"/>
              </w:rPr>
            </w:pPr>
            <w:r>
              <w:rPr>
                <w:rFonts w:ascii="Arial"/>
                <w:spacing w:val="-1"/>
                <w:sz w:val="18"/>
              </w:rPr>
              <w:t>547,124,568,845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w:hAnsi="Arial" w:cs="Arial" w:eastAsia="Arial" w:hint="default"/>
                <w:sz w:val="18"/>
                <w:szCs w:val="18"/>
              </w:rPr>
            </w:pPr>
            <w:r>
              <w:rPr>
                <w:rFonts w:ascii="Arial"/>
                <w:spacing w:val="-1"/>
                <w:sz w:val="18"/>
              </w:rPr>
              <w:t>531,364,453,263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w:hAnsi="Arial" w:cs="Arial" w:eastAsia="Arial" w:hint="default"/>
                <w:sz w:val="18"/>
                <w:szCs w:val="18"/>
              </w:rPr>
            </w:pPr>
            <w:r>
              <w:rPr>
                <w:rFonts w:ascii="Arial"/>
                <w:w w:val="95"/>
                <w:sz w:val="18"/>
              </w:rPr>
              <w:t>3.0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Arial" w:hAnsi="Arial" w:cs="Arial" w:eastAsia="Arial" w:hint="default"/>
                <w:sz w:val="18"/>
                <w:szCs w:val="18"/>
              </w:rPr>
            </w:pPr>
            <w:r>
              <w:rPr>
                <w:rFonts w:ascii="Arial"/>
                <w:spacing w:val="-1"/>
                <w:sz w:val="18"/>
              </w:rPr>
              <w:t>518,357,290,110</w:t>
            </w:r>
          </w:p>
        </w:tc>
      </w:tr>
    </w:tbl>
    <w:p>
      <w:pPr>
        <w:spacing w:line="240" w:lineRule="auto" w:before="10"/>
        <w:rPr>
          <w:rFonts w:ascii="宋体" w:hAnsi="宋体" w:cs="宋体" w:eastAsia="宋体" w:hint="default"/>
          <w:sz w:val="17"/>
          <w:szCs w:val="17"/>
        </w:rPr>
      </w:pPr>
    </w:p>
    <w:p>
      <w:pPr>
        <w:spacing w:before="36"/>
        <w:ind w:left="138" w:right="1922"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二</w:t>
      </w:r>
      <w:r>
        <w:rPr>
          <w:rFonts w:ascii="Arial" w:hAnsi="Arial" w:cs="Arial" w:eastAsia="Arial" w:hint="default"/>
          <w:b/>
          <w:bCs/>
          <w:sz w:val="21"/>
          <w:szCs w:val="21"/>
        </w:rPr>
        <w:t>)</w:t>
      </w:r>
      <w:r>
        <w:rPr>
          <w:rFonts w:ascii="Arial" w:hAnsi="Arial" w:cs="Arial" w:eastAsia="Arial" w:hint="default"/>
          <w:b/>
          <w:bCs/>
          <w:spacing w:val="19"/>
          <w:sz w:val="21"/>
          <w:szCs w:val="21"/>
        </w:rPr>
        <w:t> </w:t>
      </w:r>
      <w:r>
        <w:rPr>
          <w:rFonts w:ascii="宋体" w:hAnsi="宋体" w:cs="宋体" w:eastAsia="宋体" w:hint="default"/>
          <w:b/>
          <w:bCs/>
          <w:sz w:val="21"/>
          <w:szCs w:val="21"/>
        </w:rPr>
        <w:t>主要财务指标</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tbl>
      <w:tblPr>
        <w:tblW w:w="0" w:type="auto"/>
        <w:jc w:val="left"/>
        <w:tblInd w:w="133" w:type="dxa"/>
        <w:tblLayout w:type="fixed"/>
        <w:tblCellMar>
          <w:top w:w="0" w:type="dxa"/>
          <w:left w:w="0" w:type="dxa"/>
          <w:bottom w:w="0" w:type="dxa"/>
          <w:right w:w="0" w:type="dxa"/>
        </w:tblCellMar>
        <w:tblLook w:val="01E0"/>
      </w:tblPr>
      <w:tblGrid>
        <w:gridCol w:w="2569"/>
        <w:gridCol w:w="1582"/>
        <w:gridCol w:w="1608"/>
        <w:gridCol w:w="1469"/>
        <w:gridCol w:w="1553"/>
      </w:tblGrid>
      <w:tr>
        <w:trPr>
          <w:trHeight w:val="478" w:hRule="exact"/>
        </w:trPr>
        <w:tc>
          <w:tcPr>
            <w:tcW w:w="256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7"/>
              <w:ind w:left="736" w:right="0"/>
              <w:jc w:val="left"/>
              <w:rPr>
                <w:rFonts w:ascii="宋体" w:hAnsi="宋体" w:cs="宋体" w:eastAsia="宋体" w:hint="default"/>
                <w:sz w:val="18"/>
                <w:szCs w:val="18"/>
              </w:rPr>
            </w:pPr>
            <w:r>
              <w:rPr>
                <w:rFonts w:ascii="宋体" w:hAnsi="宋体" w:cs="宋体" w:eastAsia="宋体" w:hint="default"/>
                <w:b/>
                <w:bCs/>
                <w:sz w:val="18"/>
                <w:szCs w:val="18"/>
              </w:rPr>
              <w:t>主要财务指标</w:t>
            </w:r>
            <w:r>
              <w:rPr>
                <w:rFonts w:ascii="宋体" w:hAnsi="宋体" w:cs="宋体" w:eastAsia="宋体" w:hint="default"/>
                <w:sz w:val="18"/>
                <w:szCs w:val="18"/>
              </w:rPr>
            </w:r>
          </w:p>
        </w:tc>
        <w:tc>
          <w:tcPr>
            <w:tcW w:w="158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7"/>
              <w:ind w:left="491" w:right="0"/>
              <w:jc w:val="left"/>
              <w:rPr>
                <w:rFonts w:ascii="宋体" w:hAnsi="宋体" w:cs="宋体" w:eastAsia="宋体" w:hint="default"/>
                <w:sz w:val="18"/>
                <w:szCs w:val="18"/>
              </w:rPr>
            </w:pPr>
            <w:r>
              <w:rPr>
                <w:rFonts w:ascii="Arial" w:hAnsi="Arial" w:cs="Arial" w:eastAsia="Arial" w:hint="default"/>
                <w:sz w:val="18"/>
                <w:szCs w:val="18"/>
              </w:rPr>
              <w:t>2014</w:t>
            </w:r>
            <w:r>
              <w:rPr>
                <w:rFonts w:ascii="宋体" w:hAnsi="宋体" w:cs="宋体" w:eastAsia="宋体" w:hint="default"/>
                <w:b/>
                <w:bCs/>
                <w:sz w:val="18"/>
                <w:szCs w:val="18"/>
              </w:rPr>
              <w:t>年</w:t>
            </w:r>
            <w:r>
              <w:rPr>
                <w:rFonts w:ascii="宋体" w:hAnsi="宋体" w:cs="宋体" w:eastAsia="宋体" w:hint="default"/>
                <w:sz w:val="18"/>
                <w:szCs w:val="18"/>
              </w:rPr>
            </w:r>
          </w:p>
        </w:tc>
        <w:tc>
          <w:tcPr>
            <w:tcW w:w="160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7"/>
              <w:ind w:left="506" w:right="0"/>
              <w:jc w:val="left"/>
              <w:rPr>
                <w:rFonts w:ascii="宋体" w:hAnsi="宋体" w:cs="宋体" w:eastAsia="宋体" w:hint="default"/>
                <w:sz w:val="18"/>
                <w:szCs w:val="18"/>
              </w:rPr>
            </w:pPr>
            <w:r>
              <w:rPr>
                <w:rFonts w:ascii="Arial" w:hAnsi="Arial" w:cs="Arial" w:eastAsia="Arial" w:hint="default"/>
                <w:sz w:val="18"/>
                <w:szCs w:val="18"/>
              </w:rPr>
              <w:t>2013</w:t>
            </w:r>
            <w:r>
              <w:rPr>
                <w:rFonts w:ascii="宋体" w:hAnsi="宋体" w:cs="宋体" w:eastAsia="宋体" w:hint="default"/>
                <w:b/>
                <w:bCs/>
                <w:sz w:val="18"/>
                <w:szCs w:val="18"/>
              </w:rPr>
              <w:t>年</w:t>
            </w:r>
            <w:r>
              <w:rPr>
                <w:rFonts w:ascii="宋体" w:hAnsi="宋体" w:cs="宋体" w:eastAsia="宋体" w:hint="default"/>
                <w:sz w:val="18"/>
                <w:szCs w:val="18"/>
              </w:rPr>
            </w:r>
          </w:p>
        </w:tc>
        <w:tc>
          <w:tcPr>
            <w:tcW w:w="146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本期比上年同</w:t>
            </w:r>
            <w:r>
              <w:rPr>
                <w:rFonts w:ascii="宋体" w:hAnsi="宋体" w:cs="宋体" w:eastAsia="宋体" w:hint="default"/>
                <w:sz w:val="18"/>
                <w:szCs w:val="18"/>
              </w:rPr>
            </w:r>
          </w:p>
          <w:p>
            <w:pPr>
              <w:pStyle w:val="TableParagraph"/>
              <w:spacing w:line="247" w:lineRule="exact"/>
              <w:ind w:right="2"/>
              <w:jc w:val="center"/>
              <w:rPr>
                <w:rFonts w:ascii="Arial" w:hAnsi="Arial" w:cs="Arial" w:eastAsia="Arial" w:hint="default"/>
                <w:sz w:val="18"/>
                <w:szCs w:val="18"/>
              </w:rPr>
            </w:pPr>
            <w:r>
              <w:rPr>
                <w:rFonts w:ascii="宋体" w:hAnsi="宋体" w:cs="宋体" w:eastAsia="宋体" w:hint="default"/>
                <w:b/>
                <w:bCs/>
                <w:sz w:val="18"/>
                <w:szCs w:val="18"/>
              </w:rPr>
              <w:t>期增减</w:t>
            </w:r>
            <w:r>
              <w:rPr>
                <w:rFonts w:ascii="Arial" w:hAnsi="Arial" w:cs="Arial" w:eastAsia="Arial" w:hint="default"/>
                <w:b/>
                <w:bCs/>
                <w:sz w:val="18"/>
                <w:szCs w:val="18"/>
              </w:rPr>
              <w:t>(%)</w:t>
            </w:r>
            <w:r>
              <w:rPr>
                <w:rFonts w:ascii="Arial" w:hAnsi="Arial" w:cs="Arial" w:eastAsia="Arial"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7"/>
              <w:ind w:left="479" w:right="0"/>
              <w:jc w:val="left"/>
              <w:rPr>
                <w:rFonts w:ascii="宋体" w:hAnsi="宋体" w:cs="宋体" w:eastAsia="宋体" w:hint="default"/>
                <w:sz w:val="18"/>
                <w:szCs w:val="18"/>
              </w:rPr>
            </w:pPr>
            <w:r>
              <w:rPr>
                <w:rFonts w:ascii="Arial" w:hAnsi="Arial" w:cs="Arial" w:eastAsia="Arial" w:hint="default"/>
                <w:sz w:val="18"/>
                <w:szCs w:val="18"/>
              </w:rPr>
              <w:t>2012</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242"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Arial" w:hAnsi="Arial" w:cs="Arial" w:eastAsia="Arial" w:hint="default"/>
                <w:sz w:val="18"/>
                <w:szCs w:val="18"/>
              </w:rPr>
            </w:pPr>
            <w:r>
              <w:rPr>
                <w:rFonts w:ascii="Arial"/>
                <w:spacing w:val="-1"/>
                <w:sz w:val="18"/>
              </w:rPr>
              <w:t>0.1878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Arial" w:hAnsi="Arial" w:cs="Arial" w:eastAsia="Arial" w:hint="default"/>
                <w:sz w:val="18"/>
                <w:szCs w:val="18"/>
              </w:rPr>
            </w:pPr>
            <w:r>
              <w:rPr>
                <w:rFonts w:ascii="Arial"/>
                <w:spacing w:val="-1"/>
                <w:sz w:val="18"/>
              </w:rPr>
              <w:t>0.1624</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w w:val="95"/>
                <w:sz w:val="18"/>
              </w:rPr>
              <w:t>15.7</w:t>
            </w:r>
            <w:r>
              <w:rPr>
                <w:rFonts w:ascii="Arial"/>
                <w:sz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5"/>
                <w:sz w:val="18"/>
              </w:rPr>
              <w:t>0.112</w:t>
            </w:r>
            <w:r>
              <w:rPr>
                <w:rFonts w:ascii="Arial"/>
                <w:sz w:val="18"/>
              </w:rPr>
            </w:r>
          </w:p>
        </w:tc>
      </w:tr>
      <w:tr>
        <w:trPr>
          <w:trHeight w:val="245"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Arial" w:hAnsi="Arial" w:cs="Arial" w:eastAsia="Arial" w:hint="default"/>
                <w:sz w:val="18"/>
                <w:szCs w:val="18"/>
              </w:rPr>
            </w:pPr>
            <w:r>
              <w:rPr>
                <w:rFonts w:ascii="Arial"/>
                <w:spacing w:val="-1"/>
                <w:sz w:val="18"/>
              </w:rPr>
              <w:t>0.1839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Arial" w:hAnsi="Arial" w:cs="Arial" w:eastAsia="Arial" w:hint="default"/>
                <w:sz w:val="18"/>
                <w:szCs w:val="18"/>
              </w:rPr>
            </w:pPr>
            <w:r>
              <w:rPr>
                <w:rFonts w:ascii="Arial"/>
                <w:spacing w:val="-1"/>
                <w:sz w:val="18"/>
              </w:rPr>
              <w:t>0.1590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18"/>
                <w:szCs w:val="18"/>
              </w:rPr>
            </w:pPr>
            <w:r>
              <w:rPr>
                <w:rFonts w:ascii="Arial"/>
                <w:w w:val="95"/>
                <w:sz w:val="18"/>
              </w:rPr>
              <w:t>15.7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18"/>
                <w:szCs w:val="18"/>
              </w:rPr>
            </w:pPr>
            <w:r>
              <w:rPr>
                <w:rFonts w:ascii="Arial"/>
                <w:w w:val="95"/>
                <w:sz w:val="18"/>
              </w:rPr>
              <w:t>0.110</w:t>
            </w:r>
            <w:r>
              <w:rPr>
                <w:rFonts w:ascii="Arial"/>
                <w:sz w:val="18"/>
              </w:rPr>
            </w:r>
          </w:p>
        </w:tc>
      </w:tr>
      <w:tr>
        <w:trPr>
          <w:trHeight w:val="476"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扣除非经常性损益后的基本每</w:t>
            </w:r>
          </w:p>
          <w:p>
            <w:pPr>
              <w:pStyle w:val="TableParagraph"/>
              <w:spacing w:line="234" w:lineRule="exact"/>
              <w:ind w:left="299" w:right="0"/>
              <w:jc w:val="left"/>
              <w:rPr>
                <w:rFonts w:ascii="宋体" w:hAnsi="宋体" w:cs="宋体" w:eastAsia="宋体" w:hint="default"/>
                <w:sz w:val="18"/>
                <w:szCs w:val="18"/>
              </w:rPr>
            </w:pPr>
            <w:r>
              <w:rPr>
                <w:rFonts w:ascii="宋体" w:hAnsi="宋体" w:cs="宋体" w:eastAsia="宋体" w:hint="default"/>
                <w:sz w:val="18"/>
                <w:szCs w:val="18"/>
              </w:rPr>
              <w:t>股收益（元／股）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Arial" w:hAnsi="Arial" w:cs="Arial" w:eastAsia="Arial" w:hint="default"/>
                <w:sz w:val="18"/>
                <w:szCs w:val="18"/>
              </w:rPr>
            </w:pPr>
            <w:r>
              <w:rPr>
                <w:rFonts w:ascii="Arial"/>
                <w:spacing w:val="-1"/>
                <w:sz w:val="18"/>
              </w:rPr>
              <w:t>0.1886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Arial" w:hAnsi="Arial" w:cs="Arial" w:eastAsia="Arial" w:hint="default"/>
                <w:sz w:val="18"/>
                <w:szCs w:val="18"/>
              </w:rPr>
            </w:pPr>
            <w:r>
              <w:rPr>
                <w:rFonts w:ascii="Arial"/>
                <w:spacing w:val="-1"/>
                <w:sz w:val="18"/>
              </w:rPr>
              <w:t>0.1539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w w:val="95"/>
                <w:sz w:val="18"/>
              </w:rPr>
              <w:t>22.6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w w:val="95"/>
                <w:sz w:val="18"/>
              </w:rPr>
              <w:t>0.093</w:t>
            </w:r>
            <w:r>
              <w:rPr>
                <w:rFonts w:ascii="Arial"/>
                <w:sz w:val="18"/>
              </w:rPr>
            </w:r>
          </w:p>
        </w:tc>
      </w:tr>
      <w:tr>
        <w:trPr>
          <w:trHeight w:val="478"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Arial" w:hAnsi="Arial" w:cs="Arial" w:eastAsia="Arial" w:hint="default"/>
                <w:sz w:val="18"/>
                <w:szCs w:val="18"/>
              </w:rPr>
              <w:t>%</w:t>
            </w:r>
            <w:r>
              <w:rPr>
                <w:rFonts w:ascii="宋体" w:hAnsi="宋体" w:cs="宋体" w:eastAsia="宋体" w:hint="default"/>
                <w:sz w:val="18"/>
                <w:szCs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2"/>
              <w:jc w:val="right"/>
              <w:rPr>
                <w:rFonts w:ascii="Arial" w:hAnsi="Arial" w:cs="Arial" w:eastAsia="Arial" w:hint="default"/>
                <w:sz w:val="18"/>
                <w:szCs w:val="18"/>
              </w:rPr>
            </w:pPr>
            <w:r>
              <w:rPr>
                <w:rFonts w:ascii="Arial"/>
                <w:w w:val="95"/>
                <w:sz w:val="18"/>
              </w:rPr>
              <w:t>5.20</w:t>
            </w:r>
            <w:r>
              <w:rPr>
                <w:rFonts w:ascii="Arial"/>
                <w:sz w:val="18"/>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2"/>
              <w:jc w:val="right"/>
              <w:rPr>
                <w:rFonts w:ascii="Arial" w:hAnsi="Arial" w:cs="Arial" w:eastAsia="Arial" w:hint="default"/>
                <w:sz w:val="18"/>
                <w:szCs w:val="18"/>
              </w:rPr>
            </w:pPr>
            <w:r>
              <w:rPr>
                <w:rFonts w:ascii="Arial"/>
                <w:w w:val="95"/>
                <w:sz w:val="18"/>
              </w:rPr>
              <w:t>4.68</w:t>
            </w:r>
            <w:r>
              <w:rPr>
                <w:rFonts w:ascii="Arial"/>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567"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Arial" w:hAnsi="Arial" w:cs="Arial" w:eastAsia="Arial" w:hint="default"/>
                <w:sz w:val="18"/>
                <w:szCs w:val="18"/>
              </w:rPr>
              <w:t>0.5</w:t>
            </w:r>
            <w:r>
              <w:rPr>
                <w:rFonts w:ascii="宋体" w:hAnsi="宋体" w:cs="宋体" w:eastAsia="宋体" w:hint="default"/>
                <w:sz w:val="18"/>
                <w:szCs w:val="18"/>
              </w:rPr>
              <w:t>个</w:t>
            </w:r>
          </w:p>
          <w:p>
            <w:pPr>
              <w:pStyle w:val="TableParagraph"/>
              <w:spacing w:line="229" w:lineRule="exact"/>
              <w:ind w:left="816" w:right="0"/>
              <w:jc w:val="left"/>
              <w:rPr>
                <w:rFonts w:ascii="宋体" w:hAnsi="宋体" w:cs="宋体" w:eastAsia="宋体" w:hint="default"/>
                <w:sz w:val="18"/>
                <w:szCs w:val="18"/>
              </w:rPr>
            </w:pPr>
            <w:r>
              <w:rPr>
                <w:rFonts w:ascii="宋体" w:hAnsi="宋体" w:cs="宋体" w:eastAsia="宋体" w:hint="default"/>
                <w:sz w:val="18"/>
                <w:szCs w:val="18"/>
              </w:rPr>
              <w:t>百分点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98"/>
              <w:jc w:val="right"/>
              <w:rPr>
                <w:rFonts w:ascii="Arial" w:hAnsi="Arial" w:cs="Arial" w:eastAsia="Arial" w:hint="default"/>
                <w:sz w:val="18"/>
                <w:szCs w:val="18"/>
              </w:rPr>
            </w:pPr>
            <w:r>
              <w:rPr>
                <w:rFonts w:ascii="Arial"/>
                <w:w w:val="95"/>
                <w:sz w:val="18"/>
              </w:rPr>
              <w:t>3.31</w:t>
            </w:r>
            <w:r>
              <w:rPr>
                <w:rFonts w:ascii="Arial"/>
                <w:sz w:val="18"/>
              </w:rPr>
            </w:r>
          </w:p>
        </w:tc>
      </w:tr>
      <w:tr>
        <w:trPr>
          <w:trHeight w:val="478"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w:t>
            </w:r>
          </w:p>
          <w:p>
            <w:pPr>
              <w:pStyle w:val="TableParagraph"/>
              <w:spacing w:line="247" w:lineRule="exact"/>
              <w:ind w:left="299" w:right="0"/>
              <w:jc w:val="left"/>
              <w:rPr>
                <w:rFonts w:ascii="宋体" w:hAnsi="宋体" w:cs="宋体" w:eastAsia="宋体" w:hint="default"/>
                <w:sz w:val="18"/>
                <w:szCs w:val="18"/>
              </w:rPr>
            </w:pPr>
            <w:r>
              <w:rPr>
                <w:rFonts w:ascii="宋体" w:hAnsi="宋体" w:cs="宋体" w:eastAsia="宋体" w:hint="default"/>
                <w:sz w:val="18"/>
                <w:szCs w:val="18"/>
              </w:rPr>
              <w:t>均净资产收益率（</w:t>
            </w:r>
            <w:r>
              <w:rPr>
                <w:rFonts w:ascii="Arial" w:hAnsi="Arial" w:cs="Arial" w:eastAsia="Arial" w:hint="default"/>
                <w:sz w:val="18"/>
                <w:szCs w:val="18"/>
              </w:rPr>
              <w:t>%</w:t>
            </w:r>
            <w:r>
              <w:rPr>
                <w:rFonts w:ascii="宋体" w:hAnsi="宋体" w:cs="宋体" w:eastAsia="宋体" w:hint="default"/>
                <w:sz w:val="18"/>
                <w:szCs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Arial" w:hAnsi="Arial" w:cs="Arial" w:eastAsia="Arial" w:hint="default"/>
                <w:sz w:val="18"/>
                <w:szCs w:val="18"/>
              </w:rPr>
            </w:pPr>
            <w:r>
              <w:rPr>
                <w:rFonts w:ascii="Arial"/>
                <w:w w:val="95"/>
                <w:sz w:val="18"/>
              </w:rPr>
              <w:t>5.22</w:t>
            </w:r>
            <w:r>
              <w:rPr>
                <w:rFonts w:ascii="Arial"/>
                <w:sz w:val="18"/>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Arial" w:hAnsi="Arial" w:cs="Arial" w:eastAsia="Arial" w:hint="default"/>
                <w:sz w:val="18"/>
                <w:szCs w:val="18"/>
              </w:rPr>
            </w:pPr>
            <w:r>
              <w:rPr>
                <w:rFonts w:ascii="Arial"/>
                <w:w w:val="95"/>
                <w:sz w:val="18"/>
              </w:rPr>
              <w:t>4.44</w:t>
            </w:r>
            <w:r>
              <w:rPr>
                <w:rFonts w:ascii="Arial"/>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567"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Arial" w:hAnsi="Arial" w:cs="Arial" w:eastAsia="Arial" w:hint="default"/>
                <w:sz w:val="18"/>
                <w:szCs w:val="18"/>
              </w:rPr>
              <w:t>0.8</w:t>
            </w:r>
            <w:r>
              <w:rPr>
                <w:rFonts w:ascii="宋体" w:hAnsi="宋体" w:cs="宋体" w:eastAsia="宋体" w:hint="default"/>
                <w:sz w:val="18"/>
                <w:szCs w:val="18"/>
              </w:rPr>
              <w:t>个</w:t>
            </w:r>
          </w:p>
          <w:p>
            <w:pPr>
              <w:pStyle w:val="TableParagraph"/>
              <w:spacing w:line="228" w:lineRule="exact"/>
              <w:ind w:left="816" w:right="0"/>
              <w:jc w:val="left"/>
              <w:rPr>
                <w:rFonts w:ascii="宋体" w:hAnsi="宋体" w:cs="宋体" w:eastAsia="宋体" w:hint="default"/>
                <w:sz w:val="18"/>
                <w:szCs w:val="18"/>
              </w:rPr>
            </w:pPr>
            <w:r>
              <w:rPr>
                <w:rFonts w:ascii="宋体" w:hAnsi="宋体" w:cs="宋体" w:eastAsia="宋体" w:hint="default"/>
                <w:sz w:val="18"/>
                <w:szCs w:val="18"/>
              </w:rPr>
              <w:t>百分点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w w:val="95"/>
                <w:sz w:val="18"/>
              </w:rPr>
              <w:t>2.76</w:t>
            </w:r>
            <w:r>
              <w:rPr>
                <w:rFonts w:ascii="Arial"/>
                <w:sz w:val="18"/>
              </w:rPr>
            </w:r>
          </w:p>
        </w:tc>
      </w:tr>
    </w:tbl>
    <w:p>
      <w:pPr>
        <w:spacing w:line="240" w:lineRule="auto" w:before="7"/>
        <w:rPr>
          <w:rFonts w:ascii="宋体" w:hAnsi="宋体" w:cs="宋体" w:eastAsia="宋体" w:hint="default"/>
          <w:b/>
          <w:bCs/>
          <w:sz w:val="17"/>
          <w:szCs w:val="17"/>
        </w:rPr>
      </w:pPr>
    </w:p>
    <w:p>
      <w:pPr>
        <w:spacing w:before="36"/>
        <w:ind w:left="138" w:right="1922" w:firstLine="0"/>
        <w:jc w:val="left"/>
        <w:rPr>
          <w:rFonts w:ascii="宋体" w:hAnsi="宋体" w:cs="宋体" w:eastAsia="宋体" w:hint="default"/>
          <w:sz w:val="21"/>
          <w:szCs w:val="21"/>
        </w:rPr>
      </w:pPr>
      <w:r>
        <w:rPr>
          <w:rFonts w:ascii="宋体" w:hAnsi="宋体" w:cs="宋体" w:eastAsia="宋体" w:hint="default"/>
          <w:b/>
          <w:bCs/>
          <w:sz w:val="21"/>
          <w:szCs w:val="21"/>
        </w:rPr>
        <w:t>二、境内外会计准则下会计数据差异</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74" w:lineRule="exact" w:before="154"/>
        <w:ind w:left="558" w:right="143" w:hanging="42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一</w:t>
      </w:r>
      <w:r>
        <w:rPr>
          <w:rFonts w:ascii="Arial" w:hAnsi="Arial" w:cs="Arial" w:eastAsia="Arial" w:hint="default"/>
          <w:b/>
          <w:bCs/>
          <w:sz w:val="21"/>
          <w:szCs w:val="21"/>
        </w:rPr>
        <w:t>)</w:t>
      </w:r>
      <w:r>
        <w:rPr>
          <w:rFonts w:ascii="Arial" w:hAnsi="Arial" w:cs="Arial" w:eastAsia="Arial" w:hint="default"/>
          <w:b/>
          <w:bCs/>
          <w:spacing w:val="36"/>
          <w:sz w:val="21"/>
          <w:szCs w:val="21"/>
        </w:rPr>
        <w:t> </w:t>
      </w:r>
      <w:r>
        <w:rPr>
          <w:rFonts w:ascii="宋体" w:hAnsi="宋体" w:cs="宋体" w:eastAsia="宋体" w:hint="default"/>
          <w:b/>
          <w:bCs/>
          <w:spacing w:val="2"/>
          <w:sz w:val="21"/>
          <w:szCs w:val="21"/>
        </w:rPr>
        <w:t>同时按照国际会计准则与按中国会计准则披露的财务报告中净利润和归属于上市公司股东</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b/>
          <w:bCs/>
          <w:sz w:val="21"/>
          <w:szCs w:val="21"/>
        </w:rPr>
        <w:t>的净资产差异情况</w:t>
      </w:r>
      <w:r>
        <w:rPr>
          <w:rFonts w:ascii="宋体" w:hAnsi="宋体" w:cs="宋体" w:eastAsia="宋体" w:hint="default"/>
          <w:sz w:val="21"/>
          <w:szCs w:val="21"/>
        </w:rPr>
      </w:r>
    </w:p>
    <w:p>
      <w:pPr>
        <w:spacing w:before="31"/>
        <w:ind w:left="565" w:right="1922" w:firstLine="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不适用</w:t>
      </w:r>
    </w:p>
    <w:p>
      <w:pPr>
        <w:spacing w:line="240" w:lineRule="auto" w:before="9"/>
        <w:rPr>
          <w:rFonts w:ascii="宋体" w:hAnsi="宋体" w:cs="宋体" w:eastAsia="宋体" w:hint="default"/>
          <w:sz w:val="23"/>
          <w:szCs w:val="23"/>
        </w:rPr>
      </w:pPr>
    </w:p>
    <w:p>
      <w:pPr>
        <w:spacing w:line="274" w:lineRule="exact" w:before="0"/>
        <w:ind w:left="507" w:right="143" w:hanging="370"/>
        <w:jc w:val="left"/>
        <w:rPr>
          <w:rFonts w:ascii="宋体" w:hAnsi="宋体" w:cs="宋体" w:eastAsia="宋体" w:hint="default"/>
          <w:sz w:val="21"/>
          <w:szCs w:val="21"/>
        </w:rPr>
      </w:pPr>
      <w:r>
        <w:rPr>
          <w:rFonts w:ascii="Arial" w:hAnsi="Arial" w:cs="Arial" w:eastAsia="Arial" w:hint="default"/>
          <w:b/>
          <w:bCs/>
          <w:spacing w:val="3"/>
          <w:sz w:val="21"/>
          <w:szCs w:val="21"/>
        </w:rPr>
        <w:t>(</w:t>
      </w:r>
      <w:r>
        <w:rPr>
          <w:rFonts w:ascii="宋体" w:hAnsi="宋体" w:cs="宋体" w:eastAsia="宋体" w:hint="default"/>
          <w:b/>
          <w:bCs/>
          <w:spacing w:val="3"/>
          <w:sz w:val="21"/>
          <w:szCs w:val="21"/>
        </w:rPr>
        <w:t>二</w:t>
      </w:r>
      <w:r>
        <w:rPr>
          <w:rFonts w:ascii="Arial" w:hAnsi="Arial" w:cs="Arial" w:eastAsia="Arial" w:hint="default"/>
          <w:b/>
          <w:bCs/>
          <w:spacing w:val="3"/>
          <w:sz w:val="21"/>
          <w:szCs w:val="21"/>
        </w:rPr>
        <w:t>)</w:t>
      </w:r>
      <w:r>
        <w:rPr>
          <w:rFonts w:ascii="宋体" w:hAnsi="宋体" w:cs="宋体" w:eastAsia="宋体" w:hint="default"/>
          <w:b/>
          <w:bCs/>
          <w:spacing w:val="3"/>
          <w:sz w:val="21"/>
          <w:szCs w:val="21"/>
        </w:rPr>
        <w:t>同时按照境外会计准则与按中国会计准则披露的财务报告中净利润和属于上市公司股东的</w:t>
      </w:r>
      <w:r>
        <w:rPr>
          <w:rFonts w:ascii="宋体" w:hAnsi="宋体" w:cs="宋体" w:eastAsia="宋体" w:hint="default"/>
          <w:b/>
          <w:bCs/>
          <w:spacing w:val="-56"/>
          <w:sz w:val="21"/>
          <w:szCs w:val="21"/>
        </w:rPr>
        <w:t> </w:t>
      </w:r>
      <w:r>
        <w:rPr>
          <w:rFonts w:ascii="宋体" w:hAnsi="宋体" w:cs="宋体" w:eastAsia="宋体" w:hint="default"/>
          <w:b/>
          <w:bCs/>
          <w:spacing w:val="-56"/>
          <w:sz w:val="21"/>
          <w:szCs w:val="21"/>
        </w:rPr>
      </w:r>
      <w:r>
        <w:rPr>
          <w:rFonts w:ascii="宋体" w:hAnsi="宋体" w:cs="宋体" w:eastAsia="宋体" w:hint="default"/>
          <w:b/>
          <w:bCs/>
          <w:sz w:val="21"/>
          <w:szCs w:val="21"/>
        </w:rPr>
        <w:t>净资产差异情况</w:t>
      </w:r>
      <w:r>
        <w:rPr>
          <w:rFonts w:ascii="宋体" w:hAnsi="宋体" w:cs="宋体" w:eastAsia="宋体" w:hint="default"/>
          <w:sz w:val="21"/>
          <w:szCs w:val="21"/>
        </w:rPr>
      </w:r>
    </w:p>
    <w:p>
      <w:pPr>
        <w:spacing w:before="31"/>
        <w:ind w:left="565" w:right="1922" w:firstLine="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880" w:footer="1194" w:top="1120" w:bottom="1380" w:left="1660" w:right="1200"/>
        </w:sectPr>
      </w:pPr>
    </w:p>
    <w:p>
      <w:pPr>
        <w:spacing w:line="240" w:lineRule="auto" w:before="11"/>
        <w:rPr>
          <w:rFonts w:ascii="宋体" w:hAnsi="宋体" w:cs="宋体" w:eastAsia="宋体" w:hint="default"/>
          <w:sz w:val="29"/>
          <w:szCs w:val="29"/>
        </w:rPr>
      </w:pPr>
    </w:p>
    <w:p>
      <w:pPr>
        <w:spacing w:before="36"/>
        <w:ind w:left="138" w:right="1922" w:firstLine="0"/>
        <w:jc w:val="left"/>
        <w:rPr>
          <w:rFonts w:ascii="宋体" w:hAnsi="宋体" w:cs="宋体" w:eastAsia="宋体" w:hint="default"/>
          <w:sz w:val="21"/>
          <w:szCs w:val="21"/>
        </w:rPr>
      </w:pPr>
      <w:r>
        <w:rPr>
          <w:rFonts w:ascii="宋体" w:hAnsi="宋体" w:cs="宋体" w:eastAsia="宋体" w:hint="default"/>
          <w:b/>
          <w:bCs/>
          <w:sz w:val="21"/>
          <w:szCs w:val="21"/>
        </w:rPr>
        <w:t>三、非经常性损益项目和金额</w:t>
      </w:r>
      <w:r>
        <w:rPr>
          <w:rFonts w:ascii="宋体" w:hAnsi="宋体" w:cs="宋体" w:eastAsia="宋体" w:hint="default"/>
          <w:sz w:val="21"/>
          <w:szCs w:val="21"/>
        </w:rPr>
      </w:r>
    </w:p>
    <w:p>
      <w:pPr>
        <w:spacing w:line="240" w:lineRule="auto" w:before="3"/>
        <w:rPr>
          <w:rFonts w:ascii="宋体" w:hAnsi="宋体" w:cs="宋体" w:eastAsia="宋体" w:hint="default"/>
          <w:b/>
          <w:bCs/>
          <w:sz w:val="20"/>
          <w:szCs w:val="20"/>
        </w:rPr>
      </w:pPr>
    </w:p>
    <w:p>
      <w:pPr>
        <w:tabs>
          <w:tab w:pos="1259" w:val="left" w:leader="none"/>
        </w:tabs>
        <w:spacing w:before="36"/>
        <w:ind w:left="0" w:right="129" w:firstLine="0"/>
        <w:jc w:val="right"/>
        <w:rPr>
          <w:rFonts w:ascii="宋体" w:hAnsi="宋体" w:cs="宋体" w:eastAsia="宋体" w:hint="default"/>
          <w:sz w:val="21"/>
          <w:szCs w:val="21"/>
        </w:rPr>
      </w:pPr>
      <w:r>
        <w:rPr>
          <w:rFonts w:ascii="宋体" w:hAnsi="宋体" w:cs="宋体" w:eastAsia="宋体" w:hint="default"/>
          <w:spacing w:val="-1"/>
          <w:sz w:val="21"/>
          <w:szCs w:val="21"/>
        </w:rPr>
        <w:t>单位：千元</w:t>
        <w:tab/>
        <w:t>币种</w:t>
      </w:r>
      <w:r>
        <w:rPr>
          <w:rFonts w:ascii="Arial" w:hAnsi="Arial" w:cs="Arial" w:eastAsia="Arial" w:hint="default"/>
          <w:spacing w:val="-1"/>
          <w:sz w:val="21"/>
          <w:szCs w:val="21"/>
        </w:rPr>
        <w:t>:</w:t>
      </w:r>
      <w:r>
        <w:rPr>
          <w:rFonts w:ascii="宋体" w:hAnsi="宋体" w:cs="宋体" w:eastAsia="宋体" w:hint="default"/>
          <w:spacing w:val="-1"/>
          <w:sz w:val="21"/>
          <w:szCs w:val="21"/>
        </w:rPr>
        <w:t>人民币</w:t>
      </w:r>
    </w:p>
    <w:tbl>
      <w:tblPr>
        <w:tblW w:w="0" w:type="auto"/>
        <w:jc w:val="left"/>
        <w:tblInd w:w="133" w:type="dxa"/>
        <w:tblLayout w:type="fixed"/>
        <w:tblCellMar>
          <w:top w:w="0" w:type="dxa"/>
          <w:left w:w="0" w:type="dxa"/>
          <w:bottom w:w="0" w:type="dxa"/>
          <w:right w:w="0" w:type="dxa"/>
        </w:tblCellMar>
        <w:tblLook w:val="01E0"/>
      </w:tblPr>
      <w:tblGrid>
        <w:gridCol w:w="4847"/>
        <w:gridCol w:w="1441"/>
        <w:gridCol w:w="1229"/>
        <w:gridCol w:w="1275"/>
      </w:tblGrid>
      <w:tr>
        <w:trPr>
          <w:trHeight w:val="242" w:hRule="exact"/>
        </w:trPr>
        <w:tc>
          <w:tcPr>
            <w:tcW w:w="48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非经常性损益项目</w:t>
            </w:r>
            <w:r>
              <w:rPr>
                <w:rFonts w:ascii="宋体" w:hAnsi="宋体" w:cs="宋体" w:eastAsia="宋体" w:hint="default"/>
                <w:sz w:val="18"/>
                <w:szCs w:val="18"/>
              </w:rPr>
            </w:r>
          </w:p>
        </w:tc>
        <w:tc>
          <w:tcPr>
            <w:tcW w:w="144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18" w:lineRule="exact"/>
              <w:ind w:left="220"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b/>
                <w:bCs/>
                <w:sz w:val="18"/>
                <w:szCs w:val="18"/>
              </w:rPr>
              <w:t>年金额</w:t>
            </w:r>
            <w:r>
              <w:rPr>
                <w:rFonts w:ascii="宋体" w:hAnsi="宋体" w:cs="宋体" w:eastAsia="宋体" w:hint="default"/>
                <w:sz w:val="18"/>
                <w:szCs w:val="18"/>
              </w:rPr>
            </w:r>
          </w:p>
        </w:tc>
        <w:tc>
          <w:tcPr>
            <w:tcW w:w="122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18" w:lineRule="exact"/>
              <w:ind w:right="113"/>
              <w:jc w:val="righ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b/>
                <w:bCs/>
                <w:sz w:val="18"/>
                <w:szCs w:val="18"/>
              </w:rPr>
              <w:t>年金额</w:t>
            </w:r>
            <w:r>
              <w:rPr>
                <w:rFonts w:ascii="宋体" w:hAnsi="宋体" w:cs="宋体" w:eastAsia="宋体" w:hint="default"/>
                <w:sz w:val="18"/>
                <w:szCs w:val="18"/>
              </w:rPr>
            </w:r>
          </w:p>
        </w:tc>
        <w:tc>
          <w:tcPr>
            <w:tcW w:w="127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18" w:lineRule="exact"/>
              <w:ind w:right="137"/>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b/>
                <w:bCs/>
                <w:sz w:val="18"/>
                <w:szCs w:val="18"/>
              </w:rPr>
              <w:t>年金额</w:t>
            </w:r>
            <w:r>
              <w:rPr>
                <w:rFonts w:ascii="宋体" w:hAnsi="宋体" w:cs="宋体" w:eastAsia="宋体" w:hint="default"/>
                <w:sz w:val="18"/>
                <w:szCs w:val="18"/>
              </w:rPr>
            </w:r>
          </w:p>
        </w:tc>
      </w:tr>
      <w:tr>
        <w:trPr>
          <w:trHeight w:val="24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18"/>
                <w:szCs w:val="18"/>
              </w:rPr>
            </w:pPr>
            <w:r>
              <w:rPr>
                <w:rFonts w:ascii="Arial"/>
                <w:w w:val="95"/>
                <w:sz w:val="18"/>
              </w:rPr>
              <w:t>(1,048,131)</w:t>
            </w:r>
            <w:r>
              <w:rPr>
                <w:rFonts w:ascii="Arial"/>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w:hAnsi="Arial" w:cs="Arial" w:eastAsia="Arial" w:hint="default"/>
                <w:sz w:val="18"/>
                <w:szCs w:val="18"/>
              </w:rPr>
            </w:pPr>
            <w:r>
              <w:rPr>
                <w:rFonts w:ascii="Arial"/>
                <w:spacing w:val="-1"/>
                <w:sz w:val="18"/>
              </w:rPr>
              <w:t>75,270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18"/>
                <w:szCs w:val="18"/>
              </w:rPr>
            </w:pPr>
            <w:r>
              <w:rPr>
                <w:rFonts w:ascii="Arial"/>
                <w:spacing w:val="-1"/>
                <w:sz w:val="18"/>
              </w:rPr>
              <w:t>630,983</w:t>
            </w:r>
          </w:p>
        </w:tc>
      </w:tr>
      <w:tr>
        <w:trPr>
          <w:trHeight w:val="710"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45" w:right="0" w:hanging="209"/>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计入当期损益的政府补助，但与公司正常经营业务密切相</w:t>
            </w:r>
          </w:p>
          <w:p>
            <w:pPr>
              <w:pStyle w:val="TableParagraph"/>
              <w:spacing w:line="240" w:lineRule="auto"/>
              <w:ind w:left="345" w:right="109"/>
              <w:jc w:val="left"/>
              <w:rPr>
                <w:rFonts w:ascii="宋体" w:hAnsi="宋体" w:cs="宋体" w:eastAsia="宋体" w:hint="default"/>
                <w:sz w:val="18"/>
                <w:szCs w:val="18"/>
              </w:rPr>
            </w:pPr>
            <w:r>
              <w:rPr>
                <w:rFonts w:ascii="宋体" w:hAnsi="宋体" w:cs="宋体" w:eastAsia="宋体" w:hint="default"/>
                <w:spacing w:val="2"/>
                <w:sz w:val="18"/>
                <w:szCs w:val="18"/>
              </w:rPr>
              <w:t>关，符合国家政策规定、按照一定标准定额或定量持续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享受的政府补助除外</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271,298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239,299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122,836</w:t>
            </w:r>
          </w:p>
        </w:tc>
      </w:tr>
      <w:tr>
        <w:trPr>
          <w:trHeight w:val="242"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spacing w:val="-1"/>
                <w:sz w:val="18"/>
              </w:rPr>
              <w:t>719,925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spacing w:val="-1"/>
                <w:sz w:val="18"/>
              </w:rPr>
              <w:t>444,670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spacing w:val="-1"/>
                <w:sz w:val="18"/>
              </w:rPr>
              <w:t>794,122</w:t>
            </w:r>
          </w:p>
        </w:tc>
      </w:tr>
      <w:tr>
        <w:trPr>
          <w:trHeight w:val="24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Arial" w:hAnsi="Arial" w:cs="Arial" w:eastAsia="Arial" w:hint="default"/>
                <w:sz w:val="18"/>
                <w:szCs w:val="18"/>
              </w:rPr>
            </w:pPr>
            <w:r>
              <w:rPr>
                <w:rFonts w:ascii="Arial"/>
                <w:spacing w:val="-1"/>
                <w:sz w:val="18"/>
              </w:rPr>
              <w:t>33,517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8"/>
              <w:jc w:val="right"/>
              <w:rPr>
                <w:rFonts w:ascii="Arial" w:hAnsi="Arial" w:cs="Arial" w:eastAsia="Arial" w:hint="default"/>
                <w:sz w:val="18"/>
                <w:szCs w:val="18"/>
              </w:rPr>
            </w:pPr>
            <w:r>
              <w:rPr>
                <w:rFonts w:ascii="Arial"/>
                <w:spacing w:val="-1"/>
                <w:sz w:val="18"/>
              </w:rPr>
              <w:t>(373,232)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4"/>
              <w:jc w:val="right"/>
              <w:rPr>
                <w:rFonts w:ascii="Arial" w:hAnsi="Arial" w:cs="Arial" w:eastAsia="Arial" w:hint="default"/>
                <w:sz w:val="18"/>
                <w:szCs w:val="18"/>
              </w:rPr>
            </w:pPr>
            <w:r>
              <w:rPr>
                <w:rFonts w:ascii="Arial"/>
                <w:spacing w:val="-1"/>
                <w:sz w:val="18"/>
              </w:rPr>
              <w:t>(762,805)</w:t>
            </w:r>
          </w:p>
        </w:tc>
      </w:tr>
      <w:tr>
        <w:trPr>
          <w:trHeight w:val="242"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5"/>
                <w:sz w:val="18"/>
              </w:rPr>
              <w:t>6,628</w:t>
            </w:r>
            <w:r>
              <w:rPr>
                <w:rFonts w:ascii="Arial"/>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spacing w:val="-1"/>
                <w:sz w:val="18"/>
              </w:rPr>
              <w:t>(197,385)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4"/>
              <w:jc w:val="right"/>
              <w:rPr>
                <w:rFonts w:ascii="Arial" w:hAnsi="Arial" w:cs="Arial" w:eastAsia="Arial" w:hint="default"/>
                <w:sz w:val="18"/>
                <w:szCs w:val="18"/>
              </w:rPr>
            </w:pPr>
            <w:r>
              <w:rPr>
                <w:rFonts w:ascii="Arial"/>
                <w:spacing w:val="-1"/>
                <w:sz w:val="18"/>
              </w:rPr>
              <w:t>(394,268)</w:t>
            </w:r>
          </w:p>
        </w:tc>
      </w:tr>
      <w:tr>
        <w:trPr>
          <w:trHeight w:val="24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18"/>
                <w:szCs w:val="18"/>
              </w:rPr>
            </w:pPr>
            <w:r>
              <w:rPr>
                <w:rFonts w:ascii="Arial"/>
                <w:spacing w:val="-1"/>
                <w:sz w:val="18"/>
              </w:rPr>
              <w:t>(16,763)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18"/>
                <w:szCs w:val="18"/>
              </w:rPr>
            </w:pPr>
            <w:r>
              <w:rPr>
                <w:rFonts w:ascii="Arial"/>
                <w:spacing w:val="-1"/>
                <w:sz w:val="18"/>
              </w:rPr>
              <w:t>188,622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18"/>
                <w:szCs w:val="18"/>
              </w:rPr>
            </w:pPr>
            <w:r>
              <w:rPr>
                <w:rFonts w:ascii="Arial"/>
                <w:spacing w:val="-1"/>
                <w:sz w:val="18"/>
              </w:rPr>
              <w:t>390,868</w:t>
            </w:r>
          </w:p>
        </w:tc>
      </w:tr>
    </w:tbl>
    <w:p>
      <w:pPr>
        <w:spacing w:line="240" w:lineRule="auto" w:before="10"/>
        <w:rPr>
          <w:rFonts w:ascii="宋体" w:hAnsi="宋体" w:cs="宋体" w:eastAsia="宋体" w:hint="default"/>
          <w:sz w:val="18"/>
          <w:szCs w:val="18"/>
        </w:rPr>
      </w:pPr>
    </w:p>
    <w:p>
      <w:pPr>
        <w:spacing w:before="36"/>
        <w:ind w:left="138" w:right="1922" w:firstLine="0"/>
        <w:jc w:val="left"/>
        <w:rPr>
          <w:rFonts w:ascii="宋体" w:hAnsi="宋体" w:cs="宋体" w:eastAsia="宋体" w:hint="default"/>
          <w:sz w:val="21"/>
          <w:szCs w:val="21"/>
        </w:rPr>
      </w:pPr>
      <w:r>
        <w:rPr>
          <w:rFonts w:ascii="宋体" w:hAnsi="宋体" w:cs="宋体" w:eastAsia="宋体" w:hint="default"/>
          <w:b/>
          <w:bCs/>
          <w:sz w:val="21"/>
          <w:szCs w:val="21"/>
        </w:rPr>
        <w:t>四、采用公允价值计量的项目</w:t>
      </w:r>
      <w:r>
        <w:rPr>
          <w:rFonts w:ascii="宋体" w:hAnsi="宋体" w:cs="宋体" w:eastAsia="宋体" w:hint="default"/>
          <w:sz w:val="21"/>
          <w:szCs w:val="21"/>
        </w:rPr>
      </w:r>
    </w:p>
    <w:p>
      <w:pPr>
        <w:tabs>
          <w:tab w:pos="1048" w:val="left" w:leader="none"/>
        </w:tabs>
        <w:spacing w:before="59"/>
        <w:ind w:left="0" w:right="130"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976"/>
        <w:gridCol w:w="1505"/>
        <w:gridCol w:w="1623"/>
        <w:gridCol w:w="1561"/>
        <w:gridCol w:w="2127"/>
      </w:tblGrid>
      <w:tr>
        <w:trPr>
          <w:trHeight w:val="245" w:hRule="exact"/>
        </w:trPr>
        <w:tc>
          <w:tcPr>
            <w:tcW w:w="197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619"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50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62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44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56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412" w:right="0"/>
              <w:jc w:val="left"/>
              <w:rPr>
                <w:rFonts w:ascii="宋体" w:hAnsi="宋体" w:cs="宋体" w:eastAsia="宋体" w:hint="default"/>
                <w:sz w:val="18"/>
                <w:szCs w:val="18"/>
              </w:rPr>
            </w:pPr>
            <w:r>
              <w:rPr>
                <w:rFonts w:ascii="宋体" w:hAnsi="宋体" w:cs="宋体" w:eastAsia="宋体" w:hint="default"/>
                <w:b/>
                <w:bCs/>
                <w:sz w:val="18"/>
                <w:szCs w:val="18"/>
              </w:rPr>
              <w:t>当期变动</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153" w:right="0"/>
              <w:jc w:val="left"/>
              <w:rPr>
                <w:rFonts w:ascii="宋体" w:hAnsi="宋体" w:cs="宋体" w:eastAsia="宋体" w:hint="default"/>
                <w:sz w:val="18"/>
                <w:szCs w:val="18"/>
              </w:rPr>
            </w:pPr>
            <w:r>
              <w:rPr>
                <w:rFonts w:ascii="宋体" w:hAnsi="宋体" w:cs="宋体" w:eastAsia="宋体" w:hint="default"/>
                <w:b/>
                <w:bCs/>
                <w:sz w:val="18"/>
                <w:szCs w:val="18"/>
              </w:rPr>
              <w:t>对当期利润的影响金额</w:t>
            </w:r>
            <w:r>
              <w:rPr>
                <w:rFonts w:ascii="宋体" w:hAnsi="宋体" w:cs="宋体" w:eastAsia="宋体" w:hint="default"/>
                <w:sz w:val="18"/>
                <w:szCs w:val="18"/>
              </w:rPr>
            </w:r>
          </w:p>
        </w:tc>
      </w:tr>
      <w:tr>
        <w:trPr>
          <w:trHeight w:val="475"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6" w:right="0"/>
              <w:jc w:val="left"/>
              <w:rPr>
                <w:rFonts w:ascii="宋体" w:hAnsi="宋体" w:cs="宋体" w:eastAsia="宋体" w:hint="default"/>
                <w:sz w:val="18"/>
                <w:szCs w:val="18"/>
              </w:rPr>
            </w:pPr>
            <w:r>
              <w:rPr>
                <w:rFonts w:ascii="宋体" w:hAnsi="宋体" w:cs="宋体" w:eastAsia="宋体" w:hint="default"/>
                <w:spacing w:val="10"/>
                <w:sz w:val="18"/>
                <w:szCs w:val="18"/>
              </w:rPr>
              <w:t>子公司持有的迪信通</w:t>
            </w:r>
          </w:p>
          <w:p>
            <w:pPr>
              <w:pStyle w:val="TableParagraph"/>
              <w:spacing w:line="234" w:lineRule="exact"/>
              <w:ind w:left="345"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w:t>
            </w:r>
            <w:r>
              <w:rPr>
                <w:rFonts w:ascii="Arial"/>
                <w:sz w:val="18"/>
              </w:rPr>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12,871,426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12,871,426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
              <w:jc w:val="right"/>
              <w:rPr>
                <w:rFonts w:ascii="Arial" w:hAnsi="Arial" w:cs="Arial" w:eastAsia="Arial" w:hint="default"/>
                <w:sz w:val="18"/>
                <w:szCs w:val="18"/>
              </w:rPr>
            </w:pPr>
            <w:r>
              <w:rPr>
                <w:rFonts w:ascii="Arial"/>
                <w:spacing w:val="-1"/>
                <w:sz w:val="18"/>
              </w:rPr>
              <w:t>(7,514,964)</w:t>
            </w:r>
          </w:p>
        </w:tc>
      </w:tr>
      <w:tr>
        <w:trPr>
          <w:trHeight w:val="478"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6" w:right="0"/>
              <w:jc w:val="left"/>
              <w:rPr>
                <w:rFonts w:ascii="宋体" w:hAnsi="宋体" w:cs="宋体" w:eastAsia="宋体" w:hint="default"/>
                <w:sz w:val="18"/>
                <w:szCs w:val="18"/>
              </w:rPr>
            </w:pPr>
            <w:r>
              <w:rPr>
                <w:rFonts w:ascii="宋体" w:hAnsi="宋体" w:cs="宋体" w:eastAsia="宋体" w:hint="default"/>
                <w:spacing w:val="10"/>
                <w:sz w:val="18"/>
                <w:szCs w:val="18"/>
              </w:rPr>
              <w:t>子公司持有的交通银</w:t>
            </w:r>
          </w:p>
          <w:p>
            <w:pPr>
              <w:pStyle w:val="TableParagraph"/>
              <w:spacing w:line="234" w:lineRule="exact"/>
              <w:ind w:left="345" w:right="0"/>
              <w:jc w:val="left"/>
              <w:rPr>
                <w:rFonts w:ascii="宋体" w:hAnsi="宋体" w:cs="宋体" w:eastAsia="宋体" w:hint="default"/>
                <w:sz w:val="18"/>
                <w:szCs w:val="18"/>
              </w:rPr>
            </w:pPr>
            <w:r>
              <w:rPr>
                <w:rFonts w:ascii="宋体" w:hAnsi="宋体" w:cs="宋体" w:eastAsia="宋体" w:hint="default"/>
                <w:sz w:val="18"/>
                <w:szCs w:val="18"/>
              </w:rPr>
              <w:t>行股票</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0"/>
              <w:jc w:val="right"/>
              <w:rPr>
                <w:rFonts w:ascii="Arial" w:hAnsi="Arial" w:cs="Arial" w:eastAsia="Arial" w:hint="default"/>
                <w:sz w:val="18"/>
                <w:szCs w:val="18"/>
              </w:rPr>
            </w:pPr>
            <w:r>
              <w:rPr>
                <w:rFonts w:ascii="Arial"/>
                <w:spacing w:val="-1"/>
                <w:sz w:val="18"/>
              </w:rPr>
              <w:t>97,475,831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0"/>
              <w:jc w:val="right"/>
              <w:rPr>
                <w:rFonts w:ascii="Arial" w:hAnsi="Arial" w:cs="Arial" w:eastAsia="Arial" w:hint="default"/>
                <w:sz w:val="18"/>
                <w:szCs w:val="18"/>
              </w:rPr>
            </w:pPr>
            <w:r>
              <w:rPr>
                <w:rFonts w:ascii="Arial"/>
                <w:spacing w:val="-1"/>
                <w:sz w:val="18"/>
              </w:rPr>
              <w:t>172,613,451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0"/>
              <w:jc w:val="right"/>
              <w:rPr>
                <w:rFonts w:ascii="Arial" w:hAnsi="Arial" w:cs="Arial" w:eastAsia="Arial" w:hint="default"/>
                <w:sz w:val="18"/>
                <w:szCs w:val="18"/>
              </w:rPr>
            </w:pPr>
            <w:r>
              <w:rPr>
                <w:rFonts w:ascii="Arial"/>
                <w:spacing w:val="-1"/>
                <w:sz w:val="18"/>
              </w:rPr>
              <w:t>75,137,620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478"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hAnsi="宋体" w:cs="宋体" w:eastAsia="宋体" w:hint="default"/>
                <w:spacing w:val="10"/>
                <w:sz w:val="18"/>
                <w:szCs w:val="18"/>
              </w:rPr>
              <w:t>子公司持有的西班牙</w:t>
            </w: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电信股票</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6,399,625,166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5,705,885,892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9"/>
              <w:jc w:val="right"/>
              <w:rPr>
                <w:rFonts w:ascii="Arial" w:hAnsi="Arial" w:cs="Arial" w:eastAsia="Arial" w:hint="default"/>
                <w:sz w:val="18"/>
                <w:szCs w:val="18"/>
              </w:rPr>
            </w:pPr>
            <w:r>
              <w:rPr>
                <w:rFonts w:ascii="Arial"/>
                <w:spacing w:val="-1"/>
                <w:sz w:val="18"/>
              </w:rPr>
              <w:t>(693,739,274)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42"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w w:val="99"/>
                <w:sz w:val="18"/>
              </w:rPr>
              <w:t>-</w:t>
            </w:r>
            <w:r>
              <w:rPr>
                <w:rFonts w:ascii="Arial"/>
                <w:sz w:val="18"/>
              </w:rPr>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spacing w:val="-1"/>
                <w:sz w:val="18"/>
              </w:rPr>
              <w:t>23,480,271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spacing w:val="-1"/>
                <w:sz w:val="18"/>
              </w:rPr>
              <w:t>23,480,271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45" w:hRule="exact"/>
        </w:trPr>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w:hAnsi="Arial" w:cs="Arial" w:eastAsia="Arial" w:hint="default"/>
                <w:sz w:val="18"/>
                <w:szCs w:val="18"/>
              </w:rPr>
            </w:pPr>
            <w:r>
              <w:rPr>
                <w:rFonts w:ascii="Arial"/>
                <w:spacing w:val="-1"/>
                <w:sz w:val="18"/>
              </w:rPr>
              <w:t>6,497,100,997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w:hAnsi="Arial" w:cs="Arial" w:eastAsia="Arial" w:hint="default"/>
                <w:sz w:val="18"/>
                <w:szCs w:val="18"/>
              </w:rPr>
            </w:pPr>
            <w:r>
              <w:rPr>
                <w:rFonts w:ascii="Arial"/>
                <w:spacing w:val="-1"/>
                <w:sz w:val="18"/>
              </w:rPr>
              <w:t>5,914,851,040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9"/>
              <w:jc w:val="right"/>
              <w:rPr>
                <w:rFonts w:ascii="Arial" w:hAnsi="Arial" w:cs="Arial" w:eastAsia="Arial" w:hint="default"/>
                <w:sz w:val="18"/>
                <w:szCs w:val="18"/>
              </w:rPr>
            </w:pPr>
            <w:r>
              <w:rPr>
                <w:rFonts w:ascii="Arial"/>
                <w:spacing w:val="-1"/>
                <w:sz w:val="18"/>
              </w:rPr>
              <w:t>(582,249,957)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right"/>
              <w:rPr>
                <w:rFonts w:ascii="Arial" w:hAnsi="Arial" w:cs="Arial" w:eastAsia="Arial" w:hint="default"/>
                <w:sz w:val="18"/>
                <w:szCs w:val="18"/>
              </w:rPr>
            </w:pPr>
            <w:r>
              <w:rPr>
                <w:rFonts w:ascii="Arial"/>
                <w:spacing w:val="-1"/>
                <w:sz w:val="18"/>
              </w:rPr>
              <w:t>(7,514,964)</w:t>
            </w:r>
          </w:p>
        </w:tc>
      </w:tr>
    </w:tbl>
    <w:p>
      <w:pPr>
        <w:spacing w:after="0" w:line="240" w:lineRule="auto"/>
        <w:jc w:val="right"/>
        <w:rPr>
          <w:rFonts w:ascii="Arial" w:hAnsi="Arial" w:cs="Arial" w:eastAsia="Arial" w:hint="default"/>
          <w:sz w:val="18"/>
          <w:szCs w:val="18"/>
        </w:rPr>
        <w:sectPr>
          <w:pgSz w:w="11910" w:h="16840"/>
          <w:pgMar w:header="880" w:footer="1194" w:top="1120" w:bottom="1380" w:left="1660" w:right="1200"/>
        </w:sectPr>
      </w:pPr>
    </w:p>
    <w:p>
      <w:pPr>
        <w:spacing w:line="240" w:lineRule="auto" w:before="0"/>
        <w:rPr>
          <w:rFonts w:ascii="宋体" w:hAnsi="宋体" w:cs="宋体" w:eastAsia="宋体" w:hint="default"/>
          <w:sz w:val="20"/>
          <w:szCs w:val="20"/>
        </w:rPr>
      </w:pPr>
    </w:p>
    <w:p>
      <w:pPr>
        <w:pStyle w:val="Heading1"/>
        <w:tabs>
          <w:tab w:pos="1260" w:val="left" w:leader="none"/>
        </w:tabs>
        <w:spacing w:line="240" w:lineRule="auto"/>
        <w:ind w:right="74"/>
        <w:jc w:val="center"/>
        <w:rPr>
          <w:b w:val="0"/>
          <w:bCs w:val="0"/>
        </w:rPr>
      </w:pPr>
      <w:bookmarkStart w:name="_TOC_250007" w:id="4"/>
      <w:r>
        <w:rPr>
          <w:w w:val="95"/>
        </w:rPr>
        <w:t>第四节</w:t>
        <w:tab/>
      </w:r>
      <w:r>
        <w:rPr/>
        <w:t>董事会报告</w:t>
      </w:r>
      <w:bookmarkEnd w:id="4"/>
      <w:r>
        <w:rPr>
          <w:b w:val="0"/>
          <w:bCs w:val="0"/>
        </w:rPr>
      </w:r>
    </w:p>
    <w:p>
      <w:pPr>
        <w:spacing w:line="240" w:lineRule="auto" w:before="4"/>
        <w:rPr>
          <w:rFonts w:ascii="黑体" w:hAnsi="黑体" w:cs="黑体" w:eastAsia="黑体" w:hint="default"/>
          <w:b/>
          <w:bCs/>
          <w:sz w:val="19"/>
          <w:szCs w:val="19"/>
        </w:rPr>
      </w:pPr>
    </w:p>
    <w:p>
      <w:pPr>
        <w:spacing w:before="0"/>
        <w:ind w:left="138" w:right="204" w:firstLine="0"/>
        <w:jc w:val="left"/>
        <w:rPr>
          <w:rFonts w:ascii="宋体" w:hAnsi="宋体" w:cs="宋体" w:eastAsia="宋体" w:hint="default"/>
          <w:sz w:val="21"/>
          <w:szCs w:val="21"/>
        </w:rPr>
      </w:pPr>
      <w:r>
        <w:rPr>
          <w:rFonts w:ascii="宋体" w:hAnsi="宋体" w:cs="宋体" w:eastAsia="宋体" w:hint="default"/>
          <w:b/>
          <w:bCs/>
          <w:sz w:val="21"/>
          <w:szCs w:val="21"/>
        </w:rPr>
        <w:t>一、董事会关于公司报告期内经营情况的讨论与分析</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p>
      <w:pPr>
        <w:spacing w:line="235" w:lineRule="auto" w:before="0"/>
        <w:ind w:left="138" w:right="204" w:firstLine="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9"/>
          <w:sz w:val="21"/>
          <w:szCs w:val="21"/>
        </w:rPr>
        <w:t> </w:t>
      </w:r>
      <w:r>
        <w:rPr>
          <w:rFonts w:ascii="宋体" w:hAnsi="宋体" w:cs="宋体" w:eastAsia="宋体" w:hint="default"/>
          <w:sz w:val="21"/>
          <w:szCs w:val="21"/>
        </w:rPr>
        <w:t>年是中国电信行业政策和市场环境发生较大变化的一年，受</w:t>
      </w:r>
      <w:r>
        <w:rPr>
          <w:rFonts w:ascii="宋体" w:hAnsi="宋体" w:cs="宋体" w:eastAsia="宋体" w:hint="default"/>
          <w:spacing w:val="-53"/>
          <w:sz w:val="21"/>
          <w:szCs w:val="21"/>
        </w:rPr>
        <w:t> </w:t>
      </w:r>
      <w:r>
        <w:rPr>
          <w:rFonts w:ascii="Arial" w:hAnsi="Arial" w:cs="Arial" w:eastAsia="Arial" w:hint="default"/>
          <w:sz w:val="21"/>
          <w:szCs w:val="21"/>
        </w:rPr>
        <w:t>4G</w:t>
      </w:r>
      <w:r>
        <w:rPr>
          <w:rFonts w:ascii="Arial" w:hAnsi="Arial" w:cs="Arial" w:eastAsia="Arial" w:hint="default"/>
          <w:spacing w:val="-11"/>
          <w:sz w:val="21"/>
          <w:szCs w:val="21"/>
        </w:rPr>
        <w:t> </w:t>
      </w:r>
      <w:r>
        <w:rPr>
          <w:rFonts w:ascii="宋体" w:hAnsi="宋体" w:cs="宋体" w:eastAsia="宋体" w:hint="default"/>
          <w:sz w:val="21"/>
          <w:szCs w:val="21"/>
        </w:rPr>
        <w:t>发牌、“营改增”政策实</w:t>
      </w:r>
      <w:r>
        <w:rPr>
          <w:rFonts w:ascii="宋体" w:hAnsi="宋体" w:cs="宋体" w:eastAsia="宋体" w:hint="default"/>
          <w:w w:val="100"/>
          <w:sz w:val="21"/>
          <w:szCs w:val="21"/>
        </w:rPr>
        <w:t> </w:t>
      </w:r>
      <w:r>
        <w:rPr>
          <w:rFonts w:ascii="宋体" w:hAnsi="宋体" w:cs="宋体" w:eastAsia="宋体" w:hint="default"/>
          <w:spacing w:val="-3"/>
          <w:sz w:val="21"/>
          <w:szCs w:val="21"/>
        </w:rPr>
        <w:t>施等诸多因素影响，市场竞争更趋复杂，行业收入增速放缓。面对变化与挑战，公司以“移动宽</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3"/>
          <w:sz w:val="21"/>
          <w:szCs w:val="21"/>
        </w:rPr>
        <w:t>带领先与一体化创新”战略为引领，主动加快转型发展步伐，深入推进重点领域改革，实现了收</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入市场份额持续提升、收入结构持续优化、经营效益持续改善。</w:t>
      </w:r>
    </w:p>
    <w:p>
      <w:pPr>
        <w:spacing w:line="240" w:lineRule="auto" w:before="9"/>
        <w:rPr>
          <w:rFonts w:ascii="宋体" w:hAnsi="宋体" w:cs="宋体" w:eastAsia="宋体" w:hint="default"/>
          <w:sz w:val="20"/>
          <w:szCs w:val="20"/>
        </w:rPr>
      </w:pPr>
    </w:p>
    <w:p>
      <w:pPr>
        <w:spacing w:before="0"/>
        <w:ind w:left="138" w:right="204" w:firstLine="0"/>
        <w:jc w:val="left"/>
        <w:rPr>
          <w:rFonts w:ascii="宋体" w:hAnsi="宋体" w:cs="宋体" w:eastAsia="宋体" w:hint="default"/>
          <w:sz w:val="21"/>
          <w:szCs w:val="21"/>
        </w:rPr>
      </w:pPr>
      <w:r>
        <w:rPr>
          <w:rFonts w:ascii="宋体" w:hAnsi="宋体" w:cs="宋体" w:eastAsia="宋体" w:hint="default"/>
          <w:b/>
          <w:bCs/>
          <w:sz w:val="21"/>
          <w:szCs w:val="21"/>
        </w:rPr>
        <w:t>第一部分：总体经营情况</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485" w:right="204" w:firstLine="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整体业绩</w:t>
      </w:r>
    </w:p>
    <w:p>
      <w:pPr>
        <w:spacing w:line="240" w:lineRule="auto" w:before="2"/>
        <w:rPr>
          <w:rFonts w:ascii="宋体" w:hAnsi="宋体" w:cs="宋体" w:eastAsia="宋体" w:hint="default"/>
          <w:sz w:val="17"/>
          <w:szCs w:val="17"/>
        </w:rPr>
      </w:pPr>
    </w:p>
    <w:p>
      <w:pPr>
        <w:spacing w:line="280" w:lineRule="exact" w:before="0"/>
        <w:ind w:left="846" w:right="100" w:firstLine="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41"/>
          <w:sz w:val="21"/>
          <w:szCs w:val="21"/>
        </w:rPr>
        <w:t> </w:t>
      </w:r>
      <w:r>
        <w:rPr>
          <w:rFonts w:ascii="宋体" w:hAnsi="宋体" w:cs="宋体" w:eastAsia="宋体" w:hint="default"/>
          <w:spacing w:val="-2"/>
          <w:sz w:val="21"/>
          <w:szCs w:val="21"/>
        </w:rPr>
        <w:t>年，中国电信行业全面实施“营改增”政策，公司以此为契机，深入推进经营模式</w:t>
      </w:r>
    </w:p>
    <w:p>
      <w:pPr>
        <w:spacing w:line="225" w:lineRule="auto" w:before="5"/>
        <w:ind w:left="846" w:right="100" w:firstLine="0"/>
        <w:jc w:val="left"/>
        <w:rPr>
          <w:rFonts w:ascii="宋体" w:hAnsi="宋体" w:cs="宋体" w:eastAsia="宋体" w:hint="default"/>
          <w:sz w:val="21"/>
          <w:szCs w:val="21"/>
        </w:rPr>
      </w:pPr>
      <w:r>
        <w:rPr>
          <w:rFonts w:ascii="宋体" w:hAnsi="宋体" w:cs="宋体" w:eastAsia="宋体" w:hint="default"/>
          <w:spacing w:val="-4"/>
          <w:sz w:val="21"/>
          <w:szCs w:val="21"/>
        </w:rPr>
        <w:t>转型，改善业务结构，提升发展质量，全年实现主营业务收入人民币</w:t>
      </w:r>
      <w:r>
        <w:rPr>
          <w:rFonts w:ascii="宋体" w:hAnsi="宋体" w:cs="宋体" w:eastAsia="宋体" w:hint="default"/>
          <w:spacing w:val="-41"/>
          <w:sz w:val="21"/>
          <w:szCs w:val="21"/>
        </w:rPr>
        <w:t> </w:t>
      </w:r>
      <w:r>
        <w:rPr>
          <w:rFonts w:ascii="Arial" w:hAnsi="Arial" w:cs="Arial" w:eastAsia="Arial" w:hint="default"/>
          <w:sz w:val="21"/>
          <w:szCs w:val="21"/>
        </w:rPr>
        <w:t>2,484.0</w:t>
      </w:r>
      <w:r>
        <w:rPr>
          <w:rFonts w:ascii="Arial" w:hAnsi="Arial" w:cs="Arial" w:eastAsia="Arial" w:hint="default"/>
          <w:spacing w:val="5"/>
          <w:sz w:val="21"/>
          <w:szCs w:val="21"/>
        </w:rPr>
        <w:t> </w:t>
      </w:r>
      <w:r>
        <w:rPr>
          <w:rFonts w:ascii="宋体" w:hAnsi="宋体" w:cs="宋体" w:eastAsia="宋体" w:hint="default"/>
          <w:spacing w:val="-7"/>
          <w:sz w:val="21"/>
          <w:szCs w:val="21"/>
        </w:rPr>
        <w:t>亿元，同比</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w w:val="100"/>
          <w:sz w:val="21"/>
          <w:szCs w:val="21"/>
        </w:rPr>
        <w:t>增长</w:t>
      </w:r>
      <w:r>
        <w:rPr>
          <w:rFonts w:ascii="宋体" w:hAnsi="宋体" w:cs="宋体" w:eastAsia="宋体" w:hint="default"/>
          <w:spacing w:val="-69"/>
          <w:w w:val="100"/>
          <w:sz w:val="21"/>
          <w:szCs w:val="21"/>
        </w:rPr>
        <w:t> </w:t>
      </w:r>
      <w:r>
        <w:rPr>
          <w:rFonts w:ascii="Arial" w:hAnsi="Arial" w:cs="Arial" w:eastAsia="Arial" w:hint="default"/>
          <w:spacing w:val="-15"/>
          <w:w w:val="100"/>
          <w:sz w:val="21"/>
          <w:szCs w:val="21"/>
        </w:rPr>
        <w:t>0.9%</w:t>
      </w:r>
      <w:r>
        <w:rPr>
          <w:rFonts w:ascii="宋体" w:hAnsi="宋体" w:cs="宋体" w:eastAsia="宋体" w:hint="default"/>
          <w:spacing w:val="-15"/>
          <w:w w:val="100"/>
          <w:sz w:val="21"/>
          <w:szCs w:val="21"/>
        </w:rPr>
        <w:t>，增速超出行业平均（附注</w:t>
      </w:r>
      <w:r>
        <w:rPr>
          <w:rFonts w:ascii="宋体" w:hAnsi="宋体" w:cs="宋体" w:eastAsia="宋体" w:hint="default"/>
          <w:spacing w:val="-67"/>
          <w:w w:val="100"/>
          <w:sz w:val="21"/>
          <w:szCs w:val="21"/>
        </w:rPr>
        <w:t> </w:t>
      </w:r>
      <w:r>
        <w:rPr>
          <w:rFonts w:ascii="Arial" w:hAnsi="Arial" w:cs="Arial" w:eastAsia="Arial" w:hint="default"/>
          <w:spacing w:val="-28"/>
          <w:w w:val="100"/>
          <w:sz w:val="21"/>
          <w:szCs w:val="21"/>
        </w:rPr>
        <w:t>1</w:t>
      </w:r>
      <w:r>
        <w:rPr>
          <w:rFonts w:ascii="宋体" w:hAnsi="宋体" w:cs="宋体" w:eastAsia="宋体" w:hint="default"/>
          <w:spacing w:val="-28"/>
          <w:w w:val="100"/>
          <w:sz w:val="21"/>
          <w:szCs w:val="21"/>
        </w:rPr>
        <w:t>）水平</w:t>
      </w:r>
      <w:r>
        <w:rPr>
          <w:rFonts w:ascii="宋体" w:hAnsi="宋体" w:cs="宋体" w:eastAsia="宋体" w:hint="default"/>
          <w:spacing w:val="-67"/>
          <w:w w:val="100"/>
          <w:sz w:val="21"/>
          <w:szCs w:val="21"/>
        </w:rPr>
        <w:t> </w:t>
      </w:r>
      <w:r>
        <w:rPr>
          <w:rFonts w:ascii="Arial" w:hAnsi="Arial" w:cs="Arial" w:eastAsia="Arial" w:hint="default"/>
          <w:spacing w:val="-1"/>
          <w:w w:val="100"/>
          <w:sz w:val="21"/>
          <w:szCs w:val="21"/>
        </w:rPr>
        <w:t>2.2</w:t>
      </w:r>
      <w:r>
        <w:rPr>
          <w:rFonts w:ascii="Arial" w:hAnsi="Arial" w:cs="Arial" w:eastAsia="Arial" w:hint="default"/>
          <w:spacing w:val="-22"/>
          <w:w w:val="100"/>
          <w:sz w:val="21"/>
          <w:szCs w:val="21"/>
        </w:rPr>
        <w:t> </w:t>
      </w:r>
      <w:r>
        <w:rPr>
          <w:rFonts w:ascii="宋体" w:hAnsi="宋体" w:cs="宋体" w:eastAsia="宋体" w:hint="default"/>
          <w:spacing w:val="-9"/>
          <w:w w:val="100"/>
          <w:sz w:val="21"/>
          <w:szCs w:val="21"/>
        </w:rPr>
        <w:t>个百分点，其中移动业务占比达到</w:t>
      </w:r>
      <w:r>
        <w:rPr>
          <w:rFonts w:ascii="宋体" w:hAnsi="宋体" w:cs="宋体" w:eastAsia="宋体" w:hint="default"/>
          <w:spacing w:val="-66"/>
          <w:w w:val="100"/>
          <w:sz w:val="21"/>
          <w:szCs w:val="21"/>
        </w:rPr>
        <w:t> </w:t>
      </w:r>
      <w:r>
        <w:rPr>
          <w:rFonts w:ascii="Arial" w:hAnsi="Arial" w:cs="Arial" w:eastAsia="Arial" w:hint="default"/>
          <w:spacing w:val="-1"/>
          <w:w w:val="100"/>
          <w:sz w:val="21"/>
          <w:szCs w:val="21"/>
        </w:rPr>
        <w:t>63.3%</w:t>
      </w:r>
      <w:r>
        <w:rPr>
          <w:rFonts w:ascii="宋体" w:hAnsi="宋体" w:cs="宋体" w:eastAsia="宋体" w:hint="default"/>
          <w:spacing w:val="-1"/>
          <w:w w:val="100"/>
          <w:sz w:val="21"/>
          <w:szCs w:val="21"/>
        </w:rPr>
        <w:t>，</w:t>
      </w:r>
      <w:r>
        <w:rPr>
          <w:rFonts w:ascii="宋体" w:hAnsi="宋体" w:cs="宋体" w:eastAsia="宋体" w:hint="default"/>
          <w:spacing w:val="-104"/>
          <w:w w:val="100"/>
          <w:sz w:val="21"/>
          <w:szCs w:val="21"/>
        </w:rPr>
        <w:t> </w:t>
      </w:r>
      <w:r>
        <w:rPr>
          <w:rFonts w:ascii="宋体" w:hAnsi="宋体" w:cs="宋体" w:eastAsia="宋体" w:hint="default"/>
          <w:sz w:val="21"/>
          <w:szCs w:val="21"/>
        </w:rPr>
        <w:t>非语音业务占比达到</w:t>
      </w:r>
      <w:r>
        <w:rPr>
          <w:rFonts w:ascii="宋体" w:hAnsi="宋体" w:cs="宋体" w:eastAsia="宋体" w:hint="default"/>
          <w:spacing w:val="-54"/>
          <w:sz w:val="21"/>
          <w:szCs w:val="21"/>
        </w:rPr>
        <w:t> </w:t>
      </w:r>
      <w:r>
        <w:rPr>
          <w:rFonts w:ascii="Arial" w:hAnsi="Arial" w:cs="Arial" w:eastAsia="Arial" w:hint="default"/>
          <w:sz w:val="21"/>
          <w:szCs w:val="21"/>
        </w:rPr>
        <w:t>61.9%</w:t>
      </w:r>
      <w:r>
        <w:rPr>
          <w:rFonts w:ascii="宋体" w:hAnsi="宋体" w:cs="宋体" w:eastAsia="宋体" w:hint="default"/>
          <w:sz w:val="21"/>
          <w:szCs w:val="21"/>
        </w:rPr>
        <w:t>。</w:t>
      </w:r>
    </w:p>
    <w:p>
      <w:pPr>
        <w:spacing w:line="240" w:lineRule="auto" w:before="3"/>
        <w:rPr>
          <w:rFonts w:ascii="宋体" w:hAnsi="宋体" w:cs="宋体" w:eastAsia="宋体" w:hint="default"/>
          <w:sz w:val="18"/>
          <w:szCs w:val="18"/>
        </w:rPr>
      </w:pPr>
    </w:p>
    <w:p>
      <w:pPr>
        <w:spacing w:line="228" w:lineRule="auto" w:before="0"/>
        <w:ind w:left="846" w:right="100" w:firstLine="0"/>
        <w:jc w:val="left"/>
        <w:rPr>
          <w:rFonts w:ascii="宋体" w:hAnsi="宋体" w:cs="宋体" w:eastAsia="宋体" w:hint="default"/>
          <w:sz w:val="21"/>
          <w:szCs w:val="21"/>
        </w:rPr>
      </w:pPr>
      <w:r>
        <w:rPr>
          <w:rFonts w:ascii="宋体" w:hAnsi="宋体" w:cs="宋体" w:eastAsia="宋体" w:hint="default"/>
          <w:sz w:val="21"/>
          <w:szCs w:val="21"/>
        </w:rPr>
        <w:t>在行业变化及自身转型等因素共同影响下，公司收入增速有所放缓，但资源使用效率明</w:t>
      </w:r>
      <w:r>
        <w:rPr>
          <w:rFonts w:ascii="宋体" w:hAnsi="宋体" w:cs="宋体" w:eastAsia="宋体" w:hint="default"/>
          <w:w w:val="100"/>
          <w:sz w:val="21"/>
          <w:szCs w:val="21"/>
        </w:rPr>
        <w:t> </w:t>
      </w:r>
      <w:r>
        <w:rPr>
          <w:rFonts w:ascii="宋体" w:hAnsi="宋体" w:cs="宋体" w:eastAsia="宋体" w:hint="default"/>
          <w:spacing w:val="-11"/>
          <w:w w:val="100"/>
          <w:sz w:val="21"/>
          <w:szCs w:val="21"/>
        </w:rPr>
        <w:t>显提升，盈利能力不断改善。公司全年实现</w:t>
      </w:r>
      <w:r>
        <w:rPr>
          <w:rFonts w:ascii="宋体" w:hAnsi="宋体" w:cs="宋体" w:eastAsia="宋体" w:hint="default"/>
          <w:spacing w:val="-51"/>
          <w:w w:val="100"/>
          <w:sz w:val="21"/>
          <w:szCs w:val="21"/>
        </w:rPr>
        <w:t> </w:t>
      </w:r>
      <w:r>
        <w:rPr>
          <w:rFonts w:ascii="Arial" w:hAnsi="Arial" w:cs="Arial" w:eastAsia="Arial" w:hint="default"/>
          <w:spacing w:val="-2"/>
          <w:w w:val="100"/>
          <w:sz w:val="21"/>
          <w:szCs w:val="21"/>
        </w:rPr>
        <w:t>EBITDA</w:t>
      </w:r>
      <w:r>
        <w:rPr>
          <w:rFonts w:ascii="Arial" w:hAnsi="Arial" w:cs="Arial" w:eastAsia="Arial" w:hint="default"/>
          <w:spacing w:val="-4"/>
          <w:w w:val="100"/>
          <w:sz w:val="21"/>
          <w:szCs w:val="21"/>
        </w:rPr>
        <w:t> </w:t>
      </w:r>
      <w:r>
        <w:rPr>
          <w:rFonts w:ascii="宋体" w:hAnsi="宋体" w:cs="宋体" w:eastAsia="宋体" w:hint="default"/>
          <w:spacing w:val="-1"/>
          <w:w w:val="100"/>
          <w:sz w:val="21"/>
          <w:szCs w:val="21"/>
        </w:rPr>
        <w:t>人民币</w:t>
      </w:r>
      <w:r>
        <w:rPr>
          <w:rFonts w:ascii="宋体" w:hAnsi="宋体" w:cs="宋体" w:eastAsia="宋体" w:hint="default"/>
          <w:spacing w:val="-51"/>
          <w:w w:val="100"/>
          <w:sz w:val="21"/>
          <w:szCs w:val="21"/>
        </w:rPr>
        <w:t> </w:t>
      </w:r>
      <w:r>
        <w:rPr>
          <w:rFonts w:ascii="Arial" w:hAnsi="Arial" w:cs="Arial" w:eastAsia="Arial" w:hint="default"/>
          <w:spacing w:val="-1"/>
          <w:w w:val="100"/>
          <w:sz w:val="21"/>
          <w:szCs w:val="21"/>
        </w:rPr>
        <w:t>930.5</w:t>
      </w:r>
      <w:r>
        <w:rPr>
          <w:rFonts w:ascii="Arial" w:hAnsi="Arial" w:cs="Arial" w:eastAsia="Arial" w:hint="default"/>
          <w:spacing w:val="-7"/>
          <w:w w:val="100"/>
          <w:sz w:val="21"/>
          <w:szCs w:val="21"/>
        </w:rPr>
        <w:t> </w:t>
      </w:r>
      <w:r>
        <w:rPr>
          <w:rFonts w:ascii="宋体" w:hAnsi="宋体" w:cs="宋体" w:eastAsia="宋体" w:hint="default"/>
          <w:spacing w:val="-15"/>
          <w:w w:val="100"/>
          <w:sz w:val="21"/>
          <w:szCs w:val="21"/>
        </w:rPr>
        <w:t>亿元，同比增长</w:t>
      </w:r>
      <w:r>
        <w:rPr>
          <w:rFonts w:ascii="宋体" w:hAnsi="宋体" w:cs="宋体" w:eastAsia="宋体" w:hint="default"/>
          <w:spacing w:val="-52"/>
          <w:w w:val="100"/>
          <w:sz w:val="21"/>
          <w:szCs w:val="21"/>
        </w:rPr>
        <w:t> </w:t>
      </w:r>
      <w:r>
        <w:rPr>
          <w:rFonts w:ascii="Arial" w:hAnsi="Arial" w:cs="Arial" w:eastAsia="Arial" w:hint="default"/>
          <w:spacing w:val="-1"/>
          <w:w w:val="100"/>
          <w:sz w:val="21"/>
          <w:szCs w:val="21"/>
        </w:rPr>
        <w:t>10.5%</w:t>
      </w:r>
      <w:r>
        <w:rPr>
          <w:rFonts w:ascii="宋体" w:hAnsi="宋体" w:cs="宋体" w:eastAsia="宋体" w:hint="default"/>
          <w:spacing w:val="-1"/>
          <w:w w:val="100"/>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主营业务收入</w:t>
      </w:r>
      <w:r>
        <w:rPr>
          <w:rFonts w:ascii="宋体" w:hAnsi="宋体" w:cs="宋体" w:eastAsia="宋体" w:hint="default"/>
          <w:spacing w:val="-51"/>
          <w:sz w:val="21"/>
          <w:szCs w:val="21"/>
        </w:rPr>
        <w:t> </w:t>
      </w:r>
      <w:r>
        <w:rPr>
          <w:rFonts w:ascii="Arial" w:hAnsi="Arial" w:cs="Arial" w:eastAsia="Arial" w:hint="default"/>
          <w:sz w:val="21"/>
          <w:szCs w:val="21"/>
        </w:rPr>
        <w:t>EBITDA</w:t>
      </w:r>
      <w:r>
        <w:rPr>
          <w:rFonts w:ascii="Arial" w:hAnsi="Arial" w:cs="Arial" w:eastAsia="Arial" w:hint="default"/>
          <w:spacing w:val="-3"/>
          <w:sz w:val="21"/>
          <w:szCs w:val="21"/>
        </w:rPr>
        <w:t> </w:t>
      </w:r>
      <w:r>
        <w:rPr>
          <w:rFonts w:ascii="宋体" w:hAnsi="宋体" w:cs="宋体" w:eastAsia="宋体" w:hint="default"/>
          <w:sz w:val="21"/>
          <w:szCs w:val="21"/>
        </w:rPr>
        <w:t>率达到</w:t>
      </w:r>
      <w:r>
        <w:rPr>
          <w:rFonts w:ascii="宋体" w:hAnsi="宋体" w:cs="宋体" w:eastAsia="宋体" w:hint="default"/>
          <w:spacing w:val="-48"/>
          <w:sz w:val="21"/>
          <w:szCs w:val="21"/>
        </w:rPr>
        <w:t> </w:t>
      </w:r>
      <w:r>
        <w:rPr>
          <w:rFonts w:ascii="Arial" w:hAnsi="Arial" w:cs="Arial" w:eastAsia="Arial" w:hint="default"/>
          <w:spacing w:val="-5"/>
          <w:sz w:val="21"/>
          <w:szCs w:val="21"/>
        </w:rPr>
        <w:t>37.5%</w:t>
      </w:r>
      <w:r>
        <w:rPr>
          <w:rFonts w:ascii="宋体" w:hAnsi="宋体" w:cs="宋体" w:eastAsia="宋体" w:hint="default"/>
          <w:spacing w:val="-5"/>
          <w:sz w:val="21"/>
          <w:szCs w:val="21"/>
        </w:rPr>
        <w:t>，同比提高</w:t>
      </w:r>
      <w:r>
        <w:rPr>
          <w:rFonts w:ascii="宋体" w:hAnsi="宋体" w:cs="宋体" w:eastAsia="宋体" w:hint="default"/>
          <w:spacing w:val="-48"/>
          <w:sz w:val="21"/>
          <w:szCs w:val="21"/>
        </w:rPr>
        <w:t> </w:t>
      </w:r>
      <w:r>
        <w:rPr>
          <w:rFonts w:ascii="Arial" w:hAnsi="Arial" w:cs="Arial" w:eastAsia="Arial" w:hint="default"/>
          <w:sz w:val="21"/>
          <w:szCs w:val="21"/>
        </w:rPr>
        <w:t>3.3</w:t>
      </w:r>
      <w:r>
        <w:rPr>
          <w:rFonts w:ascii="Arial" w:hAnsi="Arial" w:cs="Arial" w:eastAsia="Arial" w:hint="default"/>
          <w:spacing w:val="-1"/>
          <w:sz w:val="21"/>
          <w:szCs w:val="21"/>
        </w:rPr>
        <w:t> </w:t>
      </w:r>
      <w:r>
        <w:rPr>
          <w:rFonts w:ascii="宋体" w:hAnsi="宋体" w:cs="宋体" w:eastAsia="宋体" w:hint="default"/>
          <w:spacing w:val="-4"/>
          <w:sz w:val="21"/>
          <w:szCs w:val="21"/>
        </w:rPr>
        <w:t>个百分点；净利润同比增长</w:t>
      </w:r>
      <w:r>
        <w:rPr>
          <w:rFonts w:ascii="宋体" w:hAnsi="宋体" w:cs="宋体" w:eastAsia="宋体" w:hint="default"/>
          <w:spacing w:val="-47"/>
          <w:sz w:val="21"/>
          <w:szCs w:val="21"/>
        </w:rPr>
        <w:t> </w:t>
      </w:r>
      <w:r>
        <w:rPr>
          <w:rFonts w:ascii="Arial" w:hAnsi="Arial" w:cs="Arial" w:eastAsia="Arial" w:hint="default"/>
          <w:sz w:val="21"/>
          <w:szCs w:val="21"/>
        </w:rPr>
        <w:t>16.3%</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达到人民币</w:t>
      </w:r>
      <w:r>
        <w:rPr>
          <w:rFonts w:ascii="宋体" w:hAnsi="宋体" w:cs="宋体" w:eastAsia="宋体" w:hint="default"/>
          <w:spacing w:val="-44"/>
          <w:sz w:val="21"/>
          <w:szCs w:val="21"/>
        </w:rPr>
        <w:t> </w:t>
      </w:r>
      <w:r>
        <w:rPr>
          <w:rFonts w:ascii="Arial" w:hAnsi="Arial" w:cs="Arial" w:eastAsia="Arial" w:hint="default"/>
          <w:sz w:val="21"/>
          <w:szCs w:val="21"/>
        </w:rPr>
        <w:t>119.7</w:t>
      </w:r>
      <w:r>
        <w:rPr>
          <w:rFonts w:ascii="Arial" w:hAnsi="Arial" w:cs="Arial" w:eastAsia="Arial" w:hint="default"/>
          <w:spacing w:val="2"/>
          <w:sz w:val="21"/>
          <w:szCs w:val="21"/>
        </w:rPr>
        <w:t> </w:t>
      </w:r>
      <w:r>
        <w:rPr>
          <w:rFonts w:ascii="宋体" w:hAnsi="宋体" w:cs="宋体" w:eastAsia="宋体" w:hint="default"/>
          <w:spacing w:val="-8"/>
          <w:sz w:val="21"/>
          <w:szCs w:val="21"/>
        </w:rPr>
        <w:t>亿元；经营现金流同比增长</w:t>
      </w:r>
      <w:r>
        <w:rPr>
          <w:rFonts w:ascii="宋体" w:hAnsi="宋体" w:cs="宋体" w:eastAsia="宋体" w:hint="default"/>
          <w:spacing w:val="-45"/>
          <w:sz w:val="21"/>
          <w:szCs w:val="21"/>
        </w:rPr>
        <w:t> </w:t>
      </w:r>
      <w:r>
        <w:rPr>
          <w:rFonts w:ascii="Arial" w:hAnsi="Arial" w:cs="Arial" w:eastAsia="Arial" w:hint="default"/>
          <w:spacing w:val="-6"/>
          <w:sz w:val="21"/>
          <w:szCs w:val="21"/>
        </w:rPr>
        <w:t>10.9%</w:t>
      </w:r>
      <w:r>
        <w:rPr>
          <w:rFonts w:ascii="宋体" w:hAnsi="宋体" w:cs="宋体" w:eastAsia="宋体" w:hint="default"/>
          <w:spacing w:val="-6"/>
          <w:sz w:val="21"/>
          <w:szCs w:val="21"/>
        </w:rPr>
        <w:t>；自由现金流达到人民币</w:t>
      </w:r>
      <w:r>
        <w:rPr>
          <w:rFonts w:ascii="宋体" w:hAnsi="宋体" w:cs="宋体" w:eastAsia="宋体" w:hint="default"/>
          <w:spacing w:val="-45"/>
          <w:sz w:val="21"/>
          <w:szCs w:val="21"/>
        </w:rPr>
        <w:t> </w:t>
      </w:r>
      <w:r>
        <w:rPr>
          <w:rFonts w:ascii="Arial" w:hAnsi="Arial" w:cs="Arial" w:eastAsia="Arial" w:hint="default"/>
          <w:sz w:val="21"/>
          <w:szCs w:val="21"/>
        </w:rPr>
        <w:t>75.5</w:t>
      </w:r>
      <w:r>
        <w:rPr>
          <w:rFonts w:ascii="Arial" w:hAnsi="Arial" w:cs="Arial" w:eastAsia="Arial" w:hint="default"/>
          <w:spacing w:val="3"/>
          <w:sz w:val="21"/>
          <w:szCs w:val="21"/>
        </w:rPr>
        <w:t> </w:t>
      </w:r>
      <w:r>
        <w:rPr>
          <w:rFonts w:ascii="宋体" w:hAnsi="宋体" w:cs="宋体" w:eastAsia="宋体" w:hint="default"/>
          <w:sz w:val="21"/>
          <w:szCs w:val="21"/>
        </w:rPr>
        <w:t>亿元，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公司财务状况更趋稳健。</w:t>
      </w:r>
    </w:p>
    <w:p>
      <w:pPr>
        <w:spacing w:line="240" w:lineRule="auto" w:before="5"/>
        <w:rPr>
          <w:rFonts w:ascii="宋体" w:hAnsi="宋体" w:cs="宋体" w:eastAsia="宋体" w:hint="default"/>
          <w:sz w:val="18"/>
          <w:szCs w:val="18"/>
        </w:rPr>
      </w:pPr>
    </w:p>
    <w:p>
      <w:pPr>
        <w:spacing w:before="0"/>
        <w:ind w:left="485" w:right="204" w:firstLine="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业务发展</w:t>
      </w:r>
    </w:p>
    <w:p>
      <w:pPr>
        <w:spacing w:line="240" w:lineRule="auto" w:before="1"/>
        <w:rPr>
          <w:rFonts w:ascii="宋体" w:hAnsi="宋体" w:cs="宋体" w:eastAsia="宋体" w:hint="default"/>
          <w:sz w:val="18"/>
          <w:szCs w:val="18"/>
        </w:rPr>
      </w:pPr>
    </w:p>
    <w:p>
      <w:pPr>
        <w:spacing w:line="230" w:lineRule="auto" w:before="0"/>
        <w:ind w:left="846" w:right="100" w:firstLine="0"/>
        <w:jc w:val="left"/>
        <w:rPr>
          <w:rFonts w:ascii="宋体" w:hAnsi="宋体" w:cs="宋体" w:eastAsia="宋体" w:hint="default"/>
          <w:sz w:val="21"/>
          <w:szCs w:val="21"/>
        </w:rPr>
      </w:pPr>
      <w:r>
        <w:rPr>
          <w:rFonts w:ascii="宋体" w:hAnsi="宋体" w:cs="宋体" w:eastAsia="宋体" w:hint="default"/>
          <w:sz w:val="21"/>
          <w:szCs w:val="21"/>
        </w:rPr>
        <w:t>推动移动业务经营模式转型，巩固和扩大差异化竞争优势。</w:t>
      </w: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年，公司依托</w:t>
      </w:r>
      <w:r>
        <w:rPr>
          <w:rFonts w:ascii="宋体" w:hAnsi="宋体" w:cs="宋体" w:eastAsia="宋体" w:hint="default"/>
          <w:spacing w:val="-53"/>
          <w:sz w:val="21"/>
          <w:szCs w:val="21"/>
        </w:rPr>
        <w:t> </w:t>
      </w:r>
      <w:r>
        <w:rPr>
          <w:rFonts w:ascii="Arial" w:hAnsi="Arial" w:cs="Arial" w:eastAsia="Arial" w:hint="default"/>
          <w:sz w:val="21"/>
          <w:szCs w:val="21"/>
        </w:rPr>
        <w:t>3G</w:t>
      </w:r>
      <w:r>
        <w:rPr>
          <w:rFonts w:ascii="Arial" w:hAnsi="Arial" w:cs="Arial" w:eastAsia="Arial" w:hint="default"/>
          <w:spacing w:val="-9"/>
          <w:sz w:val="21"/>
          <w:szCs w:val="21"/>
        </w:rPr>
        <w:t> </w:t>
      </w:r>
      <w:r>
        <w:rPr>
          <w:rFonts w:ascii="宋体" w:hAnsi="宋体" w:cs="宋体" w:eastAsia="宋体" w:hint="default"/>
          <w:sz w:val="21"/>
          <w:szCs w:val="21"/>
        </w:rPr>
        <w:t>时代</w:t>
      </w:r>
      <w:r>
        <w:rPr>
          <w:rFonts w:ascii="宋体" w:hAnsi="宋体" w:cs="宋体" w:eastAsia="宋体" w:hint="default"/>
          <w:w w:val="100"/>
          <w:sz w:val="21"/>
          <w:szCs w:val="21"/>
        </w:rPr>
        <w:t> </w:t>
      </w:r>
      <w:r>
        <w:rPr>
          <w:rFonts w:ascii="宋体" w:hAnsi="宋体" w:cs="宋体" w:eastAsia="宋体" w:hint="default"/>
          <w:spacing w:val="-4"/>
          <w:sz w:val="21"/>
          <w:szCs w:val="21"/>
        </w:rPr>
        <w:t>建立的“网络领先、业务领先、服务领先”优势，加快</w:t>
      </w:r>
      <w:r>
        <w:rPr>
          <w:rFonts w:ascii="宋体" w:hAnsi="宋体" w:cs="宋体" w:eastAsia="宋体" w:hint="default"/>
          <w:spacing w:val="-40"/>
          <w:sz w:val="21"/>
          <w:szCs w:val="21"/>
        </w:rPr>
        <w:t> </w:t>
      </w:r>
      <w:r>
        <w:rPr>
          <w:rFonts w:ascii="Arial" w:hAnsi="Arial" w:cs="Arial" w:eastAsia="Arial" w:hint="default"/>
          <w:sz w:val="21"/>
          <w:szCs w:val="21"/>
        </w:rPr>
        <w:t>4G</w:t>
      </w:r>
      <w:r>
        <w:rPr>
          <w:rFonts w:ascii="Arial" w:hAnsi="Arial" w:cs="Arial" w:eastAsia="Arial" w:hint="default"/>
          <w:spacing w:val="6"/>
          <w:sz w:val="21"/>
          <w:szCs w:val="21"/>
        </w:rPr>
        <w:t> </w:t>
      </w:r>
      <w:r>
        <w:rPr>
          <w:rFonts w:ascii="宋体" w:hAnsi="宋体" w:cs="宋体" w:eastAsia="宋体" w:hint="default"/>
          <w:spacing w:val="-5"/>
          <w:sz w:val="21"/>
          <w:szCs w:val="21"/>
        </w:rPr>
        <w:t>网络建设，优化资源配置，调</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整发展模式，积极打造新的差异化竞争优势。深入推进存量客户价值经营，建立专业化</w:t>
      </w:r>
      <w:r>
        <w:rPr>
          <w:rFonts w:ascii="宋体" w:hAnsi="宋体" w:cs="宋体" w:eastAsia="宋体" w:hint="default"/>
          <w:w w:val="100"/>
          <w:sz w:val="21"/>
          <w:szCs w:val="21"/>
        </w:rPr>
        <w:t> </w:t>
      </w:r>
      <w:r>
        <w:rPr>
          <w:rFonts w:ascii="宋体" w:hAnsi="宋体" w:cs="宋体" w:eastAsia="宋体" w:hint="default"/>
          <w:spacing w:val="-5"/>
          <w:sz w:val="21"/>
          <w:szCs w:val="21"/>
        </w:rPr>
        <w:t>存量客户维系体系，提高终端补贴、渠道佣金、广告宣传费等营销资源使用效率，以“双</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Arial" w:hAnsi="Arial" w:cs="Arial" w:eastAsia="Arial" w:hint="default"/>
          <w:sz w:val="21"/>
          <w:szCs w:val="21"/>
        </w:rPr>
        <w:t>4G </w:t>
      </w:r>
      <w:r>
        <w:rPr>
          <w:rFonts w:ascii="宋体" w:hAnsi="宋体" w:cs="宋体" w:eastAsia="宋体" w:hint="default"/>
          <w:spacing w:val="-4"/>
          <w:sz w:val="21"/>
          <w:szCs w:val="21"/>
        </w:rPr>
        <w:t>双百兆”策略打造终端优势，强化终端对业务和产品的有效拉动。深入推进集中统一</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5"/>
          <w:sz w:val="21"/>
          <w:szCs w:val="21"/>
        </w:rPr>
        <w:t>运营，顺应移动互联网时代市场和用户需求变化，借助集中业务支撑系统（</w:t>
      </w:r>
      <w:r>
        <w:rPr>
          <w:rFonts w:ascii="Arial" w:hAnsi="Arial" w:cs="Arial" w:eastAsia="Arial" w:hint="default"/>
          <w:spacing w:val="-5"/>
          <w:sz w:val="21"/>
          <w:szCs w:val="21"/>
        </w:rPr>
        <w:t>cBSS</w:t>
      </w:r>
      <w:r>
        <w:rPr>
          <w:rFonts w:ascii="宋体" w:hAnsi="宋体" w:cs="宋体" w:eastAsia="宋体" w:hint="default"/>
          <w:spacing w:val="-5"/>
          <w:sz w:val="21"/>
          <w:szCs w:val="21"/>
        </w:rPr>
        <w:t>）上线，</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全面推进产品、支撑、服务的统一运营，构建了覆盖全业务和全客户群、全新结构的统</w:t>
      </w:r>
      <w:r>
        <w:rPr>
          <w:rFonts w:ascii="宋体" w:hAnsi="宋体" w:cs="宋体" w:eastAsia="宋体" w:hint="default"/>
          <w:w w:val="100"/>
          <w:sz w:val="21"/>
          <w:szCs w:val="21"/>
        </w:rPr>
        <w:t> </w:t>
      </w:r>
      <w:r>
        <w:rPr>
          <w:rFonts w:ascii="宋体" w:hAnsi="宋体" w:cs="宋体" w:eastAsia="宋体" w:hint="default"/>
          <w:sz w:val="21"/>
          <w:szCs w:val="21"/>
        </w:rPr>
        <w:t>一产品体系；推进线上线下一体化运营，实施营业厅专业化管理，提升自有渠道销售能</w:t>
      </w:r>
      <w:r>
        <w:rPr>
          <w:rFonts w:ascii="宋体" w:hAnsi="宋体" w:cs="宋体" w:eastAsia="宋体" w:hint="default"/>
          <w:w w:val="100"/>
          <w:sz w:val="21"/>
          <w:szCs w:val="21"/>
        </w:rPr>
        <w:t> </w:t>
      </w:r>
      <w:r>
        <w:rPr>
          <w:rFonts w:ascii="宋体" w:hAnsi="宋体" w:cs="宋体" w:eastAsia="宋体" w:hint="default"/>
          <w:sz w:val="21"/>
          <w:szCs w:val="21"/>
        </w:rPr>
        <w:t>力，创新建立了互联网化全国统一运营的“沃易购”</w:t>
      </w:r>
      <w:r>
        <w:rPr>
          <w:rFonts w:ascii="Arial" w:hAnsi="Arial" w:cs="Arial" w:eastAsia="Arial" w:hint="default"/>
          <w:sz w:val="21"/>
          <w:szCs w:val="21"/>
        </w:rPr>
        <w:t>B2B</w:t>
      </w:r>
      <w:r>
        <w:rPr>
          <w:rFonts w:ascii="Arial" w:hAnsi="Arial" w:cs="Arial" w:eastAsia="Arial" w:hint="default"/>
          <w:spacing w:val="-8"/>
          <w:sz w:val="21"/>
          <w:szCs w:val="21"/>
        </w:rPr>
        <w:t> </w:t>
      </w:r>
      <w:r>
        <w:rPr>
          <w:rFonts w:ascii="宋体" w:hAnsi="宋体" w:cs="宋体" w:eastAsia="宋体" w:hint="default"/>
          <w:sz w:val="21"/>
          <w:szCs w:val="21"/>
        </w:rPr>
        <w:t>平台，打造了终端、业务、渠</w:t>
      </w:r>
      <w:r>
        <w:rPr>
          <w:rFonts w:ascii="宋体" w:hAnsi="宋体" w:cs="宋体" w:eastAsia="宋体" w:hint="default"/>
          <w:w w:val="100"/>
          <w:sz w:val="21"/>
          <w:szCs w:val="21"/>
        </w:rPr>
        <w:t> </w:t>
      </w:r>
      <w:r>
        <w:rPr>
          <w:rFonts w:ascii="宋体" w:hAnsi="宋体" w:cs="宋体" w:eastAsia="宋体" w:hint="default"/>
          <w:spacing w:val="-3"/>
          <w:sz w:val="21"/>
          <w:szCs w:val="21"/>
        </w:rPr>
        <w:t>道端到端高效、透明的运营支撑能力。</w:t>
      </w:r>
      <w:r>
        <w:rPr>
          <w:rFonts w:ascii="Arial" w:hAnsi="Arial" w:cs="Arial" w:eastAsia="Arial" w:hint="default"/>
          <w:spacing w:val="-3"/>
          <w:sz w:val="21"/>
          <w:szCs w:val="21"/>
        </w:rPr>
        <w:t>2014</w:t>
      </w:r>
      <w:r>
        <w:rPr>
          <w:rFonts w:ascii="Arial" w:hAnsi="Arial" w:cs="Arial" w:eastAsia="Arial" w:hint="default"/>
          <w:spacing w:val="6"/>
          <w:sz w:val="21"/>
          <w:szCs w:val="21"/>
        </w:rPr>
        <w:t> </w:t>
      </w:r>
      <w:r>
        <w:rPr>
          <w:rFonts w:ascii="宋体" w:hAnsi="宋体" w:cs="宋体" w:eastAsia="宋体" w:hint="default"/>
          <w:sz w:val="21"/>
          <w:szCs w:val="21"/>
        </w:rPr>
        <w:t>年，公司移动主营业务收入同比增长</w:t>
      </w:r>
      <w:r>
        <w:rPr>
          <w:rFonts w:ascii="宋体" w:hAnsi="宋体" w:cs="宋体" w:eastAsia="宋体" w:hint="default"/>
          <w:spacing w:val="-40"/>
          <w:sz w:val="21"/>
          <w:szCs w:val="21"/>
        </w:rPr>
        <w:t> </w:t>
      </w:r>
      <w:r>
        <w:rPr>
          <w:rFonts w:ascii="Arial" w:hAnsi="Arial" w:cs="Arial" w:eastAsia="Arial" w:hint="default"/>
          <w:sz w:val="21"/>
          <w:szCs w:val="21"/>
        </w:rPr>
        <w:t>1.0%</w:t>
      </w:r>
      <w:r>
        <w:rPr>
          <w:rFonts w:ascii="宋体" w:hAnsi="宋体" w:cs="宋体" w:eastAsia="宋体" w:hint="default"/>
          <w:sz w:val="21"/>
          <w:szCs w:val="21"/>
        </w:rPr>
        <w:t>，</w:t>
      </w:r>
      <w:r>
        <w:rPr>
          <w:rFonts w:ascii="宋体" w:hAnsi="宋体" w:cs="宋体" w:eastAsia="宋体" w:hint="default"/>
          <w:spacing w:val="-100"/>
          <w:sz w:val="21"/>
          <w:szCs w:val="21"/>
        </w:rPr>
        <w:t> </w:t>
      </w:r>
      <w:r>
        <w:rPr>
          <w:rFonts w:ascii="宋体" w:hAnsi="宋体" w:cs="宋体" w:eastAsia="宋体" w:hint="default"/>
          <w:sz w:val="21"/>
          <w:szCs w:val="21"/>
        </w:rPr>
        <w:t>达到人民币</w:t>
      </w:r>
      <w:r>
        <w:rPr>
          <w:rFonts w:ascii="宋体" w:hAnsi="宋体" w:cs="宋体" w:eastAsia="宋体" w:hint="default"/>
          <w:spacing w:val="-47"/>
          <w:sz w:val="21"/>
          <w:szCs w:val="21"/>
        </w:rPr>
        <w:t> </w:t>
      </w:r>
      <w:r>
        <w:rPr>
          <w:rFonts w:ascii="Arial" w:hAnsi="Arial" w:cs="Arial" w:eastAsia="Arial" w:hint="default"/>
          <w:sz w:val="21"/>
          <w:szCs w:val="21"/>
        </w:rPr>
        <w:t>1,573.1</w:t>
      </w:r>
      <w:r>
        <w:rPr>
          <w:rFonts w:ascii="Arial" w:hAnsi="Arial" w:cs="Arial" w:eastAsia="Arial" w:hint="default"/>
          <w:spacing w:val="-1"/>
          <w:sz w:val="21"/>
          <w:szCs w:val="21"/>
        </w:rPr>
        <w:t> </w:t>
      </w:r>
      <w:r>
        <w:rPr>
          <w:rFonts w:ascii="宋体" w:hAnsi="宋体" w:cs="宋体" w:eastAsia="宋体" w:hint="default"/>
          <w:spacing w:val="-5"/>
          <w:sz w:val="21"/>
          <w:szCs w:val="21"/>
        </w:rPr>
        <w:t>亿元；净增移动用户</w:t>
      </w:r>
      <w:r>
        <w:rPr>
          <w:rFonts w:ascii="宋体" w:hAnsi="宋体" w:cs="宋体" w:eastAsia="宋体" w:hint="default"/>
          <w:spacing w:val="-50"/>
          <w:sz w:val="21"/>
          <w:szCs w:val="21"/>
        </w:rPr>
        <w:t> </w:t>
      </w:r>
      <w:r>
        <w:rPr>
          <w:rFonts w:ascii="Arial" w:hAnsi="Arial" w:cs="Arial" w:eastAsia="Arial" w:hint="default"/>
          <w:sz w:val="21"/>
          <w:szCs w:val="21"/>
        </w:rPr>
        <w:t>1,811.5</w:t>
      </w:r>
      <w:r>
        <w:rPr>
          <w:rFonts w:ascii="Arial" w:hAnsi="Arial" w:cs="Arial" w:eastAsia="Arial" w:hint="default"/>
          <w:spacing w:val="-4"/>
          <w:sz w:val="21"/>
          <w:szCs w:val="21"/>
        </w:rPr>
        <w:t> </w:t>
      </w:r>
      <w:r>
        <w:rPr>
          <w:rFonts w:ascii="宋体" w:hAnsi="宋体" w:cs="宋体" w:eastAsia="宋体" w:hint="default"/>
          <w:spacing w:val="-5"/>
          <w:sz w:val="21"/>
          <w:szCs w:val="21"/>
        </w:rPr>
        <w:t>万户，总数接近</w:t>
      </w:r>
      <w:r>
        <w:rPr>
          <w:rFonts w:ascii="宋体" w:hAnsi="宋体" w:cs="宋体" w:eastAsia="宋体" w:hint="default"/>
          <w:spacing w:val="-50"/>
          <w:sz w:val="21"/>
          <w:szCs w:val="21"/>
        </w:rPr>
        <w:t> </w:t>
      </w:r>
      <w:r>
        <w:rPr>
          <w:rFonts w:ascii="Arial" w:hAnsi="Arial" w:cs="Arial" w:eastAsia="Arial" w:hint="default"/>
          <w:sz w:val="21"/>
          <w:szCs w:val="21"/>
        </w:rPr>
        <w:t>3</w:t>
      </w:r>
      <w:r>
        <w:rPr>
          <w:rFonts w:ascii="Arial" w:hAnsi="Arial" w:cs="Arial" w:eastAsia="Arial" w:hint="default"/>
          <w:spacing w:val="-1"/>
          <w:sz w:val="21"/>
          <w:szCs w:val="21"/>
        </w:rPr>
        <w:t> </w:t>
      </w:r>
      <w:r>
        <w:rPr>
          <w:rFonts w:ascii="宋体" w:hAnsi="宋体" w:cs="宋体" w:eastAsia="宋体" w:hint="default"/>
          <w:spacing w:val="-4"/>
          <w:sz w:val="21"/>
          <w:szCs w:val="21"/>
        </w:rPr>
        <w:t>亿户。移动业务收入</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和用户结构进一步优化，移动宽带（注</w:t>
      </w:r>
      <w:r>
        <w:rPr>
          <w:rFonts w:ascii="宋体" w:hAnsi="宋体" w:cs="宋体" w:eastAsia="宋体" w:hint="default"/>
          <w:spacing w:val="-53"/>
          <w:sz w:val="21"/>
          <w:szCs w:val="21"/>
        </w:rPr>
        <w:t> </w:t>
      </w:r>
      <w:r>
        <w:rPr>
          <w:rFonts w:ascii="Arial" w:hAnsi="Arial" w:cs="Arial" w:eastAsia="Arial" w:hint="default"/>
          <w:sz w:val="21"/>
          <w:szCs w:val="21"/>
        </w:rPr>
        <w:t>2</w:t>
      </w:r>
      <w:r>
        <w:rPr>
          <w:rFonts w:ascii="宋体" w:hAnsi="宋体" w:cs="宋体" w:eastAsia="宋体" w:hint="default"/>
          <w:sz w:val="21"/>
          <w:szCs w:val="21"/>
        </w:rPr>
        <w:t>）主营收入对移动主营业务收入的贡献达到</w:t>
      </w:r>
      <w:r>
        <w:rPr>
          <w:rFonts w:ascii="宋体" w:hAnsi="宋体" w:cs="宋体" w:eastAsia="宋体" w:hint="default"/>
          <w:w w:val="100"/>
          <w:sz w:val="21"/>
          <w:szCs w:val="21"/>
        </w:rPr>
        <w:t> </w:t>
      </w:r>
      <w:r>
        <w:rPr>
          <w:rFonts w:ascii="Arial" w:hAnsi="Arial" w:cs="Arial" w:eastAsia="Arial" w:hint="default"/>
          <w:spacing w:val="-4"/>
          <w:sz w:val="21"/>
          <w:szCs w:val="21"/>
        </w:rPr>
        <w:t>68.3%</w:t>
      </w:r>
      <w:r>
        <w:rPr>
          <w:rFonts w:ascii="宋体" w:hAnsi="宋体" w:cs="宋体" w:eastAsia="宋体" w:hint="default"/>
          <w:spacing w:val="-4"/>
          <w:sz w:val="21"/>
          <w:szCs w:val="21"/>
        </w:rPr>
        <w:t>，移动宽带（附注</w:t>
      </w:r>
      <w:r>
        <w:rPr>
          <w:rFonts w:ascii="宋体" w:hAnsi="宋体" w:cs="宋体" w:eastAsia="宋体" w:hint="default"/>
          <w:spacing w:val="-41"/>
          <w:sz w:val="21"/>
          <w:szCs w:val="21"/>
        </w:rPr>
        <w:t> </w:t>
      </w:r>
      <w:r>
        <w:rPr>
          <w:rFonts w:ascii="Arial" w:hAnsi="Arial" w:cs="Arial" w:eastAsia="Arial" w:hint="default"/>
          <w:spacing w:val="-3"/>
          <w:sz w:val="21"/>
          <w:szCs w:val="21"/>
        </w:rPr>
        <w:t>2</w:t>
      </w:r>
      <w:r>
        <w:rPr>
          <w:rFonts w:ascii="宋体" w:hAnsi="宋体" w:cs="宋体" w:eastAsia="宋体" w:hint="default"/>
          <w:spacing w:val="-3"/>
          <w:sz w:val="21"/>
          <w:szCs w:val="21"/>
        </w:rPr>
        <w:t>）用户在移动用户中的渗透率达到</w:t>
      </w:r>
      <w:r>
        <w:rPr>
          <w:rFonts w:ascii="宋体" w:hAnsi="宋体" w:cs="宋体" w:eastAsia="宋体" w:hint="default"/>
          <w:spacing w:val="-37"/>
          <w:sz w:val="21"/>
          <w:szCs w:val="21"/>
        </w:rPr>
        <w:t> </w:t>
      </w:r>
      <w:r>
        <w:rPr>
          <w:rFonts w:ascii="Arial" w:hAnsi="Arial" w:cs="Arial" w:eastAsia="Arial" w:hint="default"/>
          <w:spacing w:val="-3"/>
          <w:sz w:val="21"/>
          <w:szCs w:val="21"/>
        </w:rPr>
        <w:t>49.9%</w:t>
      </w:r>
      <w:r>
        <w:rPr>
          <w:rFonts w:ascii="宋体" w:hAnsi="宋体" w:cs="宋体" w:eastAsia="宋体" w:hint="default"/>
          <w:spacing w:val="-3"/>
          <w:sz w:val="21"/>
          <w:szCs w:val="21"/>
        </w:rPr>
        <w:t>。面对移动语音业务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开始增量不增收、数据应用业务继续高速增长的新形势，公司积极推进流量经营与应用</w:t>
      </w:r>
      <w:r>
        <w:rPr>
          <w:rFonts w:ascii="宋体" w:hAnsi="宋体" w:cs="宋体" w:eastAsia="宋体" w:hint="default"/>
          <w:w w:val="100"/>
          <w:sz w:val="21"/>
          <w:szCs w:val="21"/>
        </w:rPr>
        <w:t> </w:t>
      </w:r>
      <w:r>
        <w:rPr>
          <w:rFonts w:ascii="宋体" w:hAnsi="宋体" w:cs="宋体" w:eastAsia="宋体" w:hint="default"/>
          <w:sz w:val="21"/>
          <w:szCs w:val="21"/>
        </w:rPr>
        <w:t>创新，促进流量增长和价值提升，移动手机用户数据流量同比增长</w:t>
      </w:r>
      <w:r>
        <w:rPr>
          <w:rFonts w:ascii="宋体" w:hAnsi="宋体" w:cs="宋体" w:eastAsia="宋体" w:hint="default"/>
          <w:spacing w:val="-53"/>
          <w:sz w:val="21"/>
          <w:szCs w:val="21"/>
        </w:rPr>
        <w:t> </w:t>
      </w:r>
      <w:r>
        <w:rPr>
          <w:rFonts w:ascii="Arial" w:hAnsi="Arial" w:cs="Arial" w:eastAsia="Arial" w:hint="default"/>
          <w:sz w:val="21"/>
          <w:szCs w:val="21"/>
        </w:rPr>
        <w:t>61.1%</w:t>
      </w:r>
      <w:r>
        <w:rPr>
          <w:rFonts w:ascii="宋体" w:hAnsi="宋体" w:cs="宋体" w:eastAsia="宋体" w:hint="default"/>
          <w:sz w:val="21"/>
          <w:szCs w:val="21"/>
        </w:rPr>
        <w:t>。探索与互联</w:t>
      </w:r>
      <w:r>
        <w:rPr>
          <w:rFonts w:ascii="宋体" w:hAnsi="宋体" w:cs="宋体" w:eastAsia="宋体" w:hint="default"/>
          <w:w w:val="100"/>
          <w:sz w:val="21"/>
          <w:szCs w:val="21"/>
        </w:rPr>
        <w:t> </w:t>
      </w:r>
      <w:r>
        <w:rPr>
          <w:rFonts w:ascii="宋体" w:hAnsi="宋体" w:cs="宋体" w:eastAsia="宋体" w:hint="default"/>
          <w:spacing w:val="-3"/>
          <w:sz w:val="21"/>
          <w:szCs w:val="21"/>
        </w:rPr>
        <w:t>网公司开放合作，推进</w:t>
      </w:r>
      <w:r>
        <w:rPr>
          <w:rFonts w:ascii="宋体" w:hAnsi="宋体" w:cs="宋体" w:eastAsia="宋体" w:hint="default"/>
          <w:spacing w:val="-59"/>
          <w:sz w:val="21"/>
          <w:szCs w:val="21"/>
        </w:rPr>
        <w:t> </w:t>
      </w:r>
      <w:r>
        <w:rPr>
          <w:rFonts w:ascii="Arial" w:hAnsi="Arial" w:cs="Arial" w:eastAsia="Arial" w:hint="default"/>
          <w:sz w:val="21"/>
          <w:szCs w:val="21"/>
        </w:rPr>
        <w:t>WO+</w:t>
      </w:r>
      <w:r>
        <w:rPr>
          <w:rFonts w:ascii="宋体" w:hAnsi="宋体" w:cs="宋体" w:eastAsia="宋体" w:hint="default"/>
          <w:sz w:val="21"/>
          <w:szCs w:val="21"/>
        </w:rPr>
        <w:t>平台建设和运营。积极推进移动转售业务试点，创新一点接</w:t>
      </w:r>
      <w:r>
        <w:rPr>
          <w:rFonts w:ascii="宋体" w:hAnsi="宋体" w:cs="宋体" w:eastAsia="宋体" w:hint="default"/>
          <w:w w:val="100"/>
          <w:sz w:val="21"/>
          <w:szCs w:val="21"/>
        </w:rPr>
        <w:t> </w:t>
      </w:r>
      <w:r>
        <w:rPr>
          <w:rFonts w:ascii="宋体" w:hAnsi="宋体" w:cs="宋体" w:eastAsia="宋体" w:hint="default"/>
          <w:sz w:val="21"/>
          <w:szCs w:val="21"/>
        </w:rPr>
        <w:t>入、统一运营和集中服务的合作模式，为转售企业提供灵活便捷的服务体验，实现了转</w:t>
      </w:r>
      <w:r>
        <w:rPr>
          <w:rFonts w:ascii="宋体" w:hAnsi="宋体" w:cs="宋体" w:eastAsia="宋体" w:hint="default"/>
          <w:w w:val="100"/>
          <w:sz w:val="21"/>
          <w:szCs w:val="21"/>
        </w:rPr>
        <w:t> </w:t>
      </w:r>
      <w:r>
        <w:rPr>
          <w:rFonts w:ascii="宋体" w:hAnsi="宋体" w:cs="宋体" w:eastAsia="宋体" w:hint="default"/>
          <w:sz w:val="21"/>
          <w:szCs w:val="21"/>
        </w:rPr>
        <w:t>售业务的行业领先。</w:t>
      </w:r>
    </w:p>
    <w:p>
      <w:pPr>
        <w:spacing w:after="0" w:line="230" w:lineRule="auto"/>
        <w:jc w:val="left"/>
        <w:rPr>
          <w:rFonts w:ascii="宋体" w:hAnsi="宋体" w:cs="宋体" w:eastAsia="宋体" w:hint="default"/>
          <w:sz w:val="21"/>
          <w:szCs w:val="21"/>
        </w:rPr>
        <w:sectPr>
          <w:pgSz w:w="11910" w:h="16840"/>
          <w:pgMar w:header="880" w:footer="1194" w:top="1120" w:bottom="1380" w:left="1660" w:right="1120"/>
        </w:sectPr>
      </w:pPr>
    </w:p>
    <w:p>
      <w:pPr>
        <w:spacing w:line="240" w:lineRule="auto" w:before="11"/>
        <w:rPr>
          <w:rFonts w:ascii="宋体" w:hAnsi="宋体" w:cs="宋体" w:eastAsia="宋体" w:hint="default"/>
          <w:sz w:val="29"/>
          <w:szCs w:val="29"/>
        </w:rPr>
      </w:pPr>
    </w:p>
    <w:p>
      <w:pPr>
        <w:spacing w:line="504" w:lineRule="auto" w:before="36"/>
        <w:ind w:left="138" w:right="3361" w:firstLine="0"/>
        <w:jc w:val="left"/>
        <w:rPr>
          <w:rFonts w:ascii="宋体" w:hAnsi="宋体" w:cs="宋体" w:eastAsia="宋体" w:hint="default"/>
          <w:sz w:val="21"/>
          <w:szCs w:val="21"/>
        </w:rPr>
      </w:pPr>
      <w:r>
        <w:rPr>
          <w:rFonts w:ascii="宋体" w:hAnsi="宋体" w:cs="宋体" w:eastAsia="宋体" w:hint="default"/>
          <w:b/>
          <w:bCs/>
          <w:spacing w:val="-1"/>
          <w:sz w:val="21"/>
          <w:szCs w:val="21"/>
        </w:rPr>
        <w:t>一、董事会关于公司报告期内经营情况的讨论与分析（续）</w:t>
      </w:r>
      <w:r>
        <w:rPr>
          <w:rFonts w:ascii="宋体" w:hAnsi="宋体" w:cs="宋体" w:eastAsia="宋体" w:hint="default"/>
          <w:b/>
          <w:bCs/>
          <w:spacing w:val="-78"/>
          <w:sz w:val="21"/>
          <w:szCs w:val="21"/>
        </w:rPr>
        <w:t> </w:t>
      </w:r>
      <w:r>
        <w:rPr>
          <w:rFonts w:ascii="宋体" w:hAnsi="宋体" w:cs="宋体" w:eastAsia="宋体" w:hint="default"/>
          <w:b/>
          <w:bCs/>
          <w:spacing w:val="-78"/>
          <w:sz w:val="21"/>
          <w:szCs w:val="21"/>
        </w:rPr>
      </w:r>
      <w:r>
        <w:rPr>
          <w:rFonts w:ascii="宋体" w:hAnsi="宋体" w:cs="宋体" w:eastAsia="宋体" w:hint="default"/>
          <w:b/>
          <w:bCs/>
          <w:sz w:val="21"/>
          <w:szCs w:val="21"/>
        </w:rPr>
        <w:t>第一部分：总体经营情况（续）</w:t>
      </w:r>
      <w:r>
        <w:rPr>
          <w:rFonts w:ascii="宋体" w:hAnsi="宋体" w:cs="宋体" w:eastAsia="宋体" w:hint="default"/>
          <w:sz w:val="21"/>
          <w:szCs w:val="21"/>
        </w:rPr>
      </w:r>
    </w:p>
    <w:p>
      <w:pPr>
        <w:spacing w:before="7"/>
        <w:ind w:left="485" w:right="204" w:firstLine="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pacing w:val="-70"/>
          <w:sz w:val="21"/>
          <w:szCs w:val="21"/>
        </w:rPr>
        <w:t> </w:t>
      </w:r>
      <w:r>
        <w:rPr>
          <w:rFonts w:ascii="宋体" w:hAnsi="宋体" w:cs="宋体" w:eastAsia="宋体" w:hint="default"/>
          <w:sz w:val="21"/>
          <w:szCs w:val="21"/>
        </w:rPr>
        <w:t>业务发展（续）</w:t>
      </w:r>
    </w:p>
    <w:p>
      <w:pPr>
        <w:spacing w:line="240" w:lineRule="auto" w:before="11"/>
        <w:rPr>
          <w:rFonts w:ascii="宋体" w:hAnsi="宋体" w:cs="宋体" w:eastAsia="宋体" w:hint="default"/>
          <w:sz w:val="17"/>
          <w:szCs w:val="17"/>
        </w:rPr>
      </w:pPr>
    </w:p>
    <w:p>
      <w:pPr>
        <w:spacing w:line="230" w:lineRule="auto" w:before="0"/>
        <w:ind w:left="846" w:right="100" w:firstLine="0"/>
        <w:jc w:val="left"/>
        <w:rPr>
          <w:rFonts w:ascii="宋体" w:hAnsi="宋体" w:cs="宋体" w:eastAsia="宋体" w:hint="default"/>
          <w:sz w:val="21"/>
          <w:szCs w:val="21"/>
        </w:rPr>
      </w:pPr>
      <w:r>
        <w:rPr>
          <w:rFonts w:ascii="宋体" w:hAnsi="宋体" w:cs="宋体" w:eastAsia="宋体" w:hint="default"/>
          <w:sz w:val="21"/>
          <w:szCs w:val="21"/>
        </w:rPr>
        <w:t>加快固网宽带升级提速，驱动固网业务实现稳健增长。</w:t>
      </w:r>
      <w:r>
        <w:rPr>
          <w:rFonts w:ascii="Arial" w:hAnsi="Arial" w:cs="Arial" w:eastAsia="Arial" w:hint="default"/>
          <w:sz w:val="21"/>
          <w:szCs w:val="21"/>
        </w:rPr>
        <w:t>2014</w:t>
      </w:r>
      <w:r>
        <w:rPr>
          <w:rFonts w:ascii="Arial" w:hAnsi="Arial" w:cs="Arial" w:eastAsia="Arial" w:hint="default"/>
          <w:spacing w:val="-13"/>
          <w:sz w:val="21"/>
          <w:szCs w:val="21"/>
        </w:rPr>
        <w:t> </w:t>
      </w:r>
      <w:r>
        <w:rPr>
          <w:rFonts w:ascii="宋体" w:hAnsi="宋体" w:cs="宋体" w:eastAsia="宋体" w:hint="default"/>
          <w:sz w:val="21"/>
          <w:szCs w:val="21"/>
        </w:rPr>
        <w:t>年，监管政策变化使固网宽</w:t>
      </w:r>
      <w:r>
        <w:rPr>
          <w:rFonts w:ascii="宋体" w:hAnsi="宋体" w:cs="宋体" w:eastAsia="宋体" w:hint="default"/>
          <w:w w:val="100"/>
          <w:sz w:val="21"/>
          <w:szCs w:val="21"/>
        </w:rPr>
        <w:t> </w:t>
      </w:r>
      <w:r>
        <w:rPr>
          <w:rFonts w:ascii="宋体" w:hAnsi="宋体" w:cs="宋体" w:eastAsia="宋体" w:hint="default"/>
          <w:spacing w:val="-2"/>
          <w:sz w:val="21"/>
          <w:szCs w:val="21"/>
        </w:rPr>
        <w:t>带领域的竞争进一步加剧。公司充分发挥网络资源和服务优势，加快固网宽带升级提速，</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推进固网专业化运营体系建设，积极构建家庭客户融合应用产品体系，深入推进固网宽</w:t>
      </w:r>
      <w:r>
        <w:rPr>
          <w:rFonts w:ascii="宋体" w:hAnsi="宋体" w:cs="宋体" w:eastAsia="宋体" w:hint="default"/>
          <w:w w:val="100"/>
          <w:sz w:val="21"/>
          <w:szCs w:val="21"/>
        </w:rPr>
        <w:t> </w:t>
      </w:r>
      <w:r>
        <w:rPr>
          <w:rFonts w:ascii="宋体" w:hAnsi="宋体" w:cs="宋体" w:eastAsia="宋体" w:hint="default"/>
          <w:sz w:val="21"/>
          <w:szCs w:val="21"/>
        </w:rPr>
        <w:t>带存量经营，促进固网业务稳定增长。</w:t>
      </w:r>
      <w:r>
        <w:rPr>
          <w:rFonts w:ascii="Arial" w:hAnsi="Arial" w:cs="Arial" w:eastAsia="Arial" w:hint="default"/>
          <w:sz w:val="21"/>
          <w:szCs w:val="21"/>
        </w:rPr>
        <w:t>2014</w:t>
      </w:r>
      <w:r>
        <w:rPr>
          <w:rFonts w:ascii="Arial" w:hAnsi="Arial" w:cs="Arial" w:eastAsia="Arial" w:hint="default"/>
          <w:spacing w:val="-9"/>
          <w:sz w:val="21"/>
          <w:szCs w:val="21"/>
        </w:rPr>
        <w:t> </w:t>
      </w:r>
      <w:r>
        <w:rPr>
          <w:rFonts w:ascii="宋体" w:hAnsi="宋体" w:cs="宋体" w:eastAsia="宋体" w:hint="default"/>
          <w:sz w:val="21"/>
          <w:szCs w:val="21"/>
        </w:rPr>
        <w:t>年，公司固网宽带主营业务收入同比增长</w:t>
      </w:r>
      <w:r>
        <w:rPr>
          <w:rFonts w:ascii="宋体" w:hAnsi="宋体" w:cs="宋体" w:eastAsia="宋体" w:hint="default"/>
          <w:w w:val="100"/>
          <w:sz w:val="21"/>
          <w:szCs w:val="21"/>
        </w:rPr>
        <w:t> </w:t>
      </w:r>
      <w:r>
        <w:rPr>
          <w:rFonts w:ascii="Arial" w:hAnsi="Arial" w:cs="Arial" w:eastAsia="Arial" w:hint="default"/>
          <w:spacing w:val="-3"/>
          <w:sz w:val="21"/>
          <w:szCs w:val="21"/>
        </w:rPr>
        <w:t>7.0%</w:t>
      </w:r>
      <w:r>
        <w:rPr>
          <w:rFonts w:ascii="宋体" w:hAnsi="宋体" w:cs="宋体" w:eastAsia="宋体" w:hint="default"/>
          <w:spacing w:val="-3"/>
          <w:sz w:val="21"/>
          <w:szCs w:val="21"/>
        </w:rPr>
        <w:t>，达到人民币</w:t>
      </w:r>
      <w:r>
        <w:rPr>
          <w:rFonts w:ascii="宋体" w:hAnsi="宋体" w:cs="宋体" w:eastAsia="宋体" w:hint="default"/>
          <w:spacing w:val="-44"/>
          <w:sz w:val="21"/>
          <w:szCs w:val="21"/>
        </w:rPr>
        <w:t> </w:t>
      </w:r>
      <w:r>
        <w:rPr>
          <w:rFonts w:ascii="Arial" w:hAnsi="Arial" w:cs="Arial" w:eastAsia="Arial" w:hint="default"/>
          <w:sz w:val="21"/>
          <w:szCs w:val="21"/>
        </w:rPr>
        <w:t>509.2</w:t>
      </w:r>
      <w:r>
        <w:rPr>
          <w:rFonts w:ascii="Arial" w:hAnsi="Arial" w:cs="Arial" w:eastAsia="Arial" w:hint="default"/>
          <w:spacing w:val="-1"/>
          <w:sz w:val="21"/>
          <w:szCs w:val="21"/>
        </w:rPr>
        <w:t> </w:t>
      </w:r>
      <w:r>
        <w:rPr>
          <w:rFonts w:ascii="宋体" w:hAnsi="宋体" w:cs="宋体" w:eastAsia="宋体" w:hint="default"/>
          <w:spacing w:val="-3"/>
          <w:sz w:val="21"/>
          <w:szCs w:val="21"/>
        </w:rPr>
        <w:t>亿元；固网宽带用户同比增长</w:t>
      </w:r>
      <w:r>
        <w:rPr>
          <w:rFonts w:ascii="宋体" w:hAnsi="宋体" w:cs="宋体" w:eastAsia="宋体" w:hint="default"/>
          <w:spacing w:val="-45"/>
          <w:sz w:val="21"/>
          <w:szCs w:val="21"/>
        </w:rPr>
        <w:t> </w:t>
      </w:r>
      <w:r>
        <w:rPr>
          <w:rFonts w:ascii="Arial" w:hAnsi="Arial" w:cs="Arial" w:eastAsia="Arial" w:hint="default"/>
          <w:spacing w:val="-4"/>
          <w:sz w:val="21"/>
          <w:szCs w:val="21"/>
        </w:rPr>
        <w:t>6.4%</w:t>
      </w:r>
      <w:r>
        <w:rPr>
          <w:rFonts w:ascii="宋体" w:hAnsi="宋体" w:cs="宋体" w:eastAsia="宋体" w:hint="default"/>
          <w:spacing w:val="-4"/>
          <w:sz w:val="21"/>
          <w:szCs w:val="21"/>
        </w:rPr>
        <w:t>，达到</w:t>
      </w:r>
      <w:r>
        <w:rPr>
          <w:rFonts w:ascii="宋体" w:hAnsi="宋体" w:cs="宋体" w:eastAsia="宋体" w:hint="default"/>
          <w:spacing w:val="-45"/>
          <w:sz w:val="21"/>
          <w:szCs w:val="21"/>
        </w:rPr>
        <w:t> </w:t>
      </w:r>
      <w:r>
        <w:rPr>
          <w:rFonts w:ascii="Arial" w:hAnsi="Arial" w:cs="Arial" w:eastAsia="Arial" w:hint="default"/>
          <w:sz w:val="21"/>
          <w:szCs w:val="21"/>
        </w:rPr>
        <w:t>6,879.0</w:t>
      </w:r>
      <w:r>
        <w:rPr>
          <w:rFonts w:ascii="Arial" w:hAnsi="Arial" w:cs="Arial" w:eastAsia="Arial" w:hint="default"/>
          <w:spacing w:val="-1"/>
          <w:sz w:val="21"/>
          <w:szCs w:val="21"/>
        </w:rPr>
        <w:t> </w:t>
      </w:r>
      <w:r>
        <w:rPr>
          <w:rFonts w:ascii="宋体" w:hAnsi="宋体" w:cs="宋体" w:eastAsia="宋体" w:hint="default"/>
          <w:spacing w:val="-4"/>
          <w:sz w:val="21"/>
          <w:szCs w:val="21"/>
        </w:rPr>
        <w:t>万户。受固</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网宽带业务增长带动，固网主营业务收入全年同比增长</w:t>
      </w:r>
      <w:r>
        <w:rPr>
          <w:rFonts w:ascii="宋体" w:hAnsi="宋体" w:cs="宋体" w:eastAsia="宋体" w:hint="default"/>
          <w:spacing w:val="-53"/>
          <w:sz w:val="21"/>
          <w:szCs w:val="21"/>
        </w:rPr>
        <w:t> </w:t>
      </w:r>
      <w:r>
        <w:rPr>
          <w:rFonts w:ascii="Arial" w:hAnsi="Arial" w:cs="Arial" w:eastAsia="Arial" w:hint="default"/>
          <w:sz w:val="21"/>
          <w:szCs w:val="21"/>
        </w:rPr>
        <w:t>0.4%</w:t>
      </w:r>
      <w:r>
        <w:rPr>
          <w:rFonts w:ascii="宋体" w:hAnsi="宋体" w:cs="宋体" w:eastAsia="宋体" w:hint="default"/>
          <w:sz w:val="21"/>
          <w:szCs w:val="21"/>
        </w:rPr>
        <w:t>，达到人民币</w:t>
      </w:r>
      <w:r>
        <w:rPr>
          <w:rFonts w:ascii="宋体" w:hAnsi="宋体" w:cs="宋体" w:eastAsia="宋体" w:hint="default"/>
          <w:spacing w:val="-54"/>
          <w:sz w:val="21"/>
          <w:szCs w:val="21"/>
        </w:rPr>
        <w:t> </w:t>
      </w:r>
      <w:r>
        <w:rPr>
          <w:rFonts w:ascii="Arial" w:hAnsi="Arial" w:cs="Arial" w:eastAsia="Arial" w:hint="default"/>
          <w:sz w:val="21"/>
          <w:szCs w:val="21"/>
        </w:rPr>
        <w:t>897.5</w:t>
      </w:r>
      <w:r>
        <w:rPr>
          <w:rFonts w:ascii="Arial" w:hAnsi="Arial" w:cs="Arial" w:eastAsia="Arial" w:hint="default"/>
          <w:spacing w:val="-6"/>
          <w:sz w:val="21"/>
          <w:szCs w:val="21"/>
        </w:rPr>
        <w:t> </w:t>
      </w:r>
      <w:r>
        <w:rPr>
          <w:rFonts w:ascii="宋体" w:hAnsi="宋体" w:cs="宋体" w:eastAsia="宋体" w:hint="default"/>
          <w:sz w:val="21"/>
          <w:szCs w:val="21"/>
        </w:rPr>
        <w:t>亿元，</w:t>
      </w:r>
      <w:r>
        <w:rPr>
          <w:rFonts w:ascii="宋体" w:hAnsi="宋体" w:cs="宋体" w:eastAsia="宋体" w:hint="default"/>
          <w:w w:val="100"/>
          <w:sz w:val="21"/>
          <w:szCs w:val="21"/>
        </w:rPr>
        <w:t> </w:t>
      </w:r>
      <w:r>
        <w:rPr>
          <w:rFonts w:ascii="宋体" w:hAnsi="宋体" w:cs="宋体" w:eastAsia="宋体" w:hint="default"/>
          <w:spacing w:val="-2"/>
          <w:sz w:val="21"/>
          <w:szCs w:val="21"/>
        </w:rPr>
        <w:t>其中固网宽带收入贡献达到</w:t>
      </w:r>
      <w:r>
        <w:rPr>
          <w:rFonts w:ascii="宋体" w:hAnsi="宋体" w:cs="宋体" w:eastAsia="宋体" w:hint="default"/>
          <w:spacing w:val="4"/>
          <w:sz w:val="21"/>
          <w:szCs w:val="21"/>
        </w:rPr>
        <w:t> </w:t>
      </w:r>
      <w:r>
        <w:rPr>
          <w:rFonts w:ascii="Arial" w:hAnsi="Arial" w:cs="Arial" w:eastAsia="Arial" w:hint="default"/>
          <w:spacing w:val="-2"/>
          <w:sz w:val="21"/>
          <w:szCs w:val="21"/>
        </w:rPr>
        <w:t>56.7%</w:t>
      </w:r>
      <w:r>
        <w:rPr>
          <w:rFonts w:ascii="宋体" w:hAnsi="宋体" w:cs="宋体" w:eastAsia="宋体" w:hint="default"/>
          <w:spacing w:val="-2"/>
          <w:sz w:val="21"/>
          <w:szCs w:val="21"/>
        </w:rPr>
        <w:t>，固网业务结构进一步优化。</w:t>
      </w:r>
    </w:p>
    <w:p>
      <w:pPr>
        <w:spacing w:line="240" w:lineRule="auto" w:before="11"/>
        <w:rPr>
          <w:rFonts w:ascii="宋体" w:hAnsi="宋体" w:cs="宋体" w:eastAsia="宋体" w:hint="default"/>
          <w:sz w:val="17"/>
          <w:szCs w:val="17"/>
        </w:rPr>
      </w:pPr>
    </w:p>
    <w:p>
      <w:pPr>
        <w:spacing w:line="232" w:lineRule="auto" w:before="0"/>
        <w:ind w:left="846" w:right="100" w:firstLine="0"/>
        <w:jc w:val="left"/>
        <w:rPr>
          <w:rFonts w:ascii="宋体" w:hAnsi="宋体" w:cs="宋体" w:eastAsia="宋体" w:hint="default"/>
          <w:sz w:val="21"/>
          <w:szCs w:val="21"/>
        </w:rPr>
      </w:pPr>
      <w:r>
        <w:rPr>
          <w:rFonts w:ascii="宋体" w:hAnsi="宋体" w:cs="宋体" w:eastAsia="宋体" w:hint="default"/>
          <w:spacing w:val="-8"/>
          <w:sz w:val="21"/>
          <w:szCs w:val="21"/>
        </w:rPr>
        <w:t>加快创新领域战略布局，行业应用业务快速发展。</w:t>
      </w:r>
      <w:r>
        <w:rPr>
          <w:rFonts w:ascii="Arial" w:hAnsi="Arial" w:cs="Arial" w:eastAsia="Arial" w:hint="default"/>
          <w:spacing w:val="-8"/>
          <w:sz w:val="21"/>
          <w:szCs w:val="21"/>
        </w:rPr>
        <w:t>2014</w:t>
      </w:r>
      <w:r>
        <w:rPr>
          <w:rFonts w:ascii="Arial" w:hAnsi="Arial" w:cs="Arial" w:eastAsia="Arial" w:hint="default"/>
          <w:spacing w:val="17"/>
          <w:sz w:val="21"/>
          <w:szCs w:val="21"/>
        </w:rPr>
        <w:t> </w:t>
      </w:r>
      <w:r>
        <w:rPr>
          <w:rFonts w:ascii="宋体" w:hAnsi="宋体" w:cs="宋体" w:eastAsia="宋体" w:hint="default"/>
          <w:spacing w:val="-14"/>
          <w:sz w:val="21"/>
          <w:szCs w:val="21"/>
        </w:rPr>
        <w:t>年，公司聚焦</w:t>
      </w:r>
      <w:r>
        <w:rPr>
          <w:rFonts w:ascii="宋体" w:hAnsi="宋体" w:cs="宋体" w:eastAsia="宋体" w:hint="default"/>
          <w:spacing w:val="-29"/>
          <w:sz w:val="21"/>
          <w:szCs w:val="21"/>
        </w:rPr>
        <w:t> </w:t>
      </w:r>
      <w:r>
        <w:rPr>
          <w:rFonts w:ascii="Arial" w:hAnsi="Arial" w:cs="Arial" w:eastAsia="Arial" w:hint="default"/>
          <w:spacing w:val="-2"/>
          <w:sz w:val="21"/>
          <w:szCs w:val="21"/>
        </w:rPr>
        <w:t>IDC</w:t>
      </w:r>
      <w:r>
        <w:rPr>
          <w:rFonts w:ascii="Arial" w:hAnsi="Arial" w:cs="Arial" w:eastAsia="Arial" w:hint="default"/>
          <w:spacing w:val="18"/>
          <w:sz w:val="21"/>
          <w:szCs w:val="21"/>
        </w:rPr>
        <w:t> </w:t>
      </w:r>
      <w:r>
        <w:rPr>
          <w:rFonts w:ascii="宋体" w:hAnsi="宋体" w:cs="宋体" w:eastAsia="宋体" w:hint="default"/>
          <w:spacing w:val="-10"/>
          <w:sz w:val="21"/>
          <w:szCs w:val="21"/>
        </w:rPr>
        <w:t>与云计算、</w:t>
      </w:r>
      <w:r>
        <w:rPr>
          <w:rFonts w:ascii="Arial" w:hAnsi="Arial" w:cs="Arial" w:eastAsia="Arial" w:hint="default"/>
          <w:spacing w:val="-10"/>
          <w:sz w:val="21"/>
          <w:szCs w:val="21"/>
        </w:rPr>
        <w:t>ICT</w:t>
      </w:r>
      <w:r>
        <w:rPr>
          <w:rFonts w:ascii="宋体" w:hAnsi="宋体" w:cs="宋体" w:eastAsia="宋体" w:hint="default"/>
          <w:spacing w:val="-10"/>
          <w:sz w:val="21"/>
          <w:szCs w:val="21"/>
        </w:rPr>
        <w:t>、</w:t>
      </w:r>
      <w:r>
        <w:rPr>
          <w:rFonts w:ascii="宋体" w:hAnsi="宋体" w:cs="宋体" w:eastAsia="宋体" w:hint="default"/>
          <w:spacing w:val="-96"/>
          <w:sz w:val="21"/>
          <w:szCs w:val="21"/>
        </w:rPr>
        <w:t> </w:t>
      </w:r>
      <w:r>
        <w:rPr>
          <w:rFonts w:ascii="宋体" w:hAnsi="宋体" w:cs="宋体" w:eastAsia="宋体" w:hint="default"/>
          <w:sz w:val="21"/>
          <w:szCs w:val="21"/>
        </w:rPr>
        <w:t>物联网等行业应用的热点领域，加快技术与战略布局，全面提升专业化运营能力，培育</w:t>
      </w:r>
      <w:r>
        <w:rPr>
          <w:rFonts w:ascii="宋体" w:hAnsi="宋体" w:cs="宋体" w:eastAsia="宋体" w:hint="default"/>
          <w:w w:val="100"/>
          <w:sz w:val="21"/>
          <w:szCs w:val="21"/>
        </w:rPr>
        <w:t> </w:t>
      </w:r>
      <w:r>
        <w:rPr>
          <w:rFonts w:ascii="宋体" w:hAnsi="宋体" w:cs="宋体" w:eastAsia="宋体" w:hint="default"/>
          <w:sz w:val="21"/>
          <w:szCs w:val="21"/>
        </w:rPr>
        <w:t>新的业务增长点。继续发挥在教育信息化、汽车信息化、智慧城市等重点行业应用领域</w:t>
      </w:r>
      <w:r>
        <w:rPr>
          <w:rFonts w:ascii="宋体" w:hAnsi="宋体" w:cs="宋体" w:eastAsia="宋体" w:hint="default"/>
          <w:w w:val="100"/>
          <w:sz w:val="21"/>
          <w:szCs w:val="21"/>
        </w:rPr>
        <w:t> </w:t>
      </w:r>
      <w:r>
        <w:rPr>
          <w:rFonts w:ascii="宋体" w:hAnsi="宋体" w:cs="宋体" w:eastAsia="宋体" w:hint="default"/>
          <w:sz w:val="21"/>
          <w:szCs w:val="21"/>
        </w:rPr>
        <w:t>形成的领先优势，着力提升解决方案提供能力，提升产品渗透率，全年新增重点行业应</w:t>
      </w:r>
      <w:r>
        <w:rPr>
          <w:rFonts w:ascii="宋体" w:hAnsi="宋体" w:cs="宋体" w:eastAsia="宋体" w:hint="default"/>
          <w:w w:val="100"/>
          <w:sz w:val="21"/>
          <w:szCs w:val="21"/>
        </w:rPr>
        <w:t> </w:t>
      </w:r>
      <w:r>
        <w:rPr>
          <w:rFonts w:ascii="宋体" w:hAnsi="宋体" w:cs="宋体" w:eastAsia="宋体" w:hint="default"/>
          <w:sz w:val="21"/>
          <w:szCs w:val="21"/>
        </w:rPr>
        <w:t>用用户</w:t>
      </w:r>
      <w:r>
        <w:rPr>
          <w:rFonts w:ascii="宋体" w:hAnsi="宋体" w:cs="宋体" w:eastAsia="宋体" w:hint="default"/>
          <w:spacing w:val="-53"/>
          <w:sz w:val="21"/>
          <w:szCs w:val="21"/>
        </w:rPr>
        <w:t> </w:t>
      </w:r>
      <w:r>
        <w:rPr>
          <w:rFonts w:ascii="Arial" w:hAnsi="Arial" w:cs="Arial" w:eastAsia="Arial" w:hint="default"/>
          <w:sz w:val="21"/>
          <w:szCs w:val="21"/>
        </w:rPr>
        <w:t>2,002</w:t>
      </w:r>
      <w:r>
        <w:rPr>
          <w:rFonts w:ascii="Arial" w:hAnsi="Arial" w:cs="Arial" w:eastAsia="Arial" w:hint="default"/>
          <w:spacing w:val="-5"/>
          <w:sz w:val="21"/>
          <w:szCs w:val="21"/>
        </w:rPr>
        <w:t> </w:t>
      </w:r>
      <w:r>
        <w:rPr>
          <w:rFonts w:ascii="宋体" w:hAnsi="宋体" w:cs="宋体" w:eastAsia="宋体" w:hint="default"/>
          <w:sz w:val="21"/>
          <w:szCs w:val="21"/>
        </w:rPr>
        <w:t>万户，达到</w:t>
      </w:r>
      <w:r>
        <w:rPr>
          <w:rFonts w:ascii="宋体" w:hAnsi="宋体" w:cs="宋体" w:eastAsia="宋体" w:hint="default"/>
          <w:spacing w:val="-55"/>
          <w:sz w:val="21"/>
          <w:szCs w:val="21"/>
        </w:rPr>
        <w:t> </w:t>
      </w:r>
      <w:r>
        <w:rPr>
          <w:rFonts w:ascii="Arial" w:hAnsi="Arial" w:cs="Arial" w:eastAsia="Arial" w:hint="default"/>
          <w:sz w:val="21"/>
          <w:szCs w:val="21"/>
        </w:rPr>
        <w:t>5,929</w:t>
      </w:r>
      <w:r>
        <w:rPr>
          <w:rFonts w:ascii="Arial" w:hAnsi="Arial" w:cs="Arial" w:eastAsia="Arial" w:hint="default"/>
          <w:spacing w:val="-8"/>
          <w:sz w:val="21"/>
          <w:szCs w:val="21"/>
        </w:rPr>
        <w:t> </w:t>
      </w:r>
      <w:r>
        <w:rPr>
          <w:rFonts w:ascii="宋体" w:hAnsi="宋体" w:cs="宋体" w:eastAsia="宋体" w:hint="default"/>
          <w:sz w:val="21"/>
          <w:szCs w:val="21"/>
        </w:rPr>
        <w:t>万户。积极探索新兴业务领域市场化改革，成立了联通</w:t>
      </w:r>
      <w:r>
        <w:rPr>
          <w:rFonts w:ascii="宋体" w:hAnsi="宋体" w:cs="宋体" w:eastAsia="宋体" w:hint="default"/>
          <w:w w:val="100"/>
          <w:sz w:val="21"/>
          <w:szCs w:val="21"/>
        </w:rPr>
        <w:t> </w:t>
      </w:r>
      <w:r>
        <w:rPr>
          <w:rFonts w:ascii="宋体" w:hAnsi="宋体" w:cs="宋体" w:eastAsia="宋体" w:hint="default"/>
          <w:sz w:val="21"/>
          <w:szCs w:val="21"/>
        </w:rPr>
        <w:t>创新创业投资有限公司，组建招联消费金融有限公司，试点推进应用商店运营中心公司</w:t>
      </w:r>
      <w:r>
        <w:rPr>
          <w:rFonts w:ascii="宋体" w:hAnsi="宋体" w:cs="宋体" w:eastAsia="宋体" w:hint="default"/>
          <w:w w:val="100"/>
          <w:sz w:val="21"/>
          <w:szCs w:val="21"/>
        </w:rPr>
        <w:t> </w:t>
      </w:r>
      <w:r>
        <w:rPr>
          <w:rFonts w:ascii="宋体" w:hAnsi="宋体" w:cs="宋体" w:eastAsia="宋体" w:hint="default"/>
          <w:sz w:val="21"/>
          <w:szCs w:val="21"/>
        </w:rPr>
        <w:t>化运营，扩大跨行业合作范围与力度，运用市场化机制推进业务发展。</w:t>
      </w:r>
    </w:p>
    <w:p>
      <w:pPr>
        <w:spacing w:line="240" w:lineRule="auto" w:before="4"/>
        <w:rPr>
          <w:rFonts w:ascii="宋体" w:hAnsi="宋体" w:cs="宋体" w:eastAsia="宋体" w:hint="default"/>
          <w:sz w:val="18"/>
          <w:szCs w:val="18"/>
        </w:rPr>
      </w:pPr>
    </w:p>
    <w:p>
      <w:pPr>
        <w:spacing w:before="0"/>
        <w:ind w:left="485" w:right="204" w:firstLine="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网络能力</w:t>
      </w:r>
    </w:p>
    <w:p>
      <w:pPr>
        <w:spacing w:line="240" w:lineRule="auto" w:before="3"/>
        <w:rPr>
          <w:rFonts w:ascii="宋体" w:hAnsi="宋体" w:cs="宋体" w:eastAsia="宋体" w:hint="default"/>
          <w:sz w:val="18"/>
          <w:szCs w:val="18"/>
        </w:rPr>
      </w:pPr>
    </w:p>
    <w:p>
      <w:pPr>
        <w:spacing w:line="225" w:lineRule="auto" w:before="0"/>
        <w:ind w:left="846" w:right="100" w:firstLine="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14"/>
          <w:sz w:val="21"/>
          <w:szCs w:val="21"/>
        </w:rPr>
        <w:t> </w:t>
      </w:r>
      <w:r>
        <w:rPr>
          <w:rFonts w:ascii="宋体" w:hAnsi="宋体" w:cs="宋体" w:eastAsia="宋体" w:hint="default"/>
          <w:sz w:val="21"/>
          <w:szCs w:val="21"/>
        </w:rPr>
        <w:t>年，公司以打造客户体验领先的宽带精品网络为目标，进一步加快移动宽带和固网</w:t>
      </w:r>
      <w:r>
        <w:rPr>
          <w:rFonts w:ascii="宋体" w:hAnsi="宋体" w:cs="宋体" w:eastAsia="宋体" w:hint="default"/>
          <w:w w:val="100"/>
          <w:sz w:val="21"/>
          <w:szCs w:val="21"/>
        </w:rPr>
        <w:t> </w:t>
      </w:r>
      <w:r>
        <w:rPr>
          <w:rFonts w:ascii="宋体" w:hAnsi="宋体" w:cs="宋体" w:eastAsia="宋体" w:hint="default"/>
          <w:spacing w:val="-5"/>
          <w:sz w:val="21"/>
          <w:szCs w:val="21"/>
        </w:rPr>
        <w:t>宽带网络建设。发挥</w:t>
      </w:r>
      <w:r>
        <w:rPr>
          <w:rFonts w:ascii="宋体" w:hAnsi="宋体" w:cs="宋体" w:eastAsia="宋体" w:hint="default"/>
          <w:spacing w:val="-46"/>
          <w:sz w:val="21"/>
          <w:szCs w:val="21"/>
        </w:rPr>
        <w:t> </w:t>
      </w:r>
      <w:r>
        <w:rPr>
          <w:rFonts w:ascii="Arial" w:hAnsi="Arial" w:cs="Arial" w:eastAsia="Arial" w:hint="default"/>
          <w:sz w:val="21"/>
          <w:szCs w:val="21"/>
        </w:rPr>
        <w:t>3G</w:t>
      </w:r>
      <w:r>
        <w:rPr>
          <w:rFonts w:ascii="Arial" w:hAnsi="Arial" w:cs="Arial" w:eastAsia="Arial" w:hint="default"/>
          <w:spacing w:val="-1"/>
          <w:sz w:val="21"/>
          <w:szCs w:val="21"/>
        </w:rPr>
        <w:t> </w:t>
      </w:r>
      <w:r>
        <w:rPr>
          <w:rFonts w:ascii="宋体" w:hAnsi="宋体" w:cs="宋体" w:eastAsia="宋体" w:hint="default"/>
          <w:spacing w:val="-3"/>
          <w:sz w:val="21"/>
          <w:szCs w:val="21"/>
        </w:rPr>
        <w:t>网络覆盖优势和产业链技术优势，积极开展</w:t>
      </w:r>
      <w:r>
        <w:rPr>
          <w:rFonts w:ascii="宋体" w:hAnsi="宋体" w:cs="宋体" w:eastAsia="宋体" w:hint="default"/>
          <w:spacing w:val="-42"/>
          <w:sz w:val="21"/>
          <w:szCs w:val="21"/>
        </w:rPr>
        <w:t> </w:t>
      </w:r>
      <w:r>
        <w:rPr>
          <w:rFonts w:ascii="Arial" w:hAnsi="Arial" w:cs="Arial" w:eastAsia="Arial" w:hint="default"/>
          <w:sz w:val="21"/>
          <w:szCs w:val="21"/>
        </w:rPr>
        <w:t>LTE</w:t>
      </w:r>
      <w:r>
        <w:rPr>
          <w:rFonts w:ascii="Arial" w:hAnsi="Arial" w:cs="Arial" w:eastAsia="Arial" w:hint="default"/>
          <w:spacing w:val="5"/>
          <w:sz w:val="21"/>
          <w:szCs w:val="21"/>
        </w:rPr>
        <w:t> </w:t>
      </w:r>
      <w:r>
        <w:rPr>
          <w:rFonts w:ascii="宋体" w:hAnsi="宋体" w:cs="宋体" w:eastAsia="宋体" w:hint="default"/>
          <w:sz w:val="21"/>
          <w:szCs w:val="21"/>
        </w:rPr>
        <w:t>混合组网试验，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持续扩大网络广度覆盖，优化深度覆盖。全年建设移动宽带网络基站</w:t>
      </w:r>
      <w:r>
        <w:rPr>
          <w:rFonts w:ascii="宋体" w:hAnsi="宋体" w:cs="宋体" w:eastAsia="宋体" w:hint="default"/>
          <w:spacing w:val="-58"/>
          <w:sz w:val="21"/>
          <w:szCs w:val="21"/>
        </w:rPr>
        <w:t> </w:t>
      </w:r>
      <w:r>
        <w:rPr>
          <w:rFonts w:ascii="Arial" w:hAnsi="Arial" w:cs="Arial" w:eastAsia="Arial" w:hint="default"/>
          <w:sz w:val="21"/>
          <w:szCs w:val="21"/>
        </w:rPr>
        <w:t>15.8</w:t>
      </w:r>
      <w:r>
        <w:rPr>
          <w:rFonts w:ascii="Arial" w:hAnsi="Arial" w:cs="Arial" w:eastAsia="Arial" w:hint="default"/>
          <w:spacing w:val="-11"/>
          <w:sz w:val="21"/>
          <w:szCs w:val="21"/>
        </w:rPr>
        <w:t> </w:t>
      </w:r>
      <w:r>
        <w:rPr>
          <w:rFonts w:ascii="宋体" w:hAnsi="宋体" w:cs="宋体" w:eastAsia="宋体" w:hint="default"/>
          <w:sz w:val="21"/>
          <w:szCs w:val="21"/>
        </w:rPr>
        <w:t>万个，总数达</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spacing w:val="-54"/>
          <w:sz w:val="21"/>
          <w:szCs w:val="21"/>
        </w:rPr>
        <w:t> </w:t>
      </w:r>
      <w:r>
        <w:rPr>
          <w:rFonts w:ascii="Arial" w:hAnsi="Arial" w:cs="Arial" w:eastAsia="Arial" w:hint="default"/>
          <w:sz w:val="21"/>
          <w:szCs w:val="21"/>
        </w:rPr>
        <w:t>56.5</w:t>
      </w:r>
      <w:r>
        <w:rPr>
          <w:rFonts w:ascii="Arial" w:hAnsi="Arial" w:cs="Arial" w:eastAsia="Arial" w:hint="default"/>
          <w:spacing w:val="-9"/>
          <w:sz w:val="21"/>
          <w:szCs w:val="21"/>
        </w:rPr>
        <w:t> </w:t>
      </w:r>
      <w:r>
        <w:rPr>
          <w:rFonts w:ascii="宋体" w:hAnsi="宋体" w:cs="宋体" w:eastAsia="宋体" w:hint="default"/>
          <w:sz w:val="21"/>
          <w:szCs w:val="21"/>
        </w:rPr>
        <w:t>万个。加快固网光纤宽带网络建设和改造，固网宽带接入端口同比增长</w:t>
      </w:r>
      <w:r>
        <w:rPr>
          <w:rFonts w:ascii="宋体" w:hAnsi="宋体" w:cs="宋体" w:eastAsia="宋体" w:hint="default"/>
          <w:spacing w:val="-54"/>
          <w:sz w:val="21"/>
          <w:szCs w:val="21"/>
        </w:rPr>
        <w:t> </w:t>
      </w:r>
      <w:r>
        <w:rPr>
          <w:rFonts w:ascii="Arial" w:hAnsi="Arial" w:cs="Arial" w:eastAsia="Arial" w:hint="default"/>
          <w:sz w:val="21"/>
          <w:szCs w:val="21"/>
        </w:rPr>
        <w:t>13.4%</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其中</w:t>
      </w:r>
      <w:r>
        <w:rPr>
          <w:rFonts w:ascii="宋体" w:hAnsi="宋体" w:cs="宋体" w:eastAsia="宋体" w:hint="default"/>
          <w:spacing w:val="-56"/>
          <w:sz w:val="21"/>
          <w:szCs w:val="21"/>
        </w:rPr>
        <w:t> </w:t>
      </w:r>
      <w:r>
        <w:rPr>
          <w:rFonts w:ascii="Arial" w:hAnsi="Arial" w:cs="Arial" w:eastAsia="Arial" w:hint="default"/>
          <w:sz w:val="21"/>
          <w:szCs w:val="21"/>
        </w:rPr>
        <w:t>FTTX</w:t>
      </w:r>
      <w:r>
        <w:rPr>
          <w:rFonts w:ascii="Arial" w:hAnsi="Arial" w:cs="Arial" w:eastAsia="Arial" w:hint="default"/>
          <w:spacing w:val="-8"/>
          <w:sz w:val="21"/>
          <w:szCs w:val="21"/>
        </w:rPr>
        <w:t> </w:t>
      </w:r>
      <w:r>
        <w:rPr>
          <w:rFonts w:ascii="宋体" w:hAnsi="宋体" w:cs="宋体" w:eastAsia="宋体" w:hint="default"/>
          <w:sz w:val="21"/>
          <w:szCs w:val="21"/>
        </w:rPr>
        <w:t>端口渗透率达到</w:t>
      </w:r>
      <w:r>
        <w:rPr>
          <w:rFonts w:ascii="宋体" w:hAnsi="宋体" w:cs="宋体" w:eastAsia="宋体" w:hint="default"/>
          <w:spacing w:val="-54"/>
          <w:sz w:val="21"/>
          <w:szCs w:val="21"/>
        </w:rPr>
        <w:t> </w:t>
      </w:r>
      <w:r>
        <w:rPr>
          <w:rFonts w:ascii="Arial" w:hAnsi="Arial" w:cs="Arial" w:eastAsia="Arial" w:hint="default"/>
          <w:sz w:val="21"/>
          <w:szCs w:val="21"/>
        </w:rPr>
        <w:t>77.8%</w:t>
      </w:r>
      <w:r>
        <w:rPr>
          <w:rFonts w:ascii="宋体" w:hAnsi="宋体" w:cs="宋体" w:eastAsia="宋体" w:hint="default"/>
          <w:sz w:val="21"/>
          <w:szCs w:val="21"/>
        </w:rPr>
        <w:t>。加快提升基础承载网络能力，新增</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9"/>
          <w:sz w:val="21"/>
          <w:szCs w:val="21"/>
        </w:rPr>
        <w:t> </w:t>
      </w:r>
      <w:r>
        <w:rPr>
          <w:rFonts w:ascii="宋体" w:hAnsi="宋体" w:cs="宋体" w:eastAsia="宋体" w:hint="default"/>
          <w:sz w:val="21"/>
          <w:szCs w:val="21"/>
        </w:rPr>
        <w:t>个国家级互联</w:t>
      </w:r>
      <w:r>
        <w:rPr>
          <w:rFonts w:ascii="宋体" w:hAnsi="宋体" w:cs="宋体" w:eastAsia="宋体" w:hint="default"/>
          <w:w w:val="100"/>
          <w:sz w:val="21"/>
          <w:szCs w:val="21"/>
        </w:rPr>
        <w:t> </w:t>
      </w:r>
      <w:r>
        <w:rPr>
          <w:rFonts w:ascii="宋体" w:hAnsi="宋体" w:cs="宋体" w:eastAsia="宋体" w:hint="default"/>
          <w:sz w:val="21"/>
          <w:szCs w:val="21"/>
        </w:rPr>
        <w:t>网骨干直联点，网间互联带宽持续增长，网络能力不断增强。</w:t>
      </w:r>
    </w:p>
    <w:p>
      <w:pPr>
        <w:spacing w:line="240" w:lineRule="auto" w:before="5"/>
        <w:rPr>
          <w:rFonts w:ascii="宋体" w:hAnsi="宋体" w:cs="宋体" w:eastAsia="宋体" w:hint="default"/>
          <w:sz w:val="18"/>
          <w:szCs w:val="18"/>
        </w:rPr>
      </w:pPr>
    </w:p>
    <w:p>
      <w:pPr>
        <w:spacing w:before="0"/>
        <w:ind w:left="485" w:right="204" w:firstLine="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管理变革</w:t>
      </w:r>
    </w:p>
    <w:p>
      <w:pPr>
        <w:spacing w:line="240" w:lineRule="auto" w:before="6"/>
        <w:rPr>
          <w:rFonts w:ascii="宋体" w:hAnsi="宋体" w:cs="宋体" w:eastAsia="宋体" w:hint="default"/>
          <w:sz w:val="17"/>
          <w:szCs w:val="17"/>
        </w:rPr>
      </w:pPr>
    </w:p>
    <w:p>
      <w:pPr>
        <w:spacing w:line="235" w:lineRule="auto" w:before="0"/>
        <w:ind w:left="846" w:right="204" w:firstLine="0"/>
        <w:jc w:val="left"/>
        <w:rPr>
          <w:rFonts w:ascii="宋体" w:hAnsi="宋体" w:cs="宋体" w:eastAsia="宋体" w:hint="default"/>
          <w:sz w:val="21"/>
          <w:szCs w:val="21"/>
        </w:rPr>
      </w:pPr>
      <w:r>
        <w:rPr>
          <w:rFonts w:ascii="Arial" w:hAnsi="Arial" w:cs="Arial" w:eastAsia="Arial" w:hint="default"/>
          <w:sz w:val="21"/>
          <w:szCs w:val="21"/>
        </w:rPr>
        <w:t>2014 </w:t>
      </w:r>
      <w:r>
        <w:rPr>
          <w:rFonts w:ascii="宋体" w:hAnsi="宋体" w:cs="宋体" w:eastAsia="宋体" w:hint="default"/>
          <w:spacing w:val="-2"/>
          <w:sz w:val="21"/>
          <w:szCs w:val="21"/>
        </w:rPr>
        <w:t>年，公司顺应移动互联网时代集中化、扁平化、专业化的新趋势，围绕提高运作效</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率、提升发展质量、增强企业活力，持续深化重点领域的管理变革。持续深化投资管理</w:t>
      </w:r>
      <w:r>
        <w:rPr>
          <w:rFonts w:ascii="宋体" w:hAnsi="宋体" w:cs="宋体" w:eastAsia="宋体" w:hint="default"/>
          <w:w w:val="100"/>
          <w:sz w:val="21"/>
          <w:szCs w:val="21"/>
        </w:rPr>
        <w:t> </w:t>
      </w:r>
      <w:r>
        <w:rPr>
          <w:rFonts w:ascii="宋体" w:hAnsi="宋体" w:cs="宋体" w:eastAsia="宋体" w:hint="default"/>
          <w:sz w:val="21"/>
          <w:szCs w:val="21"/>
        </w:rPr>
        <w:t>体制改革，构建面向基层单元公允、透明、动态的资源配置机制，持续优化考核激励机</w:t>
      </w:r>
      <w:r>
        <w:rPr>
          <w:rFonts w:ascii="宋体" w:hAnsi="宋体" w:cs="宋体" w:eastAsia="宋体" w:hint="default"/>
          <w:w w:val="100"/>
          <w:sz w:val="21"/>
          <w:szCs w:val="21"/>
        </w:rPr>
        <w:t> </w:t>
      </w:r>
      <w:r>
        <w:rPr>
          <w:rFonts w:ascii="宋体" w:hAnsi="宋体" w:cs="宋体" w:eastAsia="宋体" w:hint="default"/>
          <w:sz w:val="21"/>
          <w:szCs w:val="21"/>
        </w:rPr>
        <w:t>制，全面激发企业内生活力。加强各类资源精细化管理和内控风险管控，提升企业管理</w:t>
      </w:r>
      <w:r>
        <w:rPr>
          <w:rFonts w:ascii="宋体" w:hAnsi="宋体" w:cs="宋体" w:eastAsia="宋体" w:hint="default"/>
          <w:w w:val="100"/>
          <w:sz w:val="21"/>
          <w:szCs w:val="21"/>
        </w:rPr>
        <w:t> </w:t>
      </w:r>
      <w:r>
        <w:rPr>
          <w:rFonts w:ascii="宋体" w:hAnsi="宋体" w:cs="宋体" w:eastAsia="宋体" w:hint="default"/>
          <w:sz w:val="21"/>
          <w:szCs w:val="21"/>
        </w:rPr>
        <w:t>的规范化科学化水平。深入推进集中统一运营，加快建立面向客户高效的运营体系。</w:t>
      </w:r>
    </w:p>
    <w:p>
      <w:pPr>
        <w:spacing w:line="240" w:lineRule="auto" w:before="4"/>
        <w:rPr>
          <w:rFonts w:ascii="宋体" w:hAnsi="宋体" w:cs="宋体" w:eastAsia="宋体" w:hint="default"/>
          <w:sz w:val="18"/>
          <w:szCs w:val="18"/>
        </w:rPr>
      </w:pPr>
    </w:p>
    <w:p>
      <w:pPr>
        <w:spacing w:before="0"/>
        <w:ind w:left="485" w:right="204" w:firstLine="0"/>
        <w:jc w:val="left"/>
        <w:rPr>
          <w:rFonts w:ascii="宋体" w:hAnsi="宋体" w:cs="宋体" w:eastAsia="宋体" w:hint="default"/>
          <w:sz w:val="21"/>
          <w:szCs w:val="21"/>
        </w:rPr>
      </w:pPr>
      <w:r>
        <w:rPr>
          <w:rFonts w:ascii="Arial" w:hAnsi="Arial" w:cs="Arial" w:eastAsia="Arial" w:hint="default"/>
          <w:sz w:val="21"/>
          <w:szCs w:val="21"/>
        </w:rPr>
        <w:t>5</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社会责任</w:t>
      </w:r>
    </w:p>
    <w:p>
      <w:pPr>
        <w:spacing w:line="240" w:lineRule="auto" w:before="4"/>
        <w:rPr>
          <w:rFonts w:ascii="宋体" w:hAnsi="宋体" w:cs="宋体" w:eastAsia="宋体" w:hint="default"/>
          <w:sz w:val="17"/>
          <w:szCs w:val="17"/>
        </w:rPr>
      </w:pPr>
    </w:p>
    <w:p>
      <w:pPr>
        <w:spacing w:line="237" w:lineRule="auto" w:before="0"/>
        <w:ind w:left="846" w:right="289" w:firstLine="0"/>
        <w:jc w:val="both"/>
        <w:rPr>
          <w:rFonts w:ascii="宋体" w:hAnsi="宋体" w:cs="宋体" w:eastAsia="宋体" w:hint="default"/>
          <w:sz w:val="21"/>
          <w:szCs w:val="21"/>
        </w:rPr>
      </w:pPr>
      <w:r>
        <w:rPr>
          <w:rFonts w:ascii="宋体" w:hAnsi="宋体" w:cs="宋体" w:eastAsia="宋体" w:hint="default"/>
          <w:spacing w:val="-2"/>
          <w:sz w:val="21"/>
          <w:szCs w:val="21"/>
        </w:rPr>
        <w:t>公司长期致力于将自身发展与广泛的社会责任相结合，为推动国家信息化进程、促进传</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统产业转型升级、服务社会民生做出贡献，努力为利益相关方创造共享价值。推动节能</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减排、共建共享，保障通信及信息安全，打造畅通安全的绿色网络；提升服务能力，拓</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展农村信息应用和信息服务渠道，竭力消除数字鸿沟，让不同群体享受信息生活便利；</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坚持以人为本，为员工打造工作生活成长的最佳平台；热心公益慈善，持续开展贫困地</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区惠民工程、捐资助学等活动，竭力回馈社会。</w:t>
      </w:r>
    </w:p>
    <w:p>
      <w:pPr>
        <w:spacing w:after="0" w:line="237" w:lineRule="auto"/>
        <w:jc w:val="both"/>
        <w:rPr>
          <w:rFonts w:ascii="宋体" w:hAnsi="宋体" w:cs="宋体" w:eastAsia="宋体" w:hint="default"/>
          <w:sz w:val="21"/>
          <w:szCs w:val="21"/>
        </w:rPr>
        <w:sectPr>
          <w:pgSz w:w="11910" w:h="16840"/>
          <w:pgMar w:header="880" w:footer="1194" w:top="1120" w:bottom="1380" w:left="1660" w:right="1120"/>
        </w:sectPr>
      </w:pPr>
    </w:p>
    <w:p>
      <w:pPr>
        <w:spacing w:line="240" w:lineRule="auto" w:before="11"/>
        <w:rPr>
          <w:rFonts w:ascii="宋体" w:hAnsi="宋体" w:cs="宋体" w:eastAsia="宋体" w:hint="default"/>
          <w:sz w:val="29"/>
          <w:szCs w:val="29"/>
        </w:rPr>
      </w:pPr>
    </w:p>
    <w:p>
      <w:pPr>
        <w:spacing w:line="504" w:lineRule="auto" w:before="36"/>
        <w:ind w:left="138" w:right="3361" w:firstLine="0"/>
        <w:jc w:val="left"/>
        <w:rPr>
          <w:rFonts w:ascii="宋体" w:hAnsi="宋体" w:cs="宋体" w:eastAsia="宋体" w:hint="default"/>
          <w:sz w:val="21"/>
          <w:szCs w:val="21"/>
        </w:rPr>
      </w:pPr>
      <w:r>
        <w:rPr>
          <w:rFonts w:ascii="宋体" w:hAnsi="宋体" w:cs="宋体" w:eastAsia="宋体" w:hint="default"/>
          <w:b/>
          <w:bCs/>
          <w:spacing w:val="-1"/>
          <w:sz w:val="21"/>
          <w:szCs w:val="21"/>
        </w:rPr>
        <w:t>一、董事会关于公司报告期内经营情况的讨论与分析（续）</w:t>
      </w:r>
      <w:r>
        <w:rPr>
          <w:rFonts w:ascii="宋体" w:hAnsi="宋体" w:cs="宋体" w:eastAsia="宋体" w:hint="default"/>
          <w:b/>
          <w:bCs/>
          <w:spacing w:val="-78"/>
          <w:sz w:val="21"/>
          <w:szCs w:val="21"/>
        </w:rPr>
        <w:t> </w:t>
      </w:r>
      <w:r>
        <w:rPr>
          <w:rFonts w:ascii="宋体" w:hAnsi="宋体" w:cs="宋体" w:eastAsia="宋体" w:hint="default"/>
          <w:b/>
          <w:bCs/>
          <w:spacing w:val="-78"/>
          <w:sz w:val="21"/>
          <w:szCs w:val="21"/>
        </w:rPr>
      </w:r>
      <w:r>
        <w:rPr>
          <w:rFonts w:ascii="宋体" w:hAnsi="宋体" w:cs="宋体" w:eastAsia="宋体" w:hint="default"/>
          <w:b/>
          <w:bCs/>
          <w:sz w:val="21"/>
          <w:szCs w:val="21"/>
        </w:rPr>
        <w:t>第二部分：生产经营情况</w:t>
      </w:r>
      <w:r>
        <w:rPr>
          <w:rFonts w:ascii="宋体" w:hAnsi="宋体" w:cs="宋体" w:eastAsia="宋体" w:hint="default"/>
          <w:sz w:val="21"/>
          <w:szCs w:val="21"/>
        </w:rPr>
      </w:r>
    </w:p>
    <w:p>
      <w:pPr>
        <w:spacing w:line="232" w:lineRule="auto" w:before="3"/>
        <w:ind w:left="138" w:right="208" w:firstLine="0"/>
        <w:jc w:val="both"/>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10"/>
          <w:sz w:val="21"/>
          <w:szCs w:val="21"/>
        </w:rPr>
        <w:t> </w:t>
      </w:r>
      <w:r>
        <w:rPr>
          <w:rFonts w:ascii="宋体" w:hAnsi="宋体" w:cs="宋体" w:eastAsia="宋体" w:hint="default"/>
          <w:sz w:val="21"/>
          <w:szCs w:val="21"/>
        </w:rPr>
        <w:t>年，公司全面实施“移动宽带领先与一体化创新”战略，聚焦存量经营和流量经营，推进</w:t>
      </w:r>
      <w:r>
        <w:rPr>
          <w:rFonts w:ascii="宋体" w:hAnsi="宋体" w:cs="宋体" w:eastAsia="宋体" w:hint="default"/>
          <w:w w:val="100"/>
          <w:sz w:val="21"/>
          <w:szCs w:val="21"/>
        </w:rPr>
        <w:t> </w:t>
      </w:r>
      <w:r>
        <w:rPr>
          <w:rFonts w:ascii="宋体" w:hAnsi="宋体" w:cs="宋体" w:eastAsia="宋体" w:hint="default"/>
          <w:spacing w:val="-3"/>
          <w:sz w:val="21"/>
          <w:szCs w:val="21"/>
        </w:rPr>
        <w:t>集中统一运营，加强成本精细化管理，推进销售模式转型，发展效益显著提高，收入市场份额持</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续提升。</w:t>
      </w:r>
    </w:p>
    <w:p>
      <w:pPr>
        <w:spacing w:line="240" w:lineRule="auto" w:before="4"/>
        <w:rPr>
          <w:rFonts w:ascii="宋体" w:hAnsi="宋体" w:cs="宋体" w:eastAsia="宋体" w:hint="default"/>
          <w:sz w:val="18"/>
          <w:szCs w:val="18"/>
        </w:rPr>
      </w:pPr>
    </w:p>
    <w:p>
      <w:pPr>
        <w:spacing w:before="0"/>
        <w:ind w:left="0" w:right="6949" w:firstLine="0"/>
        <w:jc w:val="center"/>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移动业务</w:t>
      </w:r>
    </w:p>
    <w:p>
      <w:pPr>
        <w:spacing w:line="240" w:lineRule="auto" w:before="11"/>
        <w:rPr>
          <w:rFonts w:ascii="宋体" w:hAnsi="宋体" w:cs="宋体" w:eastAsia="宋体" w:hint="default"/>
          <w:sz w:val="17"/>
          <w:szCs w:val="17"/>
        </w:rPr>
      </w:pPr>
    </w:p>
    <w:p>
      <w:pPr>
        <w:spacing w:line="230" w:lineRule="auto" w:before="0"/>
        <w:ind w:left="846" w:right="100" w:firstLine="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pacing w:val="-4"/>
          <w:sz w:val="21"/>
          <w:szCs w:val="21"/>
        </w:rPr>
        <w:t>年，公司建立面向集中统一的业务运营管理机制，积极开展</w:t>
      </w:r>
      <w:r>
        <w:rPr>
          <w:rFonts w:ascii="宋体" w:hAnsi="宋体" w:cs="宋体" w:eastAsia="宋体" w:hint="default"/>
          <w:spacing w:val="-38"/>
          <w:sz w:val="21"/>
          <w:szCs w:val="21"/>
        </w:rPr>
        <w:t> </w:t>
      </w:r>
      <w:r>
        <w:rPr>
          <w:rFonts w:ascii="Arial" w:hAnsi="Arial" w:cs="Arial" w:eastAsia="Arial" w:hint="default"/>
          <w:sz w:val="21"/>
          <w:szCs w:val="21"/>
        </w:rPr>
        <w:t>LTE</w:t>
      </w:r>
      <w:r>
        <w:rPr>
          <w:rFonts w:ascii="Arial" w:hAnsi="Arial" w:cs="Arial" w:eastAsia="Arial" w:hint="default"/>
          <w:spacing w:val="9"/>
          <w:sz w:val="21"/>
          <w:szCs w:val="21"/>
        </w:rPr>
        <w:t> </w:t>
      </w:r>
      <w:r>
        <w:rPr>
          <w:rFonts w:ascii="宋体" w:hAnsi="宋体" w:cs="宋体" w:eastAsia="宋体" w:hint="default"/>
          <w:spacing w:val="-6"/>
          <w:sz w:val="21"/>
          <w:szCs w:val="21"/>
        </w:rPr>
        <w:t>混合组网试验，促</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进了移动业务持续增长。</w:t>
      </w:r>
      <w:r>
        <w:rPr>
          <w:rFonts w:ascii="Arial" w:hAnsi="Arial" w:cs="Arial" w:eastAsia="Arial" w:hint="default"/>
          <w:sz w:val="21"/>
          <w:szCs w:val="21"/>
        </w:rPr>
        <w:t>2014</w:t>
      </w:r>
      <w:r>
        <w:rPr>
          <w:rFonts w:ascii="Arial" w:hAnsi="Arial" w:cs="Arial" w:eastAsia="Arial" w:hint="default"/>
          <w:spacing w:val="-14"/>
          <w:sz w:val="21"/>
          <w:szCs w:val="21"/>
        </w:rPr>
        <w:t> </w:t>
      </w:r>
      <w:r>
        <w:rPr>
          <w:rFonts w:ascii="宋体" w:hAnsi="宋体" w:cs="宋体" w:eastAsia="宋体" w:hint="default"/>
          <w:sz w:val="21"/>
          <w:szCs w:val="21"/>
        </w:rPr>
        <w:t>年，公司分阶段推出基于集中业务支撑系统</w:t>
      </w:r>
      <w:r>
        <w:rPr>
          <w:rFonts w:ascii="宋体" w:hAnsi="宋体" w:cs="宋体" w:eastAsia="宋体" w:hint="default"/>
          <w:spacing w:val="-58"/>
          <w:sz w:val="21"/>
          <w:szCs w:val="21"/>
        </w:rPr>
        <w:t> </w:t>
      </w:r>
      <w:r>
        <w:rPr>
          <w:rFonts w:ascii="Arial" w:hAnsi="Arial" w:cs="Arial" w:eastAsia="Arial" w:hint="default"/>
          <w:sz w:val="21"/>
          <w:szCs w:val="21"/>
        </w:rPr>
        <w:t>cBSS</w:t>
      </w:r>
      <w:r>
        <w:rPr>
          <w:rFonts w:ascii="Arial" w:hAnsi="Arial" w:cs="Arial" w:eastAsia="Arial" w:hint="default"/>
          <w:spacing w:val="-13"/>
          <w:sz w:val="21"/>
          <w:szCs w:val="21"/>
        </w:rPr>
        <w:t> </w:t>
      </w:r>
      <w:r>
        <w:rPr>
          <w:rFonts w:ascii="宋体" w:hAnsi="宋体" w:cs="宋体" w:eastAsia="宋体" w:hint="default"/>
          <w:sz w:val="21"/>
          <w:szCs w:val="21"/>
        </w:rPr>
        <w:t>全业务</w:t>
      </w:r>
      <w:r>
        <w:rPr>
          <w:rFonts w:ascii="宋体" w:hAnsi="宋体" w:cs="宋体" w:eastAsia="宋体" w:hint="default"/>
          <w:w w:val="100"/>
          <w:sz w:val="21"/>
          <w:szCs w:val="21"/>
        </w:rPr>
        <w:t> </w:t>
      </w:r>
      <w:r>
        <w:rPr>
          <w:rFonts w:ascii="宋体" w:hAnsi="宋体" w:cs="宋体" w:eastAsia="宋体" w:hint="default"/>
          <w:sz w:val="21"/>
          <w:szCs w:val="21"/>
        </w:rPr>
        <w:t>套餐体系，包括自由组合套餐、全国套餐、本地套餐、校园套餐和共享套餐等，大力推</w:t>
      </w:r>
      <w:r>
        <w:rPr>
          <w:rFonts w:ascii="宋体" w:hAnsi="宋体" w:cs="宋体" w:eastAsia="宋体" w:hint="default"/>
          <w:w w:val="100"/>
          <w:sz w:val="21"/>
          <w:szCs w:val="21"/>
        </w:rPr>
        <w:t> </w:t>
      </w:r>
      <w:r>
        <w:rPr>
          <w:rFonts w:ascii="宋体" w:hAnsi="宋体" w:cs="宋体" w:eastAsia="宋体" w:hint="default"/>
          <w:sz w:val="21"/>
          <w:szCs w:val="21"/>
        </w:rPr>
        <w:t>广“双 </w:t>
      </w:r>
      <w:r>
        <w:rPr>
          <w:rFonts w:ascii="Arial" w:hAnsi="Arial" w:cs="Arial" w:eastAsia="Arial" w:hint="default"/>
          <w:sz w:val="21"/>
          <w:szCs w:val="21"/>
        </w:rPr>
        <w:t>4G </w:t>
      </w:r>
      <w:r>
        <w:rPr>
          <w:rFonts w:ascii="宋体" w:hAnsi="宋体" w:cs="宋体" w:eastAsia="宋体" w:hint="default"/>
          <w:spacing w:val="-5"/>
          <w:sz w:val="21"/>
          <w:szCs w:val="21"/>
        </w:rPr>
        <w:t>双百兆”营销活动，积极开展存量用户迁移，以终端、产品、合约拉动移动宽</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带业务快速发展。推出全国统一运营的“沃易购”</w:t>
      </w:r>
      <w:r>
        <w:rPr>
          <w:rFonts w:ascii="Arial" w:hAnsi="Arial" w:cs="Arial" w:eastAsia="Arial" w:hint="default"/>
          <w:sz w:val="21"/>
          <w:szCs w:val="21"/>
        </w:rPr>
        <w:t>B2B</w:t>
      </w:r>
      <w:r>
        <w:rPr>
          <w:rFonts w:ascii="Arial" w:hAnsi="Arial" w:cs="Arial" w:eastAsia="Arial" w:hint="default"/>
          <w:spacing w:val="-10"/>
          <w:sz w:val="21"/>
          <w:szCs w:val="21"/>
        </w:rPr>
        <w:t> </w:t>
      </w:r>
      <w:r>
        <w:rPr>
          <w:rFonts w:ascii="宋体" w:hAnsi="宋体" w:cs="宋体" w:eastAsia="宋体" w:hint="default"/>
          <w:sz w:val="21"/>
          <w:szCs w:val="21"/>
        </w:rPr>
        <w:t>平台，创新合作模式，依托电子</w:t>
      </w:r>
      <w:r>
        <w:rPr>
          <w:rFonts w:ascii="宋体" w:hAnsi="宋体" w:cs="宋体" w:eastAsia="宋体" w:hint="default"/>
          <w:w w:val="100"/>
          <w:sz w:val="21"/>
          <w:szCs w:val="21"/>
        </w:rPr>
        <w:t> </w:t>
      </w:r>
      <w:r>
        <w:rPr>
          <w:rFonts w:ascii="宋体" w:hAnsi="宋体" w:cs="宋体" w:eastAsia="宋体" w:hint="default"/>
          <w:spacing w:val="-2"/>
          <w:sz w:val="21"/>
          <w:szCs w:val="21"/>
        </w:rPr>
        <w:t>商务平台支撑线上线下渠道一体化发展，全面提升渠道效能。深入推进</w:t>
      </w:r>
      <w:r>
        <w:rPr>
          <w:rFonts w:ascii="宋体" w:hAnsi="宋体" w:cs="宋体" w:eastAsia="宋体" w:hint="default"/>
          <w:sz w:val="21"/>
          <w:szCs w:val="21"/>
        </w:rPr>
        <w:t> </w:t>
      </w:r>
      <w:r>
        <w:rPr>
          <w:rFonts w:ascii="Arial" w:hAnsi="Arial" w:cs="Arial" w:eastAsia="Arial" w:hint="default"/>
          <w:spacing w:val="-1"/>
          <w:sz w:val="21"/>
          <w:szCs w:val="21"/>
        </w:rPr>
        <w:t>WO+</w:t>
      </w:r>
      <w:r>
        <w:rPr>
          <w:rFonts w:ascii="宋体" w:hAnsi="宋体" w:cs="宋体" w:eastAsia="宋体" w:hint="default"/>
          <w:spacing w:val="-1"/>
          <w:sz w:val="21"/>
          <w:szCs w:val="21"/>
        </w:rPr>
        <w:t>开放体系，</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通过与互联网公司前后向流量合作、联合运营及互为渠道拓展用户触点等合作模式，创</w:t>
      </w:r>
      <w:r>
        <w:rPr>
          <w:rFonts w:ascii="宋体" w:hAnsi="宋体" w:cs="宋体" w:eastAsia="宋体" w:hint="default"/>
          <w:w w:val="100"/>
          <w:sz w:val="21"/>
          <w:szCs w:val="21"/>
        </w:rPr>
        <w:t> </w:t>
      </w:r>
      <w:r>
        <w:rPr>
          <w:rFonts w:ascii="宋体" w:hAnsi="宋体" w:cs="宋体" w:eastAsia="宋体" w:hint="default"/>
          <w:sz w:val="21"/>
          <w:szCs w:val="21"/>
        </w:rPr>
        <w:t>新推出“流量半年包”、“流量银行”等产品，全面开展面向互联网的价值经营。公司</w:t>
      </w:r>
      <w:r>
        <w:rPr>
          <w:rFonts w:ascii="宋体" w:hAnsi="宋体" w:cs="宋体" w:eastAsia="宋体" w:hint="default"/>
          <w:w w:val="100"/>
          <w:sz w:val="21"/>
          <w:szCs w:val="21"/>
        </w:rPr>
        <w:t> </w:t>
      </w:r>
      <w:r>
        <w:rPr>
          <w:rFonts w:ascii="宋体" w:hAnsi="宋体" w:cs="宋体" w:eastAsia="宋体" w:hint="default"/>
          <w:sz w:val="21"/>
          <w:szCs w:val="21"/>
        </w:rPr>
        <w:t>移动宽带用户净增</w:t>
      </w:r>
      <w:r>
        <w:rPr>
          <w:rFonts w:ascii="宋体" w:hAnsi="宋体" w:cs="宋体" w:eastAsia="宋体" w:hint="default"/>
          <w:spacing w:val="-49"/>
          <w:sz w:val="21"/>
          <w:szCs w:val="21"/>
        </w:rPr>
        <w:t> </w:t>
      </w:r>
      <w:r>
        <w:rPr>
          <w:rFonts w:ascii="Arial" w:hAnsi="Arial" w:cs="Arial" w:eastAsia="Arial" w:hint="default"/>
          <w:sz w:val="21"/>
          <w:szCs w:val="21"/>
        </w:rPr>
        <w:t>2,650.5</w:t>
      </w:r>
      <w:r>
        <w:rPr>
          <w:rFonts w:ascii="Arial" w:hAnsi="Arial" w:cs="Arial" w:eastAsia="Arial" w:hint="default"/>
          <w:spacing w:val="-3"/>
          <w:sz w:val="21"/>
          <w:szCs w:val="21"/>
        </w:rPr>
        <w:t> </w:t>
      </w:r>
      <w:r>
        <w:rPr>
          <w:rFonts w:ascii="宋体" w:hAnsi="宋体" w:cs="宋体" w:eastAsia="宋体" w:hint="default"/>
          <w:spacing w:val="-10"/>
          <w:sz w:val="21"/>
          <w:szCs w:val="21"/>
        </w:rPr>
        <w:t>万户，达到</w:t>
      </w:r>
      <w:r>
        <w:rPr>
          <w:rFonts w:ascii="宋体" w:hAnsi="宋体" w:cs="宋体" w:eastAsia="宋体" w:hint="default"/>
          <w:spacing w:val="-49"/>
          <w:sz w:val="21"/>
          <w:szCs w:val="21"/>
        </w:rPr>
        <w:t> </w:t>
      </w:r>
      <w:r>
        <w:rPr>
          <w:rFonts w:ascii="Arial" w:hAnsi="Arial" w:cs="Arial" w:eastAsia="Arial" w:hint="default"/>
          <w:sz w:val="21"/>
          <w:szCs w:val="21"/>
        </w:rPr>
        <w:t>14,910.5</w:t>
      </w:r>
      <w:r>
        <w:rPr>
          <w:rFonts w:ascii="Arial" w:hAnsi="Arial" w:cs="Arial" w:eastAsia="Arial" w:hint="default"/>
          <w:spacing w:val="-3"/>
          <w:sz w:val="21"/>
          <w:szCs w:val="21"/>
        </w:rPr>
        <w:t> </w:t>
      </w:r>
      <w:r>
        <w:rPr>
          <w:rFonts w:ascii="宋体" w:hAnsi="宋体" w:cs="宋体" w:eastAsia="宋体" w:hint="default"/>
          <w:spacing w:val="-7"/>
          <w:sz w:val="21"/>
          <w:szCs w:val="21"/>
        </w:rPr>
        <w:t>万户，其中，无线上网卡用户达到</w:t>
      </w:r>
      <w:r>
        <w:rPr>
          <w:rFonts w:ascii="宋体" w:hAnsi="宋体" w:cs="宋体" w:eastAsia="宋体" w:hint="default"/>
          <w:spacing w:val="-49"/>
          <w:sz w:val="21"/>
          <w:szCs w:val="21"/>
        </w:rPr>
        <w:t> </w:t>
      </w:r>
      <w:r>
        <w:rPr>
          <w:rFonts w:ascii="Arial" w:hAnsi="Arial" w:cs="Arial" w:eastAsia="Arial" w:hint="default"/>
          <w:sz w:val="21"/>
          <w:szCs w:val="21"/>
        </w:rPr>
        <w:t>806.4</w:t>
      </w:r>
      <w:r>
        <w:rPr>
          <w:rFonts w:ascii="Arial" w:hAnsi="Arial" w:cs="Arial" w:eastAsia="Arial" w:hint="default"/>
          <w:spacing w:val="-55"/>
          <w:sz w:val="21"/>
          <w:szCs w:val="21"/>
        </w:rPr>
        <w:t> </w:t>
      </w:r>
      <w:r>
        <w:rPr>
          <w:rFonts w:ascii="Arial" w:hAnsi="Arial" w:cs="Arial" w:eastAsia="Arial" w:hint="default"/>
          <w:spacing w:val="-55"/>
          <w:sz w:val="21"/>
          <w:szCs w:val="21"/>
        </w:rPr>
      </w:r>
      <w:r>
        <w:rPr>
          <w:rFonts w:ascii="宋体" w:hAnsi="宋体" w:cs="宋体" w:eastAsia="宋体" w:hint="default"/>
          <w:spacing w:val="-4"/>
          <w:sz w:val="21"/>
          <w:szCs w:val="21"/>
        </w:rPr>
        <w:t>万户；移动宽带手机数据流量达到</w:t>
      </w:r>
      <w:r>
        <w:rPr>
          <w:rFonts w:ascii="宋体" w:hAnsi="宋体" w:cs="宋体" w:eastAsia="宋体" w:hint="default"/>
          <w:spacing w:val="-43"/>
          <w:sz w:val="21"/>
          <w:szCs w:val="21"/>
        </w:rPr>
        <w:t> </w:t>
      </w:r>
      <w:r>
        <w:rPr>
          <w:rFonts w:ascii="Arial" w:hAnsi="Arial" w:cs="Arial" w:eastAsia="Arial" w:hint="default"/>
          <w:sz w:val="21"/>
          <w:szCs w:val="21"/>
        </w:rPr>
        <w:t>3,531.9 </w:t>
      </w:r>
      <w:r>
        <w:rPr>
          <w:rFonts w:ascii="宋体" w:hAnsi="宋体" w:cs="宋体" w:eastAsia="宋体" w:hint="default"/>
          <w:sz w:val="21"/>
          <w:szCs w:val="21"/>
        </w:rPr>
        <w:t>亿</w:t>
      </w:r>
      <w:r>
        <w:rPr>
          <w:rFonts w:ascii="宋体" w:hAnsi="宋体" w:cs="宋体" w:eastAsia="宋体" w:hint="default"/>
          <w:spacing w:val="-44"/>
          <w:sz w:val="21"/>
          <w:szCs w:val="21"/>
        </w:rPr>
        <w:t> </w:t>
      </w:r>
      <w:r>
        <w:rPr>
          <w:rFonts w:ascii="Arial" w:hAnsi="Arial" w:cs="Arial" w:eastAsia="Arial" w:hint="default"/>
          <w:spacing w:val="-7"/>
          <w:sz w:val="21"/>
          <w:szCs w:val="21"/>
        </w:rPr>
        <w:t>MB</w:t>
      </w:r>
      <w:r>
        <w:rPr>
          <w:rFonts w:ascii="宋体" w:hAnsi="宋体" w:cs="宋体" w:eastAsia="宋体" w:hint="default"/>
          <w:spacing w:val="-7"/>
          <w:sz w:val="21"/>
          <w:szCs w:val="21"/>
        </w:rPr>
        <w:t>，同比增长</w:t>
      </w:r>
      <w:r>
        <w:rPr>
          <w:rFonts w:ascii="宋体" w:hAnsi="宋体" w:cs="宋体" w:eastAsia="宋体" w:hint="default"/>
          <w:spacing w:val="-43"/>
          <w:sz w:val="21"/>
          <w:szCs w:val="21"/>
        </w:rPr>
        <w:t> </w:t>
      </w:r>
      <w:r>
        <w:rPr>
          <w:rFonts w:ascii="Arial" w:hAnsi="Arial" w:cs="Arial" w:eastAsia="Arial" w:hint="default"/>
          <w:spacing w:val="-5"/>
          <w:sz w:val="21"/>
          <w:szCs w:val="21"/>
        </w:rPr>
        <w:t>69%</w:t>
      </w:r>
      <w:r>
        <w:rPr>
          <w:rFonts w:ascii="宋体" w:hAnsi="宋体" w:cs="宋体" w:eastAsia="宋体" w:hint="default"/>
          <w:spacing w:val="-5"/>
          <w:sz w:val="21"/>
          <w:szCs w:val="21"/>
        </w:rPr>
        <w:t>，移动宽带用户</w:t>
      </w:r>
      <w:r>
        <w:rPr>
          <w:rFonts w:ascii="宋体" w:hAnsi="宋体" w:cs="宋体" w:eastAsia="宋体" w:hint="default"/>
          <w:spacing w:val="-47"/>
          <w:sz w:val="21"/>
          <w:szCs w:val="21"/>
        </w:rPr>
        <w:t> </w:t>
      </w:r>
      <w:r>
        <w:rPr>
          <w:rFonts w:ascii="Arial" w:hAnsi="Arial" w:cs="Arial" w:eastAsia="Arial" w:hint="default"/>
          <w:sz w:val="21"/>
          <w:szCs w:val="21"/>
        </w:rPr>
        <w:t>ARPU</w:t>
      </w:r>
      <w:r>
        <w:rPr>
          <w:rFonts w:ascii="Arial" w:hAnsi="Arial" w:cs="Arial" w:eastAsia="Arial" w:hint="default"/>
          <w:spacing w:val="-49"/>
          <w:sz w:val="21"/>
          <w:szCs w:val="21"/>
        </w:rPr>
        <w:t> </w:t>
      </w:r>
      <w:r>
        <w:rPr>
          <w:rFonts w:ascii="Arial" w:hAnsi="Arial" w:cs="Arial" w:eastAsia="Arial" w:hint="default"/>
          <w:spacing w:val="-49"/>
          <w:sz w:val="21"/>
          <w:szCs w:val="21"/>
        </w:rPr>
      </w:r>
      <w:r>
        <w:rPr>
          <w:rFonts w:ascii="宋体" w:hAnsi="宋体" w:cs="宋体" w:eastAsia="宋体" w:hint="default"/>
          <w:sz w:val="21"/>
          <w:szCs w:val="21"/>
        </w:rPr>
        <w:t>为人民币</w:t>
      </w:r>
      <w:r>
        <w:rPr>
          <w:rFonts w:ascii="宋体" w:hAnsi="宋体" w:cs="宋体" w:eastAsia="宋体" w:hint="default"/>
          <w:spacing w:val="-42"/>
          <w:sz w:val="21"/>
          <w:szCs w:val="21"/>
        </w:rPr>
        <w:t> </w:t>
      </w:r>
      <w:r>
        <w:rPr>
          <w:rFonts w:ascii="Arial" w:hAnsi="Arial" w:cs="Arial" w:eastAsia="Arial" w:hint="default"/>
          <w:sz w:val="21"/>
          <w:szCs w:val="21"/>
        </w:rPr>
        <w:t>63.6</w:t>
      </w:r>
      <w:r>
        <w:rPr>
          <w:rFonts w:ascii="Arial" w:hAnsi="Arial" w:cs="Arial" w:eastAsia="Arial" w:hint="default"/>
          <w:spacing w:val="4"/>
          <w:sz w:val="21"/>
          <w:szCs w:val="21"/>
        </w:rPr>
        <w:t> </w:t>
      </w:r>
      <w:r>
        <w:rPr>
          <w:rFonts w:ascii="宋体" w:hAnsi="宋体" w:cs="宋体" w:eastAsia="宋体" w:hint="default"/>
          <w:spacing w:val="-3"/>
          <w:sz w:val="21"/>
          <w:szCs w:val="21"/>
        </w:rPr>
        <w:t>元；</w:t>
      </w:r>
      <w:r>
        <w:rPr>
          <w:rFonts w:ascii="Arial" w:hAnsi="Arial" w:cs="Arial" w:eastAsia="Arial" w:hint="default"/>
          <w:spacing w:val="-3"/>
          <w:sz w:val="21"/>
          <w:szCs w:val="21"/>
        </w:rPr>
        <w:t>WO+</w:t>
      </w:r>
      <w:r>
        <w:rPr>
          <w:rFonts w:ascii="宋体" w:hAnsi="宋体" w:cs="宋体" w:eastAsia="宋体" w:hint="default"/>
          <w:spacing w:val="-3"/>
          <w:sz w:val="21"/>
          <w:szCs w:val="21"/>
        </w:rPr>
        <w:t>能力开放业务相关能力调用次数达到</w:t>
      </w:r>
      <w:r>
        <w:rPr>
          <w:rFonts w:ascii="宋体" w:hAnsi="宋体" w:cs="宋体" w:eastAsia="宋体" w:hint="default"/>
          <w:spacing w:val="-42"/>
          <w:sz w:val="21"/>
          <w:szCs w:val="21"/>
        </w:rPr>
        <w:t> </w:t>
      </w:r>
      <w:r>
        <w:rPr>
          <w:rFonts w:ascii="Arial" w:hAnsi="Arial" w:cs="Arial" w:eastAsia="Arial" w:hint="default"/>
          <w:sz w:val="21"/>
          <w:szCs w:val="21"/>
        </w:rPr>
        <w:t>3.3</w:t>
      </w:r>
      <w:r>
        <w:rPr>
          <w:rFonts w:ascii="Arial" w:hAnsi="Arial" w:cs="Arial" w:eastAsia="Arial" w:hint="default"/>
          <w:spacing w:val="4"/>
          <w:sz w:val="21"/>
          <w:szCs w:val="21"/>
        </w:rPr>
        <w:t> </w:t>
      </w:r>
      <w:r>
        <w:rPr>
          <w:rFonts w:ascii="宋体" w:hAnsi="宋体" w:cs="宋体" w:eastAsia="宋体" w:hint="default"/>
          <w:spacing w:val="-4"/>
          <w:sz w:val="21"/>
          <w:szCs w:val="21"/>
        </w:rPr>
        <w:t>亿次，手机音乐使用用</w:t>
      </w:r>
    </w:p>
    <w:p>
      <w:pPr>
        <w:spacing w:line="273" w:lineRule="exact" w:before="0"/>
        <w:ind w:left="846" w:right="204" w:firstLine="0"/>
        <w:jc w:val="left"/>
        <w:rPr>
          <w:rFonts w:ascii="宋体" w:hAnsi="宋体" w:cs="宋体" w:eastAsia="宋体" w:hint="default"/>
          <w:sz w:val="21"/>
          <w:szCs w:val="21"/>
        </w:rPr>
      </w:pPr>
      <w:r>
        <w:rPr>
          <w:rFonts w:ascii="宋体" w:hAnsi="宋体" w:cs="宋体" w:eastAsia="宋体" w:hint="default"/>
          <w:sz w:val="21"/>
          <w:szCs w:val="21"/>
        </w:rPr>
        <w:t>户达到</w:t>
      </w:r>
      <w:r>
        <w:rPr>
          <w:rFonts w:ascii="宋体" w:hAnsi="宋体" w:cs="宋体" w:eastAsia="宋体" w:hint="default"/>
          <w:spacing w:val="-53"/>
          <w:sz w:val="21"/>
          <w:szCs w:val="21"/>
        </w:rPr>
        <w:t> </w:t>
      </w:r>
      <w:r>
        <w:rPr>
          <w:rFonts w:ascii="Arial" w:hAnsi="Arial" w:cs="Arial" w:eastAsia="Arial" w:hint="default"/>
          <w:sz w:val="21"/>
          <w:szCs w:val="21"/>
        </w:rPr>
        <w:t>4,065</w:t>
      </w:r>
      <w:r>
        <w:rPr>
          <w:rFonts w:ascii="Arial" w:hAnsi="Arial" w:cs="Arial" w:eastAsia="Arial" w:hint="default"/>
          <w:spacing w:val="-5"/>
          <w:sz w:val="21"/>
          <w:szCs w:val="21"/>
        </w:rPr>
        <w:t> </w:t>
      </w:r>
      <w:r>
        <w:rPr>
          <w:rFonts w:ascii="宋体" w:hAnsi="宋体" w:cs="宋体" w:eastAsia="宋体" w:hint="default"/>
          <w:sz w:val="21"/>
          <w:szCs w:val="21"/>
        </w:rPr>
        <w:t>万户。</w:t>
      </w:r>
    </w:p>
    <w:p>
      <w:pPr>
        <w:spacing w:line="240" w:lineRule="auto" w:before="1"/>
        <w:rPr>
          <w:rFonts w:ascii="宋体" w:hAnsi="宋体" w:cs="宋体" w:eastAsia="宋体" w:hint="default"/>
          <w:sz w:val="17"/>
          <w:szCs w:val="17"/>
        </w:rPr>
      </w:pPr>
    </w:p>
    <w:p>
      <w:pPr>
        <w:spacing w:before="0"/>
        <w:ind w:left="0" w:right="6949" w:firstLine="0"/>
        <w:jc w:val="center"/>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固网业务</w:t>
      </w:r>
    </w:p>
    <w:p>
      <w:pPr>
        <w:spacing w:line="240" w:lineRule="auto" w:before="6"/>
        <w:rPr>
          <w:rFonts w:ascii="宋体" w:hAnsi="宋体" w:cs="宋体" w:eastAsia="宋体" w:hint="default"/>
          <w:sz w:val="17"/>
          <w:szCs w:val="17"/>
        </w:rPr>
      </w:pPr>
    </w:p>
    <w:p>
      <w:pPr>
        <w:spacing w:line="235" w:lineRule="auto" w:before="0"/>
        <w:ind w:left="846" w:right="100" w:firstLine="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9"/>
          <w:sz w:val="21"/>
          <w:szCs w:val="21"/>
        </w:rPr>
        <w:t> </w:t>
      </w:r>
      <w:r>
        <w:rPr>
          <w:rFonts w:ascii="宋体" w:hAnsi="宋体" w:cs="宋体" w:eastAsia="宋体" w:hint="default"/>
          <w:sz w:val="21"/>
          <w:szCs w:val="21"/>
        </w:rPr>
        <w:t>年，公司进一步加强固网专业化营销体系建设，深入推进固网宽带存量经营工作，</w:t>
      </w:r>
      <w:r>
        <w:rPr>
          <w:rFonts w:ascii="宋体" w:hAnsi="宋体" w:cs="宋体" w:eastAsia="宋体" w:hint="default"/>
          <w:w w:val="100"/>
          <w:sz w:val="21"/>
          <w:szCs w:val="21"/>
        </w:rPr>
        <w:t> </w:t>
      </w:r>
      <w:r>
        <w:rPr>
          <w:rFonts w:ascii="宋体" w:hAnsi="宋体" w:cs="宋体" w:eastAsia="宋体" w:hint="default"/>
          <w:spacing w:val="-2"/>
          <w:sz w:val="21"/>
          <w:szCs w:val="21"/>
        </w:rPr>
        <w:t>加强固移融合业务营销，实现服务品质和用户价值双提升；借助“宽带中国”专项行动，</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快速实施光纤网络改造，协同开展提速营销，光纤宽带用户占比稳步提升，固网收入结</w:t>
      </w:r>
      <w:r>
        <w:rPr>
          <w:rFonts w:ascii="宋体" w:hAnsi="宋体" w:cs="宋体" w:eastAsia="宋体" w:hint="default"/>
          <w:w w:val="100"/>
          <w:sz w:val="21"/>
          <w:szCs w:val="21"/>
        </w:rPr>
        <w:t> </w:t>
      </w:r>
      <w:r>
        <w:rPr>
          <w:rFonts w:ascii="宋体" w:hAnsi="宋体" w:cs="宋体" w:eastAsia="宋体" w:hint="default"/>
          <w:spacing w:val="-3"/>
          <w:sz w:val="21"/>
          <w:szCs w:val="21"/>
        </w:rPr>
        <w:t>构持续改善。宽带用户净增</w:t>
      </w:r>
      <w:r>
        <w:rPr>
          <w:rFonts w:ascii="宋体" w:hAnsi="宋体" w:cs="宋体" w:eastAsia="宋体" w:hint="default"/>
          <w:spacing w:val="-46"/>
          <w:sz w:val="21"/>
          <w:szCs w:val="21"/>
        </w:rPr>
        <w:t> </w:t>
      </w:r>
      <w:r>
        <w:rPr>
          <w:rFonts w:ascii="Arial" w:hAnsi="Arial" w:cs="Arial" w:eastAsia="Arial" w:hint="default"/>
          <w:sz w:val="21"/>
          <w:szCs w:val="21"/>
        </w:rPr>
        <w:t>414.3</w:t>
      </w:r>
      <w:r>
        <w:rPr>
          <w:rFonts w:ascii="Arial" w:hAnsi="Arial" w:cs="Arial" w:eastAsia="Arial" w:hint="default"/>
          <w:spacing w:val="1"/>
          <w:sz w:val="21"/>
          <w:szCs w:val="21"/>
        </w:rPr>
        <w:t> </w:t>
      </w:r>
      <w:r>
        <w:rPr>
          <w:rFonts w:ascii="宋体" w:hAnsi="宋体" w:cs="宋体" w:eastAsia="宋体" w:hint="default"/>
          <w:spacing w:val="-6"/>
          <w:sz w:val="21"/>
          <w:szCs w:val="21"/>
        </w:rPr>
        <w:t>万户，达到</w:t>
      </w:r>
      <w:r>
        <w:rPr>
          <w:rFonts w:ascii="宋体" w:hAnsi="宋体" w:cs="宋体" w:eastAsia="宋体" w:hint="default"/>
          <w:spacing w:val="-48"/>
          <w:sz w:val="21"/>
          <w:szCs w:val="21"/>
        </w:rPr>
        <w:t> </w:t>
      </w:r>
      <w:r>
        <w:rPr>
          <w:rFonts w:ascii="Arial" w:hAnsi="Arial" w:cs="Arial" w:eastAsia="Arial" w:hint="default"/>
          <w:sz w:val="21"/>
          <w:szCs w:val="21"/>
        </w:rPr>
        <w:t>6,879</w:t>
      </w:r>
      <w:r>
        <w:rPr>
          <w:rFonts w:ascii="Arial" w:hAnsi="Arial" w:cs="Arial" w:eastAsia="Arial" w:hint="default"/>
          <w:spacing w:val="-1"/>
          <w:sz w:val="21"/>
          <w:szCs w:val="21"/>
        </w:rPr>
        <w:t> </w:t>
      </w:r>
      <w:r>
        <w:rPr>
          <w:rFonts w:ascii="宋体" w:hAnsi="宋体" w:cs="宋体" w:eastAsia="宋体" w:hint="default"/>
          <w:spacing w:val="-5"/>
          <w:sz w:val="21"/>
          <w:szCs w:val="21"/>
        </w:rPr>
        <w:t>万户；</w:t>
      </w:r>
      <w:r>
        <w:rPr>
          <w:rFonts w:ascii="Arial" w:hAnsi="Arial" w:cs="Arial" w:eastAsia="Arial" w:hint="default"/>
          <w:spacing w:val="-5"/>
          <w:sz w:val="21"/>
          <w:szCs w:val="21"/>
        </w:rPr>
        <w:t>4M</w:t>
      </w:r>
      <w:r>
        <w:rPr>
          <w:rFonts w:ascii="Arial" w:hAnsi="Arial" w:cs="Arial" w:eastAsia="Arial" w:hint="default"/>
          <w:spacing w:val="-2"/>
          <w:sz w:val="21"/>
          <w:szCs w:val="21"/>
        </w:rPr>
        <w:t> </w:t>
      </w:r>
      <w:r>
        <w:rPr>
          <w:rFonts w:ascii="宋体" w:hAnsi="宋体" w:cs="宋体" w:eastAsia="宋体" w:hint="default"/>
          <w:sz w:val="21"/>
          <w:szCs w:val="21"/>
        </w:rPr>
        <w:t>及以上速率宽带用户占比</w:t>
      </w:r>
    </w:p>
    <w:p>
      <w:pPr>
        <w:spacing w:line="264" w:lineRule="exact" w:before="0"/>
        <w:ind w:left="846" w:right="100" w:firstLine="0"/>
        <w:jc w:val="left"/>
        <w:rPr>
          <w:rFonts w:ascii="Arial" w:hAnsi="Arial" w:cs="Arial" w:eastAsia="Arial" w:hint="default"/>
          <w:sz w:val="21"/>
          <w:szCs w:val="21"/>
        </w:rPr>
      </w:pPr>
      <w:r>
        <w:rPr>
          <w:rFonts w:ascii="宋体" w:hAnsi="宋体" w:cs="宋体" w:eastAsia="宋体" w:hint="default"/>
          <w:w w:val="100"/>
          <w:sz w:val="21"/>
          <w:szCs w:val="21"/>
        </w:rPr>
        <w:t>达到</w:t>
      </w:r>
      <w:r>
        <w:rPr>
          <w:rFonts w:ascii="宋体" w:hAnsi="宋体" w:cs="宋体" w:eastAsia="宋体" w:hint="default"/>
          <w:spacing w:val="-77"/>
          <w:sz w:val="21"/>
          <w:szCs w:val="21"/>
        </w:rPr>
        <w:t> </w:t>
      </w:r>
      <w:r>
        <w:rPr>
          <w:rFonts w:ascii="Arial" w:hAnsi="Arial" w:cs="Arial" w:eastAsia="Arial" w:hint="default"/>
          <w:spacing w:val="-3"/>
          <w:w w:val="100"/>
          <w:sz w:val="21"/>
          <w:szCs w:val="21"/>
        </w:rPr>
        <w:t>8</w:t>
      </w:r>
      <w:r>
        <w:rPr>
          <w:rFonts w:ascii="Arial" w:hAnsi="Arial" w:cs="Arial" w:eastAsia="Arial" w:hint="default"/>
          <w:w w:val="100"/>
          <w:sz w:val="21"/>
          <w:szCs w:val="21"/>
        </w:rPr>
        <w:t>8</w:t>
      </w:r>
      <w:r>
        <w:rPr>
          <w:rFonts w:ascii="Arial" w:hAnsi="Arial" w:cs="Arial" w:eastAsia="Arial" w:hint="default"/>
          <w:spacing w:val="-1"/>
          <w:w w:val="100"/>
          <w:sz w:val="21"/>
          <w:szCs w:val="21"/>
        </w:rPr>
        <w:t>.</w:t>
      </w:r>
      <w:r>
        <w:rPr>
          <w:rFonts w:ascii="Arial" w:hAnsi="Arial" w:cs="Arial" w:eastAsia="Arial"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同</w:t>
      </w:r>
      <w:r>
        <w:rPr>
          <w:rFonts w:ascii="宋体" w:hAnsi="宋体" w:cs="宋体" w:eastAsia="宋体" w:hint="default"/>
          <w:w w:val="100"/>
          <w:sz w:val="21"/>
          <w:szCs w:val="21"/>
        </w:rPr>
        <w:t>比</w:t>
      </w:r>
      <w:r>
        <w:rPr>
          <w:rFonts w:ascii="宋体" w:hAnsi="宋体" w:cs="宋体" w:eastAsia="宋体" w:hint="default"/>
          <w:spacing w:val="-3"/>
          <w:w w:val="100"/>
          <w:sz w:val="21"/>
          <w:szCs w:val="21"/>
        </w:rPr>
        <w:t>提</w:t>
      </w:r>
      <w:r>
        <w:rPr>
          <w:rFonts w:ascii="宋体" w:hAnsi="宋体" w:cs="宋体" w:eastAsia="宋体" w:hint="default"/>
          <w:w w:val="100"/>
          <w:sz w:val="21"/>
          <w:szCs w:val="21"/>
        </w:rPr>
        <w:t>高</w:t>
      </w:r>
      <w:r>
        <w:rPr>
          <w:rFonts w:ascii="宋体" w:hAnsi="宋体" w:cs="宋体" w:eastAsia="宋体" w:hint="default"/>
          <w:spacing w:val="-77"/>
          <w:sz w:val="21"/>
          <w:szCs w:val="21"/>
        </w:rPr>
        <w:t> </w:t>
      </w:r>
      <w:r>
        <w:rPr>
          <w:rFonts w:ascii="Arial" w:hAnsi="Arial" w:cs="Arial" w:eastAsia="Arial" w:hint="default"/>
          <w:w w:val="100"/>
          <w:sz w:val="21"/>
          <w:szCs w:val="21"/>
        </w:rPr>
        <w:t>9</w:t>
      </w:r>
      <w:r>
        <w:rPr>
          <w:rFonts w:ascii="Arial" w:hAnsi="Arial" w:cs="Arial" w:eastAsia="Arial" w:hint="default"/>
          <w:spacing w:val="-1"/>
          <w:w w:val="100"/>
          <w:sz w:val="21"/>
          <w:szCs w:val="21"/>
        </w:rPr>
        <w:t>.</w:t>
      </w:r>
      <w:r>
        <w:rPr>
          <w:rFonts w:ascii="Arial" w:hAnsi="Arial" w:cs="Arial" w:eastAsia="Arial" w:hint="default"/>
          <w:w w:val="100"/>
          <w:sz w:val="21"/>
          <w:szCs w:val="21"/>
        </w:rPr>
        <w:t>4</w:t>
      </w:r>
      <w:r>
        <w:rPr>
          <w:rFonts w:ascii="Arial" w:hAnsi="Arial" w:cs="Arial" w:eastAsia="Arial" w:hint="default"/>
          <w:spacing w:val="-32"/>
          <w:sz w:val="21"/>
          <w:szCs w:val="21"/>
        </w:rPr>
        <w:t> </w:t>
      </w:r>
      <w:r>
        <w:rPr>
          <w:rFonts w:ascii="宋体" w:hAnsi="宋体" w:cs="宋体" w:eastAsia="宋体" w:hint="default"/>
          <w:w w:val="100"/>
          <w:sz w:val="21"/>
          <w:szCs w:val="21"/>
        </w:rPr>
        <w:t>个百</w:t>
      </w:r>
      <w:r>
        <w:rPr>
          <w:rFonts w:ascii="宋体" w:hAnsi="宋体" w:cs="宋体" w:eastAsia="宋体" w:hint="default"/>
          <w:spacing w:val="-3"/>
          <w:w w:val="100"/>
          <w:sz w:val="21"/>
          <w:szCs w:val="21"/>
        </w:rPr>
        <w:t>分</w:t>
      </w:r>
      <w:r>
        <w:rPr>
          <w:rFonts w:ascii="宋体" w:hAnsi="宋体" w:cs="宋体" w:eastAsia="宋体" w:hint="default"/>
          <w:w w:val="100"/>
          <w:sz w:val="21"/>
          <w:szCs w:val="21"/>
        </w:rPr>
        <w:t>点</w:t>
      </w:r>
      <w:r>
        <w:rPr>
          <w:rFonts w:ascii="宋体" w:hAnsi="宋体" w:cs="宋体" w:eastAsia="宋体" w:hint="default"/>
          <w:spacing w:val="-108"/>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地</w:t>
      </w:r>
      <w:r>
        <w:rPr>
          <w:rFonts w:ascii="宋体" w:hAnsi="宋体" w:cs="宋体" w:eastAsia="宋体" w:hint="default"/>
          <w:w w:val="100"/>
          <w:sz w:val="21"/>
          <w:szCs w:val="21"/>
        </w:rPr>
        <w:t>电</w:t>
      </w:r>
      <w:r>
        <w:rPr>
          <w:rFonts w:ascii="宋体" w:hAnsi="宋体" w:cs="宋体" w:eastAsia="宋体" w:hint="default"/>
          <w:spacing w:val="-3"/>
          <w:w w:val="100"/>
          <w:sz w:val="21"/>
          <w:szCs w:val="21"/>
        </w:rPr>
        <w:t>话</w:t>
      </w:r>
      <w:r>
        <w:rPr>
          <w:rFonts w:ascii="宋体" w:hAnsi="宋体" w:cs="宋体" w:eastAsia="宋体" w:hint="default"/>
          <w:w w:val="100"/>
          <w:sz w:val="21"/>
          <w:szCs w:val="21"/>
        </w:rPr>
        <w:t>用</w:t>
      </w:r>
      <w:r>
        <w:rPr>
          <w:rFonts w:ascii="宋体" w:hAnsi="宋体" w:cs="宋体" w:eastAsia="宋体" w:hint="default"/>
          <w:spacing w:val="-3"/>
          <w:w w:val="100"/>
          <w:sz w:val="21"/>
          <w:szCs w:val="21"/>
        </w:rPr>
        <w:t>户流</w:t>
      </w:r>
      <w:r>
        <w:rPr>
          <w:rFonts w:ascii="宋体" w:hAnsi="宋体" w:cs="宋体" w:eastAsia="宋体" w:hint="default"/>
          <w:w w:val="100"/>
          <w:sz w:val="21"/>
          <w:szCs w:val="21"/>
        </w:rPr>
        <w:t>失</w:t>
      </w:r>
      <w:r>
        <w:rPr>
          <w:rFonts w:ascii="宋体" w:hAnsi="宋体" w:cs="宋体" w:eastAsia="宋体" w:hint="default"/>
          <w:spacing w:val="-77"/>
          <w:sz w:val="21"/>
          <w:szCs w:val="21"/>
        </w:rPr>
        <w:t> </w:t>
      </w:r>
      <w:r>
        <w:rPr>
          <w:rFonts w:ascii="Arial" w:hAnsi="Arial" w:cs="Arial" w:eastAsia="Arial" w:hint="default"/>
          <w:w w:val="100"/>
          <w:sz w:val="21"/>
          <w:szCs w:val="21"/>
        </w:rPr>
        <w:t>558.7</w:t>
      </w:r>
      <w:r>
        <w:rPr>
          <w:rFonts w:ascii="Arial" w:hAnsi="Arial" w:cs="Arial" w:eastAsia="Arial" w:hint="default"/>
          <w:spacing w:val="-32"/>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户</w:t>
      </w:r>
      <w:r>
        <w:rPr>
          <w:rFonts w:ascii="宋体" w:hAnsi="宋体" w:cs="宋体" w:eastAsia="宋体" w:hint="default"/>
          <w:spacing w:val="-106"/>
          <w:w w:val="100"/>
          <w:sz w:val="21"/>
          <w:szCs w:val="21"/>
        </w:rPr>
        <w:t>，</w:t>
      </w:r>
      <w:r>
        <w:rPr>
          <w:rFonts w:ascii="宋体" w:hAnsi="宋体" w:cs="宋体" w:eastAsia="宋体" w:hint="default"/>
          <w:w w:val="100"/>
          <w:sz w:val="21"/>
          <w:szCs w:val="21"/>
        </w:rPr>
        <w:t>用</w:t>
      </w:r>
      <w:r>
        <w:rPr>
          <w:rFonts w:ascii="宋体" w:hAnsi="宋体" w:cs="宋体" w:eastAsia="宋体" w:hint="default"/>
          <w:spacing w:val="-3"/>
          <w:w w:val="100"/>
          <w:sz w:val="21"/>
          <w:szCs w:val="21"/>
        </w:rPr>
        <w:t>户</w:t>
      </w:r>
      <w:r>
        <w:rPr>
          <w:rFonts w:ascii="宋体" w:hAnsi="宋体" w:cs="宋体" w:eastAsia="宋体" w:hint="default"/>
          <w:w w:val="100"/>
          <w:sz w:val="21"/>
          <w:szCs w:val="21"/>
        </w:rPr>
        <w:t>总</w:t>
      </w:r>
      <w:r>
        <w:rPr>
          <w:rFonts w:ascii="宋体" w:hAnsi="宋体" w:cs="宋体" w:eastAsia="宋体" w:hint="default"/>
          <w:spacing w:val="-3"/>
          <w:w w:val="100"/>
          <w:sz w:val="21"/>
          <w:szCs w:val="21"/>
        </w:rPr>
        <w:t>数达</w:t>
      </w:r>
      <w:r>
        <w:rPr>
          <w:rFonts w:ascii="宋体" w:hAnsi="宋体" w:cs="宋体" w:eastAsia="宋体" w:hint="default"/>
          <w:w w:val="100"/>
          <w:sz w:val="21"/>
          <w:szCs w:val="21"/>
        </w:rPr>
        <w:t>到</w:t>
      </w:r>
      <w:r>
        <w:rPr>
          <w:rFonts w:ascii="宋体" w:hAnsi="宋体" w:cs="宋体" w:eastAsia="宋体" w:hint="default"/>
          <w:spacing w:val="-77"/>
          <w:sz w:val="21"/>
          <w:szCs w:val="21"/>
        </w:rPr>
        <w:t> </w:t>
      </w:r>
      <w:r>
        <w:rPr>
          <w:rFonts w:ascii="Arial" w:hAnsi="Arial" w:cs="Arial" w:eastAsia="Arial" w:hint="default"/>
          <w:w w:val="100"/>
          <w:sz w:val="21"/>
          <w:szCs w:val="21"/>
        </w:rPr>
        <w:t>8</w:t>
      </w:r>
      <w:r>
        <w:rPr>
          <w:rFonts w:ascii="Arial" w:hAnsi="Arial" w:cs="Arial" w:eastAsia="Arial" w:hint="default"/>
          <w:spacing w:val="-1"/>
          <w:w w:val="100"/>
          <w:sz w:val="21"/>
          <w:szCs w:val="21"/>
        </w:rPr>
        <w:t>,</w:t>
      </w:r>
      <w:r>
        <w:rPr>
          <w:rFonts w:ascii="Arial" w:hAnsi="Arial" w:cs="Arial" w:eastAsia="Arial" w:hint="default"/>
          <w:w w:val="100"/>
          <w:sz w:val="21"/>
          <w:szCs w:val="21"/>
        </w:rPr>
        <w:t>205.6</w:t>
      </w:r>
    </w:p>
    <w:p>
      <w:pPr>
        <w:spacing w:line="267" w:lineRule="exact" w:before="0"/>
        <w:ind w:left="846" w:right="204" w:firstLine="0"/>
        <w:jc w:val="left"/>
        <w:rPr>
          <w:rFonts w:ascii="宋体" w:hAnsi="宋体" w:cs="宋体" w:eastAsia="宋体" w:hint="default"/>
          <w:sz w:val="21"/>
          <w:szCs w:val="21"/>
        </w:rPr>
      </w:pPr>
      <w:r>
        <w:rPr>
          <w:rFonts w:ascii="宋体" w:hAnsi="宋体" w:cs="宋体" w:eastAsia="宋体" w:hint="default"/>
          <w:sz w:val="21"/>
          <w:szCs w:val="21"/>
        </w:rPr>
        <w:t>万户。</w:t>
      </w:r>
    </w:p>
    <w:p>
      <w:pPr>
        <w:spacing w:line="240" w:lineRule="auto" w:before="3"/>
        <w:rPr>
          <w:rFonts w:ascii="宋体" w:hAnsi="宋体" w:cs="宋体" w:eastAsia="宋体" w:hint="default"/>
          <w:sz w:val="18"/>
          <w:szCs w:val="18"/>
        </w:rPr>
      </w:pPr>
    </w:p>
    <w:p>
      <w:pPr>
        <w:spacing w:before="0"/>
        <w:ind w:left="0" w:right="6949" w:firstLine="0"/>
        <w:jc w:val="center"/>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网络能力</w:t>
      </w:r>
    </w:p>
    <w:p>
      <w:pPr>
        <w:spacing w:line="240" w:lineRule="auto" w:before="3"/>
        <w:rPr>
          <w:rFonts w:ascii="宋体" w:hAnsi="宋体" w:cs="宋体" w:eastAsia="宋体" w:hint="default"/>
          <w:sz w:val="18"/>
          <w:szCs w:val="18"/>
        </w:rPr>
      </w:pPr>
    </w:p>
    <w:p>
      <w:pPr>
        <w:spacing w:line="225" w:lineRule="auto" w:before="0"/>
        <w:ind w:left="846" w:right="100" w:firstLine="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10"/>
          <w:sz w:val="21"/>
          <w:szCs w:val="21"/>
        </w:rPr>
        <w:t> </w:t>
      </w:r>
      <w:r>
        <w:rPr>
          <w:rFonts w:ascii="宋体" w:hAnsi="宋体" w:cs="宋体" w:eastAsia="宋体" w:hint="default"/>
          <w:sz w:val="21"/>
          <w:szCs w:val="21"/>
        </w:rPr>
        <w:t>年，公司进一步加快移动宽带一体化精品网络建设，积极开展</w:t>
      </w:r>
      <w:r>
        <w:rPr>
          <w:rFonts w:ascii="宋体" w:hAnsi="宋体" w:cs="宋体" w:eastAsia="宋体" w:hint="default"/>
          <w:spacing w:val="-54"/>
          <w:sz w:val="21"/>
          <w:szCs w:val="21"/>
        </w:rPr>
        <w:t> </w:t>
      </w:r>
      <w:r>
        <w:rPr>
          <w:rFonts w:ascii="Arial" w:hAnsi="Arial" w:cs="Arial" w:eastAsia="Arial" w:hint="default"/>
          <w:sz w:val="21"/>
          <w:szCs w:val="21"/>
        </w:rPr>
        <w:t>LTE</w:t>
      </w:r>
      <w:r>
        <w:rPr>
          <w:rFonts w:ascii="Arial" w:hAnsi="Arial" w:cs="Arial" w:eastAsia="Arial" w:hint="default"/>
          <w:spacing w:val="-10"/>
          <w:sz w:val="21"/>
          <w:szCs w:val="21"/>
        </w:rPr>
        <w:t> </w:t>
      </w:r>
      <w:r>
        <w:rPr>
          <w:rFonts w:ascii="宋体" w:hAnsi="宋体" w:cs="宋体" w:eastAsia="宋体" w:hint="default"/>
          <w:sz w:val="21"/>
          <w:szCs w:val="21"/>
        </w:rPr>
        <w:t>混合组网试验，</w:t>
      </w:r>
      <w:r>
        <w:rPr>
          <w:rFonts w:ascii="宋体" w:hAnsi="宋体" w:cs="宋体" w:eastAsia="宋体" w:hint="default"/>
          <w:w w:val="100"/>
          <w:sz w:val="21"/>
          <w:szCs w:val="21"/>
        </w:rPr>
        <w:t> </w:t>
      </w:r>
      <w:r>
        <w:rPr>
          <w:rFonts w:ascii="宋体" w:hAnsi="宋体" w:cs="宋体" w:eastAsia="宋体" w:hint="default"/>
          <w:sz w:val="21"/>
          <w:szCs w:val="21"/>
        </w:rPr>
        <w:t>稳步扩大</w:t>
      </w:r>
      <w:r>
        <w:rPr>
          <w:rFonts w:ascii="宋体" w:hAnsi="宋体" w:cs="宋体" w:eastAsia="宋体" w:hint="default"/>
          <w:spacing w:val="-48"/>
          <w:sz w:val="21"/>
          <w:szCs w:val="21"/>
        </w:rPr>
        <w:t> </w:t>
      </w:r>
      <w:r>
        <w:rPr>
          <w:rFonts w:ascii="Arial" w:hAnsi="Arial" w:cs="Arial" w:eastAsia="Arial" w:hint="default"/>
          <w:sz w:val="21"/>
          <w:szCs w:val="21"/>
        </w:rPr>
        <w:t>3G</w:t>
      </w:r>
      <w:r>
        <w:rPr>
          <w:rFonts w:ascii="Arial" w:hAnsi="Arial" w:cs="Arial" w:eastAsia="Arial" w:hint="default"/>
          <w:spacing w:val="-6"/>
          <w:sz w:val="21"/>
          <w:szCs w:val="21"/>
        </w:rPr>
        <w:t> </w:t>
      </w:r>
      <w:r>
        <w:rPr>
          <w:rFonts w:ascii="宋体" w:hAnsi="宋体" w:cs="宋体" w:eastAsia="宋体" w:hint="default"/>
          <w:spacing w:val="-3"/>
          <w:sz w:val="21"/>
          <w:szCs w:val="21"/>
        </w:rPr>
        <w:t>网络覆盖，全年建设移动宽带网络基站</w:t>
      </w:r>
      <w:r>
        <w:rPr>
          <w:rFonts w:ascii="宋体" w:hAnsi="宋体" w:cs="宋体" w:eastAsia="宋体" w:hint="default"/>
          <w:spacing w:val="-49"/>
          <w:sz w:val="21"/>
          <w:szCs w:val="21"/>
        </w:rPr>
        <w:t> </w:t>
      </w:r>
      <w:r>
        <w:rPr>
          <w:rFonts w:ascii="Arial" w:hAnsi="Arial" w:cs="Arial" w:eastAsia="Arial" w:hint="default"/>
          <w:sz w:val="21"/>
          <w:szCs w:val="21"/>
        </w:rPr>
        <w:t>15.8</w:t>
      </w:r>
      <w:r>
        <w:rPr>
          <w:rFonts w:ascii="Arial" w:hAnsi="Arial" w:cs="Arial" w:eastAsia="Arial" w:hint="default"/>
          <w:spacing w:val="-4"/>
          <w:sz w:val="21"/>
          <w:szCs w:val="21"/>
        </w:rPr>
        <w:t> </w:t>
      </w:r>
      <w:r>
        <w:rPr>
          <w:rFonts w:ascii="宋体" w:hAnsi="宋体" w:cs="宋体" w:eastAsia="宋体" w:hint="default"/>
          <w:spacing w:val="-5"/>
          <w:sz w:val="21"/>
          <w:szCs w:val="21"/>
        </w:rPr>
        <w:t>万个，总数达到</w:t>
      </w:r>
      <w:r>
        <w:rPr>
          <w:rFonts w:ascii="宋体" w:hAnsi="宋体" w:cs="宋体" w:eastAsia="宋体" w:hint="default"/>
          <w:spacing w:val="-49"/>
          <w:sz w:val="21"/>
          <w:szCs w:val="21"/>
        </w:rPr>
        <w:t> </w:t>
      </w:r>
      <w:r>
        <w:rPr>
          <w:rFonts w:ascii="Arial" w:hAnsi="Arial" w:cs="Arial" w:eastAsia="Arial" w:hint="default"/>
          <w:sz w:val="21"/>
          <w:szCs w:val="21"/>
        </w:rPr>
        <w:t>56.5</w:t>
      </w:r>
      <w:r>
        <w:rPr>
          <w:rFonts w:ascii="Arial" w:hAnsi="Arial" w:cs="Arial" w:eastAsia="Arial" w:hint="default"/>
          <w:spacing w:val="-2"/>
          <w:sz w:val="21"/>
          <w:szCs w:val="21"/>
        </w:rPr>
        <w:t> </w:t>
      </w:r>
      <w:r>
        <w:rPr>
          <w:rFonts w:ascii="宋体" w:hAnsi="宋体" w:cs="宋体" w:eastAsia="宋体" w:hint="default"/>
          <w:spacing w:val="-7"/>
          <w:sz w:val="21"/>
          <w:szCs w:val="21"/>
        </w:rPr>
        <w:t>万个。加</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4"/>
          <w:sz w:val="21"/>
          <w:szCs w:val="21"/>
        </w:rPr>
        <w:t>快光纤宽带网络建设和改造，固网宽带端口达到 </w:t>
      </w:r>
      <w:r>
        <w:rPr>
          <w:rFonts w:ascii="Arial" w:hAnsi="Arial" w:cs="Arial" w:eastAsia="Arial" w:hint="default"/>
          <w:sz w:val="21"/>
          <w:szCs w:val="21"/>
        </w:rPr>
        <w:t>1.35 </w:t>
      </w:r>
      <w:r>
        <w:rPr>
          <w:rFonts w:ascii="宋体" w:hAnsi="宋体" w:cs="宋体" w:eastAsia="宋体" w:hint="default"/>
          <w:spacing w:val="-7"/>
          <w:sz w:val="21"/>
          <w:szCs w:val="21"/>
        </w:rPr>
        <w:t>亿个，</w:t>
      </w:r>
      <w:r>
        <w:rPr>
          <w:rFonts w:ascii="Arial" w:hAnsi="Arial" w:cs="Arial" w:eastAsia="Arial" w:hint="default"/>
          <w:spacing w:val="-7"/>
          <w:sz w:val="21"/>
          <w:szCs w:val="21"/>
        </w:rPr>
        <w:t>FTTX </w:t>
      </w:r>
      <w:r>
        <w:rPr>
          <w:rFonts w:ascii="宋体" w:hAnsi="宋体" w:cs="宋体" w:eastAsia="宋体" w:hint="default"/>
          <w:sz w:val="21"/>
          <w:szCs w:val="21"/>
        </w:rPr>
        <w:t>端口占比达到</w:t>
      </w:r>
      <w:r>
        <w:rPr>
          <w:rFonts w:ascii="宋体" w:hAnsi="宋体" w:cs="宋体" w:eastAsia="宋体" w:hint="default"/>
          <w:spacing w:val="-62"/>
          <w:sz w:val="21"/>
          <w:szCs w:val="21"/>
        </w:rPr>
        <w:t> </w:t>
      </w:r>
      <w:r>
        <w:rPr>
          <w:rFonts w:ascii="Arial" w:hAnsi="Arial" w:cs="Arial" w:eastAsia="Arial" w:hint="default"/>
          <w:sz w:val="21"/>
          <w:szCs w:val="21"/>
        </w:rPr>
        <w:t>77.8%</w:t>
      </w:r>
      <w:r>
        <w:rPr>
          <w:rFonts w:ascii="宋体" w:hAnsi="宋体" w:cs="宋体" w:eastAsia="宋体" w:hint="default"/>
          <w:sz w:val="21"/>
          <w:szCs w:val="21"/>
        </w:rPr>
        <w:t>。</w:t>
      </w:r>
    </w:p>
    <w:p>
      <w:pPr>
        <w:spacing w:line="240" w:lineRule="auto" w:before="6"/>
        <w:rPr>
          <w:rFonts w:ascii="宋体" w:hAnsi="宋体" w:cs="宋体" w:eastAsia="宋体" w:hint="default"/>
          <w:sz w:val="18"/>
          <w:szCs w:val="18"/>
        </w:rPr>
      </w:pPr>
    </w:p>
    <w:p>
      <w:pPr>
        <w:spacing w:line="225" w:lineRule="auto" w:before="0"/>
        <w:ind w:left="846" w:right="208" w:firstLine="0"/>
        <w:jc w:val="both"/>
        <w:rPr>
          <w:rFonts w:ascii="宋体" w:hAnsi="宋体" w:cs="宋体" w:eastAsia="宋体" w:hint="default"/>
          <w:sz w:val="21"/>
          <w:szCs w:val="21"/>
        </w:rPr>
      </w:pPr>
      <w:r>
        <w:rPr>
          <w:rFonts w:ascii="宋体" w:hAnsi="宋体" w:cs="宋体" w:eastAsia="宋体" w:hint="default"/>
          <w:spacing w:val="-4"/>
          <w:sz w:val="21"/>
          <w:szCs w:val="21"/>
        </w:rPr>
        <w:t>公司继续扩容国际网络，完善国际网络布局。截至</w:t>
      </w:r>
      <w:r>
        <w:rPr>
          <w:rFonts w:ascii="宋体" w:hAnsi="宋体" w:cs="宋体" w:eastAsia="宋体" w:hint="default"/>
          <w:spacing w:val="-29"/>
          <w:sz w:val="21"/>
          <w:szCs w:val="21"/>
        </w:rPr>
        <w:t> </w:t>
      </w:r>
      <w:r>
        <w:rPr>
          <w:rFonts w:ascii="Arial" w:hAnsi="Arial" w:cs="Arial" w:eastAsia="Arial" w:hint="default"/>
          <w:sz w:val="21"/>
          <w:szCs w:val="21"/>
        </w:rPr>
        <w:t>2014</w:t>
      </w:r>
      <w:r>
        <w:rPr>
          <w:rFonts w:ascii="Arial" w:hAnsi="Arial" w:cs="Arial" w:eastAsia="Arial" w:hint="default"/>
          <w:spacing w:val="18"/>
          <w:sz w:val="21"/>
          <w:szCs w:val="21"/>
        </w:rPr>
        <w:t> </w:t>
      </w:r>
      <w:r>
        <w:rPr>
          <w:rFonts w:ascii="宋体" w:hAnsi="宋体" w:cs="宋体" w:eastAsia="宋体" w:hint="default"/>
          <w:spacing w:val="-3"/>
          <w:sz w:val="21"/>
          <w:szCs w:val="21"/>
        </w:rPr>
        <w:t>年底，互联网国际出口带宽达到</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Arial" w:hAnsi="Arial" w:cs="Arial" w:eastAsia="Arial" w:hint="default"/>
          <w:sz w:val="21"/>
          <w:szCs w:val="21"/>
        </w:rPr>
        <w:t>1,025G</w:t>
      </w:r>
      <w:r>
        <w:rPr>
          <w:rFonts w:ascii="宋体" w:hAnsi="宋体" w:cs="宋体" w:eastAsia="宋体" w:hint="default"/>
          <w:sz w:val="21"/>
          <w:szCs w:val="21"/>
        </w:rPr>
        <w:t>，国际海缆总容量达到</w:t>
      </w:r>
      <w:r>
        <w:rPr>
          <w:rFonts w:ascii="宋体" w:hAnsi="宋体" w:cs="宋体" w:eastAsia="宋体" w:hint="default"/>
          <w:spacing w:val="-56"/>
          <w:sz w:val="21"/>
          <w:szCs w:val="21"/>
        </w:rPr>
        <w:t> </w:t>
      </w:r>
      <w:r>
        <w:rPr>
          <w:rFonts w:ascii="Arial" w:hAnsi="Arial" w:cs="Arial" w:eastAsia="Arial" w:hint="default"/>
          <w:sz w:val="21"/>
          <w:szCs w:val="21"/>
        </w:rPr>
        <w:t>4,707G</w:t>
      </w:r>
      <w:r>
        <w:rPr>
          <w:rFonts w:ascii="宋体" w:hAnsi="宋体" w:cs="宋体" w:eastAsia="宋体" w:hint="default"/>
          <w:sz w:val="21"/>
          <w:szCs w:val="21"/>
        </w:rPr>
        <w:t>，国际陆缆总容量达到</w:t>
      </w:r>
      <w:r>
        <w:rPr>
          <w:rFonts w:ascii="宋体" w:hAnsi="宋体" w:cs="宋体" w:eastAsia="宋体" w:hint="default"/>
          <w:spacing w:val="-56"/>
          <w:sz w:val="21"/>
          <w:szCs w:val="21"/>
        </w:rPr>
        <w:t> </w:t>
      </w:r>
      <w:r>
        <w:rPr>
          <w:rFonts w:ascii="Arial" w:hAnsi="Arial" w:cs="Arial" w:eastAsia="Arial" w:hint="default"/>
          <w:sz w:val="21"/>
          <w:szCs w:val="21"/>
        </w:rPr>
        <w:t>2,737G</w:t>
      </w:r>
      <w:r>
        <w:rPr>
          <w:rFonts w:ascii="宋体" w:hAnsi="宋体" w:cs="宋体" w:eastAsia="宋体" w:hint="default"/>
          <w:sz w:val="21"/>
          <w:szCs w:val="21"/>
        </w:rPr>
        <w:t>，境外网络节点达</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spacing w:val="-54"/>
          <w:sz w:val="21"/>
          <w:szCs w:val="21"/>
        </w:rPr>
        <w:t> </w:t>
      </w:r>
      <w:r>
        <w:rPr>
          <w:rFonts w:ascii="Arial" w:hAnsi="Arial" w:cs="Arial" w:eastAsia="Arial" w:hint="default"/>
          <w:sz w:val="21"/>
          <w:szCs w:val="21"/>
        </w:rPr>
        <w:t>83</w:t>
      </w:r>
      <w:r>
        <w:rPr>
          <w:rFonts w:ascii="Arial" w:hAnsi="Arial" w:cs="Arial" w:eastAsia="Arial" w:hint="default"/>
          <w:spacing w:val="-9"/>
          <w:sz w:val="21"/>
          <w:szCs w:val="21"/>
        </w:rPr>
        <w:t> </w:t>
      </w:r>
      <w:r>
        <w:rPr>
          <w:rFonts w:ascii="宋体" w:hAnsi="宋体" w:cs="宋体" w:eastAsia="宋体" w:hint="default"/>
          <w:sz w:val="21"/>
          <w:szCs w:val="21"/>
        </w:rPr>
        <w:t>个，国际漫游覆盖达到</w:t>
      </w:r>
      <w:r>
        <w:rPr>
          <w:rFonts w:ascii="宋体" w:hAnsi="宋体" w:cs="宋体" w:eastAsia="宋体" w:hint="default"/>
          <w:spacing w:val="-53"/>
          <w:sz w:val="21"/>
          <w:szCs w:val="21"/>
        </w:rPr>
        <w:t> </w:t>
      </w:r>
      <w:r>
        <w:rPr>
          <w:rFonts w:ascii="Arial" w:hAnsi="Arial" w:cs="Arial" w:eastAsia="Arial" w:hint="default"/>
          <w:sz w:val="21"/>
          <w:szCs w:val="21"/>
        </w:rPr>
        <w:t>251</w:t>
      </w:r>
      <w:r>
        <w:rPr>
          <w:rFonts w:ascii="Arial" w:hAnsi="Arial" w:cs="Arial" w:eastAsia="Arial" w:hint="default"/>
          <w:spacing w:val="-6"/>
          <w:sz w:val="21"/>
          <w:szCs w:val="21"/>
        </w:rPr>
        <w:t> </w:t>
      </w:r>
      <w:r>
        <w:rPr>
          <w:rFonts w:ascii="宋体" w:hAnsi="宋体" w:cs="宋体" w:eastAsia="宋体" w:hint="default"/>
          <w:sz w:val="21"/>
          <w:szCs w:val="21"/>
        </w:rPr>
        <w:t>个国家和地区的</w:t>
      </w:r>
      <w:r>
        <w:rPr>
          <w:rFonts w:ascii="宋体" w:hAnsi="宋体" w:cs="宋体" w:eastAsia="宋体" w:hint="default"/>
          <w:spacing w:val="-56"/>
          <w:sz w:val="21"/>
          <w:szCs w:val="21"/>
        </w:rPr>
        <w:t> </w:t>
      </w:r>
      <w:r>
        <w:rPr>
          <w:rFonts w:ascii="Arial" w:hAnsi="Arial" w:cs="Arial" w:eastAsia="Arial" w:hint="default"/>
          <w:sz w:val="21"/>
          <w:szCs w:val="21"/>
        </w:rPr>
        <w:t>587</w:t>
      </w:r>
      <w:r>
        <w:rPr>
          <w:rFonts w:ascii="Arial" w:hAnsi="Arial" w:cs="Arial" w:eastAsia="Arial" w:hint="default"/>
          <w:spacing w:val="-7"/>
          <w:sz w:val="21"/>
          <w:szCs w:val="21"/>
        </w:rPr>
        <w:t> </w:t>
      </w:r>
      <w:r>
        <w:rPr>
          <w:rFonts w:ascii="宋体" w:hAnsi="宋体" w:cs="宋体" w:eastAsia="宋体" w:hint="default"/>
          <w:sz w:val="21"/>
          <w:szCs w:val="21"/>
        </w:rPr>
        <w:t>家运营商。</w:t>
      </w:r>
    </w:p>
    <w:p>
      <w:pPr>
        <w:spacing w:after="0" w:line="225" w:lineRule="auto"/>
        <w:jc w:val="both"/>
        <w:rPr>
          <w:rFonts w:ascii="宋体" w:hAnsi="宋体" w:cs="宋体" w:eastAsia="宋体" w:hint="default"/>
          <w:sz w:val="21"/>
          <w:szCs w:val="21"/>
        </w:rPr>
        <w:sectPr>
          <w:pgSz w:w="11910" w:h="16840"/>
          <w:pgMar w:header="880" w:footer="1194" w:top="1120" w:bottom="1380" w:left="1660" w:right="1120"/>
        </w:sectPr>
      </w:pPr>
    </w:p>
    <w:p>
      <w:pPr>
        <w:spacing w:line="240" w:lineRule="auto" w:before="11"/>
        <w:rPr>
          <w:rFonts w:ascii="宋体" w:hAnsi="宋体" w:cs="宋体" w:eastAsia="宋体" w:hint="default"/>
          <w:sz w:val="29"/>
          <w:szCs w:val="29"/>
        </w:rPr>
      </w:pPr>
    </w:p>
    <w:p>
      <w:pPr>
        <w:spacing w:line="504" w:lineRule="auto" w:before="36"/>
        <w:ind w:left="138" w:right="3361" w:firstLine="0"/>
        <w:jc w:val="left"/>
        <w:rPr>
          <w:rFonts w:ascii="宋体" w:hAnsi="宋体" w:cs="宋体" w:eastAsia="宋体" w:hint="default"/>
          <w:sz w:val="21"/>
          <w:szCs w:val="21"/>
        </w:rPr>
      </w:pPr>
      <w:r>
        <w:rPr>
          <w:rFonts w:ascii="宋体" w:hAnsi="宋体" w:cs="宋体" w:eastAsia="宋体" w:hint="default"/>
          <w:b/>
          <w:bCs/>
          <w:spacing w:val="-1"/>
          <w:sz w:val="21"/>
          <w:szCs w:val="21"/>
        </w:rPr>
        <w:t>一、董事会关于公司报告期内经营情况的讨论与分析（续）</w:t>
      </w:r>
      <w:r>
        <w:rPr>
          <w:rFonts w:ascii="宋体" w:hAnsi="宋体" w:cs="宋体" w:eastAsia="宋体" w:hint="default"/>
          <w:b/>
          <w:bCs/>
          <w:spacing w:val="-78"/>
          <w:sz w:val="21"/>
          <w:szCs w:val="21"/>
        </w:rPr>
        <w:t> </w:t>
      </w:r>
      <w:r>
        <w:rPr>
          <w:rFonts w:ascii="宋体" w:hAnsi="宋体" w:cs="宋体" w:eastAsia="宋体" w:hint="default"/>
          <w:b/>
          <w:bCs/>
          <w:spacing w:val="-78"/>
          <w:sz w:val="21"/>
          <w:szCs w:val="21"/>
        </w:rPr>
      </w:r>
      <w:r>
        <w:rPr>
          <w:rFonts w:ascii="宋体" w:hAnsi="宋体" w:cs="宋体" w:eastAsia="宋体" w:hint="default"/>
          <w:b/>
          <w:bCs/>
          <w:sz w:val="21"/>
          <w:szCs w:val="21"/>
        </w:rPr>
        <w:t>第二部分：生产经营情况（续）</w:t>
      </w:r>
      <w:r>
        <w:rPr>
          <w:rFonts w:ascii="宋体" w:hAnsi="宋体" w:cs="宋体" w:eastAsia="宋体" w:hint="default"/>
          <w:sz w:val="21"/>
          <w:szCs w:val="21"/>
        </w:rPr>
      </w:r>
    </w:p>
    <w:p>
      <w:pPr>
        <w:spacing w:before="7"/>
        <w:ind w:left="485" w:right="204" w:firstLine="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市场营销</w:t>
      </w:r>
    </w:p>
    <w:p>
      <w:pPr>
        <w:spacing w:line="240" w:lineRule="auto" w:before="1"/>
        <w:rPr>
          <w:rFonts w:ascii="宋体" w:hAnsi="宋体" w:cs="宋体" w:eastAsia="宋体" w:hint="default"/>
          <w:sz w:val="17"/>
          <w:szCs w:val="17"/>
        </w:rPr>
      </w:pPr>
    </w:p>
    <w:p>
      <w:pPr>
        <w:spacing w:before="0"/>
        <w:ind w:left="846" w:right="204" w:firstLine="0"/>
        <w:jc w:val="left"/>
        <w:rPr>
          <w:rFonts w:ascii="宋体" w:hAnsi="宋体" w:cs="宋体" w:eastAsia="宋体" w:hint="default"/>
          <w:sz w:val="21"/>
          <w:szCs w:val="21"/>
        </w:rPr>
      </w:pPr>
      <w:r>
        <w:rPr>
          <w:rFonts w:ascii="Arial" w:hAnsi="Arial" w:cs="Arial" w:eastAsia="Arial" w:hint="default"/>
          <w:sz w:val="21"/>
          <w:szCs w:val="21"/>
        </w:rPr>
        <w:t>4.1 </w:t>
      </w:r>
      <w:r>
        <w:rPr>
          <w:rFonts w:ascii="Arial" w:hAnsi="Arial" w:cs="Arial" w:eastAsia="Arial" w:hint="default"/>
          <w:spacing w:val="17"/>
          <w:sz w:val="21"/>
          <w:szCs w:val="21"/>
        </w:rPr>
        <w:t> </w:t>
      </w:r>
      <w:r>
        <w:rPr>
          <w:rFonts w:ascii="宋体" w:hAnsi="宋体" w:cs="宋体" w:eastAsia="宋体" w:hint="default"/>
          <w:sz w:val="21"/>
          <w:szCs w:val="21"/>
        </w:rPr>
        <w:t>品牌策略</w:t>
      </w:r>
    </w:p>
    <w:p>
      <w:pPr>
        <w:spacing w:line="240" w:lineRule="auto" w:before="11"/>
        <w:rPr>
          <w:rFonts w:ascii="宋体" w:hAnsi="宋体" w:cs="宋体" w:eastAsia="宋体" w:hint="default"/>
          <w:sz w:val="17"/>
          <w:szCs w:val="17"/>
        </w:rPr>
      </w:pPr>
    </w:p>
    <w:p>
      <w:pPr>
        <w:spacing w:line="230" w:lineRule="auto" w:before="0"/>
        <w:ind w:left="1270" w:right="256" w:firstLine="0"/>
        <w:jc w:val="both"/>
        <w:rPr>
          <w:rFonts w:ascii="宋体" w:hAnsi="宋体" w:cs="宋体" w:eastAsia="宋体" w:hint="default"/>
          <w:sz w:val="21"/>
          <w:szCs w:val="21"/>
        </w:rPr>
      </w:pPr>
      <w:r>
        <w:rPr>
          <w:rFonts w:ascii="Arial" w:hAnsi="Arial" w:cs="Arial" w:eastAsia="Arial" w:hint="default"/>
          <w:sz w:val="21"/>
          <w:szCs w:val="21"/>
        </w:rPr>
        <w:t>2014 </w:t>
      </w:r>
      <w:r>
        <w:rPr>
          <w:rFonts w:ascii="宋体" w:hAnsi="宋体" w:cs="宋体" w:eastAsia="宋体" w:hint="default"/>
          <w:sz w:val="21"/>
          <w:szCs w:val="21"/>
        </w:rPr>
        <w:t>年，公司围绕“选 </w:t>
      </w:r>
      <w:r>
        <w:rPr>
          <w:rFonts w:ascii="Arial" w:hAnsi="Arial" w:cs="Arial" w:eastAsia="Arial" w:hint="default"/>
          <w:sz w:val="21"/>
          <w:szCs w:val="21"/>
        </w:rPr>
        <w:t>4G </w:t>
      </w:r>
      <w:r>
        <w:rPr>
          <w:rFonts w:ascii="宋体" w:hAnsi="宋体" w:cs="宋体" w:eastAsia="宋体" w:hint="default"/>
          <w:sz w:val="21"/>
          <w:szCs w:val="21"/>
        </w:rPr>
        <w:t>就选沃”主题，聚焦网络“覆盖广、网速快”、沃</w:t>
      </w:r>
      <w:r>
        <w:rPr>
          <w:rFonts w:ascii="宋体" w:hAnsi="宋体" w:cs="宋体" w:eastAsia="宋体" w:hint="default"/>
          <w:spacing w:val="-70"/>
          <w:sz w:val="21"/>
          <w:szCs w:val="21"/>
        </w:rPr>
        <w:t> </w:t>
      </w:r>
      <w:r>
        <w:rPr>
          <w:rFonts w:ascii="Arial" w:hAnsi="Arial" w:cs="Arial" w:eastAsia="Arial" w:hint="default"/>
          <w:sz w:val="21"/>
          <w:szCs w:val="21"/>
        </w:rPr>
        <w:t>4G</w:t>
      </w:r>
      <w:r>
        <w:rPr>
          <w:rFonts w:ascii="Arial" w:hAnsi="Arial" w:cs="Arial" w:eastAsia="Arial" w:hint="default"/>
          <w:w w:val="100"/>
          <w:sz w:val="21"/>
          <w:szCs w:val="21"/>
        </w:rPr>
        <w:t> </w:t>
      </w:r>
      <w:r>
        <w:rPr>
          <w:rFonts w:ascii="宋体" w:hAnsi="宋体" w:cs="宋体" w:eastAsia="宋体" w:hint="default"/>
          <w:sz w:val="21"/>
          <w:szCs w:val="21"/>
        </w:rPr>
        <w:t>资费“自由组合、分享、流量封顶”的特点、终端品类丰富以及“双 </w:t>
      </w:r>
      <w:r>
        <w:rPr>
          <w:rFonts w:ascii="Arial" w:hAnsi="Arial" w:cs="Arial" w:eastAsia="Arial" w:hint="default"/>
          <w:sz w:val="21"/>
          <w:szCs w:val="21"/>
        </w:rPr>
        <w:t>4G</w:t>
      </w:r>
      <w:r>
        <w:rPr>
          <w:rFonts w:ascii="Arial" w:hAnsi="Arial" w:cs="Arial" w:eastAsia="Arial" w:hint="default"/>
          <w:spacing w:val="-10"/>
          <w:sz w:val="21"/>
          <w:szCs w:val="21"/>
        </w:rPr>
        <w:t> </w:t>
      </w:r>
      <w:r>
        <w:rPr>
          <w:rFonts w:ascii="宋体" w:hAnsi="宋体" w:cs="宋体" w:eastAsia="宋体" w:hint="default"/>
          <w:sz w:val="21"/>
          <w:szCs w:val="21"/>
        </w:rPr>
        <w:t>双百兆”</w:t>
      </w:r>
      <w:r>
        <w:rPr>
          <w:rFonts w:ascii="宋体" w:hAnsi="宋体" w:cs="宋体" w:eastAsia="宋体" w:hint="default"/>
          <w:w w:val="100"/>
          <w:sz w:val="21"/>
          <w:szCs w:val="21"/>
        </w:rPr>
        <w:t> </w:t>
      </w:r>
      <w:r>
        <w:rPr>
          <w:rFonts w:ascii="宋体" w:hAnsi="宋体" w:cs="宋体" w:eastAsia="宋体" w:hint="default"/>
          <w:spacing w:val="-2"/>
          <w:sz w:val="21"/>
          <w:szCs w:val="21"/>
        </w:rPr>
        <w:t>等优势，充分利用自有资源及产业链资源创新传播，全方位传递“精彩在沃”的品</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牌理念，持续扩大了“沃”品牌的影响力。</w:t>
      </w:r>
    </w:p>
    <w:p>
      <w:pPr>
        <w:spacing w:line="240" w:lineRule="auto" w:before="4"/>
        <w:rPr>
          <w:rFonts w:ascii="宋体" w:hAnsi="宋体" w:cs="宋体" w:eastAsia="宋体" w:hint="default"/>
          <w:sz w:val="18"/>
          <w:szCs w:val="18"/>
        </w:rPr>
      </w:pPr>
    </w:p>
    <w:p>
      <w:pPr>
        <w:spacing w:before="0"/>
        <w:ind w:left="846" w:right="204" w:firstLine="0"/>
        <w:jc w:val="left"/>
        <w:rPr>
          <w:rFonts w:ascii="宋体" w:hAnsi="宋体" w:cs="宋体" w:eastAsia="宋体" w:hint="default"/>
          <w:sz w:val="21"/>
          <w:szCs w:val="21"/>
        </w:rPr>
      </w:pPr>
      <w:r>
        <w:rPr>
          <w:rFonts w:ascii="Arial" w:hAnsi="Arial" w:cs="Arial" w:eastAsia="Arial" w:hint="default"/>
          <w:sz w:val="21"/>
          <w:szCs w:val="21"/>
        </w:rPr>
        <w:t>4.2 </w:t>
      </w:r>
      <w:r>
        <w:rPr>
          <w:rFonts w:ascii="Arial" w:hAnsi="Arial" w:cs="Arial" w:eastAsia="Arial" w:hint="default"/>
          <w:spacing w:val="17"/>
          <w:sz w:val="21"/>
          <w:szCs w:val="21"/>
        </w:rPr>
        <w:t> </w:t>
      </w:r>
      <w:r>
        <w:rPr>
          <w:rFonts w:ascii="宋体" w:hAnsi="宋体" w:cs="宋体" w:eastAsia="宋体" w:hint="default"/>
          <w:sz w:val="21"/>
          <w:szCs w:val="21"/>
        </w:rPr>
        <w:t>营销策略</w:t>
      </w:r>
    </w:p>
    <w:p>
      <w:pPr>
        <w:spacing w:line="240" w:lineRule="auto" w:before="7"/>
        <w:rPr>
          <w:rFonts w:ascii="宋体" w:hAnsi="宋体" w:cs="宋体" w:eastAsia="宋体" w:hint="default"/>
          <w:sz w:val="17"/>
          <w:szCs w:val="17"/>
        </w:rPr>
      </w:pPr>
    </w:p>
    <w:p>
      <w:pPr>
        <w:spacing w:line="235" w:lineRule="auto" w:before="0"/>
        <w:ind w:left="1270" w:right="204" w:firstLine="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3"/>
          <w:sz w:val="21"/>
          <w:szCs w:val="21"/>
        </w:rPr>
        <w:t> </w:t>
      </w:r>
      <w:r>
        <w:rPr>
          <w:rFonts w:ascii="宋体" w:hAnsi="宋体" w:cs="宋体" w:eastAsia="宋体" w:hint="default"/>
          <w:spacing w:val="-3"/>
          <w:sz w:val="21"/>
          <w:szCs w:val="21"/>
        </w:rPr>
        <w:t>年，公司顺应移动互联网时代特点，构建基于</w:t>
      </w:r>
      <w:r>
        <w:rPr>
          <w:rFonts w:ascii="宋体" w:hAnsi="宋体" w:cs="宋体" w:eastAsia="宋体" w:hint="default"/>
          <w:spacing w:val="-44"/>
          <w:sz w:val="21"/>
          <w:szCs w:val="21"/>
        </w:rPr>
        <w:t> </w:t>
      </w:r>
      <w:r>
        <w:rPr>
          <w:rFonts w:ascii="Arial" w:hAnsi="Arial" w:cs="Arial" w:eastAsia="Arial" w:hint="default"/>
          <w:sz w:val="21"/>
          <w:szCs w:val="21"/>
        </w:rPr>
        <w:t>cBSS</w:t>
      </w:r>
      <w:r>
        <w:rPr>
          <w:rFonts w:ascii="Arial" w:hAnsi="Arial" w:cs="Arial" w:eastAsia="Arial" w:hint="default"/>
          <w:spacing w:val="5"/>
          <w:sz w:val="21"/>
          <w:szCs w:val="21"/>
        </w:rPr>
        <w:t> </w:t>
      </w:r>
      <w:r>
        <w:rPr>
          <w:rFonts w:ascii="宋体" w:hAnsi="宋体" w:cs="宋体" w:eastAsia="宋体" w:hint="default"/>
          <w:sz w:val="21"/>
          <w:szCs w:val="21"/>
        </w:rPr>
        <w:t>与沃易购的集中统一运营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市场体系，实现集中化、专业化、扁平化的营销模式转型，完善存量维系体系，提</w:t>
      </w:r>
      <w:r>
        <w:rPr>
          <w:rFonts w:ascii="宋体" w:hAnsi="宋体" w:cs="宋体" w:eastAsia="宋体" w:hint="default"/>
          <w:w w:val="100"/>
          <w:sz w:val="21"/>
          <w:szCs w:val="21"/>
        </w:rPr>
        <w:t> </w:t>
      </w:r>
      <w:r>
        <w:rPr>
          <w:rFonts w:ascii="宋体" w:hAnsi="宋体" w:cs="宋体" w:eastAsia="宋体" w:hint="default"/>
          <w:sz w:val="21"/>
          <w:szCs w:val="21"/>
        </w:rPr>
        <w:t>升销售服务能力；并着重从营销、服务、维系、资源四方面入手，开展固网宽带体</w:t>
      </w:r>
      <w:r>
        <w:rPr>
          <w:rFonts w:ascii="宋体" w:hAnsi="宋体" w:cs="宋体" w:eastAsia="宋体" w:hint="default"/>
          <w:w w:val="100"/>
          <w:sz w:val="21"/>
          <w:szCs w:val="21"/>
        </w:rPr>
        <w:t> </w:t>
      </w:r>
      <w:r>
        <w:rPr>
          <w:rFonts w:ascii="宋体" w:hAnsi="宋体" w:cs="宋体" w:eastAsia="宋体" w:hint="default"/>
          <w:sz w:val="21"/>
          <w:szCs w:val="21"/>
        </w:rPr>
        <w:t>系化经营。</w:t>
      </w:r>
    </w:p>
    <w:p>
      <w:pPr>
        <w:spacing w:line="240" w:lineRule="auto" w:before="5"/>
        <w:rPr>
          <w:rFonts w:ascii="宋体" w:hAnsi="宋体" w:cs="宋体" w:eastAsia="宋体" w:hint="default"/>
          <w:sz w:val="19"/>
          <w:szCs w:val="19"/>
        </w:rPr>
      </w:pPr>
    </w:p>
    <w:p>
      <w:pPr>
        <w:spacing w:line="225" w:lineRule="auto" w:before="0"/>
        <w:ind w:left="1270" w:right="207" w:firstLine="0"/>
        <w:jc w:val="both"/>
        <w:rPr>
          <w:rFonts w:ascii="宋体" w:hAnsi="宋体" w:cs="宋体" w:eastAsia="宋体" w:hint="default"/>
          <w:sz w:val="21"/>
          <w:szCs w:val="21"/>
        </w:rPr>
      </w:pPr>
      <w:r>
        <w:rPr>
          <w:rFonts w:ascii="宋体" w:hAnsi="宋体" w:cs="宋体" w:eastAsia="宋体" w:hint="default"/>
          <w:spacing w:val="-3"/>
          <w:sz w:val="21"/>
          <w:szCs w:val="21"/>
        </w:rPr>
        <w:t>公司面向移动互联网，全面提升 </w:t>
      </w:r>
      <w:r>
        <w:rPr>
          <w:rFonts w:ascii="Arial" w:hAnsi="Arial" w:cs="Arial" w:eastAsia="Arial" w:hint="default"/>
          <w:spacing w:val="-3"/>
          <w:sz w:val="21"/>
          <w:szCs w:val="21"/>
        </w:rPr>
        <w:t>WO+</w:t>
      </w:r>
      <w:r>
        <w:rPr>
          <w:rFonts w:ascii="宋体" w:hAnsi="宋体" w:cs="宋体" w:eastAsia="宋体" w:hint="default"/>
          <w:spacing w:val="-3"/>
          <w:sz w:val="21"/>
          <w:szCs w:val="21"/>
        </w:rPr>
        <w:t>开放体系运营服务能力，深入推进重点业务开</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4"/>
          <w:sz w:val="21"/>
          <w:szCs w:val="21"/>
        </w:rPr>
        <w:t>放创新与产品级合作，强化</w:t>
      </w:r>
      <w:r>
        <w:rPr>
          <w:rFonts w:ascii="宋体" w:hAnsi="宋体" w:cs="宋体" w:eastAsia="宋体" w:hint="default"/>
          <w:spacing w:val="-46"/>
          <w:sz w:val="21"/>
          <w:szCs w:val="21"/>
        </w:rPr>
        <w:t> </w:t>
      </w:r>
      <w:r>
        <w:rPr>
          <w:rFonts w:ascii="Arial" w:hAnsi="Arial" w:cs="Arial" w:eastAsia="Arial" w:hint="default"/>
          <w:spacing w:val="-4"/>
          <w:sz w:val="21"/>
          <w:szCs w:val="21"/>
        </w:rPr>
        <w:t>WO+</w:t>
      </w:r>
      <w:r>
        <w:rPr>
          <w:rFonts w:ascii="宋体" w:hAnsi="宋体" w:cs="宋体" w:eastAsia="宋体" w:hint="default"/>
          <w:spacing w:val="-4"/>
          <w:sz w:val="21"/>
          <w:szCs w:val="21"/>
        </w:rPr>
        <w:t>创富、</w:t>
      </w:r>
      <w:r>
        <w:rPr>
          <w:rFonts w:ascii="Arial" w:hAnsi="Arial" w:cs="Arial" w:eastAsia="Arial" w:hint="default"/>
          <w:spacing w:val="-4"/>
          <w:sz w:val="21"/>
          <w:szCs w:val="21"/>
        </w:rPr>
        <w:t>365</w:t>
      </w:r>
      <w:r>
        <w:rPr>
          <w:rFonts w:ascii="Arial" w:hAnsi="Arial" w:cs="Arial" w:eastAsia="Arial" w:hint="default"/>
          <w:spacing w:val="6"/>
          <w:sz w:val="21"/>
          <w:szCs w:val="21"/>
        </w:rPr>
        <w:t> </w:t>
      </w:r>
      <w:r>
        <w:rPr>
          <w:rFonts w:ascii="宋体" w:hAnsi="宋体" w:cs="宋体" w:eastAsia="宋体" w:hint="default"/>
          <w:spacing w:val="-6"/>
          <w:sz w:val="21"/>
          <w:szCs w:val="21"/>
        </w:rPr>
        <w:t>计划、</w:t>
      </w:r>
      <w:r>
        <w:rPr>
          <w:rFonts w:ascii="Arial" w:hAnsi="Arial" w:cs="Arial" w:eastAsia="Arial" w:hint="default"/>
          <w:spacing w:val="-6"/>
          <w:sz w:val="21"/>
          <w:szCs w:val="21"/>
        </w:rPr>
        <w:t>APP</w:t>
      </w:r>
      <w:r>
        <w:rPr>
          <w:rFonts w:ascii="Arial" w:hAnsi="Arial" w:cs="Arial" w:eastAsia="Arial" w:hint="default"/>
          <w:spacing w:val="5"/>
          <w:sz w:val="21"/>
          <w:szCs w:val="21"/>
        </w:rPr>
        <w:t> </w:t>
      </w:r>
      <w:r>
        <w:rPr>
          <w:rFonts w:ascii="宋体" w:hAnsi="宋体" w:cs="宋体" w:eastAsia="宋体" w:hint="default"/>
          <w:sz w:val="21"/>
          <w:szCs w:val="21"/>
        </w:rPr>
        <w:t>引流等全国性互联网渠道落</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地，推出“流量银行”等产品，构建基于流量的生态系统，有效促进了业务发展。</w:t>
      </w:r>
    </w:p>
    <w:p>
      <w:pPr>
        <w:spacing w:line="240" w:lineRule="auto" w:before="7"/>
        <w:rPr>
          <w:rFonts w:ascii="宋体" w:hAnsi="宋体" w:cs="宋体" w:eastAsia="宋体" w:hint="default"/>
          <w:sz w:val="18"/>
          <w:szCs w:val="18"/>
        </w:rPr>
      </w:pPr>
    </w:p>
    <w:p>
      <w:pPr>
        <w:spacing w:line="237" w:lineRule="auto" w:before="0"/>
        <w:ind w:left="1270" w:right="284" w:firstLine="0"/>
        <w:jc w:val="both"/>
        <w:rPr>
          <w:rFonts w:ascii="宋体" w:hAnsi="宋体" w:cs="宋体" w:eastAsia="宋体" w:hint="default"/>
          <w:sz w:val="21"/>
          <w:szCs w:val="21"/>
        </w:rPr>
      </w:pPr>
      <w:r>
        <w:rPr>
          <w:rFonts w:ascii="宋体" w:hAnsi="宋体" w:cs="宋体" w:eastAsia="宋体" w:hint="default"/>
          <w:spacing w:val="-2"/>
          <w:sz w:val="21"/>
          <w:szCs w:val="21"/>
        </w:rPr>
        <w:t>公司通过加快行业应用的培育推广，推广“班班通”和汽车信息化等标准化应用，</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构建行业信息化生态系统，提升集团客户市场拓展和运营能力，提高集团客户业务</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渗透率，集团客户收入保持快速增长。</w:t>
      </w:r>
    </w:p>
    <w:p>
      <w:pPr>
        <w:spacing w:line="240" w:lineRule="auto" w:before="4"/>
        <w:rPr>
          <w:rFonts w:ascii="宋体" w:hAnsi="宋体" w:cs="宋体" w:eastAsia="宋体" w:hint="default"/>
          <w:sz w:val="18"/>
          <w:szCs w:val="18"/>
        </w:rPr>
      </w:pPr>
    </w:p>
    <w:p>
      <w:pPr>
        <w:spacing w:before="0"/>
        <w:ind w:left="846" w:right="204" w:firstLine="0"/>
        <w:jc w:val="left"/>
        <w:rPr>
          <w:rFonts w:ascii="宋体" w:hAnsi="宋体" w:cs="宋体" w:eastAsia="宋体" w:hint="default"/>
          <w:sz w:val="21"/>
          <w:szCs w:val="21"/>
        </w:rPr>
      </w:pPr>
      <w:r>
        <w:rPr>
          <w:rFonts w:ascii="Arial" w:hAnsi="Arial" w:cs="Arial" w:eastAsia="Arial" w:hint="default"/>
          <w:sz w:val="21"/>
          <w:szCs w:val="21"/>
        </w:rPr>
        <w:t>4.3 </w:t>
      </w:r>
      <w:r>
        <w:rPr>
          <w:rFonts w:ascii="Arial" w:hAnsi="Arial" w:cs="Arial" w:eastAsia="Arial" w:hint="default"/>
          <w:spacing w:val="17"/>
          <w:sz w:val="21"/>
          <w:szCs w:val="21"/>
        </w:rPr>
        <w:t> </w:t>
      </w:r>
      <w:r>
        <w:rPr>
          <w:rFonts w:ascii="宋体" w:hAnsi="宋体" w:cs="宋体" w:eastAsia="宋体" w:hint="default"/>
          <w:sz w:val="21"/>
          <w:szCs w:val="21"/>
        </w:rPr>
        <w:t>营销渠道</w:t>
      </w:r>
    </w:p>
    <w:p>
      <w:pPr>
        <w:spacing w:line="240" w:lineRule="auto" w:before="3"/>
        <w:rPr>
          <w:rFonts w:ascii="宋体" w:hAnsi="宋体" w:cs="宋体" w:eastAsia="宋体" w:hint="default"/>
          <w:sz w:val="18"/>
          <w:szCs w:val="18"/>
        </w:rPr>
      </w:pPr>
    </w:p>
    <w:p>
      <w:pPr>
        <w:spacing w:line="225" w:lineRule="auto" w:before="0"/>
        <w:ind w:left="1270" w:right="140" w:firstLine="0"/>
        <w:jc w:val="both"/>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17"/>
          <w:sz w:val="21"/>
          <w:szCs w:val="21"/>
        </w:rPr>
        <w:t> </w:t>
      </w:r>
      <w:r>
        <w:rPr>
          <w:rFonts w:ascii="宋体" w:hAnsi="宋体" w:cs="宋体" w:eastAsia="宋体" w:hint="default"/>
          <w:sz w:val="21"/>
          <w:szCs w:val="21"/>
        </w:rPr>
        <w:t>年，公司开展营业厅专业化管理，深化战略渠道合作，强化中小社会渠道服务</w:t>
      </w:r>
      <w:r>
        <w:rPr>
          <w:rFonts w:ascii="宋体" w:hAnsi="宋体" w:cs="宋体" w:eastAsia="宋体" w:hint="default"/>
          <w:w w:val="100"/>
          <w:sz w:val="21"/>
          <w:szCs w:val="21"/>
        </w:rPr>
        <w:t> </w:t>
      </w:r>
      <w:r>
        <w:rPr>
          <w:rFonts w:ascii="宋体" w:hAnsi="宋体" w:cs="宋体" w:eastAsia="宋体" w:hint="default"/>
          <w:sz w:val="21"/>
          <w:szCs w:val="21"/>
        </w:rPr>
        <w:t>支撑，搭建沃易购</w:t>
      </w:r>
      <w:r>
        <w:rPr>
          <w:rFonts w:ascii="宋体" w:hAnsi="宋体" w:cs="宋体" w:eastAsia="宋体" w:hint="default"/>
          <w:spacing w:val="-55"/>
          <w:sz w:val="21"/>
          <w:szCs w:val="21"/>
        </w:rPr>
        <w:t> </w:t>
      </w:r>
      <w:r>
        <w:rPr>
          <w:rFonts w:ascii="Arial" w:hAnsi="Arial" w:cs="Arial" w:eastAsia="Arial" w:hint="default"/>
          <w:sz w:val="21"/>
          <w:szCs w:val="21"/>
        </w:rPr>
        <w:t>B2B</w:t>
      </w:r>
      <w:r>
        <w:rPr>
          <w:rFonts w:ascii="Arial" w:hAnsi="Arial" w:cs="Arial" w:eastAsia="Arial" w:hint="default"/>
          <w:spacing w:val="-11"/>
          <w:sz w:val="21"/>
          <w:szCs w:val="21"/>
        </w:rPr>
        <w:t> </w:t>
      </w:r>
      <w:r>
        <w:rPr>
          <w:rFonts w:ascii="宋体" w:hAnsi="宋体" w:cs="宋体" w:eastAsia="宋体" w:hint="default"/>
          <w:sz w:val="21"/>
          <w:szCs w:val="21"/>
        </w:rPr>
        <w:t>电子商务平台，不断提升渠道产能和效能。全年核心营业厅</w:t>
      </w:r>
      <w:r>
        <w:rPr>
          <w:rFonts w:ascii="宋体" w:hAnsi="宋体" w:cs="宋体" w:eastAsia="宋体" w:hint="default"/>
          <w:w w:val="100"/>
          <w:sz w:val="21"/>
          <w:szCs w:val="21"/>
        </w:rPr>
        <w:t> </w:t>
      </w:r>
      <w:r>
        <w:rPr>
          <w:rFonts w:ascii="宋体" w:hAnsi="宋体" w:cs="宋体" w:eastAsia="宋体" w:hint="default"/>
          <w:sz w:val="21"/>
          <w:szCs w:val="21"/>
        </w:rPr>
        <w:t>产能同比增长</w:t>
      </w:r>
      <w:r>
        <w:rPr>
          <w:rFonts w:ascii="宋体" w:hAnsi="宋体" w:cs="宋体" w:eastAsia="宋体" w:hint="default"/>
          <w:spacing w:val="-54"/>
          <w:sz w:val="21"/>
          <w:szCs w:val="21"/>
        </w:rPr>
        <w:t> </w:t>
      </w:r>
      <w:r>
        <w:rPr>
          <w:rFonts w:ascii="Arial" w:hAnsi="Arial" w:cs="Arial" w:eastAsia="Arial" w:hint="default"/>
          <w:sz w:val="21"/>
          <w:szCs w:val="21"/>
        </w:rPr>
        <w:t>21.3%</w:t>
      </w:r>
      <w:r>
        <w:rPr>
          <w:rFonts w:ascii="宋体" w:hAnsi="宋体" w:cs="宋体" w:eastAsia="宋体" w:hint="default"/>
          <w:sz w:val="21"/>
          <w:szCs w:val="21"/>
        </w:rPr>
        <w:t>，渠道费用占收比同比下降，沃易购累计注册渠道近</w:t>
      </w:r>
      <w:r>
        <w:rPr>
          <w:rFonts w:ascii="宋体" w:hAnsi="宋体" w:cs="宋体" w:eastAsia="宋体" w:hint="default"/>
          <w:spacing w:val="-55"/>
          <w:sz w:val="21"/>
          <w:szCs w:val="21"/>
        </w:rPr>
        <w:t> </w:t>
      </w:r>
      <w:r>
        <w:rPr>
          <w:rFonts w:ascii="Arial" w:hAnsi="Arial" w:cs="Arial" w:eastAsia="Arial" w:hint="default"/>
          <w:sz w:val="21"/>
          <w:szCs w:val="21"/>
        </w:rPr>
        <w:t>25</w:t>
      </w:r>
      <w:r>
        <w:rPr>
          <w:rFonts w:ascii="Arial" w:hAnsi="Arial" w:cs="Arial" w:eastAsia="Arial" w:hint="default"/>
          <w:spacing w:val="-10"/>
          <w:sz w:val="21"/>
          <w:szCs w:val="21"/>
        </w:rPr>
        <w:t> </w:t>
      </w:r>
      <w:r>
        <w:rPr>
          <w:rFonts w:ascii="宋体" w:hAnsi="宋体" w:cs="宋体" w:eastAsia="宋体" w:hint="default"/>
          <w:sz w:val="21"/>
          <w:szCs w:val="21"/>
        </w:rPr>
        <w:t>万个，</w:t>
      </w:r>
      <w:r>
        <w:rPr>
          <w:rFonts w:ascii="宋体" w:hAnsi="宋体" w:cs="宋体" w:eastAsia="宋体" w:hint="default"/>
          <w:w w:val="100"/>
          <w:sz w:val="21"/>
          <w:szCs w:val="21"/>
        </w:rPr>
        <w:t> </w:t>
      </w:r>
      <w:r>
        <w:rPr>
          <w:rFonts w:ascii="宋体" w:hAnsi="宋体" w:cs="宋体" w:eastAsia="宋体" w:hint="default"/>
          <w:sz w:val="21"/>
          <w:szCs w:val="21"/>
        </w:rPr>
        <w:t>累计交易额超过</w:t>
      </w:r>
      <w:r>
        <w:rPr>
          <w:rFonts w:ascii="宋体" w:hAnsi="宋体" w:cs="宋体" w:eastAsia="宋体" w:hint="default"/>
          <w:spacing w:val="-52"/>
          <w:sz w:val="21"/>
          <w:szCs w:val="21"/>
        </w:rPr>
        <w:t> </w:t>
      </w:r>
      <w:r>
        <w:rPr>
          <w:rFonts w:ascii="Arial" w:hAnsi="Arial" w:cs="Arial" w:eastAsia="Arial" w:hint="default"/>
          <w:sz w:val="21"/>
          <w:szCs w:val="21"/>
        </w:rPr>
        <w:t>50</w:t>
      </w:r>
      <w:r>
        <w:rPr>
          <w:rFonts w:ascii="Arial" w:hAnsi="Arial" w:cs="Arial" w:eastAsia="Arial" w:hint="default"/>
          <w:spacing w:val="-8"/>
          <w:sz w:val="21"/>
          <w:szCs w:val="21"/>
        </w:rPr>
        <w:t> </w:t>
      </w:r>
      <w:r>
        <w:rPr>
          <w:rFonts w:ascii="宋体" w:hAnsi="宋体" w:cs="宋体" w:eastAsia="宋体" w:hint="default"/>
          <w:sz w:val="21"/>
          <w:szCs w:val="21"/>
        </w:rPr>
        <w:t>亿元。</w:t>
      </w:r>
    </w:p>
    <w:p>
      <w:pPr>
        <w:spacing w:line="240" w:lineRule="auto" w:before="4"/>
        <w:rPr>
          <w:rFonts w:ascii="宋体" w:hAnsi="宋体" w:cs="宋体" w:eastAsia="宋体" w:hint="default"/>
          <w:sz w:val="17"/>
          <w:szCs w:val="17"/>
        </w:rPr>
      </w:pPr>
    </w:p>
    <w:p>
      <w:pPr>
        <w:spacing w:before="0"/>
        <w:ind w:left="846" w:right="204" w:firstLine="0"/>
        <w:jc w:val="left"/>
        <w:rPr>
          <w:rFonts w:ascii="宋体" w:hAnsi="宋体" w:cs="宋体" w:eastAsia="宋体" w:hint="default"/>
          <w:sz w:val="21"/>
          <w:szCs w:val="21"/>
        </w:rPr>
      </w:pPr>
      <w:r>
        <w:rPr>
          <w:rFonts w:ascii="Arial" w:hAnsi="Arial" w:cs="Arial" w:eastAsia="Arial" w:hint="default"/>
          <w:sz w:val="21"/>
          <w:szCs w:val="21"/>
        </w:rPr>
        <w:t>4.4 </w:t>
      </w:r>
      <w:r>
        <w:rPr>
          <w:rFonts w:ascii="Arial" w:hAnsi="Arial" w:cs="Arial" w:eastAsia="Arial" w:hint="default"/>
          <w:spacing w:val="16"/>
          <w:sz w:val="21"/>
          <w:szCs w:val="21"/>
        </w:rPr>
        <w:t> </w:t>
      </w:r>
      <w:r>
        <w:rPr>
          <w:rFonts w:ascii="宋体" w:hAnsi="宋体" w:cs="宋体" w:eastAsia="宋体" w:hint="default"/>
          <w:sz w:val="21"/>
          <w:szCs w:val="21"/>
        </w:rPr>
        <w:t>客户服务</w:t>
      </w:r>
    </w:p>
    <w:p>
      <w:pPr>
        <w:spacing w:line="240" w:lineRule="auto" w:before="9"/>
        <w:rPr>
          <w:rFonts w:ascii="宋体" w:hAnsi="宋体" w:cs="宋体" w:eastAsia="宋体" w:hint="default"/>
          <w:sz w:val="17"/>
          <w:szCs w:val="17"/>
        </w:rPr>
      </w:pPr>
    </w:p>
    <w:p>
      <w:pPr>
        <w:spacing w:line="232" w:lineRule="auto" w:before="0"/>
        <w:ind w:left="1270" w:right="100" w:firstLine="0"/>
        <w:jc w:val="left"/>
        <w:rPr>
          <w:rFonts w:ascii="宋体" w:hAnsi="宋体" w:cs="宋体" w:eastAsia="宋体" w:hint="default"/>
          <w:sz w:val="21"/>
          <w:szCs w:val="21"/>
        </w:rPr>
      </w:pPr>
      <w:r>
        <w:rPr>
          <w:rFonts w:ascii="Arial" w:hAnsi="Arial" w:cs="Arial" w:eastAsia="Arial" w:hint="default"/>
          <w:sz w:val="21"/>
          <w:szCs w:val="21"/>
        </w:rPr>
        <w:t>2014 </w:t>
      </w:r>
      <w:r>
        <w:rPr>
          <w:rFonts w:ascii="宋体" w:hAnsi="宋体" w:cs="宋体" w:eastAsia="宋体" w:hint="default"/>
          <w:spacing w:val="-6"/>
          <w:sz w:val="21"/>
          <w:szCs w:val="21"/>
        </w:rPr>
        <w:t>年，公司完善以服务责任追究为抓手的大服务体系，开展重点区域服务攻坚战、</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深入推动服务维系、优化用户界面，在大服务推进、服务运营、服务维系等方面持</w:t>
      </w:r>
      <w:r>
        <w:rPr>
          <w:rFonts w:ascii="宋体" w:hAnsi="宋体" w:cs="宋体" w:eastAsia="宋体" w:hint="default"/>
          <w:w w:val="100"/>
          <w:sz w:val="21"/>
          <w:szCs w:val="21"/>
        </w:rPr>
        <w:t> </w:t>
      </w:r>
      <w:r>
        <w:rPr>
          <w:rFonts w:ascii="宋体" w:hAnsi="宋体" w:cs="宋体" w:eastAsia="宋体" w:hint="default"/>
          <w:sz w:val="21"/>
          <w:szCs w:val="21"/>
        </w:rPr>
        <w:t>续改进，持续提升客户服务水平，全年用户申诉量行业最低。</w:t>
      </w:r>
    </w:p>
    <w:p>
      <w:pPr>
        <w:spacing w:line="240" w:lineRule="auto" w:before="5"/>
        <w:rPr>
          <w:rFonts w:ascii="宋体" w:hAnsi="宋体" w:cs="宋体" w:eastAsia="宋体" w:hint="default"/>
          <w:sz w:val="18"/>
          <w:szCs w:val="18"/>
        </w:rPr>
      </w:pPr>
    </w:p>
    <w:p>
      <w:pPr>
        <w:spacing w:before="0"/>
        <w:ind w:left="846" w:right="204" w:firstLine="0"/>
        <w:jc w:val="left"/>
        <w:rPr>
          <w:rFonts w:ascii="宋体" w:hAnsi="宋体" w:cs="宋体" w:eastAsia="宋体" w:hint="default"/>
          <w:sz w:val="21"/>
          <w:szCs w:val="21"/>
        </w:rPr>
      </w:pPr>
      <w:r>
        <w:rPr>
          <w:rFonts w:ascii="Arial" w:hAnsi="Arial" w:cs="Arial" w:eastAsia="Arial" w:hint="default"/>
          <w:sz w:val="21"/>
          <w:szCs w:val="21"/>
        </w:rPr>
        <w:t>4.5 </w:t>
      </w:r>
      <w:r>
        <w:rPr>
          <w:rFonts w:ascii="Arial" w:hAnsi="Arial" w:cs="Arial" w:eastAsia="Arial" w:hint="default"/>
          <w:spacing w:val="17"/>
          <w:sz w:val="21"/>
          <w:szCs w:val="21"/>
        </w:rPr>
        <w:t> </w:t>
      </w:r>
      <w:r>
        <w:rPr>
          <w:rFonts w:ascii="宋体" w:hAnsi="宋体" w:cs="宋体" w:eastAsia="宋体" w:hint="default"/>
          <w:sz w:val="21"/>
          <w:szCs w:val="21"/>
        </w:rPr>
        <w:t>实名制政策</w:t>
      </w:r>
    </w:p>
    <w:p>
      <w:pPr>
        <w:spacing w:line="240" w:lineRule="auto" w:before="9"/>
        <w:rPr>
          <w:rFonts w:ascii="宋体" w:hAnsi="宋体" w:cs="宋体" w:eastAsia="宋体" w:hint="default"/>
          <w:sz w:val="17"/>
          <w:szCs w:val="17"/>
        </w:rPr>
      </w:pPr>
    </w:p>
    <w:p>
      <w:pPr>
        <w:spacing w:line="232" w:lineRule="auto" w:before="0"/>
        <w:ind w:left="1270" w:right="100" w:firstLine="0"/>
        <w:jc w:val="left"/>
        <w:rPr>
          <w:rFonts w:ascii="宋体" w:hAnsi="宋体" w:cs="宋体" w:eastAsia="宋体" w:hint="default"/>
          <w:sz w:val="21"/>
          <w:szCs w:val="21"/>
        </w:rPr>
      </w:pPr>
      <w:r>
        <w:rPr>
          <w:rFonts w:ascii="Arial" w:hAnsi="Arial" w:cs="Arial" w:eastAsia="Arial" w:hint="default"/>
          <w:sz w:val="21"/>
          <w:szCs w:val="21"/>
        </w:rPr>
        <w:t>2015 </w:t>
      </w:r>
      <w:r>
        <w:rPr>
          <w:rFonts w:ascii="宋体" w:hAnsi="宋体" w:cs="宋体" w:eastAsia="宋体" w:hint="default"/>
          <w:spacing w:val="-6"/>
          <w:sz w:val="21"/>
          <w:szCs w:val="21"/>
        </w:rPr>
        <w:t>年，公司严格贯彻执行国家实名制政策，并按国家要求全面开展专项整治行动，</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严格管理非实名用户和无效用户，短期将出现用户数量波动，长期将有利于公司提</w:t>
      </w:r>
      <w:r>
        <w:rPr>
          <w:rFonts w:ascii="宋体" w:hAnsi="宋体" w:cs="宋体" w:eastAsia="宋体" w:hint="default"/>
          <w:w w:val="100"/>
          <w:sz w:val="21"/>
          <w:szCs w:val="21"/>
        </w:rPr>
        <w:t> </w:t>
      </w:r>
      <w:r>
        <w:rPr>
          <w:rFonts w:ascii="宋体" w:hAnsi="宋体" w:cs="宋体" w:eastAsia="宋体" w:hint="default"/>
          <w:sz w:val="21"/>
          <w:szCs w:val="21"/>
        </w:rPr>
        <w:t>升发展质量及效益。</w:t>
      </w:r>
    </w:p>
    <w:p>
      <w:pPr>
        <w:spacing w:after="0" w:line="232" w:lineRule="auto"/>
        <w:jc w:val="left"/>
        <w:rPr>
          <w:rFonts w:ascii="宋体" w:hAnsi="宋体" w:cs="宋体" w:eastAsia="宋体" w:hint="default"/>
          <w:sz w:val="21"/>
          <w:szCs w:val="21"/>
        </w:rPr>
        <w:sectPr>
          <w:pgSz w:w="11910" w:h="16840"/>
          <w:pgMar w:header="880" w:footer="1194" w:top="1120" w:bottom="1380" w:left="1660" w:right="1120"/>
        </w:sectPr>
      </w:pPr>
    </w:p>
    <w:p>
      <w:pPr>
        <w:spacing w:line="240" w:lineRule="auto" w:before="11"/>
        <w:rPr>
          <w:rFonts w:ascii="宋体" w:hAnsi="宋体" w:cs="宋体" w:eastAsia="宋体" w:hint="default"/>
          <w:sz w:val="29"/>
          <w:szCs w:val="29"/>
        </w:rPr>
      </w:pPr>
    </w:p>
    <w:p>
      <w:pPr>
        <w:spacing w:line="504" w:lineRule="auto" w:before="36"/>
        <w:ind w:left="138" w:right="1922" w:firstLine="0"/>
        <w:jc w:val="left"/>
        <w:rPr>
          <w:rFonts w:ascii="宋体" w:hAnsi="宋体" w:cs="宋体" w:eastAsia="宋体" w:hint="default"/>
          <w:sz w:val="21"/>
          <w:szCs w:val="21"/>
        </w:rPr>
      </w:pPr>
      <w:r>
        <w:rPr>
          <w:rFonts w:ascii="宋体" w:hAnsi="宋体" w:cs="宋体" w:eastAsia="宋体" w:hint="default"/>
          <w:b/>
          <w:bCs/>
          <w:spacing w:val="-1"/>
          <w:sz w:val="21"/>
          <w:szCs w:val="21"/>
        </w:rPr>
        <w:t>一、董事会关于公司报告期内经营情况的讨论与分析（续）</w:t>
      </w:r>
      <w:r>
        <w:rPr>
          <w:rFonts w:ascii="宋体" w:hAnsi="宋体" w:cs="宋体" w:eastAsia="宋体" w:hint="default"/>
          <w:b/>
          <w:bCs/>
          <w:spacing w:val="-78"/>
          <w:sz w:val="21"/>
          <w:szCs w:val="21"/>
        </w:rPr>
        <w:t> </w:t>
      </w:r>
      <w:r>
        <w:rPr>
          <w:rFonts w:ascii="宋体" w:hAnsi="宋体" w:cs="宋体" w:eastAsia="宋体" w:hint="default"/>
          <w:b/>
          <w:bCs/>
          <w:spacing w:val="-78"/>
          <w:sz w:val="21"/>
          <w:szCs w:val="21"/>
        </w:rPr>
      </w:r>
      <w:r>
        <w:rPr>
          <w:rFonts w:ascii="宋体" w:hAnsi="宋体" w:cs="宋体" w:eastAsia="宋体" w:hint="default"/>
          <w:b/>
          <w:bCs/>
          <w:sz w:val="21"/>
          <w:szCs w:val="21"/>
        </w:rPr>
        <w:t>第三部分：财务情况讨论与分析</w:t>
      </w:r>
      <w:r>
        <w:rPr>
          <w:rFonts w:ascii="宋体" w:hAnsi="宋体" w:cs="宋体" w:eastAsia="宋体" w:hint="default"/>
          <w:sz w:val="21"/>
          <w:szCs w:val="21"/>
        </w:rPr>
      </w:r>
    </w:p>
    <w:p>
      <w:pPr>
        <w:spacing w:before="7"/>
        <w:ind w:left="485" w:right="1922" w:firstLine="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pacing w:val="-70"/>
          <w:sz w:val="21"/>
          <w:szCs w:val="21"/>
        </w:rPr>
        <w:t> </w:t>
      </w:r>
      <w:r>
        <w:rPr>
          <w:rFonts w:ascii="宋体" w:hAnsi="宋体" w:cs="宋体" w:eastAsia="宋体" w:hint="default"/>
          <w:sz w:val="21"/>
          <w:szCs w:val="21"/>
        </w:rPr>
        <w:t>概述</w:t>
      </w:r>
    </w:p>
    <w:p>
      <w:pPr>
        <w:spacing w:line="240" w:lineRule="auto" w:before="3"/>
        <w:rPr>
          <w:rFonts w:ascii="宋体" w:hAnsi="宋体" w:cs="宋体" w:eastAsia="宋体" w:hint="default"/>
          <w:sz w:val="19"/>
          <w:szCs w:val="19"/>
        </w:rPr>
      </w:pPr>
    </w:p>
    <w:p>
      <w:pPr>
        <w:spacing w:line="272" w:lineRule="exact" w:before="0"/>
        <w:ind w:left="846" w:right="143" w:firstLine="0"/>
        <w:jc w:val="left"/>
        <w:rPr>
          <w:rFonts w:ascii="宋体" w:hAnsi="宋体" w:cs="宋体" w:eastAsia="宋体" w:hint="default"/>
          <w:sz w:val="21"/>
          <w:szCs w:val="21"/>
        </w:rPr>
      </w:pPr>
      <w:r>
        <w:rPr>
          <w:rFonts w:ascii="Arial" w:hAnsi="Arial" w:cs="Arial" w:eastAsia="Arial" w:hint="default"/>
          <w:sz w:val="21"/>
          <w:szCs w:val="21"/>
        </w:rPr>
        <w:t>2014 </w:t>
      </w:r>
      <w:r>
        <w:rPr>
          <w:rFonts w:ascii="宋体" w:hAnsi="宋体" w:cs="宋体" w:eastAsia="宋体" w:hint="default"/>
          <w:spacing w:val="-3"/>
          <w:sz w:val="21"/>
          <w:szCs w:val="21"/>
        </w:rPr>
        <w:t>年公司主营业务收入平稳增长，收入结构不断优化，市场份额进一步提升，盈利水</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平持续改善。</w:t>
      </w:r>
    </w:p>
    <w:p>
      <w:pPr>
        <w:spacing w:line="240" w:lineRule="auto" w:before="5"/>
        <w:rPr>
          <w:rFonts w:ascii="宋体" w:hAnsi="宋体" w:cs="宋体" w:eastAsia="宋体" w:hint="default"/>
          <w:sz w:val="16"/>
          <w:szCs w:val="16"/>
        </w:rPr>
      </w:pPr>
    </w:p>
    <w:p>
      <w:pPr>
        <w:spacing w:line="282" w:lineRule="exact" w:before="0"/>
        <w:ind w:left="846" w:right="48" w:firstLine="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10"/>
          <w:sz w:val="21"/>
          <w:szCs w:val="21"/>
        </w:rPr>
        <w:t> </w:t>
      </w:r>
      <w:r>
        <w:rPr>
          <w:rFonts w:ascii="宋体" w:hAnsi="宋体" w:cs="宋体" w:eastAsia="宋体" w:hint="default"/>
          <w:sz w:val="21"/>
          <w:szCs w:val="21"/>
        </w:rPr>
        <w:t>年公司实现营业收入</w:t>
      </w:r>
      <w:r>
        <w:rPr>
          <w:rFonts w:ascii="宋体" w:hAnsi="宋体" w:cs="宋体" w:eastAsia="宋体" w:hint="default"/>
          <w:spacing w:val="-54"/>
          <w:sz w:val="21"/>
          <w:szCs w:val="21"/>
        </w:rPr>
        <w:t> </w:t>
      </w:r>
      <w:r>
        <w:rPr>
          <w:rFonts w:ascii="Arial" w:hAnsi="Arial" w:cs="Arial" w:eastAsia="Arial" w:hint="default"/>
          <w:sz w:val="21"/>
          <w:szCs w:val="21"/>
        </w:rPr>
        <w:t>2,885.7</w:t>
      </w:r>
      <w:r>
        <w:rPr>
          <w:rFonts w:ascii="Arial" w:hAnsi="Arial" w:cs="Arial" w:eastAsia="Arial" w:hint="default"/>
          <w:spacing w:val="-8"/>
          <w:sz w:val="21"/>
          <w:szCs w:val="21"/>
        </w:rPr>
        <w:t> </w:t>
      </w:r>
      <w:r>
        <w:rPr>
          <w:rFonts w:ascii="宋体" w:hAnsi="宋体" w:cs="宋体" w:eastAsia="宋体" w:hint="default"/>
          <w:sz w:val="21"/>
          <w:szCs w:val="21"/>
        </w:rPr>
        <w:t>亿元，实现净利润</w:t>
      </w:r>
      <w:r>
        <w:rPr>
          <w:rFonts w:ascii="宋体" w:hAnsi="宋体" w:cs="宋体" w:eastAsia="宋体" w:hint="default"/>
          <w:spacing w:val="-55"/>
          <w:sz w:val="21"/>
          <w:szCs w:val="21"/>
        </w:rPr>
        <w:t> </w:t>
      </w:r>
      <w:r>
        <w:rPr>
          <w:rFonts w:ascii="Arial" w:hAnsi="Arial" w:cs="Arial" w:eastAsia="Arial" w:hint="default"/>
          <w:sz w:val="21"/>
          <w:szCs w:val="21"/>
        </w:rPr>
        <w:t>119.7</w:t>
      </w:r>
      <w:r>
        <w:rPr>
          <w:rFonts w:ascii="Arial" w:hAnsi="Arial" w:cs="Arial" w:eastAsia="Arial" w:hint="default"/>
          <w:spacing w:val="-9"/>
          <w:sz w:val="21"/>
          <w:szCs w:val="21"/>
        </w:rPr>
        <w:t> </w:t>
      </w:r>
      <w:r>
        <w:rPr>
          <w:rFonts w:ascii="宋体" w:hAnsi="宋体" w:cs="宋体" w:eastAsia="宋体" w:hint="default"/>
          <w:sz w:val="21"/>
          <w:szCs w:val="21"/>
        </w:rPr>
        <w:t>亿元，同比增长</w:t>
      </w:r>
      <w:r>
        <w:rPr>
          <w:rFonts w:ascii="宋体" w:hAnsi="宋体" w:cs="宋体" w:eastAsia="宋体" w:hint="default"/>
          <w:spacing w:val="-55"/>
          <w:sz w:val="21"/>
          <w:szCs w:val="21"/>
        </w:rPr>
        <w:t> </w:t>
      </w:r>
      <w:r>
        <w:rPr>
          <w:rFonts w:ascii="Arial" w:hAnsi="Arial" w:cs="Arial" w:eastAsia="Arial" w:hint="default"/>
          <w:sz w:val="21"/>
          <w:szCs w:val="21"/>
        </w:rPr>
        <w:t>16.3%</w:t>
      </w:r>
      <w:r>
        <w:rPr>
          <w:rFonts w:ascii="宋体" w:hAnsi="宋体" w:cs="宋体" w:eastAsia="宋体" w:hint="default"/>
          <w:sz w:val="21"/>
          <w:szCs w:val="21"/>
        </w:rPr>
        <w:t>，其</w:t>
      </w:r>
    </w:p>
    <w:p>
      <w:pPr>
        <w:spacing w:line="282" w:lineRule="exact" w:before="0"/>
        <w:ind w:left="846" w:right="143" w:firstLine="0"/>
        <w:jc w:val="left"/>
        <w:rPr>
          <w:rFonts w:ascii="宋体" w:hAnsi="宋体" w:cs="宋体" w:eastAsia="宋体" w:hint="default"/>
          <w:sz w:val="21"/>
          <w:szCs w:val="21"/>
        </w:rPr>
      </w:pPr>
      <w:r>
        <w:rPr>
          <w:rFonts w:ascii="宋体" w:hAnsi="宋体" w:cs="宋体" w:eastAsia="宋体" w:hint="default"/>
          <w:sz w:val="21"/>
          <w:szCs w:val="21"/>
        </w:rPr>
        <w:t>中归属于母公司的净利润</w:t>
      </w:r>
      <w:r>
        <w:rPr>
          <w:rFonts w:ascii="宋体" w:hAnsi="宋体" w:cs="宋体" w:eastAsia="宋体" w:hint="default"/>
          <w:spacing w:val="-57"/>
          <w:sz w:val="21"/>
          <w:szCs w:val="21"/>
        </w:rPr>
        <w:t> </w:t>
      </w:r>
      <w:r>
        <w:rPr>
          <w:rFonts w:ascii="Arial" w:hAnsi="Arial" w:cs="Arial" w:eastAsia="Arial" w:hint="default"/>
          <w:sz w:val="21"/>
          <w:szCs w:val="21"/>
        </w:rPr>
        <w:t>39.8</w:t>
      </w:r>
      <w:r>
        <w:rPr>
          <w:rFonts w:ascii="Arial" w:hAnsi="Arial" w:cs="Arial" w:eastAsia="Arial" w:hint="default"/>
          <w:spacing w:val="-8"/>
          <w:sz w:val="21"/>
          <w:szCs w:val="21"/>
        </w:rPr>
        <w:t> </w:t>
      </w:r>
      <w:r>
        <w:rPr>
          <w:rFonts w:ascii="宋体" w:hAnsi="宋体" w:cs="宋体" w:eastAsia="宋体" w:hint="default"/>
          <w:sz w:val="21"/>
          <w:szCs w:val="21"/>
        </w:rPr>
        <w:t>亿元，基本每股收益为</w:t>
      </w:r>
      <w:r>
        <w:rPr>
          <w:rFonts w:ascii="宋体" w:hAnsi="宋体" w:cs="宋体" w:eastAsia="宋体" w:hint="default"/>
          <w:spacing w:val="-55"/>
          <w:sz w:val="21"/>
          <w:szCs w:val="21"/>
        </w:rPr>
        <w:t> </w:t>
      </w:r>
      <w:r>
        <w:rPr>
          <w:rFonts w:ascii="Arial" w:hAnsi="Arial" w:cs="Arial" w:eastAsia="Arial" w:hint="default"/>
          <w:sz w:val="21"/>
          <w:szCs w:val="21"/>
        </w:rPr>
        <w:t>0.188</w:t>
      </w:r>
      <w:r>
        <w:rPr>
          <w:rFonts w:ascii="Arial" w:hAnsi="Arial" w:cs="Arial" w:eastAsia="Arial" w:hint="default"/>
          <w:spacing w:val="-7"/>
          <w:sz w:val="21"/>
          <w:szCs w:val="21"/>
        </w:rPr>
        <w:t> </w:t>
      </w:r>
      <w:r>
        <w:rPr>
          <w:rFonts w:ascii="宋体" w:hAnsi="宋体" w:cs="宋体" w:eastAsia="宋体" w:hint="default"/>
          <w:sz w:val="21"/>
          <w:szCs w:val="21"/>
        </w:rPr>
        <w:t>元，同比增长</w:t>
      </w:r>
      <w:r>
        <w:rPr>
          <w:rFonts w:ascii="宋体" w:hAnsi="宋体" w:cs="宋体" w:eastAsia="宋体" w:hint="default"/>
          <w:spacing w:val="-55"/>
          <w:sz w:val="21"/>
          <w:szCs w:val="21"/>
        </w:rPr>
        <w:t> </w:t>
      </w:r>
      <w:r>
        <w:rPr>
          <w:rFonts w:ascii="Arial" w:hAnsi="Arial" w:cs="Arial" w:eastAsia="Arial" w:hint="default"/>
          <w:sz w:val="21"/>
          <w:szCs w:val="21"/>
        </w:rPr>
        <w:t>15.7%</w:t>
      </w:r>
      <w:r>
        <w:rPr>
          <w:rFonts w:ascii="宋体" w:hAnsi="宋体" w:cs="宋体" w:eastAsia="宋体" w:hint="default"/>
          <w:sz w:val="21"/>
          <w:szCs w:val="21"/>
        </w:rPr>
        <w:t>。</w:t>
      </w:r>
    </w:p>
    <w:p>
      <w:pPr>
        <w:spacing w:line="240" w:lineRule="auto" w:before="1"/>
        <w:rPr>
          <w:rFonts w:ascii="宋体" w:hAnsi="宋体" w:cs="宋体" w:eastAsia="宋体" w:hint="default"/>
          <w:sz w:val="17"/>
          <w:szCs w:val="17"/>
        </w:rPr>
      </w:pPr>
    </w:p>
    <w:p>
      <w:pPr>
        <w:spacing w:line="280" w:lineRule="exact" w:before="0"/>
        <w:ind w:left="846" w:right="143" w:firstLine="0"/>
        <w:jc w:val="left"/>
        <w:rPr>
          <w:rFonts w:ascii="Arial" w:hAnsi="Arial" w:cs="Arial" w:eastAsia="Arial" w:hint="default"/>
          <w:sz w:val="21"/>
          <w:szCs w:val="21"/>
        </w:rPr>
      </w:pPr>
      <w:r>
        <w:rPr>
          <w:rFonts w:ascii="Arial" w:hAnsi="Arial" w:cs="Arial" w:eastAsia="Arial" w:hint="default"/>
          <w:sz w:val="21"/>
          <w:szCs w:val="21"/>
        </w:rPr>
        <w:t>2014</w:t>
      </w:r>
      <w:r>
        <w:rPr>
          <w:rFonts w:ascii="Arial" w:hAnsi="Arial" w:cs="Arial" w:eastAsia="Arial" w:hint="default"/>
          <w:spacing w:val="-10"/>
          <w:sz w:val="21"/>
          <w:szCs w:val="21"/>
        </w:rPr>
        <w:t> </w:t>
      </w:r>
      <w:r>
        <w:rPr>
          <w:rFonts w:ascii="宋体" w:hAnsi="宋体" w:cs="宋体" w:eastAsia="宋体" w:hint="default"/>
          <w:sz w:val="21"/>
          <w:szCs w:val="21"/>
        </w:rPr>
        <w:t>年公司经营活动现金流量净额为</w:t>
      </w:r>
      <w:r>
        <w:rPr>
          <w:rFonts w:ascii="宋体" w:hAnsi="宋体" w:cs="宋体" w:eastAsia="宋体" w:hint="default"/>
          <w:spacing w:val="-54"/>
          <w:sz w:val="21"/>
          <w:szCs w:val="21"/>
        </w:rPr>
        <w:t> </w:t>
      </w:r>
      <w:r>
        <w:rPr>
          <w:rFonts w:ascii="Arial" w:hAnsi="Arial" w:cs="Arial" w:eastAsia="Arial" w:hint="default"/>
          <w:sz w:val="21"/>
          <w:szCs w:val="21"/>
        </w:rPr>
        <w:t>924.3</w:t>
      </w:r>
      <w:r>
        <w:rPr>
          <w:rFonts w:ascii="Arial" w:hAnsi="Arial" w:cs="Arial" w:eastAsia="Arial" w:hint="default"/>
          <w:spacing w:val="-8"/>
          <w:sz w:val="21"/>
          <w:szCs w:val="21"/>
        </w:rPr>
        <w:t> </w:t>
      </w:r>
      <w:r>
        <w:rPr>
          <w:rFonts w:ascii="宋体" w:hAnsi="宋体" w:cs="宋体" w:eastAsia="宋体" w:hint="default"/>
          <w:sz w:val="21"/>
          <w:szCs w:val="21"/>
        </w:rPr>
        <w:t>亿元，资本开支为</w:t>
      </w:r>
      <w:r>
        <w:rPr>
          <w:rFonts w:ascii="宋体" w:hAnsi="宋体" w:cs="宋体" w:eastAsia="宋体" w:hint="default"/>
          <w:spacing w:val="-54"/>
          <w:sz w:val="21"/>
          <w:szCs w:val="21"/>
        </w:rPr>
        <w:t> </w:t>
      </w:r>
      <w:r>
        <w:rPr>
          <w:rFonts w:ascii="Arial" w:hAnsi="Arial" w:cs="Arial" w:eastAsia="Arial" w:hint="default"/>
          <w:sz w:val="21"/>
          <w:szCs w:val="21"/>
        </w:rPr>
        <w:t>848.8</w:t>
      </w:r>
      <w:r>
        <w:rPr>
          <w:rFonts w:ascii="Arial" w:hAnsi="Arial" w:cs="Arial" w:eastAsia="Arial" w:hint="default"/>
          <w:spacing w:val="-8"/>
          <w:sz w:val="21"/>
          <w:szCs w:val="21"/>
        </w:rPr>
        <w:t> </w:t>
      </w:r>
      <w:r>
        <w:rPr>
          <w:rFonts w:ascii="宋体" w:hAnsi="宋体" w:cs="宋体" w:eastAsia="宋体" w:hint="default"/>
          <w:sz w:val="21"/>
          <w:szCs w:val="21"/>
        </w:rPr>
        <w:t>亿元。截至</w:t>
      </w:r>
      <w:r>
        <w:rPr>
          <w:rFonts w:ascii="宋体" w:hAnsi="宋体" w:cs="宋体" w:eastAsia="宋体" w:hint="default"/>
          <w:spacing w:val="-54"/>
          <w:sz w:val="21"/>
          <w:szCs w:val="21"/>
        </w:rPr>
        <w:t> </w:t>
      </w:r>
      <w:r>
        <w:rPr>
          <w:rFonts w:ascii="Arial" w:hAnsi="Arial" w:cs="Arial" w:eastAsia="Arial" w:hint="default"/>
          <w:sz w:val="21"/>
          <w:szCs w:val="21"/>
        </w:rPr>
        <w:t>2014</w:t>
      </w:r>
    </w:p>
    <w:p>
      <w:pPr>
        <w:spacing w:line="424" w:lineRule="auto" w:before="0"/>
        <w:ind w:left="485" w:right="4802" w:firstLine="360"/>
        <w:jc w:val="left"/>
        <w:rPr>
          <w:rFonts w:ascii="宋体" w:hAnsi="宋体" w:cs="宋体" w:eastAsia="宋体" w:hint="default"/>
          <w:sz w:val="21"/>
          <w:szCs w:val="21"/>
        </w:rPr>
      </w:pPr>
      <w:r>
        <w:rPr>
          <w:rFonts w:ascii="宋体" w:hAnsi="宋体" w:cs="宋体" w:eastAsia="宋体" w:hint="default"/>
          <w:sz w:val="21"/>
          <w:szCs w:val="21"/>
        </w:rPr>
        <w:t>年底，公司的资产负债率为</w:t>
      </w:r>
      <w:r>
        <w:rPr>
          <w:rFonts w:ascii="宋体" w:hAnsi="宋体" w:cs="宋体" w:eastAsia="宋体" w:hint="default"/>
          <w:spacing w:val="-52"/>
          <w:sz w:val="21"/>
          <w:szCs w:val="21"/>
        </w:rPr>
        <w:t> </w:t>
      </w:r>
      <w:r>
        <w:rPr>
          <w:rFonts w:ascii="Arial" w:hAnsi="Arial" w:cs="Arial" w:eastAsia="Arial" w:hint="default"/>
          <w:sz w:val="21"/>
          <w:szCs w:val="21"/>
        </w:rPr>
        <w:t>57.9%</w:t>
      </w:r>
      <w:r>
        <w:rPr>
          <w:rFonts w:ascii="宋体" w:hAnsi="宋体" w:cs="宋体" w:eastAsia="宋体" w:hint="default"/>
          <w:sz w:val="21"/>
          <w:szCs w:val="21"/>
        </w:rPr>
        <w:t>。</w:t>
      </w:r>
      <w:r>
        <w:rPr>
          <w:rFonts w:ascii="宋体" w:hAnsi="宋体" w:cs="宋体" w:eastAsia="宋体" w:hint="default"/>
          <w:w w:val="100"/>
          <w:sz w:val="21"/>
          <w:szCs w:val="21"/>
        </w:rPr>
        <w:t> </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营业收入</w:t>
      </w:r>
    </w:p>
    <w:p>
      <w:pPr>
        <w:spacing w:line="274" w:lineRule="exact" w:before="69"/>
        <w:ind w:left="846" w:right="178" w:firstLine="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9"/>
          <w:sz w:val="21"/>
          <w:szCs w:val="21"/>
        </w:rPr>
        <w:t> </w:t>
      </w:r>
      <w:r>
        <w:rPr>
          <w:rFonts w:ascii="宋体" w:hAnsi="宋体" w:cs="宋体" w:eastAsia="宋体" w:hint="default"/>
          <w:sz w:val="21"/>
          <w:szCs w:val="21"/>
        </w:rPr>
        <w:t>年公司营业收入实现</w:t>
      </w:r>
      <w:r>
        <w:rPr>
          <w:rFonts w:ascii="宋体" w:hAnsi="宋体" w:cs="宋体" w:eastAsia="宋体" w:hint="default"/>
          <w:spacing w:val="-53"/>
          <w:sz w:val="21"/>
          <w:szCs w:val="21"/>
        </w:rPr>
        <w:t> </w:t>
      </w:r>
      <w:r>
        <w:rPr>
          <w:rFonts w:ascii="Arial" w:hAnsi="Arial" w:cs="Arial" w:eastAsia="Arial" w:hint="default"/>
          <w:sz w:val="21"/>
          <w:szCs w:val="21"/>
        </w:rPr>
        <w:t>2,885.7</w:t>
      </w:r>
      <w:r>
        <w:rPr>
          <w:rFonts w:ascii="Arial" w:hAnsi="Arial" w:cs="Arial" w:eastAsia="Arial" w:hint="default"/>
          <w:spacing w:val="-7"/>
          <w:sz w:val="21"/>
          <w:szCs w:val="21"/>
        </w:rPr>
        <w:t> </w:t>
      </w:r>
      <w:r>
        <w:rPr>
          <w:rFonts w:ascii="宋体" w:hAnsi="宋体" w:cs="宋体" w:eastAsia="宋体" w:hint="default"/>
          <w:sz w:val="21"/>
          <w:szCs w:val="21"/>
        </w:rPr>
        <w:t>亿元，其中，主营业务收入为</w:t>
      </w:r>
      <w:r>
        <w:rPr>
          <w:rFonts w:ascii="宋体" w:hAnsi="宋体" w:cs="宋体" w:eastAsia="宋体" w:hint="default"/>
          <w:spacing w:val="-54"/>
          <w:sz w:val="21"/>
          <w:szCs w:val="21"/>
        </w:rPr>
        <w:t> </w:t>
      </w:r>
      <w:r>
        <w:rPr>
          <w:rFonts w:ascii="Arial" w:hAnsi="Arial" w:cs="Arial" w:eastAsia="Arial" w:hint="default"/>
          <w:sz w:val="21"/>
          <w:szCs w:val="21"/>
        </w:rPr>
        <w:t>2,484.0</w:t>
      </w:r>
      <w:r>
        <w:rPr>
          <w:rFonts w:ascii="Arial" w:hAnsi="Arial" w:cs="Arial" w:eastAsia="Arial" w:hint="default"/>
          <w:spacing w:val="-9"/>
          <w:sz w:val="21"/>
          <w:szCs w:val="21"/>
        </w:rPr>
        <w:t> </w:t>
      </w:r>
      <w:r>
        <w:rPr>
          <w:rFonts w:ascii="宋体" w:hAnsi="宋体" w:cs="宋体" w:eastAsia="宋体" w:hint="default"/>
          <w:sz w:val="21"/>
          <w:szCs w:val="21"/>
        </w:rPr>
        <w:t>亿元，同比增</w:t>
      </w:r>
      <w:r>
        <w:rPr>
          <w:rFonts w:ascii="宋体" w:hAnsi="宋体" w:cs="宋体" w:eastAsia="宋体" w:hint="default"/>
          <w:w w:val="100"/>
          <w:sz w:val="21"/>
          <w:szCs w:val="21"/>
        </w:rPr>
        <w:t> </w:t>
      </w:r>
      <w:r>
        <w:rPr>
          <w:rFonts w:ascii="宋体" w:hAnsi="宋体" w:cs="宋体" w:eastAsia="宋体" w:hint="default"/>
          <w:sz w:val="21"/>
          <w:szCs w:val="21"/>
        </w:rPr>
        <w:t>长</w:t>
      </w:r>
      <w:r>
        <w:rPr>
          <w:rFonts w:ascii="宋体" w:hAnsi="宋体" w:cs="宋体" w:eastAsia="宋体" w:hint="default"/>
          <w:spacing w:val="-54"/>
          <w:sz w:val="21"/>
          <w:szCs w:val="21"/>
        </w:rPr>
        <w:t> </w:t>
      </w:r>
      <w:r>
        <w:rPr>
          <w:rFonts w:ascii="Arial" w:hAnsi="Arial" w:cs="Arial" w:eastAsia="Arial" w:hint="default"/>
          <w:sz w:val="21"/>
          <w:szCs w:val="21"/>
        </w:rPr>
        <w:t>0.9%</w:t>
      </w:r>
      <w:r>
        <w:rPr>
          <w:rFonts w:ascii="宋体" w:hAnsi="宋体" w:cs="宋体" w:eastAsia="宋体" w:hint="default"/>
          <w:sz w:val="21"/>
          <w:szCs w:val="21"/>
        </w:rPr>
        <w:t>，销售通信产品收入为</w:t>
      </w:r>
      <w:r>
        <w:rPr>
          <w:rFonts w:ascii="宋体" w:hAnsi="宋体" w:cs="宋体" w:eastAsia="宋体" w:hint="default"/>
          <w:spacing w:val="-53"/>
          <w:sz w:val="21"/>
          <w:szCs w:val="21"/>
        </w:rPr>
        <w:t> </w:t>
      </w:r>
      <w:r>
        <w:rPr>
          <w:rFonts w:ascii="Arial" w:hAnsi="Arial" w:cs="Arial" w:eastAsia="Arial" w:hint="default"/>
          <w:sz w:val="21"/>
          <w:szCs w:val="21"/>
        </w:rPr>
        <w:t>401.7</w:t>
      </w:r>
      <w:r>
        <w:rPr>
          <w:rFonts w:ascii="Arial" w:hAnsi="Arial" w:cs="Arial" w:eastAsia="Arial" w:hint="default"/>
          <w:spacing w:val="-9"/>
          <w:sz w:val="21"/>
          <w:szCs w:val="21"/>
        </w:rPr>
        <w:t> </w:t>
      </w:r>
      <w:r>
        <w:rPr>
          <w:rFonts w:ascii="宋体" w:hAnsi="宋体" w:cs="宋体" w:eastAsia="宋体" w:hint="default"/>
          <w:sz w:val="21"/>
          <w:szCs w:val="21"/>
        </w:rPr>
        <w:t>亿元。</w:t>
      </w:r>
    </w:p>
    <w:p>
      <w:pPr>
        <w:spacing w:line="240" w:lineRule="auto" w:before="4"/>
        <w:rPr>
          <w:rFonts w:ascii="宋体" w:hAnsi="宋体" w:cs="宋体" w:eastAsia="宋体" w:hint="default"/>
          <w:sz w:val="18"/>
          <w:szCs w:val="18"/>
        </w:rPr>
      </w:pPr>
    </w:p>
    <w:p>
      <w:pPr>
        <w:spacing w:line="274" w:lineRule="exact" w:before="0"/>
        <w:ind w:left="846" w:right="127" w:firstLine="0"/>
        <w:jc w:val="left"/>
        <w:rPr>
          <w:rFonts w:ascii="宋体" w:hAnsi="宋体" w:cs="宋体" w:eastAsia="宋体" w:hint="default"/>
          <w:sz w:val="21"/>
          <w:szCs w:val="21"/>
        </w:rPr>
      </w:pPr>
      <w:r>
        <w:rPr>
          <w:rFonts w:ascii="宋体" w:hAnsi="宋体" w:cs="宋体" w:eastAsia="宋体" w:hint="default"/>
          <w:sz w:val="21"/>
          <w:szCs w:val="21"/>
        </w:rPr>
        <w:t>下表反映了公司</w:t>
      </w:r>
      <w:r>
        <w:rPr>
          <w:rFonts w:ascii="宋体" w:hAnsi="宋体" w:cs="宋体" w:eastAsia="宋体" w:hint="default"/>
          <w:spacing w:val="-57"/>
          <w:sz w:val="21"/>
          <w:szCs w:val="21"/>
        </w:rPr>
        <w:t> </w:t>
      </w:r>
      <w:r>
        <w:rPr>
          <w:rFonts w:ascii="Arial" w:hAnsi="Arial" w:cs="Arial" w:eastAsia="Arial" w:hint="default"/>
          <w:sz w:val="21"/>
          <w:szCs w:val="21"/>
        </w:rPr>
        <w:t>2014</w:t>
      </w:r>
      <w:r>
        <w:rPr>
          <w:rFonts w:ascii="Arial" w:hAnsi="Arial" w:cs="Arial" w:eastAsia="Arial" w:hint="default"/>
          <w:spacing w:val="-12"/>
          <w:sz w:val="21"/>
          <w:szCs w:val="21"/>
        </w:rPr>
        <w:t> </w:t>
      </w:r>
      <w:r>
        <w:rPr>
          <w:rFonts w:ascii="宋体" w:hAnsi="宋体" w:cs="宋体" w:eastAsia="宋体" w:hint="default"/>
          <w:sz w:val="21"/>
          <w:szCs w:val="21"/>
        </w:rPr>
        <w:t>年和</w:t>
      </w:r>
      <w:r>
        <w:rPr>
          <w:rFonts w:ascii="宋体" w:hAnsi="宋体" w:cs="宋体" w:eastAsia="宋体" w:hint="default"/>
          <w:spacing w:val="-57"/>
          <w:sz w:val="21"/>
          <w:szCs w:val="21"/>
        </w:rPr>
        <w:t> </w:t>
      </w:r>
      <w:r>
        <w:rPr>
          <w:rFonts w:ascii="Arial" w:hAnsi="Arial" w:cs="Arial" w:eastAsia="Arial" w:hint="default"/>
          <w:sz w:val="21"/>
          <w:szCs w:val="21"/>
        </w:rPr>
        <w:t>2013</w:t>
      </w:r>
      <w:r>
        <w:rPr>
          <w:rFonts w:ascii="Arial" w:hAnsi="Arial" w:cs="Arial" w:eastAsia="Arial" w:hint="default"/>
          <w:spacing w:val="-12"/>
          <w:sz w:val="21"/>
          <w:szCs w:val="21"/>
        </w:rPr>
        <w:t> </w:t>
      </w:r>
      <w:r>
        <w:rPr>
          <w:rFonts w:ascii="宋体" w:hAnsi="宋体" w:cs="宋体" w:eastAsia="宋体" w:hint="default"/>
          <w:sz w:val="21"/>
          <w:szCs w:val="21"/>
        </w:rPr>
        <w:t>年主营业务收入构成的变化情况及各业务主营业务收入</w:t>
      </w:r>
      <w:r>
        <w:rPr>
          <w:rFonts w:ascii="宋体" w:hAnsi="宋体" w:cs="宋体" w:eastAsia="宋体" w:hint="default"/>
          <w:w w:val="100"/>
          <w:sz w:val="21"/>
          <w:szCs w:val="21"/>
        </w:rPr>
        <w:t> </w:t>
      </w:r>
      <w:r>
        <w:rPr>
          <w:rFonts w:ascii="宋体" w:hAnsi="宋体" w:cs="宋体" w:eastAsia="宋体" w:hint="default"/>
          <w:sz w:val="21"/>
          <w:szCs w:val="21"/>
        </w:rPr>
        <w:t>所占主营业务收入百分比情况。</w:t>
      </w:r>
    </w:p>
    <w:p>
      <w:pPr>
        <w:spacing w:line="240" w:lineRule="auto" w:before="12"/>
        <w:rPr>
          <w:rFonts w:ascii="宋体" w:hAnsi="宋体" w:cs="宋体" w:eastAsia="宋体" w:hint="default"/>
          <w:sz w:val="18"/>
          <w:szCs w:val="18"/>
        </w:rPr>
      </w:pPr>
    </w:p>
    <w:tbl>
      <w:tblPr>
        <w:tblW w:w="0" w:type="auto"/>
        <w:jc w:val="left"/>
        <w:tblInd w:w="831" w:type="dxa"/>
        <w:tblLayout w:type="fixed"/>
        <w:tblCellMar>
          <w:top w:w="0" w:type="dxa"/>
          <w:left w:w="0" w:type="dxa"/>
          <w:bottom w:w="0" w:type="dxa"/>
          <w:right w:w="0" w:type="dxa"/>
        </w:tblCellMar>
        <w:tblLook w:val="01E0"/>
      </w:tblPr>
      <w:tblGrid>
        <w:gridCol w:w="2569"/>
        <w:gridCol w:w="1196"/>
        <w:gridCol w:w="1498"/>
        <w:gridCol w:w="1181"/>
        <w:gridCol w:w="1512"/>
      </w:tblGrid>
      <w:tr>
        <w:trPr>
          <w:trHeight w:val="343" w:hRule="exact"/>
        </w:trPr>
        <w:tc>
          <w:tcPr>
            <w:tcW w:w="2569"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（单位：人民币亿元）</w:t>
            </w:r>
          </w:p>
        </w:tc>
        <w:tc>
          <w:tcPr>
            <w:tcW w:w="2694" w:type="dxa"/>
            <w:gridSpan w:val="2"/>
            <w:tcBorders>
              <w:top w:val="single" w:sz="17" w:space="0" w:color="000000"/>
              <w:left w:val="single" w:sz="4" w:space="0" w:color="000000"/>
              <w:bottom w:val="single" w:sz="4" w:space="0" w:color="000000"/>
              <w:right w:val="single" w:sz="4" w:space="0" w:color="000000"/>
            </w:tcBorders>
          </w:tcPr>
          <w:p>
            <w:pPr>
              <w:pStyle w:val="TableParagraph"/>
              <w:spacing w:line="277" w:lineRule="exact"/>
              <w:ind w:left="2" w:right="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693" w:type="dxa"/>
            <w:gridSpan w:val="2"/>
            <w:tcBorders>
              <w:top w:val="single" w:sz="17" w:space="0" w:color="000000"/>
              <w:left w:val="single" w:sz="4" w:space="0" w:color="000000"/>
              <w:bottom w:val="single" w:sz="4" w:space="0" w:color="000000"/>
              <w:right w:val="nil" w:sz="6" w:space="0" w:color="auto"/>
            </w:tcBorders>
          </w:tcPr>
          <w:p>
            <w:pPr>
              <w:pStyle w:val="TableParagraph"/>
              <w:spacing w:line="277" w:lineRule="exact"/>
              <w:ind w:right="0"/>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5"/>
                <w:sz w:val="21"/>
                <w:szCs w:val="21"/>
              </w:rPr>
              <w:t> </w:t>
            </w:r>
            <w:r>
              <w:rPr>
                <w:rFonts w:ascii="宋体" w:hAnsi="宋体" w:cs="宋体" w:eastAsia="宋体" w:hint="default"/>
                <w:sz w:val="21"/>
                <w:szCs w:val="21"/>
              </w:rPr>
              <w:t>年</w:t>
            </w:r>
          </w:p>
        </w:tc>
      </w:tr>
      <w:tr>
        <w:trPr>
          <w:trHeight w:val="554" w:hRule="exact"/>
        </w:trPr>
        <w:tc>
          <w:tcPr>
            <w:tcW w:w="2569" w:type="dxa"/>
            <w:vMerge/>
            <w:tcBorders>
              <w:left w:val="nil" w:sz="6" w:space="0" w:color="auto"/>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hAnsi="宋体" w:cs="宋体" w:eastAsia="宋体" w:hint="default"/>
                <w:spacing w:val="-1"/>
                <w:sz w:val="21"/>
                <w:szCs w:val="21"/>
              </w:rPr>
              <w:t>累计完成</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所占主营业务</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收入百分比</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pacing w:val="-1"/>
                <w:sz w:val="21"/>
                <w:szCs w:val="21"/>
              </w:rPr>
              <w:t>累计完成</w:t>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347" w:right="0" w:hanging="209"/>
              <w:jc w:val="left"/>
              <w:rPr>
                <w:rFonts w:ascii="宋体" w:hAnsi="宋体" w:cs="宋体" w:eastAsia="宋体" w:hint="default"/>
                <w:sz w:val="21"/>
                <w:szCs w:val="21"/>
              </w:rPr>
            </w:pPr>
            <w:r>
              <w:rPr>
                <w:rFonts w:ascii="宋体" w:hAnsi="宋体" w:cs="宋体" w:eastAsia="宋体" w:hint="default"/>
                <w:sz w:val="21"/>
                <w:szCs w:val="21"/>
              </w:rPr>
              <w:t>所占主营业务</w:t>
            </w:r>
          </w:p>
          <w:p>
            <w:pPr>
              <w:pStyle w:val="TableParagraph"/>
              <w:spacing w:line="273" w:lineRule="exact"/>
              <w:ind w:left="347" w:right="0"/>
              <w:jc w:val="left"/>
              <w:rPr>
                <w:rFonts w:ascii="宋体" w:hAnsi="宋体" w:cs="宋体" w:eastAsia="宋体" w:hint="default"/>
                <w:sz w:val="21"/>
                <w:szCs w:val="21"/>
              </w:rPr>
            </w:pPr>
            <w:r>
              <w:rPr>
                <w:rFonts w:ascii="宋体" w:hAnsi="宋体" w:cs="宋体" w:eastAsia="宋体" w:hint="default"/>
                <w:sz w:val="21"/>
                <w:szCs w:val="21"/>
              </w:rPr>
              <w:t>收入百分比</w:t>
            </w:r>
          </w:p>
        </w:tc>
      </w:tr>
      <w:tr>
        <w:trPr>
          <w:trHeight w:val="285" w:hRule="exact"/>
        </w:trPr>
        <w:tc>
          <w:tcPr>
            <w:tcW w:w="2569" w:type="dxa"/>
            <w:tcBorders>
              <w:top w:val="single" w:sz="4" w:space="0" w:color="000000"/>
              <w:left w:val="nil" w:sz="6" w:space="0" w:color="auto"/>
              <w:bottom w:val="nil" w:sz="6" w:space="0" w:color="auto"/>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196" w:type="dxa"/>
            <w:tcBorders>
              <w:top w:val="single" w:sz="4" w:space="0" w:color="000000"/>
              <w:left w:val="single" w:sz="4" w:space="0" w:color="000000"/>
              <w:bottom w:val="nil" w:sz="6" w:space="0" w:color="auto"/>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1"/>
                <w:sz w:val="21"/>
              </w:rPr>
              <w:t>2,484.0</w:t>
            </w: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sz w:val="21"/>
              </w:rPr>
              <w:t>100.0%</w:t>
            </w:r>
          </w:p>
        </w:tc>
        <w:tc>
          <w:tcPr>
            <w:tcW w:w="1181" w:type="dxa"/>
            <w:tcBorders>
              <w:top w:val="single" w:sz="4" w:space="0" w:color="000000"/>
              <w:left w:val="single" w:sz="4" w:space="0" w:color="000000"/>
              <w:bottom w:val="nil" w:sz="6" w:space="0" w:color="auto"/>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spacing w:val="-1"/>
                <w:sz w:val="21"/>
              </w:rPr>
              <w:t>2,462.8</w:t>
            </w:r>
          </w:p>
        </w:tc>
        <w:tc>
          <w:tcPr>
            <w:tcW w:w="1512" w:type="dxa"/>
            <w:tcBorders>
              <w:top w:val="single" w:sz="4" w:space="0" w:color="000000"/>
              <w:left w:val="single" w:sz="4" w:space="0" w:color="000000"/>
              <w:bottom w:val="nil" w:sz="6" w:space="0" w:color="auto"/>
              <w:right w:val="nil" w:sz="6" w:space="0" w:color="auto"/>
            </w:tcBorders>
          </w:tcPr>
          <w:p>
            <w:pPr>
              <w:pStyle w:val="TableParagraph"/>
              <w:spacing w:line="237" w:lineRule="exact"/>
              <w:ind w:right="103"/>
              <w:jc w:val="right"/>
              <w:rPr>
                <w:rFonts w:ascii="Arial" w:hAnsi="Arial" w:cs="Arial" w:eastAsia="Arial" w:hint="default"/>
                <w:sz w:val="21"/>
                <w:szCs w:val="21"/>
              </w:rPr>
            </w:pPr>
            <w:r>
              <w:rPr>
                <w:rFonts w:ascii="Arial"/>
                <w:sz w:val="21"/>
              </w:rPr>
              <w:t>100.0%</w:t>
            </w:r>
          </w:p>
        </w:tc>
      </w:tr>
      <w:tr>
        <w:trPr>
          <w:trHeight w:val="272" w:hRule="exact"/>
        </w:trPr>
        <w:tc>
          <w:tcPr>
            <w:tcW w:w="2569" w:type="dxa"/>
            <w:tcBorders>
              <w:top w:val="nil" w:sz="6" w:space="0" w:color="auto"/>
              <w:left w:val="nil" w:sz="6" w:space="0" w:color="auto"/>
              <w:bottom w:val="nil" w:sz="6" w:space="0" w:color="auto"/>
              <w:right w:val="single" w:sz="4" w:space="0" w:color="000000"/>
            </w:tcBorders>
          </w:tcPr>
          <w:p>
            <w:pPr>
              <w:pStyle w:val="TableParagraph"/>
              <w:spacing w:line="247" w:lineRule="exact"/>
              <w:ind w:left="340" w:right="0"/>
              <w:jc w:val="left"/>
              <w:rPr>
                <w:rFonts w:ascii="宋体" w:hAnsi="宋体" w:cs="宋体" w:eastAsia="宋体" w:hint="default"/>
                <w:sz w:val="21"/>
                <w:szCs w:val="21"/>
              </w:rPr>
            </w:pPr>
            <w:r>
              <w:rPr>
                <w:rFonts w:ascii="宋体" w:hAnsi="宋体" w:cs="宋体" w:eastAsia="宋体" w:hint="default"/>
                <w:sz w:val="21"/>
                <w:szCs w:val="21"/>
              </w:rPr>
              <w:t>其中：移动业务</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01"/>
              <w:jc w:val="right"/>
              <w:rPr>
                <w:rFonts w:ascii="Arial" w:hAnsi="Arial" w:cs="Arial" w:eastAsia="Arial" w:hint="default"/>
                <w:sz w:val="21"/>
                <w:szCs w:val="21"/>
              </w:rPr>
            </w:pPr>
            <w:r>
              <w:rPr>
                <w:rFonts w:ascii="Arial"/>
                <w:spacing w:val="-1"/>
                <w:sz w:val="21"/>
              </w:rPr>
              <w:t>1,573.1</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99"/>
              <w:jc w:val="right"/>
              <w:rPr>
                <w:rFonts w:ascii="Arial" w:hAnsi="Arial" w:cs="Arial" w:eastAsia="Arial" w:hint="default"/>
                <w:sz w:val="21"/>
                <w:szCs w:val="21"/>
              </w:rPr>
            </w:pPr>
            <w:r>
              <w:rPr>
                <w:rFonts w:ascii="Arial"/>
                <w:spacing w:val="-1"/>
                <w:sz w:val="21"/>
              </w:rPr>
              <w:t>63.3%</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98"/>
              <w:jc w:val="right"/>
              <w:rPr>
                <w:rFonts w:ascii="Arial" w:hAnsi="Arial" w:cs="Arial" w:eastAsia="Arial" w:hint="default"/>
                <w:sz w:val="21"/>
                <w:szCs w:val="21"/>
              </w:rPr>
            </w:pPr>
            <w:r>
              <w:rPr>
                <w:rFonts w:ascii="Arial"/>
                <w:spacing w:val="-1"/>
                <w:sz w:val="21"/>
              </w:rPr>
              <w:t>1,557.7</w:t>
            </w:r>
          </w:p>
        </w:tc>
        <w:tc>
          <w:tcPr>
            <w:tcW w:w="1512"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103"/>
              <w:jc w:val="right"/>
              <w:rPr>
                <w:rFonts w:ascii="Arial" w:hAnsi="Arial" w:cs="Arial" w:eastAsia="Arial" w:hint="default"/>
                <w:sz w:val="21"/>
                <w:szCs w:val="21"/>
              </w:rPr>
            </w:pPr>
            <w:r>
              <w:rPr>
                <w:rFonts w:ascii="Arial"/>
                <w:spacing w:val="-1"/>
                <w:sz w:val="21"/>
              </w:rPr>
              <w:t>63.3%</w:t>
            </w:r>
          </w:p>
        </w:tc>
      </w:tr>
      <w:tr>
        <w:trPr>
          <w:trHeight w:val="284" w:hRule="exact"/>
        </w:trPr>
        <w:tc>
          <w:tcPr>
            <w:tcW w:w="2569" w:type="dxa"/>
            <w:tcBorders>
              <w:top w:val="nil" w:sz="6" w:space="0" w:color="auto"/>
              <w:left w:val="nil" w:sz="6" w:space="0" w:color="auto"/>
              <w:bottom w:val="nil" w:sz="6" w:space="0" w:color="auto"/>
              <w:right w:val="single" w:sz="4" w:space="0" w:color="000000"/>
            </w:tcBorders>
          </w:tcPr>
          <w:p>
            <w:pPr>
              <w:pStyle w:val="TableParagraph"/>
              <w:spacing w:line="257" w:lineRule="exact"/>
              <w:ind w:right="115"/>
              <w:jc w:val="right"/>
              <w:rPr>
                <w:rFonts w:ascii="宋体" w:hAnsi="宋体" w:cs="宋体" w:eastAsia="宋体" w:hint="default"/>
                <w:sz w:val="21"/>
                <w:szCs w:val="21"/>
              </w:rPr>
            </w:pPr>
            <w:r>
              <w:rPr>
                <w:rFonts w:ascii="宋体" w:hAnsi="宋体" w:cs="宋体" w:eastAsia="宋体" w:hint="default"/>
                <w:spacing w:val="-1"/>
                <w:sz w:val="21"/>
                <w:szCs w:val="21"/>
              </w:rPr>
              <w:t>其中：移动宽带</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Arial" w:hAnsi="Arial" w:cs="Arial" w:eastAsia="Arial" w:hint="default"/>
                <w:sz w:val="21"/>
                <w:szCs w:val="21"/>
              </w:rPr>
            </w:pPr>
            <w:r>
              <w:rPr>
                <w:rFonts w:ascii="Arial"/>
                <w:spacing w:val="-1"/>
                <w:sz w:val="21"/>
              </w:rPr>
              <w:t>1,073.7</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99"/>
              <w:jc w:val="right"/>
              <w:rPr>
                <w:rFonts w:ascii="Arial" w:hAnsi="Arial" w:cs="Arial" w:eastAsia="Arial" w:hint="default"/>
                <w:sz w:val="21"/>
                <w:szCs w:val="21"/>
              </w:rPr>
            </w:pPr>
            <w:r>
              <w:rPr>
                <w:rFonts w:ascii="Arial"/>
                <w:spacing w:val="-1"/>
                <w:sz w:val="21"/>
              </w:rPr>
              <w:t>43.2%</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98"/>
              <w:jc w:val="right"/>
              <w:rPr>
                <w:rFonts w:ascii="Arial" w:hAnsi="Arial" w:cs="Arial" w:eastAsia="Arial" w:hint="default"/>
                <w:sz w:val="21"/>
                <w:szCs w:val="21"/>
              </w:rPr>
            </w:pPr>
            <w:r>
              <w:rPr>
                <w:rFonts w:ascii="Arial"/>
                <w:sz w:val="21"/>
              </w:rPr>
              <w:t>927.2</w:t>
            </w:r>
          </w:p>
        </w:tc>
        <w:tc>
          <w:tcPr>
            <w:tcW w:w="1512" w:type="dxa"/>
            <w:tcBorders>
              <w:top w:val="nil" w:sz="6" w:space="0" w:color="auto"/>
              <w:left w:val="single" w:sz="4" w:space="0" w:color="000000"/>
              <w:bottom w:val="nil" w:sz="6" w:space="0" w:color="auto"/>
              <w:right w:val="nil" w:sz="6" w:space="0" w:color="auto"/>
            </w:tcBorders>
          </w:tcPr>
          <w:p>
            <w:pPr>
              <w:pStyle w:val="TableParagraph"/>
              <w:spacing w:line="241" w:lineRule="exact"/>
              <w:ind w:right="103"/>
              <w:jc w:val="right"/>
              <w:rPr>
                <w:rFonts w:ascii="Arial" w:hAnsi="Arial" w:cs="Arial" w:eastAsia="Arial" w:hint="default"/>
                <w:sz w:val="21"/>
                <w:szCs w:val="21"/>
              </w:rPr>
            </w:pPr>
            <w:r>
              <w:rPr>
                <w:rFonts w:ascii="Arial"/>
                <w:spacing w:val="-1"/>
                <w:sz w:val="21"/>
              </w:rPr>
              <w:t>37.6%</w:t>
            </w:r>
          </w:p>
        </w:tc>
      </w:tr>
      <w:tr>
        <w:trPr>
          <w:trHeight w:val="286" w:hRule="exact"/>
        </w:trPr>
        <w:tc>
          <w:tcPr>
            <w:tcW w:w="2569" w:type="dxa"/>
            <w:tcBorders>
              <w:top w:val="nil" w:sz="6" w:space="0" w:color="auto"/>
              <w:left w:val="nil" w:sz="6" w:space="0" w:color="auto"/>
              <w:bottom w:val="nil" w:sz="6" w:space="0" w:color="auto"/>
              <w:right w:val="single" w:sz="4" w:space="0" w:color="000000"/>
            </w:tcBorders>
          </w:tcPr>
          <w:p>
            <w:pPr>
              <w:pStyle w:val="TableParagraph"/>
              <w:spacing w:line="259" w:lineRule="exact"/>
              <w:ind w:left="972" w:right="0"/>
              <w:jc w:val="left"/>
              <w:rPr>
                <w:rFonts w:ascii="宋体" w:hAnsi="宋体" w:cs="宋体" w:eastAsia="宋体" w:hint="default"/>
                <w:sz w:val="21"/>
                <w:szCs w:val="21"/>
              </w:rPr>
            </w:pPr>
            <w:r>
              <w:rPr>
                <w:rFonts w:ascii="宋体" w:hAnsi="宋体" w:cs="宋体" w:eastAsia="宋体" w:hint="default"/>
                <w:sz w:val="21"/>
                <w:szCs w:val="21"/>
              </w:rPr>
              <w:t>固网业务</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00"/>
              <w:jc w:val="right"/>
              <w:rPr>
                <w:rFonts w:ascii="Arial" w:hAnsi="Arial" w:cs="Arial" w:eastAsia="Arial" w:hint="default"/>
                <w:sz w:val="21"/>
                <w:szCs w:val="21"/>
              </w:rPr>
            </w:pPr>
            <w:r>
              <w:rPr>
                <w:rFonts w:ascii="Arial"/>
                <w:sz w:val="21"/>
              </w:rPr>
              <w:t>897.5</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99"/>
              <w:jc w:val="right"/>
              <w:rPr>
                <w:rFonts w:ascii="Arial" w:hAnsi="Arial" w:cs="Arial" w:eastAsia="Arial" w:hint="default"/>
                <w:sz w:val="21"/>
                <w:szCs w:val="21"/>
              </w:rPr>
            </w:pPr>
            <w:r>
              <w:rPr>
                <w:rFonts w:ascii="Arial"/>
                <w:spacing w:val="-1"/>
                <w:sz w:val="21"/>
              </w:rPr>
              <w:t>36.1%</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98"/>
              <w:jc w:val="right"/>
              <w:rPr>
                <w:rFonts w:ascii="Arial" w:hAnsi="Arial" w:cs="Arial" w:eastAsia="Arial" w:hint="default"/>
                <w:sz w:val="21"/>
                <w:szCs w:val="21"/>
              </w:rPr>
            </w:pPr>
            <w:r>
              <w:rPr>
                <w:rFonts w:ascii="Arial"/>
                <w:sz w:val="21"/>
              </w:rPr>
              <w:t>893.8</w:t>
            </w:r>
          </w:p>
        </w:tc>
        <w:tc>
          <w:tcPr>
            <w:tcW w:w="1512"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103"/>
              <w:jc w:val="right"/>
              <w:rPr>
                <w:rFonts w:ascii="Arial" w:hAnsi="Arial" w:cs="Arial" w:eastAsia="Arial" w:hint="default"/>
                <w:sz w:val="21"/>
                <w:szCs w:val="21"/>
              </w:rPr>
            </w:pPr>
            <w:r>
              <w:rPr>
                <w:rFonts w:ascii="Arial"/>
                <w:spacing w:val="-1"/>
                <w:sz w:val="21"/>
              </w:rPr>
              <w:t>36.3%</w:t>
            </w:r>
          </w:p>
        </w:tc>
      </w:tr>
      <w:tr>
        <w:trPr>
          <w:trHeight w:val="306" w:hRule="exact"/>
        </w:trPr>
        <w:tc>
          <w:tcPr>
            <w:tcW w:w="2569" w:type="dxa"/>
            <w:tcBorders>
              <w:top w:val="nil" w:sz="6" w:space="0" w:color="auto"/>
              <w:left w:val="nil" w:sz="6" w:space="0" w:color="auto"/>
              <w:bottom w:val="single" w:sz="12" w:space="0" w:color="000000"/>
              <w:right w:val="single" w:sz="4" w:space="0" w:color="000000"/>
            </w:tcBorders>
          </w:tcPr>
          <w:p>
            <w:pPr>
              <w:pStyle w:val="TableParagraph"/>
              <w:spacing w:line="259" w:lineRule="exact"/>
              <w:ind w:right="115"/>
              <w:jc w:val="right"/>
              <w:rPr>
                <w:rFonts w:ascii="宋体" w:hAnsi="宋体" w:cs="宋体" w:eastAsia="宋体" w:hint="default"/>
                <w:sz w:val="21"/>
                <w:szCs w:val="21"/>
              </w:rPr>
            </w:pPr>
            <w:r>
              <w:rPr>
                <w:rFonts w:ascii="宋体" w:hAnsi="宋体" w:cs="宋体" w:eastAsia="宋体" w:hint="default"/>
                <w:spacing w:val="-1"/>
                <w:sz w:val="21"/>
                <w:szCs w:val="21"/>
              </w:rPr>
              <w:t>其中：固网宽带</w:t>
            </w:r>
          </w:p>
        </w:tc>
        <w:tc>
          <w:tcPr>
            <w:tcW w:w="119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
              <w:ind w:right="100"/>
              <w:jc w:val="right"/>
              <w:rPr>
                <w:rFonts w:ascii="Arial" w:hAnsi="Arial" w:cs="Arial" w:eastAsia="Arial" w:hint="default"/>
                <w:sz w:val="21"/>
                <w:szCs w:val="21"/>
              </w:rPr>
            </w:pPr>
            <w:r>
              <w:rPr>
                <w:rFonts w:ascii="Arial"/>
                <w:sz w:val="21"/>
              </w:rPr>
              <w:t>509.2</w:t>
            </w:r>
          </w:p>
        </w:tc>
        <w:tc>
          <w:tcPr>
            <w:tcW w:w="149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
              <w:ind w:right="99"/>
              <w:jc w:val="right"/>
              <w:rPr>
                <w:rFonts w:ascii="Arial" w:hAnsi="Arial" w:cs="Arial" w:eastAsia="Arial" w:hint="default"/>
                <w:sz w:val="21"/>
                <w:szCs w:val="21"/>
              </w:rPr>
            </w:pPr>
            <w:r>
              <w:rPr>
                <w:rFonts w:ascii="Arial"/>
                <w:spacing w:val="-1"/>
                <w:sz w:val="21"/>
              </w:rPr>
              <w:t>20.5%</w:t>
            </w:r>
          </w:p>
        </w:tc>
        <w:tc>
          <w:tcPr>
            <w:tcW w:w="118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
              <w:ind w:right="98"/>
              <w:jc w:val="right"/>
              <w:rPr>
                <w:rFonts w:ascii="Arial" w:hAnsi="Arial" w:cs="Arial" w:eastAsia="Arial" w:hint="default"/>
                <w:sz w:val="21"/>
                <w:szCs w:val="21"/>
              </w:rPr>
            </w:pPr>
            <w:r>
              <w:rPr>
                <w:rFonts w:ascii="Arial"/>
                <w:sz w:val="21"/>
              </w:rPr>
              <w:t>475.8</w:t>
            </w:r>
          </w:p>
        </w:tc>
        <w:tc>
          <w:tcPr>
            <w:tcW w:w="1512" w:type="dxa"/>
            <w:tcBorders>
              <w:top w:val="nil" w:sz="6" w:space="0" w:color="auto"/>
              <w:left w:val="single" w:sz="4" w:space="0" w:color="000000"/>
              <w:bottom w:val="single" w:sz="12" w:space="0" w:color="000000"/>
              <w:right w:val="nil" w:sz="6" w:space="0" w:color="auto"/>
            </w:tcBorders>
          </w:tcPr>
          <w:p>
            <w:pPr>
              <w:pStyle w:val="TableParagraph"/>
              <w:spacing w:line="240" w:lineRule="auto" w:before="1"/>
              <w:ind w:right="103"/>
              <w:jc w:val="right"/>
              <w:rPr>
                <w:rFonts w:ascii="Arial" w:hAnsi="Arial" w:cs="Arial" w:eastAsia="Arial" w:hint="default"/>
                <w:sz w:val="21"/>
                <w:szCs w:val="21"/>
              </w:rPr>
            </w:pPr>
            <w:r>
              <w:rPr>
                <w:rFonts w:ascii="Arial"/>
                <w:spacing w:val="-1"/>
                <w:sz w:val="21"/>
              </w:rPr>
              <w:t>19.3%</w:t>
            </w:r>
          </w:p>
        </w:tc>
      </w:tr>
    </w:tbl>
    <w:p>
      <w:pPr>
        <w:spacing w:line="240" w:lineRule="auto" w:before="2"/>
        <w:rPr>
          <w:rFonts w:ascii="宋体" w:hAnsi="宋体" w:cs="宋体" w:eastAsia="宋体" w:hint="default"/>
          <w:sz w:val="13"/>
          <w:szCs w:val="13"/>
        </w:rPr>
      </w:pPr>
    </w:p>
    <w:p>
      <w:pPr>
        <w:spacing w:before="36"/>
        <w:ind w:left="846" w:right="1922" w:firstLine="0"/>
        <w:jc w:val="left"/>
        <w:rPr>
          <w:rFonts w:ascii="宋体" w:hAnsi="宋体" w:cs="宋体" w:eastAsia="宋体" w:hint="default"/>
          <w:sz w:val="21"/>
          <w:szCs w:val="21"/>
        </w:rPr>
      </w:pPr>
      <w:r>
        <w:rPr>
          <w:rFonts w:ascii="Arial" w:hAnsi="Arial" w:cs="Arial" w:eastAsia="Arial" w:hint="default"/>
          <w:sz w:val="21"/>
          <w:szCs w:val="21"/>
        </w:rPr>
        <w:t>2.1 </w:t>
      </w:r>
      <w:r>
        <w:rPr>
          <w:rFonts w:ascii="Arial" w:hAnsi="Arial" w:cs="Arial" w:eastAsia="Arial" w:hint="default"/>
          <w:spacing w:val="17"/>
          <w:sz w:val="21"/>
          <w:szCs w:val="21"/>
        </w:rPr>
        <w:t> </w:t>
      </w:r>
      <w:r>
        <w:rPr>
          <w:rFonts w:ascii="宋体" w:hAnsi="宋体" w:cs="宋体" w:eastAsia="宋体" w:hint="default"/>
          <w:sz w:val="21"/>
          <w:szCs w:val="21"/>
        </w:rPr>
        <w:t>移动业务</w:t>
      </w:r>
    </w:p>
    <w:p>
      <w:pPr>
        <w:spacing w:line="240" w:lineRule="auto" w:before="3"/>
        <w:rPr>
          <w:rFonts w:ascii="宋体" w:hAnsi="宋体" w:cs="宋体" w:eastAsia="宋体" w:hint="default"/>
          <w:sz w:val="18"/>
          <w:szCs w:val="18"/>
        </w:rPr>
      </w:pPr>
    </w:p>
    <w:p>
      <w:pPr>
        <w:spacing w:line="225" w:lineRule="auto" w:before="0"/>
        <w:ind w:left="1270" w:right="48" w:firstLine="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4"/>
          <w:sz w:val="21"/>
          <w:szCs w:val="21"/>
        </w:rPr>
        <w:t> </w:t>
      </w:r>
      <w:r>
        <w:rPr>
          <w:rFonts w:ascii="宋体" w:hAnsi="宋体" w:cs="宋体" w:eastAsia="宋体" w:hint="default"/>
          <w:sz w:val="21"/>
          <w:szCs w:val="21"/>
        </w:rPr>
        <w:t>年公司移动业务主营业务收入实现</w:t>
      </w:r>
      <w:r>
        <w:rPr>
          <w:rFonts w:ascii="宋体" w:hAnsi="宋体" w:cs="宋体" w:eastAsia="宋体" w:hint="default"/>
          <w:spacing w:val="-48"/>
          <w:sz w:val="21"/>
          <w:szCs w:val="21"/>
        </w:rPr>
        <w:t> </w:t>
      </w:r>
      <w:r>
        <w:rPr>
          <w:rFonts w:ascii="Arial" w:hAnsi="Arial" w:cs="Arial" w:eastAsia="Arial" w:hint="default"/>
          <w:sz w:val="21"/>
          <w:szCs w:val="21"/>
        </w:rPr>
        <w:t>1,573.1</w:t>
      </w:r>
      <w:r>
        <w:rPr>
          <w:rFonts w:ascii="Arial" w:hAnsi="Arial" w:cs="Arial" w:eastAsia="Arial" w:hint="default"/>
          <w:spacing w:val="-4"/>
          <w:sz w:val="21"/>
          <w:szCs w:val="21"/>
        </w:rPr>
        <w:t> </w:t>
      </w:r>
      <w:r>
        <w:rPr>
          <w:rFonts w:ascii="宋体" w:hAnsi="宋体" w:cs="宋体" w:eastAsia="宋体" w:hint="default"/>
          <w:spacing w:val="-9"/>
          <w:sz w:val="21"/>
          <w:szCs w:val="21"/>
        </w:rPr>
        <w:t>亿元，同比增长</w:t>
      </w:r>
      <w:r>
        <w:rPr>
          <w:rFonts w:ascii="宋体" w:hAnsi="宋体" w:cs="宋体" w:eastAsia="宋体" w:hint="default"/>
          <w:spacing w:val="-47"/>
          <w:sz w:val="21"/>
          <w:szCs w:val="21"/>
        </w:rPr>
        <w:t> </w:t>
      </w:r>
      <w:r>
        <w:rPr>
          <w:rFonts w:ascii="Arial" w:hAnsi="Arial" w:cs="Arial" w:eastAsia="Arial" w:hint="default"/>
          <w:spacing w:val="-6"/>
          <w:sz w:val="21"/>
          <w:szCs w:val="21"/>
        </w:rPr>
        <w:t>1.0%</w:t>
      </w:r>
      <w:r>
        <w:rPr>
          <w:rFonts w:ascii="宋体" w:hAnsi="宋体" w:cs="宋体" w:eastAsia="宋体" w:hint="default"/>
          <w:spacing w:val="-6"/>
          <w:sz w:val="21"/>
          <w:szCs w:val="21"/>
        </w:rPr>
        <w:t>，其中移动宽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7"/>
          <w:sz w:val="21"/>
          <w:szCs w:val="21"/>
        </w:rPr>
        <w:t>带业务（附注 </w:t>
      </w:r>
      <w:r>
        <w:rPr>
          <w:rFonts w:ascii="Arial" w:hAnsi="Arial" w:cs="Arial" w:eastAsia="Arial" w:hint="default"/>
          <w:spacing w:val="-4"/>
          <w:sz w:val="21"/>
          <w:szCs w:val="21"/>
        </w:rPr>
        <w:t>2</w:t>
      </w:r>
      <w:r>
        <w:rPr>
          <w:rFonts w:ascii="宋体" w:hAnsi="宋体" w:cs="宋体" w:eastAsia="宋体" w:hint="default"/>
          <w:spacing w:val="-4"/>
          <w:sz w:val="21"/>
          <w:szCs w:val="21"/>
        </w:rPr>
        <w:t>）对移动业务主营业务收入增长的拉动显著，移动宽带业务主营业务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收入为</w:t>
      </w:r>
      <w:r>
        <w:rPr>
          <w:rFonts w:ascii="宋体" w:hAnsi="宋体" w:cs="宋体" w:eastAsia="宋体" w:hint="default"/>
          <w:spacing w:val="-54"/>
          <w:sz w:val="21"/>
          <w:szCs w:val="21"/>
        </w:rPr>
        <w:t> </w:t>
      </w:r>
      <w:r>
        <w:rPr>
          <w:rFonts w:ascii="Arial" w:hAnsi="Arial" w:cs="Arial" w:eastAsia="Arial" w:hint="default"/>
          <w:sz w:val="21"/>
          <w:szCs w:val="21"/>
        </w:rPr>
        <w:t>1,073.7</w:t>
      </w:r>
      <w:r>
        <w:rPr>
          <w:rFonts w:ascii="Arial" w:hAnsi="Arial" w:cs="Arial" w:eastAsia="Arial" w:hint="default"/>
          <w:spacing w:val="-8"/>
          <w:sz w:val="21"/>
          <w:szCs w:val="21"/>
        </w:rPr>
        <w:t> </w:t>
      </w:r>
      <w:r>
        <w:rPr>
          <w:rFonts w:ascii="宋体" w:hAnsi="宋体" w:cs="宋体" w:eastAsia="宋体" w:hint="default"/>
          <w:sz w:val="21"/>
          <w:szCs w:val="21"/>
        </w:rPr>
        <w:t>亿元，同比增长</w:t>
      </w:r>
      <w:r>
        <w:rPr>
          <w:rFonts w:ascii="宋体" w:hAnsi="宋体" w:cs="宋体" w:eastAsia="宋体" w:hint="default"/>
          <w:spacing w:val="-55"/>
          <w:sz w:val="21"/>
          <w:szCs w:val="21"/>
        </w:rPr>
        <w:t> </w:t>
      </w:r>
      <w:r>
        <w:rPr>
          <w:rFonts w:ascii="Arial" w:hAnsi="Arial" w:cs="Arial" w:eastAsia="Arial" w:hint="default"/>
          <w:sz w:val="21"/>
          <w:szCs w:val="21"/>
        </w:rPr>
        <w:t>15.8%</w:t>
      </w:r>
      <w:r>
        <w:rPr>
          <w:rFonts w:ascii="宋体" w:hAnsi="宋体" w:cs="宋体" w:eastAsia="宋体" w:hint="default"/>
          <w:sz w:val="21"/>
          <w:szCs w:val="21"/>
        </w:rPr>
        <w:t>，所占移动业务主营业务收入的比重由上年</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pacing w:val="-53"/>
          <w:sz w:val="21"/>
          <w:szCs w:val="21"/>
        </w:rPr>
        <w:t> </w:t>
      </w:r>
      <w:r>
        <w:rPr>
          <w:rFonts w:ascii="Arial" w:hAnsi="Arial" w:cs="Arial" w:eastAsia="Arial" w:hint="default"/>
          <w:sz w:val="21"/>
          <w:szCs w:val="21"/>
        </w:rPr>
        <w:t>59.5%</w:t>
      </w:r>
      <w:r>
        <w:rPr>
          <w:rFonts w:ascii="宋体" w:hAnsi="宋体" w:cs="宋体" w:eastAsia="宋体" w:hint="default"/>
          <w:sz w:val="21"/>
          <w:szCs w:val="21"/>
        </w:rPr>
        <w:t>上升至</w:t>
      </w:r>
      <w:r>
        <w:rPr>
          <w:rFonts w:ascii="宋体" w:hAnsi="宋体" w:cs="宋体" w:eastAsia="宋体" w:hint="default"/>
          <w:spacing w:val="-53"/>
          <w:sz w:val="21"/>
          <w:szCs w:val="21"/>
        </w:rPr>
        <w:t> </w:t>
      </w:r>
      <w:r>
        <w:rPr>
          <w:rFonts w:ascii="Arial" w:hAnsi="Arial" w:cs="Arial" w:eastAsia="Arial" w:hint="default"/>
          <w:sz w:val="21"/>
          <w:szCs w:val="21"/>
        </w:rPr>
        <w:t>68.3%</w:t>
      </w:r>
      <w:r>
        <w:rPr>
          <w:rFonts w:ascii="宋体" w:hAnsi="宋体" w:cs="宋体" w:eastAsia="宋体" w:hint="default"/>
          <w:sz w:val="21"/>
          <w:szCs w:val="21"/>
        </w:rPr>
        <w:t>。</w:t>
      </w:r>
    </w:p>
    <w:p>
      <w:pPr>
        <w:spacing w:line="240" w:lineRule="auto" w:before="5"/>
        <w:rPr>
          <w:rFonts w:ascii="宋体" w:hAnsi="宋体" w:cs="宋体" w:eastAsia="宋体" w:hint="default"/>
          <w:sz w:val="17"/>
          <w:szCs w:val="17"/>
        </w:rPr>
      </w:pPr>
    </w:p>
    <w:p>
      <w:pPr>
        <w:spacing w:before="0"/>
        <w:ind w:left="846" w:right="1922" w:firstLine="0"/>
        <w:jc w:val="left"/>
        <w:rPr>
          <w:rFonts w:ascii="宋体" w:hAnsi="宋体" w:cs="宋体" w:eastAsia="宋体" w:hint="default"/>
          <w:sz w:val="21"/>
          <w:szCs w:val="21"/>
        </w:rPr>
      </w:pPr>
      <w:r>
        <w:rPr>
          <w:rFonts w:ascii="Arial" w:hAnsi="Arial" w:cs="Arial" w:eastAsia="Arial" w:hint="default"/>
          <w:sz w:val="21"/>
          <w:szCs w:val="21"/>
        </w:rPr>
        <w:t>2.2 </w:t>
      </w:r>
      <w:r>
        <w:rPr>
          <w:rFonts w:ascii="Arial" w:hAnsi="Arial" w:cs="Arial" w:eastAsia="Arial" w:hint="default"/>
          <w:spacing w:val="17"/>
          <w:sz w:val="21"/>
          <w:szCs w:val="21"/>
        </w:rPr>
        <w:t> </w:t>
      </w:r>
      <w:r>
        <w:rPr>
          <w:rFonts w:ascii="宋体" w:hAnsi="宋体" w:cs="宋体" w:eastAsia="宋体" w:hint="default"/>
          <w:sz w:val="21"/>
          <w:szCs w:val="21"/>
        </w:rPr>
        <w:t>固网业务</w:t>
      </w:r>
    </w:p>
    <w:p>
      <w:pPr>
        <w:spacing w:line="240" w:lineRule="auto" w:before="3"/>
        <w:rPr>
          <w:rFonts w:ascii="宋体" w:hAnsi="宋体" w:cs="宋体" w:eastAsia="宋体" w:hint="default"/>
          <w:sz w:val="18"/>
          <w:szCs w:val="18"/>
        </w:rPr>
      </w:pPr>
    </w:p>
    <w:p>
      <w:pPr>
        <w:spacing w:line="225" w:lineRule="auto" w:before="0"/>
        <w:ind w:left="1270" w:right="129" w:firstLine="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9"/>
          <w:sz w:val="21"/>
          <w:szCs w:val="21"/>
        </w:rPr>
        <w:t> </w:t>
      </w:r>
      <w:r>
        <w:rPr>
          <w:rFonts w:ascii="宋体" w:hAnsi="宋体" w:cs="宋体" w:eastAsia="宋体" w:hint="default"/>
          <w:sz w:val="21"/>
          <w:szCs w:val="21"/>
        </w:rPr>
        <w:t>年公司固网业务主营业务收入实现</w:t>
      </w:r>
      <w:r>
        <w:rPr>
          <w:rFonts w:ascii="宋体" w:hAnsi="宋体" w:cs="宋体" w:eastAsia="宋体" w:hint="default"/>
          <w:spacing w:val="-54"/>
          <w:sz w:val="21"/>
          <w:szCs w:val="21"/>
        </w:rPr>
        <w:t> </w:t>
      </w:r>
      <w:r>
        <w:rPr>
          <w:rFonts w:ascii="Arial" w:hAnsi="Arial" w:cs="Arial" w:eastAsia="Arial" w:hint="default"/>
          <w:sz w:val="21"/>
          <w:szCs w:val="21"/>
        </w:rPr>
        <w:t>897.5</w:t>
      </w:r>
      <w:r>
        <w:rPr>
          <w:rFonts w:ascii="Arial" w:hAnsi="Arial" w:cs="Arial" w:eastAsia="Arial" w:hint="default"/>
          <w:spacing w:val="-9"/>
          <w:sz w:val="21"/>
          <w:szCs w:val="21"/>
        </w:rPr>
        <w:t> </w:t>
      </w:r>
      <w:r>
        <w:rPr>
          <w:rFonts w:ascii="宋体" w:hAnsi="宋体" w:cs="宋体" w:eastAsia="宋体" w:hint="default"/>
          <w:sz w:val="21"/>
          <w:szCs w:val="21"/>
        </w:rPr>
        <w:t>亿元，同比增长</w:t>
      </w:r>
      <w:r>
        <w:rPr>
          <w:rFonts w:ascii="宋体" w:hAnsi="宋体" w:cs="宋体" w:eastAsia="宋体" w:hint="default"/>
          <w:spacing w:val="-54"/>
          <w:sz w:val="21"/>
          <w:szCs w:val="21"/>
        </w:rPr>
        <w:t> </w:t>
      </w:r>
      <w:r>
        <w:rPr>
          <w:rFonts w:ascii="Arial" w:hAnsi="Arial" w:cs="Arial" w:eastAsia="Arial" w:hint="default"/>
          <w:sz w:val="21"/>
          <w:szCs w:val="21"/>
        </w:rPr>
        <w:t>0.4%</w:t>
      </w:r>
      <w:r>
        <w:rPr>
          <w:rFonts w:ascii="宋体" w:hAnsi="宋体" w:cs="宋体" w:eastAsia="宋体" w:hint="default"/>
          <w:sz w:val="21"/>
          <w:szCs w:val="21"/>
        </w:rPr>
        <w:t>，其中固网宽</w:t>
      </w:r>
      <w:r>
        <w:rPr>
          <w:rFonts w:ascii="宋体" w:hAnsi="宋体" w:cs="宋体" w:eastAsia="宋体" w:hint="default"/>
          <w:w w:val="100"/>
          <w:sz w:val="21"/>
          <w:szCs w:val="21"/>
        </w:rPr>
        <w:t> </w:t>
      </w:r>
      <w:r>
        <w:rPr>
          <w:rFonts w:ascii="宋体" w:hAnsi="宋体" w:cs="宋体" w:eastAsia="宋体" w:hint="default"/>
          <w:sz w:val="21"/>
          <w:szCs w:val="21"/>
        </w:rPr>
        <w:t>带业务主营业务收入为</w:t>
      </w:r>
      <w:r>
        <w:rPr>
          <w:rFonts w:ascii="宋体" w:hAnsi="宋体" w:cs="宋体" w:eastAsia="宋体" w:hint="default"/>
          <w:spacing w:val="-40"/>
          <w:sz w:val="21"/>
          <w:szCs w:val="21"/>
        </w:rPr>
        <w:t> </w:t>
      </w:r>
      <w:r>
        <w:rPr>
          <w:rFonts w:ascii="Arial" w:hAnsi="Arial" w:cs="Arial" w:eastAsia="Arial" w:hint="default"/>
          <w:sz w:val="21"/>
          <w:szCs w:val="21"/>
        </w:rPr>
        <w:t>509.2</w:t>
      </w:r>
      <w:r>
        <w:rPr>
          <w:rFonts w:ascii="Arial" w:hAnsi="Arial" w:cs="Arial" w:eastAsia="Arial" w:hint="default"/>
          <w:spacing w:val="7"/>
          <w:sz w:val="21"/>
          <w:szCs w:val="21"/>
        </w:rPr>
        <w:t> </w:t>
      </w:r>
      <w:r>
        <w:rPr>
          <w:rFonts w:ascii="宋体" w:hAnsi="宋体" w:cs="宋体" w:eastAsia="宋体" w:hint="default"/>
          <w:spacing w:val="-4"/>
          <w:sz w:val="21"/>
          <w:szCs w:val="21"/>
        </w:rPr>
        <w:t>亿元，同比增长</w:t>
      </w:r>
      <w:r>
        <w:rPr>
          <w:rFonts w:ascii="宋体" w:hAnsi="宋体" w:cs="宋体" w:eastAsia="宋体" w:hint="default"/>
          <w:spacing w:val="-41"/>
          <w:sz w:val="21"/>
          <w:szCs w:val="21"/>
        </w:rPr>
        <w:t> </w:t>
      </w:r>
      <w:r>
        <w:rPr>
          <w:rFonts w:ascii="Arial" w:hAnsi="Arial" w:cs="Arial" w:eastAsia="Arial" w:hint="default"/>
          <w:spacing w:val="-3"/>
          <w:sz w:val="21"/>
          <w:szCs w:val="21"/>
        </w:rPr>
        <w:t>7.0%</w:t>
      </w:r>
      <w:r>
        <w:rPr>
          <w:rFonts w:ascii="宋体" w:hAnsi="宋体" w:cs="宋体" w:eastAsia="宋体" w:hint="default"/>
          <w:spacing w:val="-3"/>
          <w:sz w:val="21"/>
          <w:szCs w:val="21"/>
        </w:rPr>
        <w:t>，所占固网业务主营业务收入的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比重由上年的</w:t>
      </w:r>
      <w:r>
        <w:rPr>
          <w:rFonts w:ascii="宋体" w:hAnsi="宋体" w:cs="宋体" w:eastAsia="宋体" w:hint="default"/>
          <w:spacing w:val="-54"/>
          <w:sz w:val="21"/>
          <w:szCs w:val="21"/>
        </w:rPr>
        <w:t> </w:t>
      </w:r>
      <w:r>
        <w:rPr>
          <w:rFonts w:ascii="Arial" w:hAnsi="Arial" w:cs="Arial" w:eastAsia="Arial" w:hint="default"/>
          <w:sz w:val="21"/>
          <w:szCs w:val="21"/>
        </w:rPr>
        <w:t>53.2%</w:t>
      </w:r>
      <w:r>
        <w:rPr>
          <w:rFonts w:ascii="宋体" w:hAnsi="宋体" w:cs="宋体" w:eastAsia="宋体" w:hint="default"/>
          <w:sz w:val="21"/>
          <w:szCs w:val="21"/>
        </w:rPr>
        <w:t>上升至</w:t>
      </w:r>
      <w:r>
        <w:rPr>
          <w:rFonts w:ascii="宋体" w:hAnsi="宋体" w:cs="宋体" w:eastAsia="宋体" w:hint="default"/>
          <w:spacing w:val="-54"/>
          <w:sz w:val="21"/>
          <w:szCs w:val="21"/>
        </w:rPr>
        <w:t> </w:t>
      </w:r>
      <w:r>
        <w:rPr>
          <w:rFonts w:ascii="Arial" w:hAnsi="Arial" w:cs="Arial" w:eastAsia="Arial" w:hint="default"/>
          <w:sz w:val="21"/>
          <w:szCs w:val="21"/>
        </w:rPr>
        <w:t>56.7%</w:t>
      </w:r>
      <w:r>
        <w:rPr>
          <w:rFonts w:ascii="宋体" w:hAnsi="宋体" w:cs="宋体" w:eastAsia="宋体" w:hint="default"/>
          <w:sz w:val="21"/>
          <w:szCs w:val="21"/>
        </w:rPr>
        <w:t>。</w:t>
      </w:r>
    </w:p>
    <w:p>
      <w:pPr>
        <w:spacing w:after="0" w:line="225" w:lineRule="auto"/>
        <w:jc w:val="left"/>
        <w:rPr>
          <w:rFonts w:ascii="宋体" w:hAnsi="宋体" w:cs="宋体" w:eastAsia="宋体" w:hint="default"/>
          <w:sz w:val="21"/>
          <w:szCs w:val="21"/>
        </w:rPr>
        <w:sectPr>
          <w:pgSz w:w="11910" w:h="16840"/>
          <w:pgMar w:header="880" w:footer="1194" w:top="1120" w:bottom="1380" w:left="1660" w:right="1200"/>
        </w:sectPr>
      </w:pPr>
    </w:p>
    <w:p>
      <w:pPr>
        <w:spacing w:line="240" w:lineRule="auto" w:before="11"/>
        <w:rPr>
          <w:rFonts w:ascii="宋体" w:hAnsi="宋体" w:cs="宋体" w:eastAsia="宋体" w:hint="default"/>
          <w:sz w:val="29"/>
          <w:szCs w:val="29"/>
        </w:rPr>
      </w:pPr>
    </w:p>
    <w:p>
      <w:pPr>
        <w:spacing w:line="504" w:lineRule="auto" w:before="36"/>
        <w:ind w:left="138" w:right="119" w:firstLine="0"/>
        <w:jc w:val="left"/>
        <w:rPr>
          <w:rFonts w:ascii="宋体" w:hAnsi="宋体" w:cs="宋体" w:eastAsia="宋体" w:hint="default"/>
          <w:sz w:val="21"/>
          <w:szCs w:val="21"/>
        </w:rPr>
      </w:pPr>
      <w:r>
        <w:rPr>
          <w:rFonts w:ascii="宋体" w:hAnsi="宋体" w:cs="宋体" w:eastAsia="宋体" w:hint="default"/>
          <w:b/>
          <w:bCs/>
          <w:spacing w:val="-1"/>
          <w:sz w:val="21"/>
          <w:szCs w:val="21"/>
        </w:rPr>
        <w:t>一、董事会关于公司报告期内经营情况的讨论与分析（续）</w:t>
      </w:r>
      <w:r>
        <w:rPr>
          <w:rFonts w:ascii="宋体" w:hAnsi="宋体" w:cs="宋体" w:eastAsia="宋体" w:hint="default"/>
          <w:b/>
          <w:bCs/>
          <w:spacing w:val="-78"/>
          <w:sz w:val="21"/>
          <w:szCs w:val="21"/>
        </w:rPr>
        <w:t> </w:t>
      </w:r>
      <w:r>
        <w:rPr>
          <w:rFonts w:ascii="宋体" w:hAnsi="宋体" w:cs="宋体" w:eastAsia="宋体" w:hint="default"/>
          <w:b/>
          <w:bCs/>
          <w:spacing w:val="-78"/>
          <w:sz w:val="21"/>
          <w:szCs w:val="21"/>
        </w:rPr>
      </w:r>
      <w:r>
        <w:rPr>
          <w:rFonts w:ascii="宋体" w:hAnsi="宋体" w:cs="宋体" w:eastAsia="宋体" w:hint="default"/>
          <w:b/>
          <w:bCs/>
          <w:sz w:val="21"/>
          <w:szCs w:val="21"/>
        </w:rPr>
        <w:t>第三部分：财务情况讨论与分析（续）</w:t>
      </w:r>
      <w:r>
        <w:rPr>
          <w:rFonts w:ascii="宋体" w:hAnsi="宋体" w:cs="宋体" w:eastAsia="宋体" w:hint="default"/>
          <w:sz w:val="21"/>
          <w:szCs w:val="21"/>
        </w:rPr>
      </w:r>
    </w:p>
    <w:p>
      <w:pPr>
        <w:spacing w:before="7"/>
        <w:ind w:left="485" w:right="119" w:firstLine="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成本费用（附注</w:t>
      </w:r>
      <w:r>
        <w:rPr>
          <w:rFonts w:ascii="宋体" w:hAnsi="宋体" w:cs="宋体" w:eastAsia="宋体" w:hint="default"/>
          <w:spacing w:val="-51"/>
          <w:sz w:val="21"/>
          <w:szCs w:val="21"/>
        </w:rPr>
        <w:t> </w:t>
      </w:r>
      <w:r>
        <w:rPr>
          <w:rFonts w:ascii="Arial" w:hAnsi="Arial" w:cs="Arial" w:eastAsia="Arial" w:hint="default"/>
          <w:sz w:val="21"/>
          <w:szCs w:val="21"/>
        </w:rPr>
        <w:t>3</w:t>
      </w:r>
      <w:r>
        <w:rPr>
          <w:rFonts w:ascii="宋体" w:hAnsi="宋体" w:cs="宋体" w:eastAsia="宋体" w:hint="default"/>
          <w:sz w:val="21"/>
          <w:szCs w:val="21"/>
        </w:rPr>
        <w:t>）</w:t>
      </w:r>
    </w:p>
    <w:p>
      <w:pPr>
        <w:spacing w:line="240" w:lineRule="auto" w:before="1"/>
        <w:rPr>
          <w:rFonts w:ascii="宋体" w:hAnsi="宋体" w:cs="宋体" w:eastAsia="宋体" w:hint="default"/>
          <w:sz w:val="17"/>
          <w:szCs w:val="17"/>
        </w:rPr>
      </w:pPr>
    </w:p>
    <w:p>
      <w:pPr>
        <w:spacing w:line="280" w:lineRule="exact" w:before="0"/>
        <w:ind w:left="846" w:right="119" w:firstLine="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40"/>
          <w:sz w:val="21"/>
          <w:szCs w:val="21"/>
        </w:rPr>
        <w:t> </w:t>
      </w:r>
      <w:r>
        <w:rPr>
          <w:rFonts w:ascii="宋体" w:hAnsi="宋体" w:cs="宋体" w:eastAsia="宋体" w:hint="default"/>
          <w:spacing w:val="-2"/>
          <w:sz w:val="21"/>
          <w:szCs w:val="21"/>
        </w:rPr>
        <w:t>年公司持续优化资源配置，加强精细化管理，成本费用使用效益显著提升，成本费</w:t>
      </w:r>
    </w:p>
    <w:p>
      <w:pPr>
        <w:spacing w:line="272" w:lineRule="exact" w:before="0"/>
        <w:ind w:left="846" w:right="119" w:firstLine="0"/>
        <w:jc w:val="left"/>
        <w:rPr>
          <w:rFonts w:ascii="宋体" w:hAnsi="宋体" w:cs="宋体" w:eastAsia="宋体" w:hint="default"/>
          <w:sz w:val="21"/>
          <w:szCs w:val="21"/>
        </w:rPr>
      </w:pPr>
      <w:r>
        <w:rPr>
          <w:rFonts w:ascii="宋体" w:hAnsi="宋体" w:cs="宋体" w:eastAsia="宋体" w:hint="default"/>
          <w:sz w:val="21"/>
          <w:szCs w:val="21"/>
        </w:rPr>
        <w:t>用合计为</w:t>
      </w:r>
      <w:r>
        <w:rPr>
          <w:rFonts w:ascii="宋体" w:hAnsi="宋体" w:cs="宋体" w:eastAsia="宋体" w:hint="default"/>
          <w:spacing w:val="-44"/>
          <w:sz w:val="21"/>
          <w:szCs w:val="21"/>
        </w:rPr>
        <w:t> </w:t>
      </w:r>
      <w:r>
        <w:rPr>
          <w:rFonts w:ascii="Arial" w:hAnsi="Arial" w:cs="Arial" w:eastAsia="Arial" w:hint="default"/>
          <w:sz w:val="21"/>
          <w:szCs w:val="21"/>
        </w:rPr>
        <w:t>2,642.9</w:t>
      </w:r>
      <w:r>
        <w:rPr>
          <w:rFonts w:ascii="Arial" w:hAnsi="Arial" w:cs="Arial" w:eastAsia="Arial" w:hint="default"/>
          <w:spacing w:val="-1"/>
          <w:sz w:val="21"/>
          <w:szCs w:val="21"/>
        </w:rPr>
        <w:t> </w:t>
      </w:r>
      <w:r>
        <w:rPr>
          <w:rFonts w:ascii="宋体" w:hAnsi="宋体" w:cs="宋体" w:eastAsia="宋体" w:hint="default"/>
          <w:spacing w:val="-7"/>
          <w:sz w:val="21"/>
          <w:szCs w:val="21"/>
        </w:rPr>
        <w:t>亿元，同比下降</w:t>
      </w:r>
      <w:r>
        <w:rPr>
          <w:rFonts w:ascii="宋体" w:hAnsi="宋体" w:cs="宋体" w:eastAsia="宋体" w:hint="default"/>
          <w:spacing w:val="-45"/>
          <w:sz w:val="21"/>
          <w:szCs w:val="21"/>
        </w:rPr>
        <w:t> </w:t>
      </w:r>
      <w:r>
        <w:rPr>
          <w:rFonts w:ascii="Arial" w:hAnsi="Arial" w:cs="Arial" w:eastAsia="Arial" w:hint="default"/>
          <w:spacing w:val="-5"/>
          <w:sz w:val="21"/>
          <w:szCs w:val="21"/>
        </w:rPr>
        <w:t>4.9%</w:t>
      </w:r>
      <w:r>
        <w:rPr>
          <w:rFonts w:ascii="宋体" w:hAnsi="宋体" w:cs="宋体" w:eastAsia="宋体" w:hint="default"/>
          <w:spacing w:val="-5"/>
          <w:sz w:val="21"/>
          <w:szCs w:val="21"/>
        </w:rPr>
        <w:t>。其中：全年销售通信产品成本发生</w:t>
      </w:r>
      <w:r>
        <w:rPr>
          <w:rFonts w:ascii="宋体" w:hAnsi="宋体" w:cs="宋体" w:eastAsia="宋体" w:hint="default"/>
          <w:spacing w:val="-45"/>
          <w:sz w:val="21"/>
          <w:szCs w:val="21"/>
        </w:rPr>
        <w:t> </w:t>
      </w:r>
      <w:r>
        <w:rPr>
          <w:rFonts w:ascii="Arial" w:hAnsi="Arial" w:cs="Arial" w:eastAsia="Arial" w:hint="default"/>
          <w:sz w:val="21"/>
          <w:szCs w:val="21"/>
        </w:rPr>
        <w:t>434.0</w:t>
      </w:r>
      <w:r>
        <w:rPr>
          <w:rFonts w:ascii="Arial" w:hAnsi="Arial" w:cs="Arial" w:eastAsia="Arial" w:hint="default"/>
          <w:spacing w:val="3"/>
          <w:sz w:val="21"/>
          <w:szCs w:val="21"/>
        </w:rPr>
        <w:t> </w:t>
      </w:r>
      <w:r>
        <w:rPr>
          <w:rFonts w:ascii="宋体" w:hAnsi="宋体" w:cs="宋体" w:eastAsia="宋体" w:hint="default"/>
          <w:sz w:val="21"/>
          <w:szCs w:val="21"/>
        </w:rPr>
        <w:t>亿元，</w:t>
      </w:r>
    </w:p>
    <w:p>
      <w:pPr>
        <w:spacing w:line="272" w:lineRule="exact" w:before="0"/>
        <w:ind w:left="846" w:right="119" w:firstLine="0"/>
        <w:jc w:val="left"/>
        <w:rPr>
          <w:rFonts w:ascii="宋体" w:hAnsi="宋体" w:cs="宋体" w:eastAsia="宋体" w:hint="default"/>
          <w:sz w:val="21"/>
          <w:szCs w:val="21"/>
        </w:rPr>
      </w:pPr>
      <w:r>
        <w:rPr>
          <w:rFonts w:ascii="宋体" w:hAnsi="宋体" w:cs="宋体" w:eastAsia="宋体" w:hint="default"/>
          <w:sz w:val="21"/>
          <w:szCs w:val="21"/>
        </w:rPr>
        <w:t>同期销售通信产品收入为</w:t>
      </w:r>
      <w:r>
        <w:rPr>
          <w:rFonts w:ascii="宋体" w:hAnsi="宋体" w:cs="宋体" w:eastAsia="宋体" w:hint="default"/>
          <w:spacing w:val="-59"/>
          <w:sz w:val="21"/>
          <w:szCs w:val="21"/>
        </w:rPr>
        <w:t> </w:t>
      </w:r>
      <w:r>
        <w:rPr>
          <w:rFonts w:ascii="Arial" w:hAnsi="Arial" w:cs="Arial" w:eastAsia="Arial" w:hint="default"/>
          <w:sz w:val="21"/>
          <w:szCs w:val="21"/>
        </w:rPr>
        <w:t>401.7</w:t>
      </w:r>
      <w:r>
        <w:rPr>
          <w:rFonts w:ascii="Arial" w:hAnsi="Arial" w:cs="Arial" w:eastAsia="Arial" w:hint="default"/>
          <w:spacing w:val="-13"/>
          <w:sz w:val="21"/>
          <w:szCs w:val="21"/>
        </w:rPr>
        <w:t> </w:t>
      </w:r>
      <w:r>
        <w:rPr>
          <w:rFonts w:ascii="宋体" w:hAnsi="宋体" w:cs="宋体" w:eastAsia="宋体" w:hint="default"/>
          <w:sz w:val="21"/>
          <w:szCs w:val="21"/>
        </w:rPr>
        <w:t>亿元，销售通信产品亏损为</w:t>
      </w:r>
      <w:r>
        <w:rPr>
          <w:rFonts w:ascii="宋体" w:hAnsi="宋体" w:cs="宋体" w:eastAsia="宋体" w:hint="default"/>
          <w:spacing w:val="-56"/>
          <w:sz w:val="21"/>
          <w:szCs w:val="21"/>
        </w:rPr>
        <w:t> </w:t>
      </w:r>
      <w:r>
        <w:rPr>
          <w:rFonts w:ascii="Arial" w:hAnsi="Arial" w:cs="Arial" w:eastAsia="Arial" w:hint="default"/>
          <w:sz w:val="21"/>
          <w:szCs w:val="21"/>
        </w:rPr>
        <w:t>32.3</w:t>
      </w:r>
      <w:r>
        <w:rPr>
          <w:rFonts w:ascii="Arial" w:hAnsi="Arial" w:cs="Arial" w:eastAsia="Arial" w:hint="default"/>
          <w:spacing w:val="-10"/>
          <w:sz w:val="21"/>
          <w:szCs w:val="21"/>
        </w:rPr>
        <w:t> </w:t>
      </w:r>
      <w:r>
        <w:rPr>
          <w:rFonts w:ascii="宋体" w:hAnsi="宋体" w:cs="宋体" w:eastAsia="宋体" w:hint="default"/>
          <w:sz w:val="21"/>
          <w:szCs w:val="21"/>
        </w:rPr>
        <w:t>亿元，其中移动宽带终</w:t>
      </w:r>
    </w:p>
    <w:p>
      <w:pPr>
        <w:spacing w:line="280" w:lineRule="exact" w:before="0"/>
        <w:ind w:left="846" w:right="119" w:firstLine="0"/>
        <w:jc w:val="left"/>
        <w:rPr>
          <w:rFonts w:ascii="宋体" w:hAnsi="宋体" w:cs="宋体" w:eastAsia="宋体" w:hint="default"/>
          <w:sz w:val="21"/>
          <w:szCs w:val="21"/>
        </w:rPr>
      </w:pPr>
      <w:r>
        <w:rPr>
          <w:rFonts w:ascii="宋体" w:hAnsi="宋体" w:cs="宋体" w:eastAsia="宋体" w:hint="default"/>
          <w:sz w:val="21"/>
          <w:szCs w:val="21"/>
        </w:rPr>
        <w:t>端补贴成本为</w:t>
      </w:r>
      <w:r>
        <w:rPr>
          <w:rFonts w:ascii="宋体" w:hAnsi="宋体" w:cs="宋体" w:eastAsia="宋体" w:hint="default"/>
          <w:spacing w:val="-53"/>
          <w:sz w:val="21"/>
          <w:szCs w:val="21"/>
        </w:rPr>
        <w:t> </w:t>
      </w:r>
      <w:r>
        <w:rPr>
          <w:rFonts w:ascii="Arial" w:hAnsi="Arial" w:cs="Arial" w:eastAsia="Arial" w:hint="default"/>
          <w:sz w:val="21"/>
          <w:szCs w:val="21"/>
        </w:rPr>
        <w:t>46.4</w:t>
      </w:r>
      <w:r>
        <w:rPr>
          <w:rFonts w:ascii="Arial" w:hAnsi="Arial" w:cs="Arial" w:eastAsia="Arial" w:hint="default"/>
          <w:spacing w:val="-7"/>
          <w:sz w:val="21"/>
          <w:szCs w:val="21"/>
        </w:rPr>
        <w:t> </w:t>
      </w:r>
      <w:r>
        <w:rPr>
          <w:rFonts w:ascii="宋体" w:hAnsi="宋体" w:cs="宋体" w:eastAsia="宋体" w:hint="default"/>
          <w:sz w:val="21"/>
          <w:szCs w:val="21"/>
        </w:rPr>
        <w:t>亿元。</w:t>
      </w:r>
    </w:p>
    <w:p>
      <w:pPr>
        <w:spacing w:line="240" w:lineRule="auto" w:before="1"/>
        <w:rPr>
          <w:rFonts w:ascii="宋体" w:hAnsi="宋体" w:cs="宋体" w:eastAsia="宋体" w:hint="default"/>
          <w:sz w:val="17"/>
          <w:szCs w:val="17"/>
        </w:rPr>
      </w:pPr>
    </w:p>
    <w:p>
      <w:pPr>
        <w:spacing w:line="282" w:lineRule="exact" w:before="0"/>
        <w:ind w:left="846" w:right="119" w:firstLine="0"/>
        <w:jc w:val="left"/>
        <w:rPr>
          <w:rFonts w:ascii="宋体" w:hAnsi="宋体" w:cs="宋体" w:eastAsia="宋体" w:hint="default"/>
          <w:sz w:val="21"/>
          <w:szCs w:val="21"/>
        </w:rPr>
      </w:pPr>
      <w:r>
        <w:rPr>
          <w:rFonts w:ascii="宋体" w:hAnsi="宋体" w:cs="宋体" w:eastAsia="宋体" w:hint="default"/>
          <w:sz w:val="21"/>
          <w:szCs w:val="21"/>
        </w:rPr>
        <w:t>经调整的成本费用（附注</w:t>
      </w:r>
      <w:r>
        <w:rPr>
          <w:rFonts w:ascii="宋体" w:hAnsi="宋体" w:cs="宋体" w:eastAsia="宋体" w:hint="default"/>
          <w:spacing w:val="-56"/>
          <w:sz w:val="21"/>
          <w:szCs w:val="21"/>
        </w:rPr>
        <w:t> </w:t>
      </w:r>
      <w:r>
        <w:rPr>
          <w:rFonts w:ascii="Arial" w:hAnsi="Arial" w:cs="Arial" w:eastAsia="Arial" w:hint="default"/>
          <w:sz w:val="21"/>
          <w:szCs w:val="21"/>
        </w:rPr>
        <w:t>4</w:t>
      </w:r>
      <w:r>
        <w:rPr>
          <w:rFonts w:ascii="宋体" w:hAnsi="宋体" w:cs="宋体" w:eastAsia="宋体" w:hint="default"/>
          <w:sz w:val="21"/>
          <w:szCs w:val="21"/>
        </w:rPr>
        <w:t>）为</w:t>
      </w:r>
      <w:r>
        <w:rPr>
          <w:rFonts w:ascii="宋体" w:hAnsi="宋体" w:cs="宋体" w:eastAsia="宋体" w:hint="default"/>
          <w:spacing w:val="-56"/>
          <w:sz w:val="21"/>
          <w:szCs w:val="21"/>
        </w:rPr>
        <w:t> </w:t>
      </w:r>
      <w:r>
        <w:rPr>
          <w:rFonts w:ascii="Arial" w:hAnsi="Arial" w:cs="Arial" w:eastAsia="Arial" w:hint="default"/>
          <w:sz w:val="21"/>
          <w:szCs w:val="21"/>
        </w:rPr>
        <w:t>2,255.3</w:t>
      </w:r>
      <w:r>
        <w:rPr>
          <w:rFonts w:ascii="Arial" w:hAnsi="Arial" w:cs="Arial" w:eastAsia="Arial" w:hint="default"/>
          <w:spacing w:val="-7"/>
          <w:sz w:val="21"/>
          <w:szCs w:val="21"/>
        </w:rPr>
        <w:t> </w:t>
      </w:r>
      <w:r>
        <w:rPr>
          <w:rFonts w:ascii="宋体" w:hAnsi="宋体" w:cs="宋体" w:eastAsia="宋体" w:hint="default"/>
          <w:sz w:val="21"/>
          <w:szCs w:val="21"/>
        </w:rPr>
        <w:t>亿元，同比增长</w:t>
      </w:r>
      <w:r>
        <w:rPr>
          <w:rFonts w:ascii="宋体" w:hAnsi="宋体" w:cs="宋体" w:eastAsia="宋体" w:hint="default"/>
          <w:spacing w:val="-53"/>
          <w:sz w:val="21"/>
          <w:szCs w:val="21"/>
        </w:rPr>
        <w:t> </w:t>
      </w:r>
      <w:r>
        <w:rPr>
          <w:rFonts w:ascii="Arial" w:hAnsi="Arial" w:cs="Arial" w:eastAsia="Arial" w:hint="default"/>
          <w:sz w:val="21"/>
          <w:szCs w:val="21"/>
        </w:rPr>
        <w:t>1.4%</w:t>
      </w:r>
      <w:r>
        <w:rPr>
          <w:rFonts w:ascii="宋体" w:hAnsi="宋体" w:cs="宋体" w:eastAsia="宋体" w:hint="default"/>
          <w:sz w:val="21"/>
          <w:szCs w:val="21"/>
        </w:rPr>
        <w:t>。下表列出了</w:t>
      </w:r>
      <w:r>
        <w:rPr>
          <w:rFonts w:ascii="宋体" w:hAnsi="宋体" w:cs="宋体" w:eastAsia="宋体" w:hint="default"/>
          <w:spacing w:val="-54"/>
          <w:sz w:val="21"/>
          <w:szCs w:val="21"/>
        </w:rPr>
        <w:t> </w:t>
      </w: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年和</w:t>
      </w:r>
    </w:p>
    <w:p>
      <w:pPr>
        <w:spacing w:line="282" w:lineRule="exact" w:before="0"/>
        <w:ind w:left="846" w:right="119" w:firstLine="0"/>
        <w:jc w:val="left"/>
        <w:rPr>
          <w:rFonts w:ascii="宋体" w:hAnsi="宋体" w:cs="宋体" w:eastAsia="宋体" w:hint="default"/>
          <w:sz w:val="21"/>
          <w:szCs w:val="21"/>
        </w:rPr>
      </w:pPr>
      <w:r>
        <w:rPr>
          <w:rFonts w:ascii="Arial" w:hAnsi="Arial" w:cs="Arial" w:eastAsia="Arial" w:hint="default"/>
          <w:sz w:val="21"/>
          <w:szCs w:val="21"/>
        </w:rPr>
        <w:t>2013  </w:t>
      </w:r>
      <w:r>
        <w:rPr>
          <w:rFonts w:ascii="宋体" w:hAnsi="宋体" w:cs="宋体" w:eastAsia="宋体" w:hint="default"/>
          <w:spacing w:val="-2"/>
          <w:sz w:val="21"/>
          <w:szCs w:val="21"/>
        </w:rPr>
        <w:t>年公司经调整的成本费用项目以及每个项目所占主营业务收入的百分比变化情况：</w:t>
      </w:r>
    </w:p>
    <w:p>
      <w:pPr>
        <w:spacing w:line="240" w:lineRule="auto" w:before="10"/>
        <w:rPr>
          <w:rFonts w:ascii="宋体" w:hAnsi="宋体" w:cs="宋体" w:eastAsia="宋体" w:hint="default"/>
          <w:sz w:val="19"/>
          <w:szCs w:val="19"/>
        </w:rPr>
      </w:pPr>
    </w:p>
    <w:tbl>
      <w:tblPr>
        <w:tblW w:w="0" w:type="auto"/>
        <w:jc w:val="left"/>
        <w:tblInd w:w="831" w:type="dxa"/>
        <w:tblLayout w:type="fixed"/>
        <w:tblCellMar>
          <w:top w:w="0" w:type="dxa"/>
          <w:left w:w="0" w:type="dxa"/>
          <w:bottom w:w="0" w:type="dxa"/>
          <w:right w:w="0" w:type="dxa"/>
        </w:tblCellMar>
        <w:tblLook w:val="01E0"/>
      </w:tblPr>
      <w:tblGrid>
        <w:gridCol w:w="3858"/>
        <w:gridCol w:w="1121"/>
        <w:gridCol w:w="1076"/>
        <w:gridCol w:w="1106"/>
        <w:gridCol w:w="1107"/>
      </w:tblGrid>
      <w:tr>
        <w:trPr>
          <w:trHeight w:val="624" w:hRule="exact"/>
        </w:trPr>
        <w:tc>
          <w:tcPr>
            <w:tcW w:w="3858"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（单位：人民币亿元）</w:t>
            </w:r>
          </w:p>
        </w:tc>
        <w:tc>
          <w:tcPr>
            <w:tcW w:w="2197" w:type="dxa"/>
            <w:gridSpan w:val="2"/>
            <w:tcBorders>
              <w:top w:val="single" w:sz="17" w:space="0" w:color="000000"/>
              <w:left w:val="single" w:sz="4" w:space="0" w:color="000000"/>
              <w:bottom w:val="single" w:sz="8" w:space="0" w:color="000000"/>
              <w:right w:val="single" w:sz="4" w:space="0" w:color="000000"/>
            </w:tcBorders>
          </w:tcPr>
          <w:p>
            <w:pPr>
              <w:pStyle w:val="TableParagraph"/>
              <w:spacing w:line="240" w:lineRule="auto" w:before="126"/>
              <w:ind w:left="727"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213" w:type="dxa"/>
            <w:gridSpan w:val="2"/>
            <w:tcBorders>
              <w:top w:val="single" w:sz="17" w:space="0" w:color="000000"/>
              <w:left w:val="single" w:sz="4" w:space="0" w:color="000000"/>
              <w:bottom w:val="single" w:sz="8" w:space="0" w:color="000000"/>
              <w:right w:val="nil" w:sz="6" w:space="0" w:color="auto"/>
            </w:tcBorders>
          </w:tcPr>
          <w:p>
            <w:pPr>
              <w:pStyle w:val="TableParagraph"/>
              <w:spacing w:line="240" w:lineRule="auto" w:before="126"/>
              <w:ind w:right="0"/>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5"/>
                <w:sz w:val="21"/>
                <w:szCs w:val="21"/>
              </w:rPr>
              <w:t> </w:t>
            </w:r>
            <w:r>
              <w:rPr>
                <w:rFonts w:ascii="宋体" w:hAnsi="宋体" w:cs="宋体" w:eastAsia="宋体" w:hint="default"/>
                <w:sz w:val="21"/>
                <w:szCs w:val="21"/>
              </w:rPr>
              <w:t>年</w:t>
            </w:r>
          </w:p>
        </w:tc>
      </w:tr>
      <w:tr>
        <w:trPr>
          <w:trHeight w:val="833" w:hRule="exact"/>
        </w:trPr>
        <w:tc>
          <w:tcPr>
            <w:tcW w:w="3858" w:type="dxa"/>
            <w:vMerge/>
            <w:tcBorders>
              <w:left w:val="nil" w:sz="6" w:space="0" w:color="auto"/>
              <w:bottom w:val="single" w:sz="4" w:space="0" w:color="000000"/>
              <w:right w:val="single" w:sz="4" w:space="0" w:color="000000"/>
            </w:tcBorders>
          </w:tcPr>
          <w:p>
            <w:pPr/>
          </w:p>
        </w:tc>
        <w:tc>
          <w:tcPr>
            <w:tcW w:w="112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累计发生</w:t>
            </w:r>
          </w:p>
        </w:tc>
        <w:tc>
          <w:tcPr>
            <w:tcW w:w="1076" w:type="dxa"/>
            <w:tcBorders>
              <w:top w:val="single" w:sz="8"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所占主营</w:t>
            </w:r>
          </w:p>
          <w:p>
            <w:pPr>
              <w:pStyle w:val="TableParagraph"/>
              <w:spacing w:line="272" w:lineRule="exact" w:before="26"/>
              <w:ind w:left="331" w:right="98" w:hanging="210"/>
              <w:jc w:val="left"/>
              <w:rPr>
                <w:rFonts w:ascii="宋体" w:hAnsi="宋体" w:cs="宋体" w:eastAsia="宋体" w:hint="default"/>
                <w:sz w:val="21"/>
                <w:szCs w:val="21"/>
              </w:rPr>
            </w:pPr>
            <w:r>
              <w:rPr>
                <w:rFonts w:ascii="宋体" w:hAnsi="宋体" w:cs="宋体" w:eastAsia="宋体" w:hint="default"/>
                <w:sz w:val="21"/>
                <w:szCs w:val="21"/>
              </w:rPr>
              <w:t>业务收入</w:t>
            </w:r>
            <w:r>
              <w:rPr>
                <w:rFonts w:ascii="宋体" w:hAnsi="宋体" w:cs="宋体" w:eastAsia="宋体" w:hint="default"/>
                <w:w w:val="100"/>
                <w:sz w:val="21"/>
                <w:szCs w:val="21"/>
              </w:rPr>
              <w:t> </w:t>
            </w:r>
            <w:r>
              <w:rPr>
                <w:rFonts w:ascii="宋体" w:hAnsi="宋体" w:cs="宋体" w:eastAsia="宋体" w:hint="default"/>
                <w:sz w:val="21"/>
                <w:szCs w:val="21"/>
              </w:rPr>
              <w:t>百分比</w:t>
            </w:r>
          </w:p>
        </w:tc>
        <w:tc>
          <w:tcPr>
            <w:tcW w:w="110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累计发生</w:t>
            </w:r>
          </w:p>
        </w:tc>
        <w:tc>
          <w:tcPr>
            <w:tcW w:w="1107" w:type="dxa"/>
            <w:tcBorders>
              <w:top w:val="single" w:sz="8" w:space="0" w:color="000000"/>
              <w:left w:val="single" w:sz="4" w:space="0" w:color="000000"/>
              <w:bottom w:val="single" w:sz="4" w:space="0" w:color="000000"/>
              <w:right w:val="nil" w:sz="6" w:space="0" w:color="auto"/>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所占主营</w:t>
            </w:r>
          </w:p>
          <w:p>
            <w:pPr>
              <w:pStyle w:val="TableParagraph"/>
              <w:spacing w:line="272" w:lineRule="exact" w:before="26"/>
              <w:ind w:left="362" w:right="103" w:hanging="210"/>
              <w:jc w:val="left"/>
              <w:rPr>
                <w:rFonts w:ascii="宋体" w:hAnsi="宋体" w:cs="宋体" w:eastAsia="宋体" w:hint="default"/>
                <w:sz w:val="21"/>
                <w:szCs w:val="21"/>
              </w:rPr>
            </w:pPr>
            <w:r>
              <w:rPr>
                <w:rFonts w:ascii="宋体" w:hAnsi="宋体" w:cs="宋体" w:eastAsia="宋体" w:hint="default"/>
                <w:sz w:val="21"/>
                <w:szCs w:val="21"/>
              </w:rPr>
              <w:t>业务收入</w:t>
            </w:r>
            <w:r>
              <w:rPr>
                <w:rFonts w:ascii="宋体" w:hAnsi="宋体" w:cs="宋体" w:eastAsia="宋体" w:hint="default"/>
                <w:w w:val="100"/>
                <w:sz w:val="21"/>
                <w:szCs w:val="21"/>
              </w:rPr>
              <w:t> </w:t>
            </w:r>
            <w:r>
              <w:rPr>
                <w:rFonts w:ascii="宋体" w:hAnsi="宋体" w:cs="宋体" w:eastAsia="宋体" w:hint="default"/>
                <w:sz w:val="21"/>
                <w:szCs w:val="21"/>
              </w:rPr>
              <w:t>百分比</w:t>
            </w:r>
          </w:p>
        </w:tc>
      </w:tr>
      <w:tr>
        <w:trPr>
          <w:trHeight w:val="276" w:hRule="exact"/>
        </w:trPr>
        <w:tc>
          <w:tcPr>
            <w:tcW w:w="3858" w:type="dxa"/>
            <w:tcBorders>
              <w:top w:val="single" w:sz="4" w:space="0" w:color="000000"/>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21" w:type="dxa"/>
            <w:tcBorders>
              <w:top w:val="single" w:sz="4" w:space="0" w:color="000000"/>
              <w:left w:val="single" w:sz="4" w:space="0" w:color="000000"/>
              <w:bottom w:val="nil" w:sz="6" w:space="0" w:color="auto"/>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spacing w:val="-1"/>
                <w:sz w:val="21"/>
              </w:rPr>
              <w:t>2,255.3</w:t>
            </w:r>
          </w:p>
        </w:tc>
        <w:tc>
          <w:tcPr>
            <w:tcW w:w="1076" w:type="dxa"/>
            <w:tcBorders>
              <w:top w:val="single" w:sz="4" w:space="0" w:color="000000"/>
              <w:left w:val="single" w:sz="4" w:space="0" w:color="000000"/>
              <w:bottom w:val="nil" w:sz="6" w:space="0" w:color="auto"/>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spacing w:val="-1"/>
                <w:sz w:val="21"/>
              </w:rPr>
              <w:t>90.8%</w:t>
            </w:r>
          </w:p>
        </w:tc>
        <w:tc>
          <w:tcPr>
            <w:tcW w:w="11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98"/>
              <w:jc w:val="right"/>
              <w:rPr>
                <w:rFonts w:ascii="Arial" w:hAnsi="Arial" w:cs="Arial" w:eastAsia="Arial" w:hint="default"/>
                <w:sz w:val="21"/>
                <w:szCs w:val="21"/>
              </w:rPr>
            </w:pPr>
            <w:r>
              <w:rPr>
                <w:rFonts w:ascii="Arial"/>
                <w:spacing w:val="-1"/>
                <w:sz w:val="21"/>
              </w:rPr>
              <w:t>2,223.5</w:t>
            </w:r>
          </w:p>
        </w:tc>
        <w:tc>
          <w:tcPr>
            <w:tcW w:w="1107" w:type="dxa"/>
            <w:tcBorders>
              <w:top w:val="single" w:sz="4" w:space="0" w:color="000000"/>
              <w:left w:val="single" w:sz="4" w:space="0" w:color="000000"/>
              <w:bottom w:val="nil" w:sz="6" w:space="0" w:color="auto"/>
              <w:right w:val="nil" w:sz="6" w:space="0" w:color="auto"/>
            </w:tcBorders>
          </w:tcPr>
          <w:p>
            <w:pPr>
              <w:pStyle w:val="TableParagraph"/>
              <w:spacing w:line="240" w:lineRule="auto" w:before="12"/>
              <w:ind w:right="103"/>
              <w:jc w:val="right"/>
              <w:rPr>
                <w:rFonts w:ascii="Arial" w:hAnsi="Arial" w:cs="Arial" w:eastAsia="Arial" w:hint="default"/>
                <w:sz w:val="21"/>
                <w:szCs w:val="21"/>
              </w:rPr>
            </w:pPr>
            <w:r>
              <w:rPr>
                <w:rFonts w:ascii="Arial"/>
                <w:spacing w:val="-1"/>
                <w:sz w:val="21"/>
              </w:rPr>
              <w:t>90.3%</w:t>
            </w:r>
          </w:p>
        </w:tc>
      </w:tr>
      <w:tr>
        <w:trPr>
          <w:trHeight w:val="271" w:hRule="exact"/>
        </w:trPr>
        <w:tc>
          <w:tcPr>
            <w:tcW w:w="3858" w:type="dxa"/>
            <w:tcBorders>
              <w:top w:val="nil" w:sz="6" w:space="0" w:color="auto"/>
              <w:left w:val="nil" w:sz="6" w:space="0" w:color="auto"/>
              <w:bottom w:val="nil" w:sz="6" w:space="0" w:color="auto"/>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其中：网间结算成本</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98"/>
              <w:jc w:val="right"/>
              <w:rPr>
                <w:rFonts w:ascii="Arial" w:hAnsi="Arial" w:cs="Arial" w:eastAsia="Arial" w:hint="default"/>
                <w:sz w:val="21"/>
                <w:szCs w:val="21"/>
              </w:rPr>
            </w:pPr>
            <w:r>
              <w:rPr>
                <w:rFonts w:ascii="Arial"/>
                <w:sz w:val="21"/>
              </w:rPr>
              <w:t>146.0</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98"/>
              <w:jc w:val="right"/>
              <w:rPr>
                <w:rFonts w:ascii="Arial" w:hAnsi="Arial" w:cs="Arial" w:eastAsia="Arial" w:hint="default"/>
                <w:sz w:val="21"/>
                <w:szCs w:val="21"/>
              </w:rPr>
            </w:pPr>
            <w:r>
              <w:rPr>
                <w:rFonts w:ascii="Arial"/>
                <w:spacing w:val="-1"/>
                <w:sz w:val="21"/>
              </w:rPr>
              <w:t>5.9%</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98"/>
              <w:jc w:val="right"/>
              <w:rPr>
                <w:rFonts w:ascii="Arial" w:hAnsi="Arial" w:cs="Arial" w:eastAsia="Arial" w:hint="default"/>
                <w:sz w:val="21"/>
                <w:szCs w:val="21"/>
              </w:rPr>
            </w:pPr>
            <w:r>
              <w:rPr>
                <w:rFonts w:ascii="Arial"/>
                <w:sz w:val="21"/>
              </w:rPr>
              <w:t>202.1</w:t>
            </w:r>
          </w:p>
        </w:tc>
        <w:tc>
          <w:tcPr>
            <w:tcW w:w="1107"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103"/>
              <w:jc w:val="right"/>
              <w:rPr>
                <w:rFonts w:ascii="Arial" w:hAnsi="Arial" w:cs="Arial" w:eastAsia="Arial" w:hint="default"/>
                <w:sz w:val="21"/>
                <w:szCs w:val="21"/>
              </w:rPr>
            </w:pPr>
            <w:r>
              <w:rPr>
                <w:rFonts w:ascii="Arial"/>
                <w:spacing w:val="-1"/>
                <w:sz w:val="21"/>
              </w:rPr>
              <w:t>8.2%</w:t>
            </w:r>
          </w:p>
        </w:tc>
      </w:tr>
      <w:tr>
        <w:trPr>
          <w:trHeight w:val="275" w:hRule="exact"/>
        </w:trPr>
        <w:tc>
          <w:tcPr>
            <w:tcW w:w="3858" w:type="dxa"/>
            <w:tcBorders>
              <w:top w:val="nil" w:sz="6" w:space="0" w:color="auto"/>
              <w:left w:val="nil" w:sz="6" w:space="0" w:color="auto"/>
              <w:bottom w:val="nil" w:sz="6" w:space="0" w:color="auto"/>
              <w:right w:val="single" w:sz="4" w:space="0" w:color="000000"/>
            </w:tcBorders>
          </w:tcPr>
          <w:p>
            <w:pPr>
              <w:pStyle w:val="TableParagraph"/>
              <w:spacing w:line="258" w:lineRule="exact"/>
              <w:ind w:left="746" w:right="0"/>
              <w:jc w:val="left"/>
              <w:rPr>
                <w:rFonts w:ascii="宋体" w:hAnsi="宋体" w:cs="宋体" w:eastAsia="宋体" w:hint="default"/>
                <w:sz w:val="21"/>
                <w:szCs w:val="21"/>
              </w:rPr>
            </w:pPr>
            <w:r>
              <w:rPr>
                <w:rFonts w:ascii="宋体" w:hAnsi="宋体" w:cs="宋体" w:eastAsia="宋体" w:hint="default"/>
                <w:sz w:val="21"/>
                <w:szCs w:val="21"/>
              </w:rPr>
              <w:t>折旧及摊销（注</w:t>
            </w:r>
            <w:r>
              <w:rPr>
                <w:rFonts w:ascii="宋体" w:hAnsi="宋体" w:cs="宋体" w:eastAsia="宋体" w:hint="default"/>
                <w:spacing w:val="-51"/>
                <w:sz w:val="21"/>
                <w:szCs w:val="21"/>
              </w:rPr>
              <w:t> </w:t>
            </w:r>
            <w:r>
              <w:rPr>
                <w:rFonts w:ascii="Arial" w:hAnsi="Arial" w:cs="Arial" w:eastAsia="Arial" w:hint="default"/>
                <w:sz w:val="21"/>
                <w:szCs w:val="21"/>
              </w:rPr>
              <w:t>1</w:t>
            </w:r>
            <w:r>
              <w:rPr>
                <w:rFonts w:ascii="宋体" w:hAnsi="宋体" w:cs="宋体" w:eastAsia="宋体" w:hint="default"/>
                <w:sz w:val="21"/>
                <w:szCs w:val="21"/>
              </w:rPr>
              <w:t>）</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98"/>
              <w:jc w:val="right"/>
              <w:rPr>
                <w:rFonts w:ascii="Arial" w:hAnsi="Arial" w:cs="Arial" w:eastAsia="Arial" w:hint="default"/>
                <w:sz w:val="21"/>
                <w:szCs w:val="21"/>
              </w:rPr>
            </w:pPr>
            <w:r>
              <w:rPr>
                <w:rFonts w:ascii="Arial"/>
                <w:sz w:val="21"/>
              </w:rPr>
              <w:t>742.5</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98"/>
              <w:jc w:val="right"/>
              <w:rPr>
                <w:rFonts w:ascii="Arial" w:hAnsi="Arial" w:cs="Arial" w:eastAsia="Arial" w:hint="default"/>
                <w:sz w:val="21"/>
                <w:szCs w:val="21"/>
              </w:rPr>
            </w:pPr>
            <w:r>
              <w:rPr>
                <w:rFonts w:ascii="Arial"/>
                <w:spacing w:val="-1"/>
                <w:sz w:val="21"/>
              </w:rPr>
              <w:t>29.9%</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0"/>
              <w:jc w:val="right"/>
              <w:rPr>
                <w:rFonts w:ascii="Arial" w:hAnsi="Arial" w:cs="Arial" w:eastAsia="Arial" w:hint="default"/>
                <w:sz w:val="21"/>
                <w:szCs w:val="21"/>
              </w:rPr>
            </w:pPr>
            <w:r>
              <w:rPr>
                <w:rFonts w:ascii="Arial"/>
                <w:spacing w:val="-1"/>
                <w:sz w:val="21"/>
              </w:rPr>
              <w:t>684.8</w:t>
            </w:r>
            <w:r>
              <w:rPr>
                <w:rFonts w:ascii="Arial"/>
                <w:sz w:val="21"/>
              </w:rPr>
            </w:r>
          </w:p>
        </w:tc>
        <w:tc>
          <w:tcPr>
            <w:tcW w:w="1107"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103"/>
              <w:jc w:val="right"/>
              <w:rPr>
                <w:rFonts w:ascii="Arial" w:hAnsi="Arial" w:cs="Arial" w:eastAsia="Arial" w:hint="default"/>
                <w:sz w:val="21"/>
                <w:szCs w:val="21"/>
              </w:rPr>
            </w:pPr>
            <w:r>
              <w:rPr>
                <w:rFonts w:ascii="Arial"/>
                <w:spacing w:val="-1"/>
                <w:sz w:val="21"/>
              </w:rPr>
              <w:t>27.8%</w:t>
            </w:r>
          </w:p>
        </w:tc>
      </w:tr>
      <w:tr>
        <w:trPr>
          <w:trHeight w:val="270" w:hRule="exact"/>
        </w:trPr>
        <w:tc>
          <w:tcPr>
            <w:tcW w:w="3858" w:type="dxa"/>
            <w:tcBorders>
              <w:top w:val="nil" w:sz="6" w:space="0" w:color="auto"/>
              <w:left w:val="nil" w:sz="6" w:space="0" w:color="auto"/>
              <w:bottom w:val="nil" w:sz="6" w:space="0" w:color="auto"/>
              <w:right w:val="single" w:sz="4" w:space="0" w:color="000000"/>
            </w:tcBorders>
          </w:tcPr>
          <w:p>
            <w:pPr>
              <w:pStyle w:val="TableParagraph"/>
              <w:spacing w:line="241" w:lineRule="exact"/>
              <w:ind w:left="746" w:right="0"/>
              <w:jc w:val="left"/>
              <w:rPr>
                <w:rFonts w:ascii="宋体" w:hAnsi="宋体" w:cs="宋体" w:eastAsia="宋体" w:hint="default"/>
                <w:sz w:val="21"/>
                <w:szCs w:val="21"/>
              </w:rPr>
            </w:pPr>
            <w:r>
              <w:rPr>
                <w:rFonts w:ascii="宋体" w:hAnsi="宋体" w:cs="宋体" w:eastAsia="宋体" w:hint="default"/>
                <w:sz w:val="21"/>
                <w:szCs w:val="21"/>
              </w:rPr>
              <w:t>网络运行及支撑成本</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sz w:val="21"/>
              </w:rPr>
              <w:t>378.5</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spacing w:val="-1"/>
                <w:sz w:val="21"/>
              </w:rPr>
              <w:t>15.2%</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0"/>
              <w:jc w:val="right"/>
              <w:rPr>
                <w:rFonts w:ascii="Arial" w:hAnsi="Arial" w:cs="Arial" w:eastAsia="Arial" w:hint="default"/>
                <w:sz w:val="21"/>
                <w:szCs w:val="21"/>
              </w:rPr>
            </w:pPr>
            <w:r>
              <w:rPr>
                <w:rFonts w:ascii="Arial"/>
                <w:sz w:val="21"/>
              </w:rPr>
              <w:t>337.0</w:t>
            </w:r>
          </w:p>
        </w:tc>
        <w:tc>
          <w:tcPr>
            <w:tcW w:w="110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3"/>
              <w:jc w:val="right"/>
              <w:rPr>
                <w:rFonts w:ascii="Arial" w:hAnsi="Arial" w:cs="Arial" w:eastAsia="Arial" w:hint="default"/>
                <w:sz w:val="21"/>
                <w:szCs w:val="21"/>
              </w:rPr>
            </w:pPr>
            <w:r>
              <w:rPr>
                <w:rFonts w:ascii="Arial"/>
                <w:spacing w:val="-1"/>
                <w:sz w:val="21"/>
              </w:rPr>
              <w:t>13.7%</w:t>
            </w:r>
          </w:p>
        </w:tc>
      </w:tr>
      <w:tr>
        <w:trPr>
          <w:trHeight w:val="275" w:hRule="exact"/>
        </w:trPr>
        <w:tc>
          <w:tcPr>
            <w:tcW w:w="3858" w:type="dxa"/>
            <w:tcBorders>
              <w:top w:val="nil" w:sz="6" w:space="0" w:color="auto"/>
              <w:left w:val="nil" w:sz="6" w:space="0" w:color="auto"/>
              <w:bottom w:val="nil" w:sz="6" w:space="0" w:color="auto"/>
              <w:right w:val="single" w:sz="4" w:space="0" w:color="000000"/>
            </w:tcBorders>
          </w:tcPr>
          <w:p>
            <w:pPr>
              <w:pStyle w:val="TableParagraph"/>
              <w:spacing w:line="258" w:lineRule="exact"/>
              <w:ind w:left="746" w:right="0"/>
              <w:jc w:val="left"/>
              <w:rPr>
                <w:rFonts w:ascii="宋体" w:hAnsi="宋体" w:cs="宋体" w:eastAsia="宋体" w:hint="default"/>
                <w:sz w:val="21"/>
                <w:szCs w:val="21"/>
              </w:rPr>
            </w:pPr>
            <w:r>
              <w:rPr>
                <w:rFonts w:ascii="宋体" w:hAnsi="宋体" w:cs="宋体" w:eastAsia="宋体" w:hint="default"/>
                <w:sz w:val="21"/>
                <w:szCs w:val="21"/>
              </w:rPr>
              <w:t>人工成本（注</w:t>
            </w:r>
            <w:r>
              <w:rPr>
                <w:rFonts w:ascii="宋体" w:hAnsi="宋体" w:cs="宋体" w:eastAsia="宋体" w:hint="default"/>
                <w:spacing w:val="-52"/>
                <w:sz w:val="21"/>
                <w:szCs w:val="21"/>
              </w:rPr>
              <w:t> </w:t>
            </w:r>
            <w:r>
              <w:rPr>
                <w:rFonts w:ascii="Arial" w:hAnsi="Arial" w:cs="Arial" w:eastAsia="Arial" w:hint="default"/>
                <w:sz w:val="21"/>
                <w:szCs w:val="21"/>
              </w:rPr>
              <w:t>1</w:t>
            </w:r>
            <w:r>
              <w:rPr>
                <w:rFonts w:ascii="宋体" w:hAnsi="宋体" w:cs="宋体" w:eastAsia="宋体" w:hint="default"/>
                <w:sz w:val="21"/>
                <w:szCs w:val="21"/>
              </w:rPr>
              <w:t>）</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98"/>
              <w:jc w:val="right"/>
              <w:rPr>
                <w:rFonts w:ascii="Arial" w:hAnsi="Arial" w:cs="Arial" w:eastAsia="Arial" w:hint="default"/>
                <w:sz w:val="21"/>
                <w:szCs w:val="21"/>
              </w:rPr>
            </w:pPr>
            <w:r>
              <w:rPr>
                <w:rFonts w:ascii="Arial"/>
                <w:sz w:val="21"/>
              </w:rPr>
              <w:t>346.6</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98"/>
              <w:jc w:val="right"/>
              <w:rPr>
                <w:rFonts w:ascii="Arial" w:hAnsi="Arial" w:cs="Arial" w:eastAsia="Arial" w:hint="default"/>
                <w:sz w:val="21"/>
                <w:szCs w:val="21"/>
              </w:rPr>
            </w:pPr>
            <w:r>
              <w:rPr>
                <w:rFonts w:ascii="Arial"/>
                <w:spacing w:val="-1"/>
                <w:sz w:val="21"/>
              </w:rPr>
              <w:t>14.0%</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98"/>
              <w:jc w:val="right"/>
              <w:rPr>
                <w:rFonts w:ascii="Arial" w:hAnsi="Arial" w:cs="Arial" w:eastAsia="Arial" w:hint="default"/>
                <w:sz w:val="21"/>
                <w:szCs w:val="21"/>
              </w:rPr>
            </w:pPr>
            <w:r>
              <w:rPr>
                <w:rFonts w:ascii="Arial"/>
                <w:sz w:val="21"/>
              </w:rPr>
              <w:t>317.9</w:t>
            </w:r>
          </w:p>
        </w:tc>
        <w:tc>
          <w:tcPr>
            <w:tcW w:w="1107"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103"/>
              <w:jc w:val="right"/>
              <w:rPr>
                <w:rFonts w:ascii="Arial" w:hAnsi="Arial" w:cs="Arial" w:eastAsia="Arial" w:hint="default"/>
                <w:sz w:val="21"/>
                <w:szCs w:val="21"/>
              </w:rPr>
            </w:pPr>
            <w:r>
              <w:rPr>
                <w:rFonts w:ascii="Arial"/>
                <w:spacing w:val="-1"/>
                <w:sz w:val="21"/>
              </w:rPr>
              <w:t>12.9%</w:t>
            </w:r>
          </w:p>
        </w:tc>
      </w:tr>
      <w:tr>
        <w:trPr>
          <w:trHeight w:val="270" w:hRule="exact"/>
        </w:trPr>
        <w:tc>
          <w:tcPr>
            <w:tcW w:w="3858" w:type="dxa"/>
            <w:tcBorders>
              <w:top w:val="nil" w:sz="6" w:space="0" w:color="auto"/>
              <w:left w:val="nil" w:sz="6" w:space="0" w:color="auto"/>
              <w:bottom w:val="nil" w:sz="6" w:space="0" w:color="auto"/>
              <w:right w:val="single" w:sz="4" w:space="0" w:color="000000"/>
            </w:tcBorders>
          </w:tcPr>
          <w:p>
            <w:pPr>
              <w:pStyle w:val="TableParagraph"/>
              <w:spacing w:line="241" w:lineRule="exact"/>
              <w:ind w:left="746"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sz w:val="21"/>
              </w:rPr>
              <w:t>401.9</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spacing w:val="-1"/>
                <w:sz w:val="21"/>
              </w:rPr>
              <w:t>16.2%</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8"/>
              <w:jc w:val="right"/>
              <w:rPr>
                <w:rFonts w:ascii="Arial" w:hAnsi="Arial" w:cs="Arial" w:eastAsia="Arial" w:hint="default"/>
                <w:sz w:val="21"/>
                <w:szCs w:val="21"/>
              </w:rPr>
            </w:pPr>
            <w:r>
              <w:rPr>
                <w:rFonts w:ascii="Arial"/>
                <w:sz w:val="21"/>
              </w:rPr>
              <w:t>429.9</w:t>
            </w:r>
          </w:p>
        </w:tc>
        <w:tc>
          <w:tcPr>
            <w:tcW w:w="110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3"/>
              <w:jc w:val="right"/>
              <w:rPr>
                <w:rFonts w:ascii="Arial" w:hAnsi="Arial" w:cs="Arial" w:eastAsia="Arial" w:hint="default"/>
                <w:sz w:val="21"/>
                <w:szCs w:val="21"/>
              </w:rPr>
            </w:pPr>
            <w:r>
              <w:rPr>
                <w:rFonts w:ascii="Arial"/>
                <w:spacing w:val="-1"/>
                <w:sz w:val="21"/>
              </w:rPr>
              <w:t>17.4%</w:t>
            </w:r>
          </w:p>
        </w:tc>
      </w:tr>
      <w:tr>
        <w:trPr>
          <w:trHeight w:val="271" w:hRule="exact"/>
        </w:trPr>
        <w:tc>
          <w:tcPr>
            <w:tcW w:w="3858" w:type="dxa"/>
            <w:tcBorders>
              <w:top w:val="nil" w:sz="6" w:space="0" w:color="auto"/>
              <w:left w:val="nil" w:sz="6" w:space="0" w:color="auto"/>
              <w:bottom w:val="nil" w:sz="6" w:space="0" w:color="auto"/>
              <w:right w:val="single" w:sz="4" w:space="0" w:color="000000"/>
            </w:tcBorders>
          </w:tcPr>
          <w:p>
            <w:pPr>
              <w:pStyle w:val="TableParagraph"/>
              <w:spacing w:line="243" w:lineRule="exact"/>
              <w:ind w:left="746" w:right="0"/>
              <w:jc w:val="left"/>
              <w:rPr>
                <w:rFonts w:ascii="宋体" w:hAnsi="宋体" w:cs="宋体" w:eastAsia="宋体" w:hint="default"/>
                <w:sz w:val="21"/>
                <w:szCs w:val="21"/>
              </w:rPr>
            </w:pPr>
            <w:r>
              <w:rPr>
                <w:rFonts w:ascii="宋体" w:hAnsi="宋体" w:cs="宋体" w:eastAsia="宋体" w:hint="default"/>
                <w:sz w:val="21"/>
                <w:szCs w:val="21"/>
              </w:rPr>
              <w:t>移动宽带终端补贴成本</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98"/>
              <w:jc w:val="right"/>
              <w:rPr>
                <w:rFonts w:ascii="Arial" w:hAnsi="Arial" w:cs="Arial" w:eastAsia="Arial" w:hint="default"/>
                <w:sz w:val="21"/>
                <w:szCs w:val="21"/>
              </w:rPr>
            </w:pPr>
            <w:r>
              <w:rPr>
                <w:rFonts w:ascii="Arial"/>
                <w:spacing w:val="-1"/>
                <w:sz w:val="21"/>
              </w:rPr>
              <w:t>46.4</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98"/>
              <w:jc w:val="right"/>
              <w:rPr>
                <w:rFonts w:ascii="Arial" w:hAnsi="Arial" w:cs="Arial" w:eastAsia="Arial" w:hint="default"/>
                <w:sz w:val="21"/>
                <w:szCs w:val="21"/>
              </w:rPr>
            </w:pPr>
            <w:r>
              <w:rPr>
                <w:rFonts w:ascii="Arial"/>
                <w:spacing w:val="-1"/>
                <w:sz w:val="21"/>
              </w:rPr>
              <w:t>1.9%</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99"/>
              <w:jc w:val="right"/>
              <w:rPr>
                <w:rFonts w:ascii="Arial" w:hAnsi="Arial" w:cs="Arial" w:eastAsia="Arial" w:hint="default"/>
                <w:sz w:val="21"/>
                <w:szCs w:val="21"/>
              </w:rPr>
            </w:pPr>
            <w:r>
              <w:rPr>
                <w:rFonts w:ascii="Arial"/>
                <w:spacing w:val="-1"/>
                <w:sz w:val="21"/>
              </w:rPr>
              <w:t>78.0</w:t>
            </w:r>
          </w:p>
        </w:tc>
        <w:tc>
          <w:tcPr>
            <w:tcW w:w="1107"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103"/>
              <w:jc w:val="right"/>
              <w:rPr>
                <w:rFonts w:ascii="Arial" w:hAnsi="Arial" w:cs="Arial" w:eastAsia="Arial" w:hint="default"/>
                <w:sz w:val="21"/>
                <w:szCs w:val="21"/>
              </w:rPr>
            </w:pPr>
            <w:r>
              <w:rPr>
                <w:rFonts w:ascii="Arial"/>
                <w:spacing w:val="-1"/>
                <w:sz w:val="21"/>
              </w:rPr>
              <w:t>3.2%</w:t>
            </w:r>
          </w:p>
        </w:tc>
      </w:tr>
      <w:tr>
        <w:trPr>
          <w:trHeight w:val="275" w:hRule="exact"/>
        </w:trPr>
        <w:tc>
          <w:tcPr>
            <w:tcW w:w="3858" w:type="dxa"/>
            <w:tcBorders>
              <w:top w:val="nil" w:sz="6" w:space="0" w:color="auto"/>
              <w:left w:val="nil" w:sz="6" w:space="0" w:color="auto"/>
              <w:bottom w:val="nil" w:sz="6" w:space="0" w:color="auto"/>
              <w:right w:val="single" w:sz="4" w:space="0" w:color="000000"/>
            </w:tcBorders>
          </w:tcPr>
          <w:p>
            <w:pPr>
              <w:pStyle w:val="TableParagraph"/>
              <w:spacing w:line="258" w:lineRule="exact"/>
              <w:ind w:left="746" w:right="-3"/>
              <w:jc w:val="left"/>
              <w:rPr>
                <w:rFonts w:ascii="宋体" w:hAnsi="宋体" w:cs="宋体" w:eastAsia="宋体" w:hint="default"/>
                <w:sz w:val="21"/>
                <w:szCs w:val="21"/>
              </w:rPr>
            </w:pPr>
            <w:r>
              <w:rPr>
                <w:rFonts w:ascii="宋体" w:hAnsi="宋体" w:cs="宋体" w:eastAsia="宋体" w:hint="default"/>
                <w:sz w:val="21"/>
                <w:szCs w:val="21"/>
              </w:rPr>
              <w:t>其他营业成本及管理费用（注</w:t>
            </w:r>
            <w:r>
              <w:rPr>
                <w:rFonts w:ascii="宋体" w:hAnsi="宋体" w:cs="宋体" w:eastAsia="宋体" w:hint="default"/>
                <w:spacing w:val="-58"/>
                <w:sz w:val="21"/>
                <w:szCs w:val="21"/>
              </w:rPr>
              <w:t> </w:t>
            </w:r>
            <w:r>
              <w:rPr>
                <w:rFonts w:ascii="Arial" w:hAnsi="Arial" w:cs="Arial" w:eastAsia="Arial" w:hint="default"/>
                <w:sz w:val="21"/>
                <w:szCs w:val="21"/>
              </w:rPr>
              <w:t>2</w:t>
            </w:r>
            <w:r>
              <w:rPr>
                <w:rFonts w:ascii="宋体" w:hAnsi="宋体" w:cs="宋体" w:eastAsia="宋体" w:hint="default"/>
                <w:sz w:val="21"/>
                <w:szCs w:val="21"/>
              </w:rPr>
              <w:t>）</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39" w:lineRule="exact"/>
              <w:ind w:right="98"/>
              <w:jc w:val="right"/>
              <w:rPr>
                <w:rFonts w:ascii="Arial" w:hAnsi="Arial" w:cs="Arial" w:eastAsia="Arial" w:hint="default"/>
                <w:sz w:val="21"/>
                <w:szCs w:val="21"/>
              </w:rPr>
            </w:pPr>
            <w:r>
              <w:rPr>
                <w:rFonts w:ascii="Arial"/>
                <w:sz w:val="21"/>
              </w:rPr>
              <w:t>150.1</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39" w:lineRule="exact"/>
              <w:ind w:right="98"/>
              <w:jc w:val="right"/>
              <w:rPr>
                <w:rFonts w:ascii="Arial" w:hAnsi="Arial" w:cs="Arial" w:eastAsia="Arial" w:hint="default"/>
                <w:sz w:val="21"/>
                <w:szCs w:val="21"/>
              </w:rPr>
            </w:pPr>
            <w:r>
              <w:rPr>
                <w:rFonts w:ascii="Arial"/>
                <w:spacing w:val="-1"/>
                <w:sz w:val="21"/>
              </w:rPr>
              <w:t>6.0%</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98"/>
              <w:jc w:val="right"/>
              <w:rPr>
                <w:rFonts w:ascii="Arial" w:hAnsi="Arial" w:cs="Arial" w:eastAsia="Arial" w:hint="default"/>
                <w:sz w:val="21"/>
                <w:szCs w:val="21"/>
              </w:rPr>
            </w:pPr>
            <w:r>
              <w:rPr>
                <w:rFonts w:ascii="Arial"/>
                <w:sz w:val="21"/>
              </w:rPr>
              <w:t>144.3</w:t>
            </w:r>
          </w:p>
        </w:tc>
        <w:tc>
          <w:tcPr>
            <w:tcW w:w="1107" w:type="dxa"/>
            <w:tcBorders>
              <w:top w:val="nil" w:sz="6" w:space="0" w:color="auto"/>
              <w:left w:val="single" w:sz="4" w:space="0" w:color="000000"/>
              <w:bottom w:val="nil" w:sz="6" w:space="0" w:color="auto"/>
              <w:right w:val="nil" w:sz="6" w:space="0" w:color="auto"/>
            </w:tcBorders>
          </w:tcPr>
          <w:p>
            <w:pPr>
              <w:pStyle w:val="TableParagraph"/>
              <w:spacing w:line="240" w:lineRule="auto" w:before="14"/>
              <w:ind w:right="103"/>
              <w:jc w:val="right"/>
              <w:rPr>
                <w:rFonts w:ascii="Arial" w:hAnsi="Arial" w:cs="Arial" w:eastAsia="Arial" w:hint="default"/>
                <w:sz w:val="21"/>
                <w:szCs w:val="21"/>
              </w:rPr>
            </w:pPr>
            <w:r>
              <w:rPr>
                <w:rFonts w:ascii="Arial"/>
                <w:spacing w:val="-1"/>
                <w:sz w:val="21"/>
              </w:rPr>
              <w:t>5.9%</w:t>
            </w:r>
          </w:p>
        </w:tc>
      </w:tr>
      <w:tr>
        <w:trPr>
          <w:trHeight w:val="296" w:hRule="exact"/>
        </w:trPr>
        <w:tc>
          <w:tcPr>
            <w:tcW w:w="3858" w:type="dxa"/>
            <w:tcBorders>
              <w:top w:val="nil" w:sz="6" w:space="0" w:color="auto"/>
              <w:left w:val="nil" w:sz="6" w:space="0" w:color="auto"/>
              <w:bottom w:val="single" w:sz="17" w:space="0" w:color="000000"/>
              <w:right w:val="single" w:sz="4" w:space="0" w:color="000000"/>
            </w:tcBorders>
          </w:tcPr>
          <w:p>
            <w:pPr>
              <w:pStyle w:val="TableParagraph"/>
              <w:spacing w:line="241" w:lineRule="exact"/>
              <w:ind w:left="746"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121" w:type="dxa"/>
            <w:tcBorders>
              <w:top w:val="nil" w:sz="6" w:space="0" w:color="auto"/>
              <w:left w:val="single" w:sz="4" w:space="0" w:color="000000"/>
              <w:bottom w:val="single" w:sz="17" w:space="0" w:color="000000"/>
              <w:right w:val="single" w:sz="4" w:space="0" w:color="000000"/>
            </w:tcBorders>
          </w:tcPr>
          <w:p>
            <w:pPr>
              <w:pStyle w:val="TableParagraph"/>
              <w:spacing w:line="237" w:lineRule="exact"/>
              <w:ind w:right="99"/>
              <w:jc w:val="right"/>
              <w:rPr>
                <w:rFonts w:ascii="Arial" w:hAnsi="Arial" w:cs="Arial" w:eastAsia="Arial" w:hint="default"/>
                <w:sz w:val="21"/>
                <w:szCs w:val="21"/>
              </w:rPr>
            </w:pPr>
            <w:r>
              <w:rPr>
                <w:rFonts w:ascii="Arial"/>
                <w:spacing w:val="-1"/>
                <w:sz w:val="21"/>
              </w:rPr>
              <w:t>43.3</w:t>
            </w:r>
          </w:p>
        </w:tc>
        <w:tc>
          <w:tcPr>
            <w:tcW w:w="1076" w:type="dxa"/>
            <w:tcBorders>
              <w:top w:val="nil" w:sz="6" w:space="0" w:color="auto"/>
              <w:left w:val="single" w:sz="4" w:space="0" w:color="000000"/>
              <w:bottom w:val="single" w:sz="17"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spacing w:val="-1"/>
                <w:sz w:val="21"/>
              </w:rPr>
              <w:t>1.7%</w:t>
            </w:r>
          </w:p>
        </w:tc>
        <w:tc>
          <w:tcPr>
            <w:tcW w:w="1106"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10"/>
              <w:ind w:right="99"/>
              <w:jc w:val="right"/>
              <w:rPr>
                <w:rFonts w:ascii="Arial" w:hAnsi="Arial" w:cs="Arial" w:eastAsia="Arial" w:hint="default"/>
                <w:sz w:val="21"/>
                <w:szCs w:val="21"/>
              </w:rPr>
            </w:pPr>
            <w:r>
              <w:rPr>
                <w:rFonts w:ascii="Arial"/>
                <w:spacing w:val="-1"/>
                <w:sz w:val="21"/>
              </w:rPr>
              <w:t>29.5</w:t>
            </w:r>
          </w:p>
        </w:tc>
        <w:tc>
          <w:tcPr>
            <w:tcW w:w="1107" w:type="dxa"/>
            <w:tcBorders>
              <w:top w:val="nil" w:sz="6" w:space="0" w:color="auto"/>
              <w:left w:val="single" w:sz="4" w:space="0" w:color="000000"/>
              <w:bottom w:val="single" w:sz="17" w:space="0" w:color="000000"/>
              <w:right w:val="nil" w:sz="6" w:space="0" w:color="auto"/>
            </w:tcBorders>
          </w:tcPr>
          <w:p>
            <w:pPr>
              <w:pStyle w:val="TableParagraph"/>
              <w:spacing w:line="240" w:lineRule="auto" w:before="10"/>
              <w:ind w:right="103"/>
              <w:jc w:val="right"/>
              <w:rPr>
                <w:rFonts w:ascii="Arial" w:hAnsi="Arial" w:cs="Arial" w:eastAsia="Arial" w:hint="default"/>
                <w:sz w:val="21"/>
                <w:szCs w:val="21"/>
              </w:rPr>
            </w:pPr>
            <w:r>
              <w:rPr>
                <w:rFonts w:ascii="Arial"/>
                <w:spacing w:val="-1"/>
                <w:sz w:val="21"/>
              </w:rPr>
              <w:t>1.2%</w:t>
            </w:r>
          </w:p>
        </w:tc>
      </w:tr>
    </w:tbl>
    <w:p>
      <w:pPr>
        <w:spacing w:line="240" w:lineRule="auto" w:before="2"/>
        <w:rPr>
          <w:rFonts w:ascii="宋体" w:hAnsi="宋体" w:cs="宋体" w:eastAsia="宋体" w:hint="default"/>
          <w:sz w:val="13"/>
          <w:szCs w:val="13"/>
        </w:rPr>
      </w:pPr>
    </w:p>
    <w:p>
      <w:pPr>
        <w:spacing w:line="272" w:lineRule="exact" w:before="64"/>
        <w:ind w:left="1556" w:right="286" w:hanging="711"/>
        <w:jc w:val="left"/>
        <w:rPr>
          <w:rFonts w:ascii="宋体" w:hAnsi="宋体" w:cs="宋体" w:eastAsia="宋体" w:hint="default"/>
          <w:sz w:val="21"/>
          <w:szCs w:val="21"/>
        </w:rPr>
      </w:pPr>
      <w:r>
        <w:rPr>
          <w:rFonts w:ascii="宋体" w:hAnsi="宋体" w:cs="宋体" w:eastAsia="宋体" w:hint="default"/>
          <w:sz w:val="21"/>
          <w:szCs w:val="21"/>
        </w:rPr>
        <w:t>注 </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pacing w:val="-42"/>
          <w:sz w:val="21"/>
          <w:szCs w:val="21"/>
        </w:rPr>
        <w:t> </w:t>
      </w:r>
      <w:r>
        <w:rPr>
          <w:rFonts w:ascii="宋体" w:hAnsi="宋体" w:cs="宋体" w:eastAsia="宋体" w:hint="default"/>
          <w:sz w:val="21"/>
          <w:szCs w:val="21"/>
        </w:rPr>
        <w:t>上述“折旧及摊销”和“人工成本”为营业成本和管理费用中相同性质的数据的</w:t>
      </w:r>
      <w:r>
        <w:rPr>
          <w:rFonts w:ascii="宋体" w:hAnsi="宋体" w:cs="宋体" w:eastAsia="宋体" w:hint="default"/>
          <w:w w:val="100"/>
          <w:sz w:val="21"/>
          <w:szCs w:val="21"/>
        </w:rPr>
        <w:t> </w:t>
      </w:r>
      <w:r>
        <w:rPr>
          <w:rFonts w:ascii="宋体" w:hAnsi="宋体" w:cs="宋体" w:eastAsia="宋体" w:hint="default"/>
          <w:sz w:val="21"/>
          <w:szCs w:val="21"/>
        </w:rPr>
        <w:t>总额。</w:t>
      </w:r>
    </w:p>
    <w:p>
      <w:pPr>
        <w:spacing w:line="240" w:lineRule="auto" w:before="4"/>
        <w:rPr>
          <w:rFonts w:ascii="宋体" w:hAnsi="宋体" w:cs="宋体" w:eastAsia="宋体" w:hint="default"/>
          <w:sz w:val="18"/>
          <w:szCs w:val="18"/>
        </w:rPr>
      </w:pPr>
    </w:p>
    <w:p>
      <w:pPr>
        <w:spacing w:line="274" w:lineRule="exact" w:before="0"/>
        <w:ind w:left="1556" w:right="119" w:hanging="711"/>
        <w:jc w:val="left"/>
        <w:rPr>
          <w:rFonts w:ascii="宋体" w:hAnsi="宋体" w:cs="宋体" w:eastAsia="宋体" w:hint="default"/>
          <w:sz w:val="21"/>
          <w:szCs w:val="21"/>
        </w:rPr>
      </w:pPr>
      <w:r>
        <w:rPr>
          <w:rFonts w:ascii="宋体" w:hAnsi="宋体" w:cs="宋体" w:eastAsia="宋体" w:hint="default"/>
          <w:sz w:val="21"/>
          <w:szCs w:val="21"/>
        </w:rPr>
        <w:t>注 </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pacing w:val="-42"/>
          <w:sz w:val="21"/>
          <w:szCs w:val="21"/>
        </w:rPr>
        <w:t> </w:t>
      </w:r>
      <w:r>
        <w:rPr>
          <w:rFonts w:ascii="宋体" w:hAnsi="宋体" w:cs="宋体" w:eastAsia="宋体" w:hint="default"/>
          <w:sz w:val="21"/>
          <w:szCs w:val="21"/>
        </w:rPr>
        <w:t>上述“其他营业成本及管理费用”为营业成本和管理费用合计扣除网间结算成</w:t>
      </w:r>
      <w:r>
        <w:rPr>
          <w:rFonts w:ascii="宋体" w:hAnsi="宋体" w:cs="宋体" w:eastAsia="宋体" w:hint="default"/>
          <w:w w:val="100"/>
          <w:sz w:val="21"/>
          <w:szCs w:val="21"/>
        </w:rPr>
        <w:t> </w:t>
      </w:r>
      <w:r>
        <w:rPr>
          <w:rFonts w:ascii="宋体" w:hAnsi="宋体" w:cs="宋体" w:eastAsia="宋体" w:hint="default"/>
          <w:spacing w:val="-5"/>
          <w:sz w:val="21"/>
          <w:szCs w:val="21"/>
        </w:rPr>
        <w:t>本、折旧及摊销、网络运行及支撑成本、人工成本及销售通信产品成本后的数据。</w:t>
      </w:r>
    </w:p>
    <w:p>
      <w:pPr>
        <w:spacing w:line="240" w:lineRule="auto" w:before="4"/>
        <w:rPr>
          <w:rFonts w:ascii="宋体" w:hAnsi="宋体" w:cs="宋体" w:eastAsia="宋体" w:hint="default"/>
          <w:sz w:val="16"/>
          <w:szCs w:val="16"/>
        </w:rPr>
      </w:pPr>
    </w:p>
    <w:p>
      <w:pPr>
        <w:spacing w:before="0"/>
        <w:ind w:left="846" w:right="119" w:firstLine="0"/>
        <w:jc w:val="left"/>
        <w:rPr>
          <w:rFonts w:ascii="宋体" w:hAnsi="宋体" w:cs="宋体" w:eastAsia="宋体" w:hint="default"/>
          <w:sz w:val="21"/>
          <w:szCs w:val="21"/>
        </w:rPr>
      </w:pPr>
      <w:r>
        <w:rPr>
          <w:rFonts w:ascii="Arial" w:hAnsi="Arial" w:cs="Arial" w:eastAsia="Arial" w:hint="default"/>
          <w:sz w:val="21"/>
          <w:szCs w:val="21"/>
        </w:rPr>
        <w:t>3.1 </w:t>
      </w:r>
      <w:r>
        <w:rPr>
          <w:rFonts w:ascii="Arial" w:hAnsi="Arial" w:cs="Arial" w:eastAsia="Arial" w:hint="default"/>
          <w:spacing w:val="16"/>
          <w:sz w:val="21"/>
          <w:szCs w:val="21"/>
        </w:rPr>
        <w:t> </w:t>
      </w:r>
      <w:r>
        <w:rPr>
          <w:rFonts w:ascii="宋体" w:hAnsi="宋体" w:cs="宋体" w:eastAsia="宋体" w:hint="default"/>
          <w:sz w:val="21"/>
          <w:szCs w:val="21"/>
        </w:rPr>
        <w:t>网间结算成本</w:t>
      </w:r>
    </w:p>
    <w:p>
      <w:pPr>
        <w:spacing w:line="240" w:lineRule="auto" w:before="1"/>
        <w:rPr>
          <w:rFonts w:ascii="宋体" w:hAnsi="宋体" w:cs="宋体" w:eastAsia="宋体" w:hint="default"/>
          <w:sz w:val="17"/>
          <w:szCs w:val="17"/>
        </w:rPr>
      </w:pPr>
    </w:p>
    <w:p>
      <w:pPr>
        <w:spacing w:line="280" w:lineRule="exact" w:before="0"/>
        <w:ind w:left="1270" w:right="119" w:firstLine="0"/>
        <w:jc w:val="left"/>
        <w:rPr>
          <w:rFonts w:ascii="宋体" w:hAnsi="宋体" w:cs="宋体" w:eastAsia="宋体" w:hint="default"/>
          <w:sz w:val="21"/>
          <w:szCs w:val="21"/>
        </w:rPr>
      </w:pPr>
      <w:r>
        <w:rPr>
          <w:rFonts w:ascii="宋体" w:hAnsi="宋体" w:cs="宋体" w:eastAsia="宋体" w:hint="default"/>
          <w:sz w:val="21"/>
          <w:szCs w:val="21"/>
        </w:rPr>
        <w:t>受网间结算政策调整影响，</w:t>
      </w: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年公司网间结算成本发生</w:t>
      </w:r>
      <w:r>
        <w:rPr>
          <w:rFonts w:ascii="宋体" w:hAnsi="宋体" w:cs="宋体" w:eastAsia="宋体" w:hint="default"/>
          <w:spacing w:val="-56"/>
          <w:sz w:val="21"/>
          <w:szCs w:val="21"/>
        </w:rPr>
        <w:t> </w:t>
      </w:r>
      <w:r>
        <w:rPr>
          <w:rFonts w:ascii="Arial" w:hAnsi="Arial" w:cs="Arial" w:eastAsia="Arial" w:hint="default"/>
          <w:sz w:val="21"/>
          <w:szCs w:val="21"/>
        </w:rPr>
        <w:t>146.0</w:t>
      </w:r>
      <w:r>
        <w:rPr>
          <w:rFonts w:ascii="Arial" w:hAnsi="Arial" w:cs="Arial" w:eastAsia="Arial" w:hint="default"/>
          <w:spacing w:val="-9"/>
          <w:sz w:val="21"/>
          <w:szCs w:val="21"/>
        </w:rPr>
        <w:t> </w:t>
      </w:r>
      <w:r>
        <w:rPr>
          <w:rFonts w:ascii="宋体" w:hAnsi="宋体" w:cs="宋体" w:eastAsia="宋体" w:hint="default"/>
          <w:sz w:val="21"/>
          <w:szCs w:val="21"/>
        </w:rPr>
        <w:t>亿元，同比下降</w:t>
      </w:r>
    </w:p>
    <w:p>
      <w:pPr>
        <w:spacing w:line="280" w:lineRule="exact" w:before="0"/>
        <w:ind w:left="1270" w:right="119" w:firstLine="0"/>
        <w:jc w:val="left"/>
        <w:rPr>
          <w:rFonts w:ascii="宋体" w:hAnsi="宋体" w:cs="宋体" w:eastAsia="宋体" w:hint="default"/>
          <w:sz w:val="21"/>
          <w:szCs w:val="21"/>
        </w:rPr>
      </w:pPr>
      <w:r>
        <w:rPr>
          <w:rFonts w:ascii="Arial" w:hAnsi="Arial" w:cs="Arial" w:eastAsia="Arial" w:hint="default"/>
          <w:sz w:val="21"/>
          <w:szCs w:val="21"/>
        </w:rPr>
        <w:t>27.8%</w:t>
      </w:r>
      <w:r>
        <w:rPr>
          <w:rFonts w:ascii="宋体" w:hAnsi="宋体" w:cs="宋体" w:eastAsia="宋体" w:hint="default"/>
          <w:sz w:val="21"/>
          <w:szCs w:val="21"/>
        </w:rPr>
        <w:t>，所占主营业务收入的比重由上年的</w:t>
      </w:r>
      <w:r>
        <w:rPr>
          <w:rFonts w:ascii="宋体" w:hAnsi="宋体" w:cs="宋体" w:eastAsia="宋体" w:hint="default"/>
          <w:spacing w:val="-56"/>
          <w:sz w:val="21"/>
          <w:szCs w:val="21"/>
        </w:rPr>
        <w:t> </w:t>
      </w:r>
      <w:r>
        <w:rPr>
          <w:rFonts w:ascii="Arial" w:hAnsi="Arial" w:cs="Arial" w:eastAsia="Arial" w:hint="default"/>
          <w:sz w:val="21"/>
          <w:szCs w:val="21"/>
        </w:rPr>
        <w:t>8.2%</w:t>
      </w:r>
      <w:r>
        <w:rPr>
          <w:rFonts w:ascii="宋体" w:hAnsi="宋体" w:cs="宋体" w:eastAsia="宋体" w:hint="default"/>
          <w:sz w:val="21"/>
          <w:szCs w:val="21"/>
        </w:rPr>
        <w:t>下降至</w:t>
      </w:r>
      <w:r>
        <w:rPr>
          <w:rFonts w:ascii="宋体" w:hAnsi="宋体" w:cs="宋体" w:eastAsia="宋体" w:hint="default"/>
          <w:spacing w:val="-55"/>
          <w:sz w:val="21"/>
          <w:szCs w:val="21"/>
        </w:rPr>
        <w:t> </w:t>
      </w:r>
      <w:r>
        <w:rPr>
          <w:rFonts w:ascii="Arial" w:hAnsi="Arial" w:cs="Arial" w:eastAsia="Arial" w:hint="default"/>
          <w:sz w:val="21"/>
          <w:szCs w:val="21"/>
        </w:rPr>
        <w:t>5.9%</w:t>
      </w:r>
      <w:r>
        <w:rPr>
          <w:rFonts w:ascii="宋体" w:hAnsi="宋体" w:cs="宋体" w:eastAsia="宋体" w:hint="default"/>
          <w:sz w:val="21"/>
          <w:szCs w:val="21"/>
        </w:rPr>
        <w:t>。</w:t>
      </w:r>
    </w:p>
    <w:p>
      <w:pPr>
        <w:spacing w:line="240" w:lineRule="auto" w:before="4"/>
        <w:rPr>
          <w:rFonts w:ascii="宋体" w:hAnsi="宋体" w:cs="宋体" w:eastAsia="宋体" w:hint="default"/>
          <w:sz w:val="17"/>
          <w:szCs w:val="17"/>
        </w:rPr>
      </w:pPr>
    </w:p>
    <w:p>
      <w:pPr>
        <w:spacing w:before="0"/>
        <w:ind w:left="846" w:right="119" w:firstLine="0"/>
        <w:jc w:val="left"/>
        <w:rPr>
          <w:rFonts w:ascii="宋体" w:hAnsi="宋体" w:cs="宋体" w:eastAsia="宋体" w:hint="default"/>
          <w:sz w:val="21"/>
          <w:szCs w:val="21"/>
        </w:rPr>
      </w:pPr>
      <w:r>
        <w:rPr>
          <w:rFonts w:ascii="Arial" w:hAnsi="Arial" w:cs="Arial" w:eastAsia="Arial" w:hint="default"/>
          <w:sz w:val="21"/>
          <w:szCs w:val="21"/>
        </w:rPr>
        <w:t>3.2 </w:t>
      </w:r>
      <w:r>
        <w:rPr>
          <w:rFonts w:ascii="Arial" w:hAnsi="Arial" w:cs="Arial" w:eastAsia="Arial" w:hint="default"/>
          <w:spacing w:val="18"/>
          <w:sz w:val="21"/>
          <w:szCs w:val="21"/>
        </w:rPr>
        <w:t> </w:t>
      </w:r>
      <w:r>
        <w:rPr>
          <w:rFonts w:ascii="宋体" w:hAnsi="宋体" w:cs="宋体" w:eastAsia="宋体" w:hint="default"/>
          <w:sz w:val="21"/>
          <w:szCs w:val="21"/>
        </w:rPr>
        <w:t>折旧及摊销</w:t>
      </w:r>
    </w:p>
    <w:p>
      <w:pPr>
        <w:spacing w:line="240" w:lineRule="auto" w:before="3"/>
        <w:rPr>
          <w:rFonts w:ascii="宋体" w:hAnsi="宋体" w:cs="宋体" w:eastAsia="宋体" w:hint="default"/>
          <w:sz w:val="19"/>
          <w:szCs w:val="19"/>
        </w:rPr>
      </w:pPr>
    </w:p>
    <w:p>
      <w:pPr>
        <w:spacing w:line="272" w:lineRule="exact" w:before="0"/>
        <w:ind w:left="1270" w:right="264" w:firstLine="0"/>
        <w:jc w:val="left"/>
        <w:rPr>
          <w:rFonts w:ascii="宋体" w:hAnsi="宋体" w:cs="宋体" w:eastAsia="宋体" w:hint="default"/>
          <w:sz w:val="21"/>
          <w:szCs w:val="21"/>
        </w:rPr>
      </w:pPr>
      <w:r>
        <w:rPr>
          <w:rFonts w:ascii="宋体" w:hAnsi="宋体" w:cs="宋体" w:eastAsia="宋体" w:hint="default"/>
          <w:sz w:val="21"/>
          <w:szCs w:val="21"/>
        </w:rPr>
        <w:t>公司加快移动宽带和固网宽带网络建设，</w:t>
      </w: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年资产折旧及摊销发生</w:t>
      </w:r>
      <w:r>
        <w:rPr>
          <w:rFonts w:ascii="宋体" w:hAnsi="宋体" w:cs="宋体" w:eastAsia="宋体" w:hint="default"/>
          <w:spacing w:val="-54"/>
          <w:sz w:val="21"/>
          <w:szCs w:val="21"/>
        </w:rPr>
        <w:t> </w:t>
      </w:r>
      <w:r>
        <w:rPr>
          <w:rFonts w:ascii="Arial" w:hAnsi="Arial" w:cs="Arial" w:eastAsia="Arial" w:hint="default"/>
          <w:sz w:val="21"/>
          <w:szCs w:val="21"/>
        </w:rPr>
        <w:t>742.5</w:t>
      </w:r>
      <w:r>
        <w:rPr>
          <w:rFonts w:ascii="Arial" w:hAnsi="Arial" w:cs="Arial" w:eastAsia="Arial" w:hint="default"/>
          <w:spacing w:val="-10"/>
          <w:sz w:val="21"/>
          <w:szCs w:val="21"/>
        </w:rPr>
        <w:t> </w:t>
      </w:r>
      <w:r>
        <w:rPr>
          <w:rFonts w:ascii="宋体" w:hAnsi="宋体" w:cs="宋体" w:eastAsia="宋体" w:hint="default"/>
          <w:sz w:val="21"/>
          <w:szCs w:val="21"/>
        </w:rPr>
        <w:t>亿元，</w:t>
      </w:r>
      <w:r>
        <w:rPr>
          <w:rFonts w:ascii="宋体" w:hAnsi="宋体" w:cs="宋体" w:eastAsia="宋体" w:hint="default"/>
          <w:w w:val="100"/>
          <w:sz w:val="21"/>
          <w:szCs w:val="21"/>
        </w:rPr>
        <w:t> </w:t>
      </w:r>
      <w:r>
        <w:rPr>
          <w:rFonts w:ascii="宋体" w:hAnsi="宋体" w:cs="宋体" w:eastAsia="宋体" w:hint="default"/>
          <w:sz w:val="21"/>
          <w:szCs w:val="21"/>
        </w:rPr>
        <w:t>同比增长</w:t>
      </w:r>
      <w:r>
        <w:rPr>
          <w:rFonts w:ascii="宋体" w:hAnsi="宋体" w:cs="宋体" w:eastAsia="宋体" w:hint="default"/>
          <w:spacing w:val="-53"/>
          <w:sz w:val="21"/>
          <w:szCs w:val="21"/>
        </w:rPr>
        <w:t> </w:t>
      </w:r>
      <w:r>
        <w:rPr>
          <w:rFonts w:ascii="Arial" w:hAnsi="Arial" w:cs="Arial" w:eastAsia="Arial" w:hint="default"/>
          <w:sz w:val="21"/>
          <w:szCs w:val="21"/>
        </w:rPr>
        <w:t>8.4%</w:t>
      </w:r>
      <w:r>
        <w:rPr>
          <w:rFonts w:ascii="宋体" w:hAnsi="宋体" w:cs="宋体" w:eastAsia="宋体" w:hint="default"/>
          <w:sz w:val="21"/>
          <w:szCs w:val="21"/>
        </w:rPr>
        <w:t>，所占主营业务收入的比重由上年的</w:t>
      </w:r>
      <w:r>
        <w:rPr>
          <w:rFonts w:ascii="宋体" w:hAnsi="宋体" w:cs="宋体" w:eastAsia="宋体" w:hint="default"/>
          <w:spacing w:val="-56"/>
          <w:sz w:val="21"/>
          <w:szCs w:val="21"/>
        </w:rPr>
        <w:t> </w:t>
      </w:r>
      <w:r>
        <w:rPr>
          <w:rFonts w:ascii="Arial" w:hAnsi="Arial" w:cs="Arial" w:eastAsia="Arial" w:hint="default"/>
          <w:sz w:val="21"/>
          <w:szCs w:val="21"/>
        </w:rPr>
        <w:t>27.8%</w:t>
      </w:r>
      <w:r>
        <w:rPr>
          <w:rFonts w:ascii="宋体" w:hAnsi="宋体" w:cs="宋体" w:eastAsia="宋体" w:hint="default"/>
          <w:sz w:val="21"/>
          <w:szCs w:val="21"/>
        </w:rPr>
        <w:t>变化至</w:t>
      </w:r>
      <w:r>
        <w:rPr>
          <w:rFonts w:ascii="宋体" w:hAnsi="宋体" w:cs="宋体" w:eastAsia="宋体" w:hint="default"/>
          <w:spacing w:val="-56"/>
          <w:sz w:val="21"/>
          <w:szCs w:val="21"/>
        </w:rPr>
        <w:t> </w:t>
      </w:r>
      <w:r>
        <w:rPr>
          <w:rFonts w:ascii="Arial" w:hAnsi="Arial" w:cs="Arial" w:eastAsia="Arial" w:hint="default"/>
          <w:sz w:val="21"/>
          <w:szCs w:val="21"/>
        </w:rPr>
        <w:t>29.9%</w:t>
      </w:r>
      <w:r>
        <w:rPr>
          <w:rFonts w:ascii="宋体" w:hAnsi="宋体" w:cs="宋体" w:eastAsia="宋体" w:hint="default"/>
          <w:sz w:val="21"/>
          <w:szCs w:val="21"/>
        </w:rPr>
        <w:t>。</w:t>
      </w:r>
    </w:p>
    <w:p>
      <w:pPr>
        <w:spacing w:after="0" w:line="272" w:lineRule="exact"/>
        <w:jc w:val="left"/>
        <w:rPr>
          <w:rFonts w:ascii="宋体" w:hAnsi="宋体" w:cs="宋体" w:eastAsia="宋体" w:hint="default"/>
          <w:sz w:val="21"/>
          <w:szCs w:val="21"/>
        </w:rPr>
        <w:sectPr>
          <w:pgSz w:w="11910" w:h="16840"/>
          <w:pgMar w:header="880" w:footer="1194" w:top="1120" w:bottom="1380" w:left="1660" w:right="1040"/>
        </w:sectPr>
      </w:pPr>
    </w:p>
    <w:p>
      <w:pPr>
        <w:spacing w:line="240" w:lineRule="auto" w:before="11"/>
        <w:rPr>
          <w:rFonts w:ascii="宋体" w:hAnsi="宋体" w:cs="宋体" w:eastAsia="宋体" w:hint="default"/>
          <w:sz w:val="29"/>
          <w:szCs w:val="29"/>
        </w:rPr>
      </w:pPr>
    </w:p>
    <w:p>
      <w:pPr>
        <w:spacing w:line="504" w:lineRule="auto" w:before="36"/>
        <w:ind w:left="138" w:right="1922" w:firstLine="0"/>
        <w:jc w:val="left"/>
        <w:rPr>
          <w:rFonts w:ascii="宋体" w:hAnsi="宋体" w:cs="宋体" w:eastAsia="宋体" w:hint="default"/>
          <w:sz w:val="21"/>
          <w:szCs w:val="21"/>
        </w:rPr>
      </w:pPr>
      <w:r>
        <w:rPr>
          <w:rFonts w:ascii="宋体" w:hAnsi="宋体" w:cs="宋体" w:eastAsia="宋体" w:hint="default"/>
          <w:b/>
          <w:bCs/>
          <w:spacing w:val="-1"/>
          <w:sz w:val="21"/>
          <w:szCs w:val="21"/>
        </w:rPr>
        <w:t>一、董事会关于公司报告期内经营情况的讨论与分析（续）</w:t>
      </w:r>
      <w:r>
        <w:rPr>
          <w:rFonts w:ascii="宋体" w:hAnsi="宋体" w:cs="宋体" w:eastAsia="宋体" w:hint="default"/>
          <w:b/>
          <w:bCs/>
          <w:spacing w:val="-78"/>
          <w:sz w:val="21"/>
          <w:szCs w:val="21"/>
        </w:rPr>
        <w:t> </w:t>
      </w:r>
      <w:r>
        <w:rPr>
          <w:rFonts w:ascii="宋体" w:hAnsi="宋体" w:cs="宋体" w:eastAsia="宋体" w:hint="default"/>
          <w:b/>
          <w:bCs/>
          <w:spacing w:val="-78"/>
          <w:sz w:val="21"/>
          <w:szCs w:val="21"/>
        </w:rPr>
      </w:r>
      <w:r>
        <w:rPr>
          <w:rFonts w:ascii="宋体" w:hAnsi="宋体" w:cs="宋体" w:eastAsia="宋体" w:hint="default"/>
          <w:b/>
          <w:bCs/>
          <w:sz w:val="21"/>
          <w:szCs w:val="21"/>
        </w:rPr>
        <w:t>第三部分：财务情况讨论与分析（续）</w:t>
      </w:r>
      <w:r>
        <w:rPr>
          <w:rFonts w:ascii="宋体" w:hAnsi="宋体" w:cs="宋体" w:eastAsia="宋体" w:hint="default"/>
          <w:sz w:val="21"/>
          <w:szCs w:val="21"/>
        </w:rPr>
      </w:r>
    </w:p>
    <w:p>
      <w:pPr>
        <w:spacing w:before="7"/>
        <w:ind w:left="485" w:right="1922" w:firstLine="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spacing w:val="-74"/>
          <w:sz w:val="21"/>
          <w:szCs w:val="21"/>
        </w:rPr>
        <w:t> </w:t>
      </w:r>
      <w:r>
        <w:rPr>
          <w:rFonts w:ascii="宋体" w:hAnsi="宋体" w:cs="宋体" w:eastAsia="宋体" w:hint="default"/>
          <w:sz w:val="21"/>
          <w:szCs w:val="21"/>
        </w:rPr>
        <w:t>成本费用（附注</w:t>
      </w:r>
      <w:r>
        <w:rPr>
          <w:rFonts w:ascii="宋体" w:hAnsi="宋体" w:cs="宋体" w:eastAsia="宋体" w:hint="default"/>
          <w:spacing w:val="-52"/>
          <w:sz w:val="21"/>
          <w:szCs w:val="21"/>
        </w:rPr>
        <w:t> </w:t>
      </w:r>
      <w:r>
        <w:rPr>
          <w:rFonts w:ascii="Arial" w:hAnsi="Arial" w:cs="Arial" w:eastAsia="Arial" w:hint="default"/>
          <w:sz w:val="21"/>
          <w:szCs w:val="21"/>
        </w:rPr>
        <w:t>3</w:t>
      </w:r>
      <w:r>
        <w:rPr>
          <w:rFonts w:ascii="宋体" w:hAnsi="宋体" w:cs="宋体" w:eastAsia="宋体" w:hint="default"/>
          <w:sz w:val="21"/>
          <w:szCs w:val="21"/>
        </w:rPr>
        <w:t>）（续）</w:t>
      </w:r>
    </w:p>
    <w:p>
      <w:pPr>
        <w:spacing w:line="240" w:lineRule="auto" w:before="1"/>
        <w:rPr>
          <w:rFonts w:ascii="宋体" w:hAnsi="宋体" w:cs="宋体" w:eastAsia="宋体" w:hint="default"/>
          <w:sz w:val="17"/>
          <w:szCs w:val="17"/>
        </w:rPr>
      </w:pPr>
    </w:p>
    <w:p>
      <w:pPr>
        <w:spacing w:before="0"/>
        <w:ind w:left="846" w:right="1922" w:firstLine="0"/>
        <w:jc w:val="left"/>
        <w:rPr>
          <w:rFonts w:ascii="宋体" w:hAnsi="宋体" w:cs="宋体" w:eastAsia="宋体" w:hint="default"/>
          <w:sz w:val="21"/>
          <w:szCs w:val="21"/>
        </w:rPr>
      </w:pPr>
      <w:r>
        <w:rPr>
          <w:rFonts w:ascii="Arial" w:hAnsi="Arial" w:cs="Arial" w:eastAsia="Arial" w:hint="default"/>
          <w:sz w:val="21"/>
          <w:szCs w:val="21"/>
        </w:rPr>
        <w:t>3.3 </w:t>
      </w:r>
      <w:r>
        <w:rPr>
          <w:rFonts w:ascii="Arial" w:hAnsi="Arial" w:cs="Arial" w:eastAsia="Arial" w:hint="default"/>
          <w:spacing w:val="17"/>
          <w:sz w:val="21"/>
          <w:szCs w:val="21"/>
        </w:rPr>
        <w:t> </w:t>
      </w:r>
      <w:r>
        <w:rPr>
          <w:rFonts w:ascii="宋体" w:hAnsi="宋体" w:cs="宋体" w:eastAsia="宋体" w:hint="default"/>
          <w:sz w:val="21"/>
          <w:szCs w:val="21"/>
        </w:rPr>
        <w:t>网络运行及支撑成本</w:t>
      </w:r>
    </w:p>
    <w:p>
      <w:pPr>
        <w:spacing w:line="240" w:lineRule="auto" w:before="9"/>
        <w:rPr>
          <w:rFonts w:ascii="宋体" w:hAnsi="宋体" w:cs="宋体" w:eastAsia="宋体" w:hint="default"/>
          <w:sz w:val="17"/>
          <w:szCs w:val="17"/>
        </w:rPr>
      </w:pPr>
    </w:p>
    <w:p>
      <w:pPr>
        <w:spacing w:line="232" w:lineRule="auto" w:before="0"/>
        <w:ind w:left="1270" w:right="127" w:firstLine="0"/>
        <w:jc w:val="left"/>
        <w:rPr>
          <w:rFonts w:ascii="宋体" w:hAnsi="宋体" w:cs="宋体" w:eastAsia="宋体" w:hint="default"/>
          <w:sz w:val="21"/>
          <w:szCs w:val="21"/>
        </w:rPr>
      </w:pPr>
      <w:r>
        <w:rPr>
          <w:rFonts w:ascii="宋体" w:hAnsi="宋体" w:cs="宋体" w:eastAsia="宋体" w:hint="default"/>
          <w:sz w:val="21"/>
          <w:szCs w:val="21"/>
        </w:rPr>
        <w:t>在网络覆盖扩大、网络资产增加及能源、物业租金等基础价格上涨的同时，公司加</w:t>
      </w:r>
      <w:r>
        <w:rPr>
          <w:rFonts w:ascii="宋体" w:hAnsi="宋体" w:cs="宋体" w:eastAsia="宋体" w:hint="default"/>
          <w:w w:val="100"/>
          <w:sz w:val="21"/>
          <w:szCs w:val="21"/>
        </w:rPr>
        <w:t> </w:t>
      </w:r>
      <w:r>
        <w:rPr>
          <w:rFonts w:ascii="宋体" w:hAnsi="宋体" w:cs="宋体" w:eastAsia="宋体" w:hint="default"/>
          <w:spacing w:val="-9"/>
          <w:w w:val="100"/>
          <w:sz w:val="21"/>
          <w:szCs w:val="21"/>
        </w:rPr>
        <w:t>大网络运营投入，提升网络支撑与维护质量，</w:t>
      </w:r>
      <w:r>
        <w:rPr>
          <w:rFonts w:ascii="Arial" w:hAnsi="Arial" w:cs="Arial" w:eastAsia="Arial" w:hint="default"/>
          <w:spacing w:val="-9"/>
          <w:w w:val="100"/>
          <w:sz w:val="21"/>
          <w:szCs w:val="21"/>
        </w:rPr>
        <w:t>2014</w:t>
      </w:r>
      <w:r>
        <w:rPr>
          <w:rFonts w:ascii="Arial" w:hAnsi="Arial" w:cs="Arial" w:eastAsia="Arial" w:hint="default"/>
          <w:spacing w:val="-1"/>
          <w:w w:val="100"/>
          <w:sz w:val="21"/>
          <w:szCs w:val="21"/>
        </w:rPr>
        <w:t> </w:t>
      </w:r>
      <w:r>
        <w:rPr>
          <w:rFonts w:ascii="宋体" w:hAnsi="宋体" w:cs="宋体" w:eastAsia="宋体" w:hint="default"/>
          <w:spacing w:val="-2"/>
          <w:w w:val="100"/>
          <w:sz w:val="21"/>
          <w:szCs w:val="21"/>
        </w:rPr>
        <w:t>年网络运行及支撑成本发生</w:t>
      </w:r>
      <w:r>
        <w:rPr>
          <w:rFonts w:ascii="宋体" w:hAnsi="宋体" w:cs="宋体" w:eastAsia="宋体" w:hint="default"/>
          <w:spacing w:val="-51"/>
          <w:w w:val="100"/>
          <w:sz w:val="21"/>
          <w:szCs w:val="21"/>
        </w:rPr>
        <w:t> </w:t>
      </w:r>
      <w:r>
        <w:rPr>
          <w:rFonts w:ascii="Arial" w:hAnsi="Arial" w:cs="Arial" w:eastAsia="Arial" w:hint="default"/>
          <w:w w:val="100"/>
          <w:sz w:val="21"/>
          <w:szCs w:val="21"/>
        </w:rPr>
        <w:t>378.5</w:t>
      </w:r>
      <w:r>
        <w:rPr>
          <w:rFonts w:ascii="Arial" w:hAnsi="Arial" w:cs="Arial" w:eastAsia="Arial" w:hint="default"/>
          <w:spacing w:val="-57"/>
          <w:w w:val="100"/>
          <w:sz w:val="21"/>
          <w:szCs w:val="21"/>
        </w:rPr>
        <w:t> </w:t>
      </w:r>
      <w:r>
        <w:rPr>
          <w:rFonts w:ascii="宋体" w:hAnsi="宋体" w:cs="宋体" w:eastAsia="宋体" w:hint="default"/>
          <w:sz w:val="21"/>
          <w:szCs w:val="21"/>
        </w:rPr>
        <w:t>亿元，同比增长</w:t>
      </w:r>
      <w:r>
        <w:rPr>
          <w:rFonts w:ascii="宋体" w:hAnsi="宋体" w:cs="宋体" w:eastAsia="宋体" w:hint="default"/>
          <w:spacing w:val="-55"/>
          <w:sz w:val="21"/>
          <w:szCs w:val="21"/>
        </w:rPr>
        <w:t> </w:t>
      </w:r>
      <w:r>
        <w:rPr>
          <w:rFonts w:ascii="Arial" w:hAnsi="Arial" w:cs="Arial" w:eastAsia="Arial" w:hint="default"/>
          <w:sz w:val="21"/>
          <w:szCs w:val="21"/>
        </w:rPr>
        <w:t>12.3%</w:t>
      </w:r>
      <w:r>
        <w:rPr>
          <w:rFonts w:ascii="宋体" w:hAnsi="宋体" w:cs="宋体" w:eastAsia="宋体" w:hint="default"/>
          <w:sz w:val="21"/>
          <w:szCs w:val="21"/>
        </w:rPr>
        <w:t>，所占主营业务收入的比重由上年的</w:t>
      </w:r>
      <w:r>
        <w:rPr>
          <w:rFonts w:ascii="宋体" w:hAnsi="宋体" w:cs="宋体" w:eastAsia="宋体" w:hint="default"/>
          <w:spacing w:val="-55"/>
          <w:sz w:val="21"/>
          <w:szCs w:val="21"/>
        </w:rPr>
        <w:t> </w:t>
      </w:r>
      <w:r>
        <w:rPr>
          <w:rFonts w:ascii="Arial" w:hAnsi="Arial" w:cs="Arial" w:eastAsia="Arial" w:hint="default"/>
          <w:sz w:val="21"/>
          <w:szCs w:val="21"/>
        </w:rPr>
        <w:t>13.7%</w:t>
      </w:r>
      <w:r>
        <w:rPr>
          <w:rFonts w:ascii="宋体" w:hAnsi="宋体" w:cs="宋体" w:eastAsia="宋体" w:hint="default"/>
          <w:sz w:val="21"/>
          <w:szCs w:val="21"/>
        </w:rPr>
        <w:t>变化至</w:t>
      </w:r>
      <w:r>
        <w:rPr>
          <w:rFonts w:ascii="宋体" w:hAnsi="宋体" w:cs="宋体" w:eastAsia="宋体" w:hint="default"/>
          <w:spacing w:val="-56"/>
          <w:sz w:val="21"/>
          <w:szCs w:val="21"/>
        </w:rPr>
        <w:t> </w:t>
      </w:r>
      <w:r>
        <w:rPr>
          <w:rFonts w:ascii="Arial" w:hAnsi="Arial" w:cs="Arial" w:eastAsia="Arial" w:hint="default"/>
          <w:sz w:val="21"/>
          <w:szCs w:val="21"/>
        </w:rPr>
        <w:t>15.2%</w:t>
      </w:r>
      <w:r>
        <w:rPr>
          <w:rFonts w:ascii="宋体" w:hAnsi="宋体" w:cs="宋体" w:eastAsia="宋体" w:hint="default"/>
          <w:sz w:val="21"/>
          <w:szCs w:val="21"/>
        </w:rPr>
        <w:t>。</w:t>
      </w:r>
    </w:p>
    <w:p>
      <w:pPr>
        <w:spacing w:line="240" w:lineRule="auto" w:before="3"/>
        <w:rPr>
          <w:rFonts w:ascii="宋体" w:hAnsi="宋体" w:cs="宋体" w:eastAsia="宋体" w:hint="default"/>
          <w:sz w:val="17"/>
          <w:szCs w:val="17"/>
        </w:rPr>
      </w:pPr>
    </w:p>
    <w:p>
      <w:pPr>
        <w:spacing w:before="0"/>
        <w:ind w:left="846" w:right="1922" w:firstLine="0"/>
        <w:jc w:val="left"/>
        <w:rPr>
          <w:rFonts w:ascii="宋体" w:hAnsi="宋体" w:cs="宋体" w:eastAsia="宋体" w:hint="default"/>
          <w:sz w:val="21"/>
          <w:szCs w:val="21"/>
        </w:rPr>
      </w:pPr>
      <w:r>
        <w:rPr>
          <w:rFonts w:ascii="Arial" w:hAnsi="Arial" w:cs="Arial" w:eastAsia="Arial" w:hint="default"/>
          <w:sz w:val="21"/>
          <w:szCs w:val="21"/>
        </w:rPr>
        <w:t>3.4 </w:t>
      </w:r>
      <w:r>
        <w:rPr>
          <w:rFonts w:ascii="Arial" w:hAnsi="Arial" w:cs="Arial" w:eastAsia="Arial" w:hint="default"/>
          <w:spacing w:val="17"/>
          <w:sz w:val="21"/>
          <w:szCs w:val="21"/>
        </w:rPr>
        <w:t> </w:t>
      </w:r>
      <w:r>
        <w:rPr>
          <w:rFonts w:ascii="宋体" w:hAnsi="宋体" w:cs="宋体" w:eastAsia="宋体" w:hint="default"/>
          <w:sz w:val="21"/>
          <w:szCs w:val="21"/>
        </w:rPr>
        <w:t>人工成本</w:t>
      </w:r>
    </w:p>
    <w:p>
      <w:pPr>
        <w:spacing w:line="240" w:lineRule="auto" w:before="4"/>
        <w:rPr>
          <w:rFonts w:ascii="宋体" w:hAnsi="宋体" w:cs="宋体" w:eastAsia="宋体" w:hint="default"/>
          <w:sz w:val="18"/>
          <w:szCs w:val="18"/>
        </w:rPr>
      </w:pPr>
    </w:p>
    <w:p>
      <w:pPr>
        <w:spacing w:line="225" w:lineRule="auto" w:before="0"/>
        <w:ind w:left="1270" w:right="143" w:firstLine="0"/>
        <w:jc w:val="left"/>
        <w:rPr>
          <w:rFonts w:ascii="宋体" w:hAnsi="宋体" w:cs="宋体" w:eastAsia="宋体" w:hint="default"/>
          <w:sz w:val="21"/>
          <w:szCs w:val="21"/>
        </w:rPr>
      </w:pPr>
      <w:r>
        <w:rPr>
          <w:rFonts w:ascii="宋体" w:hAnsi="宋体" w:cs="宋体" w:eastAsia="宋体" w:hint="default"/>
          <w:spacing w:val="-2"/>
          <w:sz w:val="21"/>
          <w:szCs w:val="21"/>
        </w:rPr>
        <w:t>公司实施企业年金制度，深化用工和分配制度改革，加大对基层员工的激励，</w:t>
      </w:r>
      <w:r>
        <w:rPr>
          <w:rFonts w:ascii="Arial" w:hAnsi="Arial" w:cs="Arial" w:eastAsia="Arial" w:hint="default"/>
          <w:spacing w:val="-2"/>
          <w:sz w:val="21"/>
          <w:szCs w:val="21"/>
        </w:rPr>
        <w:t>2014</w:t>
      </w:r>
      <w:r>
        <w:rPr>
          <w:rFonts w:ascii="Arial" w:hAnsi="Arial" w:cs="Arial" w:eastAsia="Arial" w:hint="default"/>
          <w:spacing w:val="14"/>
          <w:sz w:val="21"/>
          <w:szCs w:val="21"/>
        </w:rPr>
        <w:t> </w:t>
      </w:r>
      <w:r>
        <w:rPr>
          <w:rFonts w:ascii="Arial" w:hAnsi="Arial" w:cs="Arial" w:eastAsia="Arial" w:hint="default"/>
          <w:spacing w:val="14"/>
          <w:sz w:val="21"/>
          <w:szCs w:val="21"/>
        </w:rPr>
      </w:r>
      <w:r>
        <w:rPr>
          <w:rFonts w:ascii="宋体" w:hAnsi="宋体" w:cs="宋体" w:eastAsia="宋体" w:hint="default"/>
          <w:sz w:val="21"/>
          <w:szCs w:val="21"/>
        </w:rPr>
        <w:t>年人工成本发生</w:t>
      </w:r>
      <w:r>
        <w:rPr>
          <w:rFonts w:ascii="宋体" w:hAnsi="宋体" w:cs="宋体" w:eastAsia="宋体" w:hint="default"/>
          <w:spacing w:val="-54"/>
          <w:sz w:val="21"/>
          <w:szCs w:val="21"/>
        </w:rPr>
        <w:t> </w:t>
      </w:r>
      <w:r>
        <w:rPr>
          <w:rFonts w:ascii="Arial" w:hAnsi="Arial" w:cs="Arial" w:eastAsia="Arial" w:hint="default"/>
          <w:sz w:val="21"/>
          <w:szCs w:val="21"/>
        </w:rPr>
        <w:t>346.6</w:t>
      </w:r>
      <w:r>
        <w:rPr>
          <w:rFonts w:ascii="Arial" w:hAnsi="Arial" w:cs="Arial" w:eastAsia="Arial" w:hint="default"/>
          <w:spacing w:val="-7"/>
          <w:sz w:val="21"/>
          <w:szCs w:val="21"/>
        </w:rPr>
        <w:t> </w:t>
      </w:r>
      <w:r>
        <w:rPr>
          <w:rFonts w:ascii="宋体" w:hAnsi="宋体" w:cs="宋体" w:eastAsia="宋体" w:hint="default"/>
          <w:sz w:val="21"/>
          <w:szCs w:val="21"/>
        </w:rPr>
        <w:t>亿元，同比增长</w:t>
      </w:r>
      <w:r>
        <w:rPr>
          <w:rFonts w:ascii="宋体" w:hAnsi="宋体" w:cs="宋体" w:eastAsia="宋体" w:hint="default"/>
          <w:spacing w:val="-54"/>
          <w:sz w:val="21"/>
          <w:szCs w:val="21"/>
        </w:rPr>
        <w:t> </w:t>
      </w:r>
      <w:r>
        <w:rPr>
          <w:rFonts w:ascii="Arial" w:hAnsi="Arial" w:cs="Arial" w:eastAsia="Arial" w:hint="default"/>
          <w:sz w:val="21"/>
          <w:szCs w:val="21"/>
        </w:rPr>
        <w:t>9.0%</w:t>
      </w:r>
      <w:r>
        <w:rPr>
          <w:rFonts w:ascii="宋体" w:hAnsi="宋体" w:cs="宋体" w:eastAsia="宋体" w:hint="default"/>
          <w:sz w:val="21"/>
          <w:szCs w:val="21"/>
        </w:rPr>
        <w:t>，所占主营业务收入的比重由上年的</w:t>
      </w:r>
      <w:r>
        <w:rPr>
          <w:rFonts w:ascii="宋体" w:hAnsi="宋体" w:cs="宋体" w:eastAsia="宋体" w:hint="default"/>
          <w:w w:val="100"/>
          <w:sz w:val="21"/>
          <w:szCs w:val="21"/>
        </w:rPr>
        <w:t> </w:t>
      </w:r>
      <w:r>
        <w:rPr>
          <w:rFonts w:ascii="Arial" w:hAnsi="Arial" w:cs="Arial" w:eastAsia="Arial" w:hint="default"/>
          <w:sz w:val="21"/>
          <w:szCs w:val="21"/>
        </w:rPr>
        <w:t>12.9%</w:t>
      </w:r>
      <w:r>
        <w:rPr>
          <w:rFonts w:ascii="宋体" w:hAnsi="宋体" w:cs="宋体" w:eastAsia="宋体" w:hint="default"/>
          <w:sz w:val="21"/>
          <w:szCs w:val="21"/>
        </w:rPr>
        <w:t>变化至</w:t>
      </w:r>
      <w:r>
        <w:rPr>
          <w:rFonts w:ascii="宋体" w:hAnsi="宋体" w:cs="宋体" w:eastAsia="宋体" w:hint="default"/>
          <w:spacing w:val="-52"/>
          <w:sz w:val="21"/>
          <w:szCs w:val="21"/>
        </w:rPr>
        <w:t> </w:t>
      </w:r>
      <w:r>
        <w:rPr>
          <w:rFonts w:ascii="Arial" w:hAnsi="Arial" w:cs="Arial" w:eastAsia="Arial" w:hint="default"/>
          <w:sz w:val="21"/>
          <w:szCs w:val="21"/>
        </w:rPr>
        <w:t>14.0%</w:t>
      </w:r>
      <w:r>
        <w:rPr>
          <w:rFonts w:ascii="宋体" w:hAnsi="宋体" w:cs="宋体" w:eastAsia="宋体" w:hint="default"/>
          <w:sz w:val="21"/>
          <w:szCs w:val="21"/>
        </w:rPr>
        <w:t>。</w:t>
      </w:r>
    </w:p>
    <w:p>
      <w:pPr>
        <w:spacing w:line="240" w:lineRule="auto" w:before="4"/>
        <w:rPr>
          <w:rFonts w:ascii="宋体" w:hAnsi="宋体" w:cs="宋体" w:eastAsia="宋体" w:hint="default"/>
          <w:sz w:val="17"/>
          <w:szCs w:val="17"/>
        </w:rPr>
      </w:pPr>
    </w:p>
    <w:p>
      <w:pPr>
        <w:spacing w:before="0"/>
        <w:ind w:left="846" w:right="1922" w:firstLine="0"/>
        <w:jc w:val="left"/>
        <w:rPr>
          <w:rFonts w:ascii="宋体" w:hAnsi="宋体" w:cs="宋体" w:eastAsia="宋体" w:hint="default"/>
          <w:sz w:val="21"/>
          <w:szCs w:val="21"/>
        </w:rPr>
      </w:pPr>
      <w:r>
        <w:rPr>
          <w:rFonts w:ascii="Arial" w:hAnsi="Arial" w:cs="Arial" w:eastAsia="Arial" w:hint="default"/>
          <w:sz w:val="21"/>
          <w:szCs w:val="21"/>
        </w:rPr>
        <w:t>3.5 </w:t>
      </w:r>
      <w:r>
        <w:rPr>
          <w:rFonts w:ascii="Arial" w:hAnsi="Arial" w:cs="Arial" w:eastAsia="Arial" w:hint="default"/>
          <w:spacing w:val="17"/>
          <w:sz w:val="21"/>
          <w:szCs w:val="21"/>
        </w:rPr>
        <w:t> </w:t>
      </w:r>
      <w:r>
        <w:rPr>
          <w:rFonts w:ascii="宋体" w:hAnsi="宋体" w:cs="宋体" w:eastAsia="宋体" w:hint="default"/>
          <w:sz w:val="21"/>
          <w:szCs w:val="21"/>
        </w:rPr>
        <w:t>销售费用</w:t>
      </w:r>
    </w:p>
    <w:p>
      <w:pPr>
        <w:spacing w:line="240" w:lineRule="auto" w:before="9"/>
        <w:rPr>
          <w:rFonts w:ascii="宋体" w:hAnsi="宋体" w:cs="宋体" w:eastAsia="宋体" w:hint="default"/>
          <w:sz w:val="17"/>
          <w:szCs w:val="17"/>
        </w:rPr>
      </w:pPr>
    </w:p>
    <w:p>
      <w:pPr>
        <w:spacing w:line="232" w:lineRule="auto" w:before="0"/>
        <w:ind w:left="1270" w:right="127" w:firstLine="0"/>
        <w:jc w:val="left"/>
        <w:rPr>
          <w:rFonts w:ascii="宋体" w:hAnsi="宋体" w:cs="宋体" w:eastAsia="宋体" w:hint="default"/>
          <w:sz w:val="21"/>
          <w:szCs w:val="21"/>
        </w:rPr>
      </w:pPr>
      <w:r>
        <w:rPr>
          <w:rFonts w:ascii="宋体" w:hAnsi="宋体" w:cs="宋体" w:eastAsia="宋体" w:hint="default"/>
          <w:sz w:val="21"/>
          <w:szCs w:val="21"/>
        </w:rPr>
        <w:t>公司围绕落实成本压降，重点加强销售费用管理，积极推进营销模式转型，优化产</w:t>
      </w:r>
      <w:r>
        <w:rPr>
          <w:rFonts w:ascii="宋体" w:hAnsi="宋体" w:cs="宋体" w:eastAsia="宋体" w:hint="default"/>
          <w:w w:val="100"/>
          <w:sz w:val="21"/>
          <w:szCs w:val="21"/>
        </w:rPr>
        <w:t> </w:t>
      </w:r>
      <w:r>
        <w:rPr>
          <w:rFonts w:ascii="宋体" w:hAnsi="宋体" w:cs="宋体" w:eastAsia="宋体" w:hint="default"/>
          <w:sz w:val="21"/>
          <w:szCs w:val="21"/>
        </w:rPr>
        <w:t>品、终端和渠道结构，促进客户质量的提升，</w:t>
      </w:r>
      <w:r>
        <w:rPr>
          <w:rFonts w:ascii="Arial" w:hAnsi="Arial" w:cs="Arial" w:eastAsia="Arial" w:hint="default"/>
          <w:sz w:val="21"/>
          <w:szCs w:val="21"/>
        </w:rPr>
        <w:t>2014</w:t>
      </w:r>
      <w:r>
        <w:rPr>
          <w:rFonts w:ascii="Arial" w:hAnsi="Arial" w:cs="Arial" w:eastAsia="Arial" w:hint="default"/>
          <w:spacing w:val="-13"/>
          <w:sz w:val="21"/>
          <w:szCs w:val="21"/>
        </w:rPr>
        <w:t> </w:t>
      </w:r>
      <w:r>
        <w:rPr>
          <w:rFonts w:ascii="宋体" w:hAnsi="宋体" w:cs="宋体" w:eastAsia="宋体" w:hint="default"/>
          <w:sz w:val="21"/>
          <w:szCs w:val="21"/>
        </w:rPr>
        <w:t>年销售费用发生</w:t>
      </w:r>
      <w:r>
        <w:rPr>
          <w:rFonts w:ascii="宋体" w:hAnsi="宋体" w:cs="宋体" w:eastAsia="宋体" w:hint="default"/>
          <w:spacing w:val="-58"/>
          <w:sz w:val="21"/>
          <w:szCs w:val="21"/>
        </w:rPr>
        <w:t> </w:t>
      </w:r>
      <w:r>
        <w:rPr>
          <w:rFonts w:ascii="Arial" w:hAnsi="Arial" w:cs="Arial" w:eastAsia="Arial" w:hint="default"/>
          <w:sz w:val="21"/>
          <w:szCs w:val="21"/>
        </w:rPr>
        <w:t>401.9</w:t>
      </w:r>
      <w:r>
        <w:rPr>
          <w:rFonts w:ascii="Arial" w:hAnsi="Arial" w:cs="Arial" w:eastAsia="Arial" w:hint="default"/>
          <w:spacing w:val="-12"/>
          <w:sz w:val="21"/>
          <w:szCs w:val="21"/>
        </w:rPr>
        <w:t> </w:t>
      </w:r>
      <w:r>
        <w:rPr>
          <w:rFonts w:ascii="宋体" w:hAnsi="宋体" w:cs="宋体" w:eastAsia="宋体" w:hint="default"/>
          <w:spacing w:val="-3"/>
          <w:sz w:val="21"/>
          <w:szCs w:val="21"/>
        </w:rPr>
        <w:t>亿元，同</w:t>
      </w:r>
      <w:r>
        <w:rPr>
          <w:rFonts w:ascii="宋体" w:hAnsi="宋体" w:cs="宋体" w:eastAsia="宋体" w:hint="default"/>
          <w:w w:val="100"/>
          <w:sz w:val="21"/>
          <w:szCs w:val="21"/>
        </w:rPr>
        <w:t> </w:t>
      </w:r>
      <w:r>
        <w:rPr>
          <w:rFonts w:ascii="宋体" w:hAnsi="宋体" w:cs="宋体" w:eastAsia="宋体" w:hint="default"/>
          <w:sz w:val="21"/>
          <w:szCs w:val="21"/>
        </w:rPr>
        <w:t>比下降</w:t>
      </w:r>
      <w:r>
        <w:rPr>
          <w:rFonts w:ascii="宋体" w:hAnsi="宋体" w:cs="宋体" w:eastAsia="宋体" w:hint="default"/>
          <w:spacing w:val="-54"/>
          <w:sz w:val="21"/>
          <w:szCs w:val="21"/>
        </w:rPr>
        <w:t> </w:t>
      </w:r>
      <w:r>
        <w:rPr>
          <w:rFonts w:ascii="Arial" w:hAnsi="Arial" w:cs="Arial" w:eastAsia="Arial" w:hint="default"/>
          <w:sz w:val="21"/>
          <w:szCs w:val="21"/>
        </w:rPr>
        <w:t>6.5%</w:t>
      </w:r>
      <w:r>
        <w:rPr>
          <w:rFonts w:ascii="宋体" w:hAnsi="宋体" w:cs="宋体" w:eastAsia="宋体" w:hint="default"/>
          <w:sz w:val="21"/>
          <w:szCs w:val="21"/>
        </w:rPr>
        <w:t>，所占主营业务收入的比重由上年的</w:t>
      </w:r>
      <w:r>
        <w:rPr>
          <w:rFonts w:ascii="宋体" w:hAnsi="宋体" w:cs="宋体" w:eastAsia="宋体" w:hint="default"/>
          <w:spacing w:val="-55"/>
          <w:sz w:val="21"/>
          <w:szCs w:val="21"/>
        </w:rPr>
        <w:t> </w:t>
      </w:r>
      <w:r>
        <w:rPr>
          <w:rFonts w:ascii="Arial" w:hAnsi="Arial" w:cs="Arial" w:eastAsia="Arial" w:hint="default"/>
          <w:sz w:val="21"/>
          <w:szCs w:val="21"/>
        </w:rPr>
        <w:t>17.4%</w:t>
      </w:r>
      <w:r>
        <w:rPr>
          <w:rFonts w:ascii="宋体" w:hAnsi="宋体" w:cs="宋体" w:eastAsia="宋体" w:hint="default"/>
          <w:sz w:val="21"/>
          <w:szCs w:val="21"/>
        </w:rPr>
        <w:t>下降至</w:t>
      </w:r>
      <w:r>
        <w:rPr>
          <w:rFonts w:ascii="宋体" w:hAnsi="宋体" w:cs="宋体" w:eastAsia="宋体" w:hint="default"/>
          <w:spacing w:val="-55"/>
          <w:sz w:val="21"/>
          <w:szCs w:val="21"/>
        </w:rPr>
        <w:t> </w:t>
      </w:r>
      <w:r>
        <w:rPr>
          <w:rFonts w:ascii="Arial" w:hAnsi="Arial" w:cs="Arial" w:eastAsia="Arial" w:hint="default"/>
          <w:sz w:val="21"/>
          <w:szCs w:val="21"/>
        </w:rPr>
        <w:t>16.2%</w:t>
      </w:r>
      <w:r>
        <w:rPr>
          <w:rFonts w:ascii="宋体" w:hAnsi="宋体" w:cs="宋体" w:eastAsia="宋体" w:hint="default"/>
          <w:sz w:val="21"/>
          <w:szCs w:val="21"/>
        </w:rPr>
        <w:t>。</w:t>
      </w:r>
    </w:p>
    <w:p>
      <w:pPr>
        <w:spacing w:line="240" w:lineRule="auto" w:before="3"/>
        <w:rPr>
          <w:rFonts w:ascii="宋体" w:hAnsi="宋体" w:cs="宋体" w:eastAsia="宋体" w:hint="default"/>
          <w:sz w:val="17"/>
          <w:szCs w:val="17"/>
        </w:rPr>
      </w:pPr>
    </w:p>
    <w:p>
      <w:pPr>
        <w:spacing w:before="0"/>
        <w:ind w:left="846" w:right="1922" w:firstLine="0"/>
        <w:jc w:val="left"/>
        <w:rPr>
          <w:rFonts w:ascii="宋体" w:hAnsi="宋体" w:cs="宋体" w:eastAsia="宋体" w:hint="default"/>
          <w:sz w:val="21"/>
          <w:szCs w:val="21"/>
        </w:rPr>
      </w:pPr>
      <w:r>
        <w:rPr>
          <w:rFonts w:ascii="Arial" w:hAnsi="Arial" w:cs="Arial" w:eastAsia="Arial" w:hint="default"/>
          <w:sz w:val="21"/>
          <w:szCs w:val="21"/>
        </w:rPr>
        <w:t>3.6 </w:t>
      </w:r>
      <w:r>
        <w:rPr>
          <w:rFonts w:ascii="Arial" w:hAnsi="Arial" w:cs="Arial" w:eastAsia="Arial" w:hint="default"/>
          <w:spacing w:val="15"/>
          <w:sz w:val="21"/>
          <w:szCs w:val="21"/>
        </w:rPr>
        <w:t> </w:t>
      </w:r>
      <w:r>
        <w:rPr>
          <w:rFonts w:ascii="宋体" w:hAnsi="宋体" w:cs="宋体" w:eastAsia="宋体" w:hint="default"/>
          <w:sz w:val="21"/>
          <w:szCs w:val="21"/>
        </w:rPr>
        <w:t>移动宽带终端补贴成本</w:t>
      </w:r>
    </w:p>
    <w:p>
      <w:pPr>
        <w:spacing w:line="240" w:lineRule="auto" w:before="3"/>
        <w:rPr>
          <w:rFonts w:ascii="宋体" w:hAnsi="宋体" w:cs="宋体" w:eastAsia="宋体" w:hint="default"/>
          <w:sz w:val="18"/>
          <w:szCs w:val="18"/>
        </w:rPr>
      </w:pPr>
    </w:p>
    <w:p>
      <w:pPr>
        <w:spacing w:line="225" w:lineRule="auto" w:before="0"/>
        <w:ind w:left="1270" w:right="127" w:firstLine="0"/>
        <w:jc w:val="both"/>
        <w:rPr>
          <w:rFonts w:ascii="宋体" w:hAnsi="宋体" w:cs="宋体" w:eastAsia="宋体" w:hint="default"/>
          <w:sz w:val="21"/>
          <w:szCs w:val="21"/>
        </w:rPr>
      </w:pPr>
      <w:r>
        <w:rPr>
          <w:rFonts w:ascii="宋体" w:hAnsi="宋体" w:cs="宋体" w:eastAsia="宋体" w:hint="default"/>
          <w:spacing w:val="-2"/>
          <w:sz w:val="21"/>
          <w:szCs w:val="21"/>
        </w:rPr>
        <w:t>公司持续优化终端合约产品结构，提升终端补贴使用效益，</w:t>
      </w:r>
      <w:r>
        <w:rPr>
          <w:rFonts w:ascii="Arial" w:hAnsi="Arial" w:cs="Arial" w:eastAsia="Arial" w:hint="default"/>
          <w:spacing w:val="-2"/>
          <w:sz w:val="21"/>
          <w:szCs w:val="21"/>
        </w:rPr>
        <w:t>2014</w:t>
      </w:r>
      <w:r>
        <w:rPr>
          <w:rFonts w:ascii="Arial" w:hAnsi="Arial" w:cs="Arial" w:eastAsia="Arial" w:hint="default"/>
          <w:spacing w:val="33"/>
          <w:sz w:val="21"/>
          <w:szCs w:val="21"/>
        </w:rPr>
        <w:t> </w:t>
      </w:r>
      <w:r>
        <w:rPr>
          <w:rFonts w:ascii="宋体" w:hAnsi="宋体" w:cs="宋体" w:eastAsia="宋体" w:hint="default"/>
          <w:spacing w:val="-2"/>
          <w:sz w:val="21"/>
          <w:szCs w:val="21"/>
        </w:rPr>
        <w:t>年公司移动宽带终</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端补贴成本发生</w:t>
      </w:r>
      <w:r>
        <w:rPr>
          <w:rFonts w:ascii="宋体" w:hAnsi="宋体" w:cs="宋体" w:eastAsia="宋体" w:hint="default"/>
          <w:spacing w:val="-55"/>
          <w:sz w:val="21"/>
          <w:szCs w:val="21"/>
        </w:rPr>
        <w:t> </w:t>
      </w:r>
      <w:r>
        <w:rPr>
          <w:rFonts w:ascii="Arial" w:hAnsi="Arial" w:cs="Arial" w:eastAsia="Arial" w:hint="default"/>
          <w:sz w:val="21"/>
          <w:szCs w:val="21"/>
        </w:rPr>
        <w:t>46.4</w:t>
      </w:r>
      <w:r>
        <w:rPr>
          <w:rFonts w:ascii="Arial" w:hAnsi="Arial" w:cs="Arial" w:eastAsia="Arial" w:hint="default"/>
          <w:spacing w:val="-11"/>
          <w:sz w:val="21"/>
          <w:szCs w:val="21"/>
        </w:rPr>
        <w:t> </w:t>
      </w:r>
      <w:r>
        <w:rPr>
          <w:rFonts w:ascii="宋体" w:hAnsi="宋体" w:cs="宋体" w:eastAsia="宋体" w:hint="default"/>
          <w:spacing w:val="-4"/>
          <w:sz w:val="21"/>
          <w:szCs w:val="21"/>
        </w:rPr>
        <w:t>亿元，同比下降</w:t>
      </w:r>
      <w:r>
        <w:rPr>
          <w:rFonts w:ascii="宋体" w:hAnsi="宋体" w:cs="宋体" w:eastAsia="宋体" w:hint="default"/>
          <w:spacing w:val="-55"/>
          <w:sz w:val="21"/>
          <w:szCs w:val="21"/>
        </w:rPr>
        <w:t> </w:t>
      </w:r>
      <w:r>
        <w:rPr>
          <w:rFonts w:ascii="Arial" w:hAnsi="Arial" w:cs="Arial" w:eastAsia="Arial" w:hint="default"/>
          <w:sz w:val="21"/>
          <w:szCs w:val="21"/>
        </w:rPr>
        <w:t>40.4%</w:t>
      </w:r>
      <w:r>
        <w:rPr>
          <w:rFonts w:ascii="宋体" w:hAnsi="宋体" w:cs="宋体" w:eastAsia="宋体" w:hint="default"/>
          <w:sz w:val="21"/>
          <w:szCs w:val="21"/>
        </w:rPr>
        <w:t>，所占移动宽带主营业务收入的比重由</w:t>
      </w:r>
      <w:r>
        <w:rPr>
          <w:rFonts w:ascii="宋体" w:hAnsi="宋体" w:cs="宋体" w:eastAsia="宋体" w:hint="default"/>
          <w:w w:val="100"/>
          <w:sz w:val="21"/>
          <w:szCs w:val="21"/>
        </w:rPr>
        <w:t> </w:t>
      </w:r>
      <w:r>
        <w:rPr>
          <w:rFonts w:ascii="宋体" w:hAnsi="宋体" w:cs="宋体" w:eastAsia="宋体" w:hint="default"/>
          <w:sz w:val="21"/>
          <w:szCs w:val="21"/>
        </w:rPr>
        <w:t>上年的</w:t>
      </w:r>
      <w:r>
        <w:rPr>
          <w:rFonts w:ascii="宋体" w:hAnsi="宋体" w:cs="宋体" w:eastAsia="宋体" w:hint="default"/>
          <w:spacing w:val="-53"/>
          <w:sz w:val="21"/>
          <w:szCs w:val="21"/>
        </w:rPr>
        <w:t> </w:t>
      </w:r>
      <w:r>
        <w:rPr>
          <w:rFonts w:ascii="Arial" w:hAnsi="Arial" w:cs="Arial" w:eastAsia="Arial" w:hint="default"/>
          <w:sz w:val="21"/>
          <w:szCs w:val="21"/>
        </w:rPr>
        <w:t>8.4%</w:t>
      </w:r>
      <w:r>
        <w:rPr>
          <w:rFonts w:ascii="宋体" w:hAnsi="宋体" w:cs="宋体" w:eastAsia="宋体" w:hint="default"/>
          <w:sz w:val="21"/>
          <w:szCs w:val="21"/>
        </w:rPr>
        <w:t>下降至</w:t>
      </w:r>
      <w:r>
        <w:rPr>
          <w:rFonts w:ascii="宋体" w:hAnsi="宋体" w:cs="宋体" w:eastAsia="宋体" w:hint="default"/>
          <w:spacing w:val="-54"/>
          <w:sz w:val="21"/>
          <w:szCs w:val="21"/>
        </w:rPr>
        <w:t> </w:t>
      </w:r>
      <w:r>
        <w:rPr>
          <w:rFonts w:ascii="Arial" w:hAnsi="Arial" w:cs="Arial" w:eastAsia="Arial" w:hint="default"/>
          <w:sz w:val="21"/>
          <w:szCs w:val="21"/>
        </w:rPr>
        <w:t>4.3%</w:t>
      </w:r>
      <w:r>
        <w:rPr>
          <w:rFonts w:ascii="宋体" w:hAnsi="宋体" w:cs="宋体" w:eastAsia="宋体" w:hint="default"/>
          <w:sz w:val="21"/>
          <w:szCs w:val="21"/>
        </w:rPr>
        <w:t>。</w:t>
      </w:r>
    </w:p>
    <w:p>
      <w:pPr>
        <w:spacing w:line="240" w:lineRule="auto" w:before="4"/>
        <w:rPr>
          <w:rFonts w:ascii="宋体" w:hAnsi="宋体" w:cs="宋体" w:eastAsia="宋体" w:hint="default"/>
          <w:sz w:val="17"/>
          <w:szCs w:val="17"/>
        </w:rPr>
      </w:pPr>
    </w:p>
    <w:p>
      <w:pPr>
        <w:spacing w:before="0"/>
        <w:ind w:left="846" w:right="1922" w:firstLine="0"/>
        <w:jc w:val="left"/>
        <w:rPr>
          <w:rFonts w:ascii="宋体" w:hAnsi="宋体" w:cs="宋体" w:eastAsia="宋体" w:hint="default"/>
          <w:sz w:val="21"/>
          <w:szCs w:val="21"/>
        </w:rPr>
      </w:pPr>
      <w:r>
        <w:rPr>
          <w:rFonts w:ascii="Arial" w:hAnsi="Arial" w:cs="Arial" w:eastAsia="Arial" w:hint="default"/>
          <w:sz w:val="21"/>
          <w:szCs w:val="21"/>
        </w:rPr>
        <w:t>3.7 </w:t>
      </w:r>
      <w:r>
        <w:rPr>
          <w:rFonts w:ascii="Arial" w:hAnsi="Arial" w:cs="Arial" w:eastAsia="Arial" w:hint="default"/>
          <w:spacing w:val="16"/>
          <w:sz w:val="21"/>
          <w:szCs w:val="21"/>
        </w:rPr>
        <w:t> </w:t>
      </w:r>
      <w:r>
        <w:rPr>
          <w:rFonts w:ascii="宋体" w:hAnsi="宋体" w:cs="宋体" w:eastAsia="宋体" w:hint="default"/>
          <w:sz w:val="21"/>
          <w:szCs w:val="21"/>
        </w:rPr>
        <w:t>其他营业成本及管理费用</w:t>
      </w:r>
    </w:p>
    <w:p>
      <w:pPr>
        <w:spacing w:line="240" w:lineRule="auto" w:before="1"/>
        <w:rPr>
          <w:rFonts w:ascii="宋体" w:hAnsi="宋体" w:cs="宋体" w:eastAsia="宋体" w:hint="default"/>
          <w:sz w:val="19"/>
          <w:szCs w:val="19"/>
        </w:rPr>
      </w:pPr>
    </w:p>
    <w:p>
      <w:pPr>
        <w:spacing w:line="274" w:lineRule="exact" w:before="0"/>
        <w:ind w:left="1270" w:right="205" w:firstLine="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10"/>
          <w:sz w:val="21"/>
          <w:szCs w:val="21"/>
        </w:rPr>
        <w:t> </w:t>
      </w:r>
      <w:r>
        <w:rPr>
          <w:rFonts w:ascii="宋体" w:hAnsi="宋体" w:cs="宋体" w:eastAsia="宋体" w:hint="default"/>
          <w:sz w:val="21"/>
          <w:szCs w:val="21"/>
        </w:rPr>
        <w:t>年公司其他营业成本及管理费用发生</w:t>
      </w:r>
      <w:r>
        <w:rPr>
          <w:rFonts w:ascii="宋体" w:hAnsi="宋体" w:cs="宋体" w:eastAsia="宋体" w:hint="default"/>
          <w:spacing w:val="-55"/>
          <w:sz w:val="21"/>
          <w:szCs w:val="21"/>
        </w:rPr>
        <w:t> </w:t>
      </w:r>
      <w:r>
        <w:rPr>
          <w:rFonts w:ascii="Arial" w:hAnsi="Arial" w:cs="Arial" w:eastAsia="Arial" w:hint="default"/>
          <w:sz w:val="21"/>
          <w:szCs w:val="21"/>
        </w:rPr>
        <w:t>150.1</w:t>
      </w:r>
      <w:r>
        <w:rPr>
          <w:rFonts w:ascii="Arial" w:hAnsi="Arial" w:cs="Arial" w:eastAsia="Arial" w:hint="default"/>
          <w:spacing w:val="-8"/>
          <w:sz w:val="21"/>
          <w:szCs w:val="21"/>
        </w:rPr>
        <w:t> </w:t>
      </w:r>
      <w:r>
        <w:rPr>
          <w:rFonts w:ascii="宋体" w:hAnsi="宋体" w:cs="宋体" w:eastAsia="宋体" w:hint="default"/>
          <w:sz w:val="21"/>
          <w:szCs w:val="21"/>
        </w:rPr>
        <w:t>亿元，同比增长</w:t>
      </w:r>
      <w:r>
        <w:rPr>
          <w:rFonts w:ascii="宋体" w:hAnsi="宋体" w:cs="宋体" w:eastAsia="宋体" w:hint="default"/>
          <w:spacing w:val="-54"/>
          <w:sz w:val="21"/>
          <w:szCs w:val="21"/>
        </w:rPr>
        <w:t> </w:t>
      </w:r>
      <w:r>
        <w:rPr>
          <w:rFonts w:ascii="Arial" w:hAnsi="Arial" w:cs="Arial" w:eastAsia="Arial" w:hint="default"/>
          <w:sz w:val="21"/>
          <w:szCs w:val="21"/>
        </w:rPr>
        <w:t>4.0%</w:t>
      </w:r>
      <w:r>
        <w:rPr>
          <w:rFonts w:ascii="宋体" w:hAnsi="宋体" w:cs="宋体" w:eastAsia="宋体" w:hint="default"/>
          <w:sz w:val="21"/>
          <w:szCs w:val="21"/>
        </w:rPr>
        <w:t>，所占主营</w:t>
      </w:r>
      <w:r>
        <w:rPr>
          <w:rFonts w:ascii="宋体" w:hAnsi="宋体" w:cs="宋体" w:eastAsia="宋体" w:hint="default"/>
          <w:w w:val="100"/>
          <w:sz w:val="21"/>
          <w:szCs w:val="21"/>
        </w:rPr>
        <w:t> </w:t>
      </w:r>
      <w:r>
        <w:rPr>
          <w:rFonts w:ascii="宋体" w:hAnsi="宋体" w:cs="宋体" w:eastAsia="宋体" w:hint="default"/>
          <w:sz w:val="21"/>
          <w:szCs w:val="21"/>
        </w:rPr>
        <w:t>业务收入的比重由上年的</w:t>
      </w:r>
      <w:r>
        <w:rPr>
          <w:rFonts w:ascii="宋体" w:hAnsi="宋体" w:cs="宋体" w:eastAsia="宋体" w:hint="default"/>
          <w:spacing w:val="-56"/>
          <w:sz w:val="21"/>
          <w:szCs w:val="21"/>
        </w:rPr>
        <w:t> </w:t>
      </w:r>
      <w:r>
        <w:rPr>
          <w:rFonts w:ascii="Arial" w:hAnsi="Arial" w:cs="Arial" w:eastAsia="Arial" w:hint="default"/>
          <w:sz w:val="21"/>
          <w:szCs w:val="21"/>
        </w:rPr>
        <w:t>5.9%</w:t>
      </w:r>
      <w:r>
        <w:rPr>
          <w:rFonts w:ascii="宋体" w:hAnsi="宋体" w:cs="宋体" w:eastAsia="宋体" w:hint="default"/>
          <w:sz w:val="21"/>
          <w:szCs w:val="21"/>
        </w:rPr>
        <w:t>变化至</w:t>
      </w:r>
      <w:r>
        <w:rPr>
          <w:rFonts w:ascii="宋体" w:hAnsi="宋体" w:cs="宋体" w:eastAsia="宋体" w:hint="default"/>
          <w:spacing w:val="-54"/>
          <w:sz w:val="21"/>
          <w:szCs w:val="21"/>
        </w:rPr>
        <w:t> </w:t>
      </w:r>
      <w:r>
        <w:rPr>
          <w:rFonts w:ascii="Arial" w:hAnsi="Arial" w:cs="Arial" w:eastAsia="Arial" w:hint="default"/>
          <w:sz w:val="21"/>
          <w:szCs w:val="21"/>
        </w:rPr>
        <w:t>6.0%</w:t>
      </w:r>
      <w:r>
        <w:rPr>
          <w:rFonts w:ascii="宋体" w:hAnsi="宋体" w:cs="宋体" w:eastAsia="宋体" w:hint="default"/>
          <w:sz w:val="21"/>
          <w:szCs w:val="21"/>
        </w:rPr>
        <w:t>。</w:t>
      </w:r>
    </w:p>
    <w:p>
      <w:pPr>
        <w:spacing w:line="240" w:lineRule="auto" w:before="4"/>
        <w:rPr>
          <w:rFonts w:ascii="宋体" w:hAnsi="宋体" w:cs="宋体" w:eastAsia="宋体" w:hint="default"/>
          <w:sz w:val="16"/>
          <w:szCs w:val="16"/>
        </w:rPr>
      </w:pPr>
    </w:p>
    <w:p>
      <w:pPr>
        <w:spacing w:before="0"/>
        <w:ind w:left="846" w:right="1922" w:firstLine="0"/>
        <w:jc w:val="left"/>
        <w:rPr>
          <w:rFonts w:ascii="宋体" w:hAnsi="宋体" w:cs="宋体" w:eastAsia="宋体" w:hint="default"/>
          <w:sz w:val="21"/>
          <w:szCs w:val="21"/>
        </w:rPr>
      </w:pPr>
      <w:r>
        <w:rPr>
          <w:rFonts w:ascii="Arial" w:hAnsi="Arial" w:cs="Arial" w:eastAsia="Arial" w:hint="default"/>
          <w:sz w:val="21"/>
          <w:szCs w:val="21"/>
        </w:rPr>
        <w:t>3.8 </w:t>
      </w:r>
      <w:r>
        <w:rPr>
          <w:rFonts w:ascii="Arial" w:hAnsi="Arial" w:cs="Arial" w:eastAsia="Arial" w:hint="default"/>
          <w:spacing w:val="17"/>
          <w:sz w:val="21"/>
          <w:szCs w:val="21"/>
        </w:rPr>
        <w:t> </w:t>
      </w:r>
      <w:r>
        <w:rPr>
          <w:rFonts w:ascii="宋体" w:hAnsi="宋体" w:cs="宋体" w:eastAsia="宋体" w:hint="default"/>
          <w:sz w:val="21"/>
          <w:szCs w:val="21"/>
        </w:rPr>
        <w:t>财务费用</w:t>
      </w:r>
    </w:p>
    <w:p>
      <w:pPr>
        <w:spacing w:line="240" w:lineRule="auto" w:before="1"/>
        <w:rPr>
          <w:rFonts w:ascii="宋体" w:hAnsi="宋体" w:cs="宋体" w:eastAsia="宋体" w:hint="default"/>
          <w:sz w:val="17"/>
          <w:szCs w:val="17"/>
        </w:rPr>
      </w:pPr>
    </w:p>
    <w:p>
      <w:pPr>
        <w:spacing w:before="0"/>
        <w:ind w:left="1270" w:right="1922" w:firstLine="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年公司财务费用发生</w:t>
      </w:r>
      <w:r>
        <w:rPr>
          <w:rFonts w:ascii="宋体" w:hAnsi="宋体" w:cs="宋体" w:eastAsia="宋体" w:hint="default"/>
          <w:spacing w:val="-53"/>
          <w:sz w:val="21"/>
          <w:szCs w:val="21"/>
        </w:rPr>
        <w:t> </w:t>
      </w:r>
      <w:r>
        <w:rPr>
          <w:rFonts w:ascii="Arial" w:hAnsi="Arial" w:cs="Arial" w:eastAsia="Arial" w:hint="default"/>
          <w:sz w:val="21"/>
          <w:szCs w:val="21"/>
        </w:rPr>
        <w:t>43.3</w:t>
      </w:r>
      <w:r>
        <w:rPr>
          <w:rFonts w:ascii="Arial" w:hAnsi="Arial" w:cs="Arial" w:eastAsia="Arial" w:hint="default"/>
          <w:spacing w:val="-8"/>
          <w:sz w:val="21"/>
          <w:szCs w:val="21"/>
        </w:rPr>
        <w:t> </w:t>
      </w:r>
      <w:r>
        <w:rPr>
          <w:rFonts w:ascii="宋体" w:hAnsi="宋体" w:cs="宋体" w:eastAsia="宋体" w:hint="default"/>
          <w:sz w:val="21"/>
          <w:szCs w:val="21"/>
        </w:rPr>
        <w:t>亿元，比上年增加</w:t>
      </w:r>
      <w:r>
        <w:rPr>
          <w:rFonts w:ascii="宋体" w:hAnsi="宋体" w:cs="宋体" w:eastAsia="宋体" w:hint="default"/>
          <w:spacing w:val="-53"/>
          <w:sz w:val="21"/>
          <w:szCs w:val="21"/>
        </w:rPr>
        <w:t> </w:t>
      </w:r>
      <w:r>
        <w:rPr>
          <w:rFonts w:ascii="Arial" w:hAnsi="Arial" w:cs="Arial" w:eastAsia="Arial" w:hint="default"/>
          <w:sz w:val="21"/>
          <w:szCs w:val="21"/>
        </w:rPr>
        <w:t>13.8</w:t>
      </w:r>
      <w:r>
        <w:rPr>
          <w:rFonts w:ascii="Arial" w:hAnsi="Arial" w:cs="Arial" w:eastAsia="Arial" w:hint="default"/>
          <w:spacing w:val="-8"/>
          <w:sz w:val="21"/>
          <w:szCs w:val="21"/>
        </w:rPr>
        <w:t> </w:t>
      </w:r>
      <w:r>
        <w:rPr>
          <w:rFonts w:ascii="宋体" w:hAnsi="宋体" w:cs="宋体" w:eastAsia="宋体" w:hint="default"/>
          <w:sz w:val="21"/>
          <w:szCs w:val="21"/>
        </w:rPr>
        <w:t>亿元。</w:t>
      </w:r>
    </w:p>
    <w:p>
      <w:pPr>
        <w:spacing w:after="0"/>
        <w:jc w:val="left"/>
        <w:rPr>
          <w:rFonts w:ascii="宋体" w:hAnsi="宋体" w:cs="宋体" w:eastAsia="宋体" w:hint="default"/>
          <w:sz w:val="21"/>
          <w:szCs w:val="21"/>
        </w:rPr>
        <w:sectPr>
          <w:pgSz w:w="11910" w:h="16840"/>
          <w:pgMar w:header="880" w:footer="1194" w:top="1120" w:bottom="1380" w:left="1660" w:right="1200"/>
        </w:sectPr>
      </w:pPr>
    </w:p>
    <w:p>
      <w:pPr>
        <w:spacing w:line="240" w:lineRule="auto" w:before="11"/>
        <w:rPr>
          <w:rFonts w:ascii="宋体" w:hAnsi="宋体" w:cs="宋体" w:eastAsia="宋体" w:hint="default"/>
          <w:sz w:val="29"/>
          <w:szCs w:val="29"/>
        </w:rPr>
      </w:pPr>
    </w:p>
    <w:p>
      <w:pPr>
        <w:spacing w:line="504" w:lineRule="auto" w:before="36"/>
        <w:ind w:left="138" w:right="204" w:firstLine="0"/>
        <w:jc w:val="left"/>
        <w:rPr>
          <w:rFonts w:ascii="宋体" w:hAnsi="宋体" w:cs="宋体" w:eastAsia="宋体" w:hint="default"/>
          <w:sz w:val="21"/>
          <w:szCs w:val="21"/>
        </w:rPr>
      </w:pPr>
      <w:r>
        <w:rPr>
          <w:rFonts w:ascii="宋体" w:hAnsi="宋体" w:cs="宋体" w:eastAsia="宋体" w:hint="default"/>
          <w:b/>
          <w:bCs/>
          <w:spacing w:val="-1"/>
          <w:sz w:val="21"/>
          <w:szCs w:val="21"/>
        </w:rPr>
        <w:t>一、董事会关于公司报告期内经营情况的讨论与分析（续）</w:t>
      </w:r>
      <w:r>
        <w:rPr>
          <w:rFonts w:ascii="宋体" w:hAnsi="宋体" w:cs="宋体" w:eastAsia="宋体" w:hint="default"/>
          <w:b/>
          <w:bCs/>
          <w:spacing w:val="-78"/>
          <w:sz w:val="21"/>
          <w:szCs w:val="21"/>
        </w:rPr>
        <w:t> </w:t>
      </w:r>
      <w:r>
        <w:rPr>
          <w:rFonts w:ascii="宋体" w:hAnsi="宋体" w:cs="宋体" w:eastAsia="宋体" w:hint="default"/>
          <w:b/>
          <w:bCs/>
          <w:spacing w:val="-78"/>
          <w:sz w:val="21"/>
          <w:szCs w:val="21"/>
        </w:rPr>
      </w:r>
      <w:r>
        <w:rPr>
          <w:rFonts w:ascii="宋体" w:hAnsi="宋体" w:cs="宋体" w:eastAsia="宋体" w:hint="default"/>
          <w:b/>
          <w:bCs/>
          <w:sz w:val="21"/>
          <w:szCs w:val="21"/>
        </w:rPr>
        <w:t>第三部分：财务情况讨论与分析（续）</w:t>
      </w:r>
      <w:r>
        <w:rPr>
          <w:rFonts w:ascii="宋体" w:hAnsi="宋体" w:cs="宋体" w:eastAsia="宋体" w:hint="default"/>
          <w:sz w:val="21"/>
          <w:szCs w:val="21"/>
        </w:rPr>
      </w:r>
    </w:p>
    <w:p>
      <w:pPr>
        <w:spacing w:before="7"/>
        <w:ind w:left="485" w:right="204" w:firstLine="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盈利水平</w:t>
      </w:r>
    </w:p>
    <w:p>
      <w:pPr>
        <w:spacing w:line="240" w:lineRule="auto" w:before="1"/>
        <w:rPr>
          <w:rFonts w:ascii="宋体" w:hAnsi="宋体" w:cs="宋体" w:eastAsia="宋体" w:hint="default"/>
          <w:sz w:val="17"/>
          <w:szCs w:val="17"/>
        </w:rPr>
      </w:pPr>
    </w:p>
    <w:p>
      <w:pPr>
        <w:spacing w:before="0"/>
        <w:ind w:left="846" w:right="204" w:firstLine="0"/>
        <w:jc w:val="left"/>
        <w:rPr>
          <w:rFonts w:ascii="宋体" w:hAnsi="宋体" w:cs="宋体" w:eastAsia="宋体" w:hint="default"/>
          <w:sz w:val="21"/>
          <w:szCs w:val="21"/>
        </w:rPr>
      </w:pPr>
      <w:r>
        <w:rPr>
          <w:rFonts w:ascii="Arial" w:hAnsi="Arial" w:cs="Arial" w:eastAsia="Arial" w:hint="default"/>
          <w:sz w:val="21"/>
          <w:szCs w:val="21"/>
        </w:rPr>
        <w:t>4.1 </w:t>
      </w:r>
      <w:r>
        <w:rPr>
          <w:rFonts w:ascii="Arial" w:hAnsi="Arial" w:cs="Arial" w:eastAsia="Arial" w:hint="default"/>
          <w:spacing w:val="17"/>
          <w:sz w:val="21"/>
          <w:szCs w:val="21"/>
        </w:rPr>
        <w:t> </w:t>
      </w:r>
      <w:r>
        <w:rPr>
          <w:rFonts w:ascii="宋体" w:hAnsi="宋体" w:cs="宋体" w:eastAsia="宋体" w:hint="default"/>
          <w:sz w:val="21"/>
          <w:szCs w:val="21"/>
        </w:rPr>
        <w:t>税前利润</w:t>
      </w:r>
    </w:p>
    <w:p>
      <w:pPr>
        <w:spacing w:line="240" w:lineRule="auto" w:before="1"/>
        <w:rPr>
          <w:rFonts w:ascii="宋体" w:hAnsi="宋体" w:cs="宋体" w:eastAsia="宋体" w:hint="default"/>
          <w:sz w:val="17"/>
          <w:szCs w:val="17"/>
        </w:rPr>
      </w:pPr>
    </w:p>
    <w:p>
      <w:pPr>
        <w:spacing w:line="273" w:lineRule="exact" w:before="0"/>
        <w:ind w:left="1270" w:right="100" w:firstLine="0"/>
        <w:jc w:val="left"/>
        <w:rPr>
          <w:rFonts w:ascii="宋体" w:hAnsi="宋体" w:cs="宋体" w:eastAsia="宋体" w:hint="default"/>
          <w:sz w:val="21"/>
          <w:szCs w:val="21"/>
        </w:rPr>
      </w:pPr>
      <w:r>
        <w:rPr>
          <w:rFonts w:ascii="宋体" w:hAnsi="宋体" w:cs="宋体" w:eastAsia="宋体" w:hint="default"/>
          <w:spacing w:val="-3"/>
          <w:sz w:val="21"/>
          <w:szCs w:val="21"/>
        </w:rPr>
        <w:t>公司全力加快规模效益发展，通过增收创效促进效益水平提升，盈利状况持续改善，</w:t>
      </w:r>
    </w:p>
    <w:p>
      <w:pPr>
        <w:spacing w:line="288" w:lineRule="exact" w:before="0"/>
        <w:ind w:left="1270" w:right="204" w:firstLine="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10"/>
          <w:sz w:val="21"/>
          <w:szCs w:val="21"/>
        </w:rPr>
        <w:t> </w:t>
      </w:r>
      <w:r>
        <w:rPr>
          <w:rFonts w:ascii="宋体" w:hAnsi="宋体" w:cs="宋体" w:eastAsia="宋体" w:hint="default"/>
          <w:sz w:val="21"/>
          <w:szCs w:val="21"/>
        </w:rPr>
        <w:t>年税前利润实现</w:t>
      </w:r>
      <w:r>
        <w:rPr>
          <w:rFonts w:ascii="宋体" w:hAnsi="宋体" w:cs="宋体" w:eastAsia="宋体" w:hint="default"/>
          <w:spacing w:val="-55"/>
          <w:sz w:val="21"/>
          <w:szCs w:val="21"/>
        </w:rPr>
        <w:t> </w:t>
      </w:r>
      <w:r>
        <w:rPr>
          <w:rFonts w:ascii="Arial" w:hAnsi="Arial" w:cs="Arial" w:eastAsia="Arial" w:hint="default"/>
          <w:sz w:val="21"/>
          <w:szCs w:val="21"/>
        </w:rPr>
        <w:t>158.4</w:t>
      </w:r>
      <w:r>
        <w:rPr>
          <w:rFonts w:ascii="Arial" w:hAnsi="Arial" w:cs="Arial" w:eastAsia="Arial" w:hint="default"/>
          <w:spacing w:val="-7"/>
          <w:sz w:val="21"/>
          <w:szCs w:val="21"/>
        </w:rPr>
        <w:t> </w:t>
      </w:r>
      <w:r>
        <w:rPr>
          <w:rFonts w:ascii="宋体" w:hAnsi="宋体" w:cs="宋体" w:eastAsia="宋体" w:hint="default"/>
          <w:sz w:val="21"/>
          <w:szCs w:val="21"/>
        </w:rPr>
        <w:t>亿元，同比增长</w:t>
      </w:r>
      <w:r>
        <w:rPr>
          <w:rFonts w:ascii="宋体" w:hAnsi="宋体" w:cs="宋体" w:eastAsia="宋体" w:hint="default"/>
          <w:spacing w:val="-55"/>
          <w:sz w:val="21"/>
          <w:szCs w:val="21"/>
        </w:rPr>
        <w:t> </w:t>
      </w:r>
      <w:r>
        <w:rPr>
          <w:rFonts w:ascii="Arial" w:hAnsi="Arial" w:cs="Arial" w:eastAsia="Arial" w:hint="default"/>
          <w:sz w:val="21"/>
          <w:szCs w:val="21"/>
        </w:rPr>
        <w:t>15.8%</w:t>
      </w:r>
      <w:r>
        <w:rPr>
          <w:rFonts w:ascii="宋体" w:hAnsi="宋体" w:cs="宋体" w:eastAsia="宋体" w:hint="default"/>
          <w:sz w:val="21"/>
          <w:szCs w:val="21"/>
        </w:rPr>
        <w:t>。</w:t>
      </w:r>
    </w:p>
    <w:p>
      <w:pPr>
        <w:spacing w:line="240" w:lineRule="auto" w:before="1"/>
        <w:rPr>
          <w:rFonts w:ascii="宋体" w:hAnsi="宋体" w:cs="宋体" w:eastAsia="宋体" w:hint="default"/>
          <w:sz w:val="17"/>
          <w:szCs w:val="17"/>
        </w:rPr>
      </w:pPr>
    </w:p>
    <w:p>
      <w:pPr>
        <w:spacing w:before="0"/>
        <w:ind w:left="846" w:right="204" w:firstLine="0"/>
        <w:jc w:val="left"/>
        <w:rPr>
          <w:rFonts w:ascii="宋体" w:hAnsi="宋体" w:cs="宋体" w:eastAsia="宋体" w:hint="default"/>
          <w:sz w:val="21"/>
          <w:szCs w:val="21"/>
        </w:rPr>
      </w:pPr>
      <w:r>
        <w:rPr>
          <w:rFonts w:ascii="Arial" w:hAnsi="Arial" w:cs="Arial" w:eastAsia="Arial" w:hint="default"/>
          <w:sz w:val="21"/>
          <w:szCs w:val="21"/>
        </w:rPr>
        <w:t>4.2 </w:t>
      </w:r>
      <w:r>
        <w:rPr>
          <w:rFonts w:ascii="Arial" w:hAnsi="Arial" w:cs="Arial" w:eastAsia="Arial" w:hint="default"/>
          <w:spacing w:val="19"/>
          <w:sz w:val="21"/>
          <w:szCs w:val="21"/>
        </w:rPr>
        <w:t> </w:t>
      </w:r>
      <w:r>
        <w:rPr>
          <w:rFonts w:ascii="宋体" w:hAnsi="宋体" w:cs="宋体" w:eastAsia="宋体" w:hint="default"/>
          <w:sz w:val="21"/>
          <w:szCs w:val="21"/>
        </w:rPr>
        <w:t>所得税</w:t>
      </w:r>
    </w:p>
    <w:p>
      <w:pPr>
        <w:spacing w:line="240" w:lineRule="auto" w:before="1"/>
        <w:rPr>
          <w:rFonts w:ascii="宋体" w:hAnsi="宋体" w:cs="宋体" w:eastAsia="宋体" w:hint="default"/>
          <w:sz w:val="17"/>
          <w:szCs w:val="17"/>
        </w:rPr>
      </w:pPr>
    </w:p>
    <w:p>
      <w:pPr>
        <w:spacing w:before="0"/>
        <w:ind w:left="1270" w:right="204" w:firstLine="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9"/>
          <w:sz w:val="21"/>
          <w:szCs w:val="21"/>
        </w:rPr>
        <w:t> </w:t>
      </w:r>
      <w:r>
        <w:rPr>
          <w:rFonts w:ascii="宋体" w:hAnsi="宋体" w:cs="宋体" w:eastAsia="宋体" w:hint="default"/>
          <w:sz w:val="21"/>
          <w:szCs w:val="21"/>
        </w:rPr>
        <w:t>年公司的所得税为</w:t>
      </w:r>
      <w:r>
        <w:rPr>
          <w:rFonts w:ascii="宋体" w:hAnsi="宋体" w:cs="宋体" w:eastAsia="宋体" w:hint="default"/>
          <w:spacing w:val="-54"/>
          <w:sz w:val="21"/>
          <w:szCs w:val="21"/>
        </w:rPr>
        <w:t> </w:t>
      </w:r>
      <w:r>
        <w:rPr>
          <w:rFonts w:ascii="Arial" w:hAnsi="Arial" w:cs="Arial" w:eastAsia="Arial" w:hint="default"/>
          <w:sz w:val="21"/>
          <w:szCs w:val="21"/>
        </w:rPr>
        <w:t>38.7</w:t>
      </w:r>
      <w:r>
        <w:rPr>
          <w:rFonts w:ascii="Arial" w:hAnsi="Arial" w:cs="Arial" w:eastAsia="Arial" w:hint="default"/>
          <w:spacing w:val="-6"/>
          <w:sz w:val="21"/>
          <w:szCs w:val="21"/>
        </w:rPr>
        <w:t> </w:t>
      </w:r>
      <w:r>
        <w:rPr>
          <w:rFonts w:ascii="宋体" w:hAnsi="宋体" w:cs="宋体" w:eastAsia="宋体" w:hint="default"/>
          <w:sz w:val="21"/>
          <w:szCs w:val="21"/>
        </w:rPr>
        <w:t>亿元，全年实际税率为</w:t>
      </w:r>
      <w:r>
        <w:rPr>
          <w:rFonts w:ascii="宋体" w:hAnsi="宋体" w:cs="宋体" w:eastAsia="宋体" w:hint="default"/>
          <w:spacing w:val="-53"/>
          <w:sz w:val="21"/>
          <w:szCs w:val="21"/>
        </w:rPr>
        <w:t> </w:t>
      </w:r>
      <w:r>
        <w:rPr>
          <w:rFonts w:ascii="Arial" w:hAnsi="Arial" w:cs="Arial" w:eastAsia="Arial" w:hint="default"/>
          <w:sz w:val="21"/>
          <w:szCs w:val="21"/>
        </w:rPr>
        <w:t>24.4%</w:t>
      </w:r>
      <w:r>
        <w:rPr>
          <w:rFonts w:ascii="宋体" w:hAnsi="宋体" w:cs="宋体" w:eastAsia="宋体" w:hint="default"/>
          <w:sz w:val="21"/>
          <w:szCs w:val="21"/>
        </w:rPr>
        <w:t>。</w:t>
      </w:r>
    </w:p>
    <w:p>
      <w:pPr>
        <w:spacing w:line="240" w:lineRule="auto" w:before="4"/>
        <w:rPr>
          <w:rFonts w:ascii="宋体" w:hAnsi="宋体" w:cs="宋体" w:eastAsia="宋体" w:hint="default"/>
          <w:sz w:val="17"/>
          <w:szCs w:val="17"/>
        </w:rPr>
      </w:pPr>
    </w:p>
    <w:p>
      <w:pPr>
        <w:spacing w:before="0"/>
        <w:ind w:left="846" w:right="204" w:firstLine="0"/>
        <w:jc w:val="left"/>
        <w:rPr>
          <w:rFonts w:ascii="宋体" w:hAnsi="宋体" w:cs="宋体" w:eastAsia="宋体" w:hint="default"/>
          <w:sz w:val="21"/>
          <w:szCs w:val="21"/>
        </w:rPr>
      </w:pPr>
      <w:r>
        <w:rPr>
          <w:rFonts w:ascii="Arial" w:hAnsi="Arial" w:cs="Arial" w:eastAsia="Arial" w:hint="default"/>
          <w:sz w:val="21"/>
          <w:szCs w:val="21"/>
        </w:rPr>
        <w:t>4.3 </w:t>
      </w:r>
      <w:r>
        <w:rPr>
          <w:rFonts w:ascii="Arial" w:hAnsi="Arial" w:cs="Arial" w:eastAsia="Arial" w:hint="default"/>
          <w:spacing w:val="17"/>
          <w:sz w:val="21"/>
          <w:szCs w:val="21"/>
        </w:rPr>
        <w:t> </w:t>
      </w:r>
      <w:r>
        <w:rPr>
          <w:rFonts w:ascii="宋体" w:hAnsi="宋体" w:cs="宋体" w:eastAsia="宋体" w:hint="default"/>
          <w:sz w:val="21"/>
          <w:szCs w:val="21"/>
        </w:rPr>
        <w:t>年度盈利</w:t>
      </w:r>
    </w:p>
    <w:p>
      <w:pPr>
        <w:spacing w:line="240" w:lineRule="auto" w:before="3"/>
        <w:rPr>
          <w:rFonts w:ascii="宋体" w:hAnsi="宋体" w:cs="宋体" w:eastAsia="宋体" w:hint="default"/>
          <w:sz w:val="19"/>
          <w:szCs w:val="19"/>
        </w:rPr>
      </w:pPr>
    </w:p>
    <w:p>
      <w:pPr>
        <w:spacing w:line="272" w:lineRule="exact" w:before="0"/>
        <w:ind w:left="1270" w:right="299" w:firstLine="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9"/>
          <w:sz w:val="21"/>
          <w:szCs w:val="21"/>
        </w:rPr>
        <w:t> </w:t>
      </w:r>
      <w:r>
        <w:rPr>
          <w:rFonts w:ascii="宋体" w:hAnsi="宋体" w:cs="宋体" w:eastAsia="宋体" w:hint="default"/>
          <w:sz w:val="21"/>
          <w:szCs w:val="21"/>
        </w:rPr>
        <w:t>年公司净利润实现</w:t>
      </w:r>
      <w:r>
        <w:rPr>
          <w:rFonts w:ascii="宋体" w:hAnsi="宋体" w:cs="宋体" w:eastAsia="宋体" w:hint="default"/>
          <w:spacing w:val="-54"/>
          <w:sz w:val="21"/>
          <w:szCs w:val="21"/>
        </w:rPr>
        <w:t> </w:t>
      </w:r>
      <w:r>
        <w:rPr>
          <w:rFonts w:ascii="Arial" w:hAnsi="Arial" w:cs="Arial" w:eastAsia="Arial" w:hint="default"/>
          <w:sz w:val="21"/>
          <w:szCs w:val="21"/>
        </w:rPr>
        <w:t>119.7</w:t>
      </w:r>
      <w:r>
        <w:rPr>
          <w:rFonts w:ascii="Arial" w:hAnsi="Arial" w:cs="Arial" w:eastAsia="Arial" w:hint="default"/>
          <w:spacing w:val="-6"/>
          <w:sz w:val="21"/>
          <w:szCs w:val="21"/>
        </w:rPr>
        <w:t> </w:t>
      </w:r>
      <w:r>
        <w:rPr>
          <w:rFonts w:ascii="宋体" w:hAnsi="宋体" w:cs="宋体" w:eastAsia="宋体" w:hint="default"/>
          <w:sz w:val="21"/>
          <w:szCs w:val="21"/>
        </w:rPr>
        <w:t>亿元，其中归属于母公司的净利润</w:t>
      </w:r>
      <w:r>
        <w:rPr>
          <w:rFonts w:ascii="宋体" w:hAnsi="宋体" w:cs="宋体" w:eastAsia="宋体" w:hint="default"/>
          <w:spacing w:val="-54"/>
          <w:sz w:val="21"/>
          <w:szCs w:val="21"/>
        </w:rPr>
        <w:t> </w:t>
      </w:r>
      <w:r>
        <w:rPr>
          <w:rFonts w:ascii="Arial" w:hAnsi="Arial" w:cs="Arial" w:eastAsia="Arial" w:hint="default"/>
          <w:sz w:val="21"/>
          <w:szCs w:val="21"/>
        </w:rPr>
        <w:t>39.8</w:t>
      </w:r>
      <w:r>
        <w:rPr>
          <w:rFonts w:ascii="Arial" w:hAnsi="Arial" w:cs="Arial" w:eastAsia="Arial" w:hint="default"/>
          <w:spacing w:val="-7"/>
          <w:sz w:val="21"/>
          <w:szCs w:val="21"/>
        </w:rPr>
        <w:t> </w:t>
      </w:r>
      <w:r>
        <w:rPr>
          <w:rFonts w:ascii="宋体" w:hAnsi="宋体" w:cs="宋体" w:eastAsia="宋体" w:hint="default"/>
          <w:sz w:val="21"/>
          <w:szCs w:val="21"/>
        </w:rPr>
        <w:t>亿元，同比</w:t>
      </w:r>
      <w:r>
        <w:rPr>
          <w:rFonts w:ascii="宋体" w:hAnsi="宋体" w:cs="宋体" w:eastAsia="宋体" w:hint="default"/>
          <w:w w:val="100"/>
          <w:sz w:val="21"/>
          <w:szCs w:val="21"/>
        </w:rPr>
        <w:t> </w:t>
      </w:r>
      <w:r>
        <w:rPr>
          <w:rFonts w:ascii="宋体" w:hAnsi="宋体" w:cs="宋体" w:eastAsia="宋体" w:hint="default"/>
          <w:sz w:val="21"/>
          <w:szCs w:val="21"/>
        </w:rPr>
        <w:t>增长</w:t>
      </w:r>
      <w:r>
        <w:rPr>
          <w:rFonts w:ascii="宋体" w:hAnsi="宋体" w:cs="宋体" w:eastAsia="宋体" w:hint="default"/>
          <w:spacing w:val="-52"/>
          <w:sz w:val="21"/>
          <w:szCs w:val="21"/>
        </w:rPr>
        <w:t> </w:t>
      </w:r>
      <w:r>
        <w:rPr>
          <w:rFonts w:ascii="Arial" w:hAnsi="Arial" w:cs="Arial" w:eastAsia="Arial" w:hint="default"/>
          <w:sz w:val="21"/>
          <w:szCs w:val="21"/>
        </w:rPr>
        <w:t>15.7%</w:t>
      </w:r>
      <w:r>
        <w:rPr>
          <w:rFonts w:ascii="宋体" w:hAnsi="宋体" w:cs="宋体" w:eastAsia="宋体" w:hint="default"/>
          <w:sz w:val="21"/>
          <w:szCs w:val="21"/>
        </w:rPr>
        <w:t>，基本每股收益为</w:t>
      </w:r>
      <w:r>
        <w:rPr>
          <w:rFonts w:ascii="宋体" w:hAnsi="宋体" w:cs="宋体" w:eastAsia="宋体" w:hint="default"/>
          <w:spacing w:val="-53"/>
          <w:sz w:val="21"/>
          <w:szCs w:val="21"/>
        </w:rPr>
        <w:t> </w:t>
      </w:r>
      <w:r>
        <w:rPr>
          <w:rFonts w:ascii="Arial" w:hAnsi="Arial" w:cs="Arial" w:eastAsia="Arial" w:hint="default"/>
          <w:sz w:val="21"/>
          <w:szCs w:val="21"/>
        </w:rPr>
        <w:t>0.188</w:t>
      </w:r>
      <w:r>
        <w:rPr>
          <w:rFonts w:ascii="Arial" w:hAnsi="Arial" w:cs="Arial" w:eastAsia="Arial" w:hint="default"/>
          <w:spacing w:val="-8"/>
          <w:sz w:val="21"/>
          <w:szCs w:val="21"/>
        </w:rPr>
        <w:t> </w:t>
      </w:r>
      <w:r>
        <w:rPr>
          <w:rFonts w:ascii="宋体" w:hAnsi="宋体" w:cs="宋体" w:eastAsia="宋体" w:hint="default"/>
          <w:sz w:val="21"/>
          <w:szCs w:val="21"/>
        </w:rPr>
        <w:t>元，同比增长</w:t>
      </w:r>
      <w:r>
        <w:rPr>
          <w:rFonts w:ascii="宋体" w:hAnsi="宋体" w:cs="宋体" w:eastAsia="宋体" w:hint="default"/>
          <w:spacing w:val="-55"/>
          <w:sz w:val="21"/>
          <w:szCs w:val="21"/>
        </w:rPr>
        <w:t> </w:t>
      </w:r>
      <w:r>
        <w:rPr>
          <w:rFonts w:ascii="Arial" w:hAnsi="Arial" w:cs="Arial" w:eastAsia="Arial" w:hint="default"/>
          <w:sz w:val="21"/>
          <w:szCs w:val="21"/>
        </w:rPr>
        <w:t>15.7%</w:t>
      </w:r>
      <w:r>
        <w:rPr>
          <w:rFonts w:ascii="宋体" w:hAnsi="宋体" w:cs="宋体" w:eastAsia="宋体" w:hint="default"/>
          <w:sz w:val="21"/>
          <w:szCs w:val="21"/>
        </w:rPr>
        <w:t>。</w:t>
      </w:r>
    </w:p>
    <w:p>
      <w:pPr>
        <w:spacing w:line="240" w:lineRule="auto" w:before="5"/>
        <w:rPr>
          <w:rFonts w:ascii="宋体" w:hAnsi="宋体" w:cs="宋体" w:eastAsia="宋体" w:hint="default"/>
          <w:sz w:val="16"/>
          <w:szCs w:val="16"/>
        </w:rPr>
      </w:pPr>
    </w:p>
    <w:p>
      <w:pPr>
        <w:spacing w:before="0"/>
        <w:ind w:left="0" w:right="6020" w:firstLine="0"/>
        <w:jc w:val="center"/>
        <w:rPr>
          <w:rFonts w:ascii="宋体" w:hAnsi="宋体" w:cs="宋体" w:eastAsia="宋体" w:hint="default"/>
          <w:sz w:val="21"/>
          <w:szCs w:val="21"/>
        </w:rPr>
      </w:pPr>
      <w:r>
        <w:rPr>
          <w:rFonts w:ascii="Arial" w:hAnsi="Arial" w:cs="Arial" w:eastAsia="Arial" w:hint="default"/>
          <w:sz w:val="21"/>
          <w:szCs w:val="21"/>
        </w:rPr>
        <w:t>5</w:t>
      </w:r>
      <w:r>
        <w:rPr>
          <w:rFonts w:ascii="宋体" w:hAnsi="宋体" w:cs="宋体" w:eastAsia="宋体" w:hint="default"/>
          <w:sz w:val="21"/>
          <w:szCs w:val="21"/>
        </w:rPr>
        <w:t>、</w:t>
      </w:r>
      <w:r>
        <w:rPr>
          <w:rFonts w:ascii="宋体" w:hAnsi="宋体" w:cs="宋体" w:eastAsia="宋体" w:hint="default"/>
          <w:spacing w:val="-74"/>
          <w:sz w:val="21"/>
          <w:szCs w:val="21"/>
        </w:rPr>
        <w:t> </w:t>
      </w:r>
      <w:r>
        <w:rPr>
          <w:rFonts w:ascii="Arial" w:hAnsi="Arial" w:cs="Arial" w:eastAsia="Arial" w:hint="default"/>
          <w:sz w:val="21"/>
          <w:szCs w:val="21"/>
        </w:rPr>
        <w:t>EBITDA</w:t>
      </w:r>
      <w:r>
        <w:rPr>
          <w:rFonts w:ascii="宋体" w:hAnsi="宋体" w:cs="宋体" w:eastAsia="宋体" w:hint="default"/>
          <w:sz w:val="21"/>
          <w:szCs w:val="21"/>
        </w:rPr>
        <w:t>（附注</w:t>
      </w:r>
      <w:r>
        <w:rPr>
          <w:rFonts w:ascii="宋体" w:hAnsi="宋体" w:cs="宋体" w:eastAsia="宋体" w:hint="default"/>
          <w:spacing w:val="-51"/>
          <w:sz w:val="21"/>
          <w:szCs w:val="21"/>
        </w:rPr>
        <w:t> </w:t>
      </w:r>
      <w:r>
        <w:rPr>
          <w:rFonts w:ascii="Arial" w:hAnsi="Arial" w:cs="Arial" w:eastAsia="Arial" w:hint="default"/>
          <w:sz w:val="21"/>
          <w:szCs w:val="21"/>
        </w:rPr>
        <w:t>5</w:t>
      </w:r>
      <w:r>
        <w:rPr>
          <w:rFonts w:ascii="宋体" w:hAnsi="宋体" w:cs="宋体" w:eastAsia="宋体" w:hint="default"/>
          <w:sz w:val="21"/>
          <w:szCs w:val="21"/>
        </w:rPr>
        <w:t>）</w:t>
      </w:r>
    </w:p>
    <w:p>
      <w:pPr>
        <w:spacing w:line="240" w:lineRule="auto" w:before="1"/>
        <w:rPr>
          <w:rFonts w:ascii="宋体" w:hAnsi="宋体" w:cs="宋体" w:eastAsia="宋体" w:hint="default"/>
          <w:sz w:val="19"/>
          <w:szCs w:val="19"/>
        </w:rPr>
      </w:pPr>
    </w:p>
    <w:p>
      <w:pPr>
        <w:spacing w:line="274" w:lineRule="exact" w:before="0"/>
        <w:ind w:left="846" w:right="204" w:firstLine="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年公司</w:t>
      </w:r>
      <w:r>
        <w:rPr>
          <w:rFonts w:ascii="宋体" w:hAnsi="宋体" w:cs="宋体" w:eastAsia="宋体" w:hint="default"/>
          <w:spacing w:val="-52"/>
          <w:sz w:val="21"/>
          <w:szCs w:val="21"/>
        </w:rPr>
        <w:t> </w:t>
      </w:r>
      <w:r>
        <w:rPr>
          <w:rFonts w:ascii="Arial" w:hAnsi="Arial" w:cs="Arial" w:eastAsia="Arial" w:hint="default"/>
          <w:sz w:val="21"/>
          <w:szCs w:val="21"/>
        </w:rPr>
        <w:t>EBITDA</w:t>
      </w:r>
      <w:r>
        <w:rPr>
          <w:rFonts w:ascii="Arial" w:hAnsi="Arial" w:cs="Arial" w:eastAsia="Arial" w:hint="default"/>
          <w:spacing w:val="-4"/>
          <w:sz w:val="21"/>
          <w:szCs w:val="21"/>
        </w:rPr>
        <w:t> </w:t>
      </w:r>
      <w:r>
        <w:rPr>
          <w:rFonts w:ascii="宋体" w:hAnsi="宋体" w:cs="宋体" w:eastAsia="宋体" w:hint="default"/>
          <w:sz w:val="21"/>
          <w:szCs w:val="21"/>
        </w:rPr>
        <w:t>为</w:t>
      </w:r>
      <w:r>
        <w:rPr>
          <w:rFonts w:ascii="宋体" w:hAnsi="宋体" w:cs="宋体" w:eastAsia="宋体" w:hint="default"/>
          <w:spacing w:val="-50"/>
          <w:sz w:val="21"/>
          <w:szCs w:val="21"/>
        </w:rPr>
        <w:t> </w:t>
      </w:r>
      <w:r>
        <w:rPr>
          <w:rFonts w:ascii="Arial" w:hAnsi="Arial" w:cs="Arial" w:eastAsia="Arial" w:hint="default"/>
          <w:sz w:val="21"/>
          <w:szCs w:val="21"/>
        </w:rPr>
        <w:t>930.5</w:t>
      </w:r>
      <w:r>
        <w:rPr>
          <w:rFonts w:ascii="Arial" w:hAnsi="Arial" w:cs="Arial" w:eastAsia="Arial" w:hint="default"/>
          <w:spacing w:val="-3"/>
          <w:sz w:val="21"/>
          <w:szCs w:val="21"/>
        </w:rPr>
        <w:t> </w:t>
      </w:r>
      <w:r>
        <w:rPr>
          <w:rFonts w:ascii="宋体" w:hAnsi="宋体" w:cs="宋体" w:eastAsia="宋体" w:hint="default"/>
          <w:spacing w:val="-4"/>
          <w:sz w:val="21"/>
          <w:szCs w:val="21"/>
        </w:rPr>
        <w:t>亿元，同比增长</w:t>
      </w:r>
      <w:r>
        <w:rPr>
          <w:rFonts w:ascii="宋体" w:hAnsi="宋体" w:cs="宋体" w:eastAsia="宋体" w:hint="default"/>
          <w:spacing w:val="-49"/>
          <w:sz w:val="21"/>
          <w:szCs w:val="21"/>
        </w:rPr>
        <w:t> </w:t>
      </w:r>
      <w:r>
        <w:rPr>
          <w:rFonts w:ascii="Arial" w:hAnsi="Arial" w:cs="Arial" w:eastAsia="Arial" w:hint="default"/>
          <w:spacing w:val="-3"/>
          <w:sz w:val="21"/>
          <w:szCs w:val="21"/>
        </w:rPr>
        <w:t>10.5%</w:t>
      </w:r>
      <w:r>
        <w:rPr>
          <w:rFonts w:ascii="宋体" w:hAnsi="宋体" w:cs="宋体" w:eastAsia="宋体" w:hint="default"/>
          <w:spacing w:val="-3"/>
          <w:sz w:val="21"/>
          <w:szCs w:val="21"/>
        </w:rPr>
        <w:t>，</w:t>
      </w:r>
      <w:r>
        <w:rPr>
          <w:rFonts w:ascii="Arial" w:hAnsi="Arial" w:cs="Arial" w:eastAsia="Arial" w:hint="default"/>
          <w:spacing w:val="-3"/>
          <w:sz w:val="21"/>
          <w:szCs w:val="21"/>
        </w:rPr>
        <w:t>EBITDA</w:t>
      </w:r>
      <w:r>
        <w:rPr>
          <w:rFonts w:ascii="Arial" w:hAnsi="Arial" w:cs="Arial" w:eastAsia="Arial" w:hint="default"/>
          <w:spacing w:val="-1"/>
          <w:sz w:val="21"/>
          <w:szCs w:val="21"/>
        </w:rPr>
        <w:t> </w:t>
      </w:r>
      <w:r>
        <w:rPr>
          <w:rFonts w:ascii="宋体" w:hAnsi="宋体" w:cs="宋体" w:eastAsia="宋体" w:hint="default"/>
          <w:sz w:val="21"/>
          <w:szCs w:val="21"/>
        </w:rPr>
        <w:t>占主营业务收入的百分</w:t>
      </w:r>
      <w:r>
        <w:rPr>
          <w:rFonts w:ascii="宋体" w:hAnsi="宋体" w:cs="宋体" w:eastAsia="宋体" w:hint="default"/>
          <w:w w:val="100"/>
          <w:sz w:val="21"/>
          <w:szCs w:val="21"/>
        </w:rPr>
        <w:t> </w:t>
      </w:r>
      <w:r>
        <w:rPr>
          <w:rFonts w:ascii="宋体" w:hAnsi="宋体" w:cs="宋体" w:eastAsia="宋体" w:hint="default"/>
          <w:sz w:val="21"/>
          <w:szCs w:val="21"/>
        </w:rPr>
        <w:t>比为</w:t>
      </w:r>
      <w:r>
        <w:rPr>
          <w:rFonts w:ascii="宋体" w:hAnsi="宋体" w:cs="宋体" w:eastAsia="宋体" w:hint="default"/>
          <w:spacing w:val="-53"/>
          <w:sz w:val="21"/>
          <w:szCs w:val="21"/>
        </w:rPr>
        <w:t> </w:t>
      </w:r>
      <w:r>
        <w:rPr>
          <w:rFonts w:ascii="Arial" w:hAnsi="Arial" w:cs="Arial" w:eastAsia="Arial" w:hint="default"/>
          <w:sz w:val="21"/>
          <w:szCs w:val="21"/>
        </w:rPr>
        <w:t>37.5%</w:t>
      </w:r>
      <w:r>
        <w:rPr>
          <w:rFonts w:ascii="宋体" w:hAnsi="宋体" w:cs="宋体" w:eastAsia="宋体" w:hint="default"/>
          <w:sz w:val="21"/>
          <w:szCs w:val="21"/>
        </w:rPr>
        <w:t>，比上年提高</w:t>
      </w:r>
      <w:r>
        <w:rPr>
          <w:rFonts w:ascii="宋体" w:hAnsi="宋体" w:cs="宋体" w:eastAsia="宋体" w:hint="default"/>
          <w:spacing w:val="-55"/>
          <w:sz w:val="21"/>
          <w:szCs w:val="21"/>
        </w:rPr>
        <w:t> </w:t>
      </w:r>
      <w:r>
        <w:rPr>
          <w:rFonts w:ascii="Arial" w:hAnsi="Arial" w:cs="Arial" w:eastAsia="Arial" w:hint="default"/>
          <w:sz w:val="21"/>
          <w:szCs w:val="21"/>
        </w:rPr>
        <w:t>3.3</w:t>
      </w:r>
      <w:r>
        <w:rPr>
          <w:rFonts w:ascii="Arial" w:hAnsi="Arial" w:cs="Arial" w:eastAsia="Arial" w:hint="default"/>
          <w:spacing w:val="-6"/>
          <w:sz w:val="21"/>
          <w:szCs w:val="21"/>
        </w:rPr>
        <w:t> </w:t>
      </w:r>
      <w:r>
        <w:rPr>
          <w:rFonts w:ascii="宋体" w:hAnsi="宋体" w:cs="宋体" w:eastAsia="宋体" w:hint="default"/>
          <w:sz w:val="21"/>
          <w:szCs w:val="21"/>
        </w:rPr>
        <w:t>个百分点。</w:t>
      </w:r>
    </w:p>
    <w:p>
      <w:pPr>
        <w:spacing w:line="240" w:lineRule="auto" w:before="4"/>
        <w:rPr>
          <w:rFonts w:ascii="宋体" w:hAnsi="宋体" w:cs="宋体" w:eastAsia="宋体" w:hint="default"/>
          <w:sz w:val="16"/>
          <w:szCs w:val="16"/>
        </w:rPr>
      </w:pPr>
    </w:p>
    <w:p>
      <w:pPr>
        <w:spacing w:before="0"/>
        <w:ind w:left="0" w:right="6109" w:firstLine="0"/>
        <w:jc w:val="center"/>
        <w:rPr>
          <w:rFonts w:ascii="宋体" w:hAnsi="宋体" w:cs="宋体" w:eastAsia="宋体" w:hint="default"/>
          <w:sz w:val="21"/>
          <w:szCs w:val="21"/>
        </w:rPr>
      </w:pPr>
      <w:r>
        <w:rPr>
          <w:rFonts w:ascii="Arial" w:hAnsi="Arial" w:cs="Arial" w:eastAsia="Arial" w:hint="default"/>
          <w:sz w:val="21"/>
          <w:szCs w:val="21"/>
        </w:rPr>
        <w:t>6</w:t>
      </w:r>
      <w:r>
        <w:rPr>
          <w:rFonts w:ascii="宋体" w:hAnsi="宋体" w:cs="宋体" w:eastAsia="宋体" w:hint="default"/>
          <w:sz w:val="21"/>
          <w:szCs w:val="21"/>
        </w:rPr>
        <w:t>、</w:t>
      </w:r>
      <w:r>
        <w:rPr>
          <w:rFonts w:ascii="宋体" w:hAnsi="宋体" w:cs="宋体" w:eastAsia="宋体" w:hint="default"/>
          <w:spacing w:val="-72"/>
          <w:sz w:val="21"/>
          <w:szCs w:val="21"/>
        </w:rPr>
        <w:t> </w:t>
      </w:r>
      <w:r>
        <w:rPr>
          <w:rFonts w:ascii="宋体" w:hAnsi="宋体" w:cs="宋体" w:eastAsia="宋体" w:hint="default"/>
          <w:sz w:val="21"/>
          <w:szCs w:val="21"/>
        </w:rPr>
        <w:t>资本开支及现金流</w:t>
      </w:r>
    </w:p>
    <w:p>
      <w:pPr>
        <w:spacing w:line="240" w:lineRule="auto" w:before="2"/>
        <w:rPr>
          <w:rFonts w:ascii="宋体" w:hAnsi="宋体" w:cs="宋体" w:eastAsia="宋体" w:hint="default"/>
          <w:sz w:val="17"/>
          <w:szCs w:val="17"/>
        </w:rPr>
      </w:pPr>
    </w:p>
    <w:p>
      <w:pPr>
        <w:spacing w:line="280" w:lineRule="exact" w:before="0"/>
        <w:ind w:left="846" w:right="100" w:firstLine="0"/>
        <w:jc w:val="left"/>
        <w:rPr>
          <w:rFonts w:ascii="宋体" w:hAnsi="宋体" w:cs="宋体" w:eastAsia="宋体" w:hint="default"/>
          <w:sz w:val="21"/>
          <w:szCs w:val="21"/>
        </w:rPr>
      </w:pPr>
      <w:r>
        <w:rPr>
          <w:rFonts w:ascii="Arial" w:hAnsi="Arial" w:cs="Arial" w:eastAsia="Arial" w:hint="default"/>
          <w:sz w:val="21"/>
          <w:szCs w:val="21"/>
        </w:rPr>
        <w:t>2014 </w:t>
      </w:r>
      <w:r>
        <w:rPr>
          <w:rFonts w:ascii="宋体" w:hAnsi="宋体" w:cs="宋体" w:eastAsia="宋体" w:hint="default"/>
          <w:sz w:val="21"/>
          <w:szCs w:val="21"/>
        </w:rPr>
        <w:t>年公司各项资本开支合计 </w:t>
      </w:r>
      <w:r>
        <w:rPr>
          <w:rFonts w:ascii="Arial" w:hAnsi="Arial" w:cs="Arial" w:eastAsia="Arial" w:hint="default"/>
          <w:sz w:val="21"/>
          <w:szCs w:val="21"/>
        </w:rPr>
        <w:t>848.8</w:t>
      </w:r>
      <w:r>
        <w:rPr>
          <w:rFonts w:ascii="Arial" w:hAnsi="Arial" w:cs="Arial" w:eastAsia="Arial" w:hint="default"/>
          <w:spacing w:val="-28"/>
          <w:sz w:val="21"/>
          <w:szCs w:val="21"/>
        </w:rPr>
        <w:t> </w:t>
      </w:r>
      <w:r>
        <w:rPr>
          <w:rFonts w:ascii="宋体" w:hAnsi="宋体" w:cs="宋体" w:eastAsia="宋体" w:hint="default"/>
          <w:spacing w:val="-3"/>
          <w:sz w:val="21"/>
          <w:szCs w:val="21"/>
        </w:rPr>
        <w:t>亿元，主要用于移动网络、宽带及数据、基础设施</w:t>
      </w:r>
    </w:p>
    <w:p>
      <w:pPr>
        <w:spacing w:line="272" w:lineRule="exact" w:before="0"/>
        <w:ind w:left="846" w:right="204" w:firstLine="0"/>
        <w:jc w:val="left"/>
        <w:rPr>
          <w:rFonts w:ascii="宋体" w:hAnsi="宋体" w:cs="宋体" w:eastAsia="宋体" w:hint="default"/>
          <w:sz w:val="21"/>
          <w:szCs w:val="21"/>
        </w:rPr>
      </w:pPr>
      <w:r>
        <w:rPr>
          <w:rFonts w:ascii="宋体" w:hAnsi="宋体" w:cs="宋体" w:eastAsia="宋体" w:hint="default"/>
          <w:sz w:val="21"/>
          <w:szCs w:val="21"/>
        </w:rPr>
        <w:t>及传送网建设等方面。其中，移动网络资本开支为</w:t>
      </w:r>
      <w:r>
        <w:rPr>
          <w:rFonts w:ascii="宋体" w:hAnsi="宋体" w:cs="宋体" w:eastAsia="宋体" w:hint="default"/>
          <w:spacing w:val="-55"/>
          <w:sz w:val="21"/>
          <w:szCs w:val="21"/>
        </w:rPr>
        <w:t> </w:t>
      </w:r>
      <w:r>
        <w:rPr>
          <w:rFonts w:ascii="Arial" w:hAnsi="Arial" w:cs="Arial" w:eastAsia="Arial" w:hint="default"/>
          <w:sz w:val="21"/>
          <w:szCs w:val="21"/>
        </w:rPr>
        <w:t>369.5</w:t>
      </w:r>
      <w:r>
        <w:rPr>
          <w:rFonts w:ascii="Arial" w:hAnsi="Arial" w:cs="Arial" w:eastAsia="Arial" w:hint="default"/>
          <w:spacing w:val="-8"/>
          <w:sz w:val="21"/>
          <w:szCs w:val="21"/>
        </w:rPr>
        <w:t> </w:t>
      </w:r>
      <w:r>
        <w:rPr>
          <w:rFonts w:ascii="宋体" w:hAnsi="宋体" w:cs="宋体" w:eastAsia="宋体" w:hint="default"/>
          <w:sz w:val="21"/>
          <w:szCs w:val="21"/>
        </w:rPr>
        <w:t>亿元，宽带及数据业务资本开</w:t>
      </w:r>
    </w:p>
    <w:p>
      <w:pPr>
        <w:spacing w:line="282" w:lineRule="exact" w:before="0"/>
        <w:ind w:left="846" w:right="204" w:firstLine="0"/>
        <w:jc w:val="left"/>
        <w:rPr>
          <w:rFonts w:ascii="宋体" w:hAnsi="宋体" w:cs="宋体" w:eastAsia="宋体" w:hint="default"/>
          <w:sz w:val="21"/>
          <w:szCs w:val="21"/>
        </w:rPr>
      </w:pPr>
      <w:r>
        <w:rPr>
          <w:rFonts w:ascii="宋体" w:hAnsi="宋体" w:cs="宋体" w:eastAsia="宋体" w:hint="default"/>
          <w:sz w:val="21"/>
          <w:szCs w:val="21"/>
        </w:rPr>
        <w:t>支为</w:t>
      </w:r>
      <w:r>
        <w:rPr>
          <w:rFonts w:ascii="宋体" w:hAnsi="宋体" w:cs="宋体" w:eastAsia="宋体" w:hint="default"/>
          <w:spacing w:val="-54"/>
          <w:sz w:val="21"/>
          <w:szCs w:val="21"/>
        </w:rPr>
        <w:t> </w:t>
      </w:r>
      <w:r>
        <w:rPr>
          <w:rFonts w:ascii="Arial" w:hAnsi="Arial" w:cs="Arial" w:eastAsia="Arial" w:hint="default"/>
          <w:sz w:val="21"/>
          <w:szCs w:val="21"/>
        </w:rPr>
        <w:t>190.0</w:t>
      </w:r>
      <w:r>
        <w:rPr>
          <w:rFonts w:ascii="Arial" w:hAnsi="Arial" w:cs="Arial" w:eastAsia="Arial" w:hint="default"/>
          <w:spacing w:val="-8"/>
          <w:sz w:val="21"/>
          <w:szCs w:val="21"/>
        </w:rPr>
        <w:t> </w:t>
      </w:r>
      <w:r>
        <w:rPr>
          <w:rFonts w:ascii="宋体" w:hAnsi="宋体" w:cs="宋体" w:eastAsia="宋体" w:hint="default"/>
          <w:sz w:val="21"/>
          <w:szCs w:val="21"/>
        </w:rPr>
        <w:t>亿元，基础设施及传送网资本开支为</w:t>
      </w:r>
      <w:r>
        <w:rPr>
          <w:rFonts w:ascii="宋体" w:hAnsi="宋体" w:cs="宋体" w:eastAsia="宋体" w:hint="default"/>
          <w:spacing w:val="-54"/>
          <w:sz w:val="21"/>
          <w:szCs w:val="21"/>
        </w:rPr>
        <w:t> </w:t>
      </w:r>
      <w:r>
        <w:rPr>
          <w:rFonts w:ascii="Arial" w:hAnsi="Arial" w:cs="Arial" w:eastAsia="Arial" w:hint="default"/>
          <w:sz w:val="21"/>
          <w:szCs w:val="21"/>
        </w:rPr>
        <w:t>229.2</w:t>
      </w:r>
      <w:r>
        <w:rPr>
          <w:rFonts w:ascii="Arial" w:hAnsi="Arial" w:cs="Arial" w:eastAsia="Arial" w:hint="default"/>
          <w:spacing w:val="-7"/>
          <w:sz w:val="21"/>
          <w:szCs w:val="21"/>
        </w:rPr>
        <w:t> </w:t>
      </w:r>
      <w:r>
        <w:rPr>
          <w:rFonts w:ascii="宋体" w:hAnsi="宋体" w:cs="宋体" w:eastAsia="宋体" w:hint="default"/>
          <w:sz w:val="21"/>
          <w:szCs w:val="21"/>
        </w:rPr>
        <w:t>亿元。</w:t>
      </w:r>
    </w:p>
    <w:p>
      <w:pPr>
        <w:spacing w:line="240" w:lineRule="auto" w:before="1"/>
        <w:rPr>
          <w:rFonts w:ascii="宋体" w:hAnsi="宋体" w:cs="宋体" w:eastAsia="宋体" w:hint="default"/>
          <w:sz w:val="17"/>
          <w:szCs w:val="17"/>
        </w:rPr>
      </w:pPr>
    </w:p>
    <w:p>
      <w:pPr>
        <w:spacing w:line="280" w:lineRule="exact" w:before="0"/>
        <w:ind w:left="846" w:right="204" w:firstLine="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10"/>
          <w:sz w:val="21"/>
          <w:szCs w:val="21"/>
        </w:rPr>
        <w:t> </w:t>
      </w:r>
      <w:r>
        <w:rPr>
          <w:rFonts w:ascii="宋体" w:hAnsi="宋体" w:cs="宋体" w:eastAsia="宋体" w:hint="default"/>
          <w:sz w:val="21"/>
          <w:szCs w:val="21"/>
        </w:rPr>
        <w:t>年公司经营活动现金流量净额为</w:t>
      </w:r>
      <w:r>
        <w:rPr>
          <w:rFonts w:ascii="宋体" w:hAnsi="宋体" w:cs="宋体" w:eastAsia="宋体" w:hint="default"/>
          <w:spacing w:val="-54"/>
          <w:sz w:val="21"/>
          <w:szCs w:val="21"/>
        </w:rPr>
        <w:t> </w:t>
      </w:r>
      <w:r>
        <w:rPr>
          <w:rFonts w:ascii="Arial" w:hAnsi="Arial" w:cs="Arial" w:eastAsia="Arial" w:hint="default"/>
          <w:sz w:val="21"/>
          <w:szCs w:val="21"/>
        </w:rPr>
        <w:t>924.3</w:t>
      </w:r>
      <w:r>
        <w:rPr>
          <w:rFonts w:ascii="Arial" w:hAnsi="Arial" w:cs="Arial" w:eastAsia="Arial" w:hint="default"/>
          <w:spacing w:val="-8"/>
          <w:sz w:val="21"/>
          <w:szCs w:val="21"/>
        </w:rPr>
        <w:t> </w:t>
      </w:r>
      <w:r>
        <w:rPr>
          <w:rFonts w:ascii="宋体" w:hAnsi="宋体" w:cs="宋体" w:eastAsia="宋体" w:hint="default"/>
          <w:sz w:val="21"/>
          <w:szCs w:val="21"/>
        </w:rPr>
        <w:t>亿元，扣除本年资本开支后自由现金流为</w:t>
      </w:r>
    </w:p>
    <w:p>
      <w:pPr>
        <w:spacing w:line="280" w:lineRule="exact" w:before="0"/>
        <w:ind w:left="846" w:right="204" w:firstLine="0"/>
        <w:jc w:val="left"/>
        <w:rPr>
          <w:rFonts w:ascii="宋体" w:hAnsi="宋体" w:cs="宋体" w:eastAsia="宋体" w:hint="default"/>
          <w:sz w:val="21"/>
          <w:szCs w:val="21"/>
        </w:rPr>
      </w:pPr>
      <w:r>
        <w:rPr>
          <w:rFonts w:ascii="Arial" w:hAnsi="Arial" w:cs="Arial" w:eastAsia="Arial" w:hint="default"/>
          <w:sz w:val="21"/>
          <w:szCs w:val="21"/>
        </w:rPr>
        <w:t>75.5</w:t>
      </w:r>
      <w:r>
        <w:rPr>
          <w:rFonts w:ascii="Arial" w:hAnsi="Arial" w:cs="Arial" w:eastAsia="Arial" w:hint="default"/>
          <w:spacing w:val="-5"/>
          <w:sz w:val="21"/>
          <w:szCs w:val="21"/>
        </w:rPr>
        <w:t> </w:t>
      </w:r>
      <w:r>
        <w:rPr>
          <w:rFonts w:ascii="宋体" w:hAnsi="宋体" w:cs="宋体" w:eastAsia="宋体" w:hint="default"/>
          <w:sz w:val="21"/>
          <w:szCs w:val="21"/>
        </w:rPr>
        <w:t>亿元。</w:t>
      </w:r>
    </w:p>
    <w:p>
      <w:pPr>
        <w:spacing w:line="240" w:lineRule="auto" w:before="4"/>
        <w:rPr>
          <w:rFonts w:ascii="宋体" w:hAnsi="宋体" w:cs="宋体" w:eastAsia="宋体" w:hint="default"/>
          <w:sz w:val="17"/>
          <w:szCs w:val="17"/>
        </w:rPr>
      </w:pPr>
    </w:p>
    <w:p>
      <w:pPr>
        <w:spacing w:before="0"/>
        <w:ind w:left="846" w:right="204" w:firstLine="0"/>
        <w:jc w:val="left"/>
        <w:rPr>
          <w:rFonts w:ascii="宋体" w:hAnsi="宋体" w:cs="宋体" w:eastAsia="宋体" w:hint="default"/>
          <w:sz w:val="21"/>
          <w:szCs w:val="21"/>
        </w:rPr>
      </w:pPr>
      <w:r>
        <w:rPr>
          <w:rFonts w:ascii="宋体" w:hAnsi="宋体" w:cs="宋体" w:eastAsia="宋体" w:hint="default"/>
          <w:sz w:val="21"/>
          <w:szCs w:val="21"/>
        </w:rPr>
        <w:t>下表列出了公司</w:t>
      </w:r>
      <w:r>
        <w:rPr>
          <w:rFonts w:ascii="宋体" w:hAnsi="宋体" w:cs="宋体" w:eastAsia="宋体" w:hint="default"/>
          <w:spacing w:val="-53"/>
          <w:sz w:val="21"/>
          <w:szCs w:val="21"/>
        </w:rPr>
        <w:t> </w:t>
      </w:r>
      <w:r>
        <w:rPr>
          <w:rFonts w:ascii="Arial" w:hAnsi="Arial" w:cs="Arial" w:eastAsia="Arial" w:hint="default"/>
          <w:sz w:val="21"/>
          <w:szCs w:val="21"/>
        </w:rPr>
        <w:t>2014</w:t>
      </w:r>
      <w:r>
        <w:rPr>
          <w:rFonts w:ascii="Arial" w:hAnsi="Arial" w:cs="Arial" w:eastAsia="Arial" w:hint="default"/>
          <w:spacing w:val="-9"/>
          <w:sz w:val="21"/>
          <w:szCs w:val="21"/>
        </w:rPr>
        <w:t> </w:t>
      </w:r>
      <w:r>
        <w:rPr>
          <w:rFonts w:ascii="宋体" w:hAnsi="宋体" w:cs="宋体" w:eastAsia="宋体" w:hint="default"/>
          <w:sz w:val="21"/>
          <w:szCs w:val="21"/>
        </w:rPr>
        <w:t>年主要资本开支项目情况。</w:t>
      </w:r>
    </w:p>
    <w:p>
      <w:pPr>
        <w:spacing w:line="240" w:lineRule="auto" w:before="9"/>
        <w:rPr>
          <w:rFonts w:ascii="宋体" w:hAnsi="宋体" w:cs="宋体" w:eastAsia="宋体" w:hint="default"/>
          <w:sz w:val="19"/>
          <w:szCs w:val="19"/>
        </w:rPr>
      </w:pPr>
    </w:p>
    <w:tbl>
      <w:tblPr>
        <w:tblW w:w="0" w:type="auto"/>
        <w:jc w:val="left"/>
        <w:tblInd w:w="831" w:type="dxa"/>
        <w:tblLayout w:type="fixed"/>
        <w:tblCellMar>
          <w:top w:w="0" w:type="dxa"/>
          <w:left w:w="0" w:type="dxa"/>
          <w:bottom w:w="0" w:type="dxa"/>
          <w:right w:w="0" w:type="dxa"/>
        </w:tblCellMar>
        <w:tblLook w:val="01E0"/>
      </w:tblPr>
      <w:tblGrid>
        <w:gridCol w:w="3843"/>
        <w:gridCol w:w="2221"/>
        <w:gridCol w:w="1892"/>
      </w:tblGrid>
      <w:tr>
        <w:trPr>
          <w:trHeight w:val="341" w:hRule="exact"/>
        </w:trPr>
        <w:tc>
          <w:tcPr>
            <w:tcW w:w="3843" w:type="dxa"/>
            <w:vMerge w:val="restart"/>
            <w:tcBorders>
              <w:top w:val="single" w:sz="17" w:space="0" w:color="000000"/>
              <w:left w:val="nil" w:sz="6" w:space="0" w:color="auto"/>
              <w:right w:val="single" w:sz="4" w:space="0" w:color="000000"/>
            </w:tcBorders>
          </w:tcPr>
          <w:p>
            <w:pPr>
              <w:pStyle w:val="TableParagraph"/>
              <w:spacing w:line="240" w:lineRule="auto" w:before="131"/>
              <w:ind w:left="122" w:right="0"/>
              <w:jc w:val="left"/>
              <w:rPr>
                <w:rFonts w:ascii="宋体" w:hAnsi="宋体" w:cs="宋体" w:eastAsia="宋体" w:hint="default"/>
                <w:sz w:val="21"/>
                <w:szCs w:val="21"/>
              </w:rPr>
            </w:pPr>
            <w:r>
              <w:rPr>
                <w:rFonts w:ascii="宋体" w:hAnsi="宋体" w:cs="宋体" w:eastAsia="宋体" w:hint="default"/>
                <w:sz w:val="21"/>
                <w:szCs w:val="21"/>
              </w:rPr>
              <w:t>（单位：人民币亿元）</w:t>
            </w:r>
          </w:p>
        </w:tc>
        <w:tc>
          <w:tcPr>
            <w:tcW w:w="4112" w:type="dxa"/>
            <w:gridSpan w:val="2"/>
            <w:tcBorders>
              <w:top w:val="single" w:sz="17" w:space="0" w:color="000000"/>
              <w:left w:val="single" w:sz="4" w:space="0" w:color="000000"/>
              <w:bottom w:val="single" w:sz="4" w:space="0" w:color="000000"/>
              <w:right w:val="nil" w:sz="6" w:space="0" w:color="auto"/>
            </w:tcBorders>
          </w:tcPr>
          <w:p>
            <w:pPr>
              <w:pStyle w:val="TableParagraph"/>
              <w:spacing w:line="277" w:lineRule="exact"/>
              <w:ind w:right="2"/>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tc>
      </w:tr>
      <w:tr>
        <w:trPr>
          <w:trHeight w:val="288" w:hRule="exact"/>
        </w:trPr>
        <w:tc>
          <w:tcPr>
            <w:tcW w:w="3843" w:type="dxa"/>
            <w:vMerge/>
            <w:tcBorders>
              <w:left w:val="nil" w:sz="6" w:space="0" w:color="auto"/>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83" w:right="0"/>
              <w:jc w:val="left"/>
              <w:rPr>
                <w:rFonts w:ascii="宋体" w:hAnsi="宋体" w:cs="宋体" w:eastAsia="宋体" w:hint="default"/>
                <w:sz w:val="21"/>
                <w:szCs w:val="21"/>
              </w:rPr>
            </w:pPr>
            <w:r>
              <w:rPr>
                <w:rFonts w:ascii="宋体" w:hAnsi="宋体" w:cs="宋体" w:eastAsia="宋体" w:hint="default"/>
                <w:sz w:val="21"/>
                <w:szCs w:val="21"/>
              </w:rPr>
              <w:t>累计支出</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3"/>
              <w:jc w:val="center"/>
              <w:rPr>
                <w:rFonts w:ascii="宋体" w:hAnsi="宋体" w:cs="宋体" w:eastAsia="宋体" w:hint="default"/>
                <w:sz w:val="21"/>
                <w:szCs w:val="21"/>
              </w:rPr>
            </w:pPr>
            <w:r>
              <w:rPr>
                <w:rFonts w:ascii="宋体" w:hAnsi="宋体" w:cs="宋体" w:eastAsia="宋体" w:hint="default"/>
                <w:sz w:val="21"/>
                <w:szCs w:val="21"/>
              </w:rPr>
              <w:t>占比</w:t>
            </w:r>
          </w:p>
        </w:tc>
      </w:tr>
      <w:tr>
        <w:trPr>
          <w:trHeight w:val="307" w:hRule="exact"/>
        </w:trPr>
        <w:tc>
          <w:tcPr>
            <w:tcW w:w="3843" w:type="dxa"/>
            <w:tcBorders>
              <w:top w:val="single" w:sz="4" w:space="0" w:color="000000"/>
              <w:left w:val="nil" w:sz="6" w:space="0" w:color="auto"/>
              <w:bottom w:val="nil" w:sz="6" w:space="0" w:color="auto"/>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21" w:type="dxa"/>
            <w:tcBorders>
              <w:top w:val="single" w:sz="4" w:space="0" w:color="000000"/>
              <w:left w:val="single" w:sz="4" w:space="0" w:color="000000"/>
              <w:bottom w:val="nil" w:sz="6" w:space="0" w:color="auto"/>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sz w:val="21"/>
              </w:rPr>
              <w:t>848.8</w:t>
            </w:r>
          </w:p>
        </w:tc>
        <w:tc>
          <w:tcPr>
            <w:tcW w:w="1892" w:type="dxa"/>
            <w:tcBorders>
              <w:top w:val="single" w:sz="4" w:space="0" w:color="000000"/>
              <w:left w:val="single" w:sz="4" w:space="0" w:color="000000"/>
              <w:bottom w:val="nil" w:sz="6" w:space="0" w:color="auto"/>
              <w:right w:val="nil" w:sz="6" w:space="0" w:color="auto"/>
            </w:tcBorders>
          </w:tcPr>
          <w:p>
            <w:pPr>
              <w:pStyle w:val="TableParagraph"/>
              <w:spacing w:line="237" w:lineRule="exact"/>
              <w:ind w:right="103"/>
              <w:jc w:val="right"/>
              <w:rPr>
                <w:rFonts w:ascii="Arial" w:hAnsi="Arial" w:cs="Arial" w:eastAsia="Arial" w:hint="default"/>
                <w:sz w:val="21"/>
                <w:szCs w:val="21"/>
              </w:rPr>
            </w:pPr>
            <w:r>
              <w:rPr>
                <w:rFonts w:ascii="Arial"/>
                <w:sz w:val="21"/>
              </w:rPr>
              <w:t>100.0%</w:t>
            </w:r>
          </w:p>
        </w:tc>
      </w:tr>
      <w:tr>
        <w:trPr>
          <w:trHeight w:val="284"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57"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其中：移动网络</w:t>
            </w:r>
          </w:p>
        </w:tc>
        <w:tc>
          <w:tcPr>
            <w:tcW w:w="222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98"/>
              <w:jc w:val="right"/>
              <w:rPr>
                <w:rFonts w:ascii="Arial" w:hAnsi="Arial" w:cs="Arial" w:eastAsia="Arial" w:hint="default"/>
                <w:sz w:val="21"/>
                <w:szCs w:val="21"/>
              </w:rPr>
            </w:pPr>
            <w:r>
              <w:rPr>
                <w:rFonts w:ascii="Arial"/>
                <w:sz w:val="21"/>
              </w:rPr>
              <w:t>369.5</w:t>
            </w:r>
          </w:p>
        </w:tc>
        <w:tc>
          <w:tcPr>
            <w:tcW w:w="1892" w:type="dxa"/>
            <w:tcBorders>
              <w:top w:val="nil" w:sz="6" w:space="0" w:color="auto"/>
              <w:left w:val="single" w:sz="4" w:space="0" w:color="000000"/>
              <w:bottom w:val="nil" w:sz="6" w:space="0" w:color="auto"/>
              <w:right w:val="nil" w:sz="6" w:space="0" w:color="auto"/>
            </w:tcBorders>
          </w:tcPr>
          <w:p>
            <w:pPr>
              <w:pStyle w:val="TableParagraph"/>
              <w:spacing w:line="241" w:lineRule="exact"/>
              <w:ind w:right="103"/>
              <w:jc w:val="right"/>
              <w:rPr>
                <w:rFonts w:ascii="Arial" w:hAnsi="Arial" w:cs="Arial" w:eastAsia="Arial" w:hint="default"/>
                <w:sz w:val="21"/>
                <w:szCs w:val="21"/>
              </w:rPr>
            </w:pPr>
            <w:r>
              <w:rPr>
                <w:rFonts w:ascii="Arial"/>
                <w:spacing w:val="-1"/>
                <w:sz w:val="21"/>
              </w:rPr>
              <w:t>43.5%</w:t>
            </w:r>
          </w:p>
        </w:tc>
      </w:tr>
      <w:tr>
        <w:trPr>
          <w:trHeight w:val="273"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46" w:lineRule="exact"/>
              <w:ind w:left="746" w:right="0"/>
              <w:jc w:val="left"/>
              <w:rPr>
                <w:rFonts w:ascii="宋体" w:hAnsi="宋体" w:cs="宋体" w:eastAsia="宋体" w:hint="default"/>
                <w:sz w:val="21"/>
                <w:szCs w:val="21"/>
              </w:rPr>
            </w:pPr>
            <w:r>
              <w:rPr>
                <w:rFonts w:ascii="宋体" w:hAnsi="宋体" w:cs="宋体" w:eastAsia="宋体" w:hint="default"/>
                <w:sz w:val="21"/>
                <w:szCs w:val="21"/>
              </w:rPr>
              <w:t>宽带及数据</w:t>
            </w:r>
          </w:p>
        </w:tc>
        <w:tc>
          <w:tcPr>
            <w:tcW w:w="22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98"/>
              <w:jc w:val="right"/>
              <w:rPr>
                <w:rFonts w:ascii="Arial" w:hAnsi="Arial" w:cs="Arial" w:eastAsia="Arial" w:hint="default"/>
                <w:sz w:val="21"/>
                <w:szCs w:val="21"/>
              </w:rPr>
            </w:pPr>
            <w:r>
              <w:rPr>
                <w:rFonts w:ascii="Arial"/>
                <w:sz w:val="21"/>
              </w:rPr>
              <w:t>190.0</w:t>
            </w:r>
          </w:p>
        </w:tc>
        <w:tc>
          <w:tcPr>
            <w:tcW w:w="1892" w:type="dxa"/>
            <w:tcBorders>
              <w:top w:val="nil" w:sz="6" w:space="0" w:color="auto"/>
              <w:left w:val="single" w:sz="4" w:space="0" w:color="000000"/>
              <w:bottom w:val="nil" w:sz="6" w:space="0" w:color="auto"/>
              <w:right w:val="nil" w:sz="6" w:space="0" w:color="auto"/>
            </w:tcBorders>
          </w:tcPr>
          <w:p>
            <w:pPr>
              <w:pStyle w:val="TableParagraph"/>
              <w:spacing w:line="240" w:lineRule="auto"/>
              <w:ind w:right="103"/>
              <w:jc w:val="right"/>
              <w:rPr>
                <w:rFonts w:ascii="Arial" w:hAnsi="Arial" w:cs="Arial" w:eastAsia="Arial" w:hint="default"/>
                <w:sz w:val="21"/>
                <w:szCs w:val="21"/>
              </w:rPr>
            </w:pPr>
            <w:r>
              <w:rPr>
                <w:rFonts w:ascii="Arial"/>
                <w:spacing w:val="-1"/>
                <w:sz w:val="21"/>
              </w:rPr>
              <w:t>22.4%</w:t>
            </w:r>
          </w:p>
        </w:tc>
      </w:tr>
      <w:tr>
        <w:trPr>
          <w:trHeight w:val="284"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59" w:lineRule="exact"/>
              <w:ind w:left="746" w:right="0"/>
              <w:jc w:val="left"/>
              <w:rPr>
                <w:rFonts w:ascii="宋体" w:hAnsi="宋体" w:cs="宋体" w:eastAsia="宋体" w:hint="default"/>
                <w:sz w:val="21"/>
                <w:szCs w:val="21"/>
              </w:rPr>
            </w:pPr>
            <w:r>
              <w:rPr>
                <w:rFonts w:ascii="宋体" w:hAnsi="宋体" w:cs="宋体" w:eastAsia="宋体" w:hint="default"/>
                <w:sz w:val="21"/>
                <w:szCs w:val="21"/>
              </w:rPr>
              <w:t>基础设施及传送网</w:t>
            </w:r>
          </w:p>
        </w:tc>
        <w:tc>
          <w:tcPr>
            <w:tcW w:w="2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98"/>
              <w:jc w:val="right"/>
              <w:rPr>
                <w:rFonts w:ascii="Arial" w:hAnsi="Arial" w:cs="Arial" w:eastAsia="Arial" w:hint="default"/>
                <w:sz w:val="21"/>
                <w:szCs w:val="21"/>
              </w:rPr>
            </w:pPr>
            <w:r>
              <w:rPr>
                <w:rFonts w:ascii="Arial"/>
                <w:sz w:val="21"/>
              </w:rPr>
              <w:t>229.2</w:t>
            </w:r>
          </w:p>
        </w:tc>
        <w:tc>
          <w:tcPr>
            <w:tcW w:w="1892"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103"/>
              <w:jc w:val="right"/>
              <w:rPr>
                <w:rFonts w:ascii="Arial" w:hAnsi="Arial" w:cs="Arial" w:eastAsia="Arial" w:hint="default"/>
                <w:sz w:val="21"/>
                <w:szCs w:val="21"/>
              </w:rPr>
            </w:pPr>
            <w:r>
              <w:rPr>
                <w:rFonts w:ascii="Arial"/>
                <w:spacing w:val="-1"/>
                <w:sz w:val="21"/>
              </w:rPr>
              <w:t>27.0%</w:t>
            </w:r>
          </w:p>
        </w:tc>
      </w:tr>
      <w:tr>
        <w:trPr>
          <w:trHeight w:val="300" w:hRule="exact"/>
        </w:trPr>
        <w:tc>
          <w:tcPr>
            <w:tcW w:w="3843" w:type="dxa"/>
            <w:tcBorders>
              <w:top w:val="nil" w:sz="6" w:space="0" w:color="auto"/>
              <w:left w:val="nil" w:sz="6" w:space="0" w:color="auto"/>
              <w:bottom w:val="single" w:sz="17" w:space="0" w:color="000000"/>
              <w:right w:val="single" w:sz="4" w:space="0" w:color="000000"/>
            </w:tcBorders>
          </w:tcPr>
          <w:p>
            <w:pPr>
              <w:pStyle w:val="TableParagraph"/>
              <w:spacing w:line="245" w:lineRule="exact"/>
              <w:ind w:left="7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21" w:type="dxa"/>
            <w:tcBorders>
              <w:top w:val="nil" w:sz="6" w:space="0" w:color="auto"/>
              <w:left w:val="single" w:sz="4" w:space="0" w:color="000000"/>
              <w:bottom w:val="single" w:sz="17" w:space="0" w:color="000000"/>
              <w:right w:val="single" w:sz="4" w:space="0" w:color="000000"/>
            </w:tcBorders>
          </w:tcPr>
          <w:p>
            <w:pPr>
              <w:pStyle w:val="TableParagraph"/>
              <w:spacing w:line="241" w:lineRule="exact"/>
              <w:ind w:right="99"/>
              <w:jc w:val="right"/>
              <w:rPr>
                <w:rFonts w:ascii="Arial" w:hAnsi="Arial" w:cs="Arial" w:eastAsia="Arial" w:hint="default"/>
                <w:sz w:val="21"/>
                <w:szCs w:val="21"/>
              </w:rPr>
            </w:pPr>
            <w:r>
              <w:rPr>
                <w:rFonts w:ascii="Arial"/>
                <w:spacing w:val="-1"/>
                <w:sz w:val="21"/>
              </w:rPr>
              <w:t>60.1</w:t>
            </w:r>
          </w:p>
        </w:tc>
        <w:tc>
          <w:tcPr>
            <w:tcW w:w="1892" w:type="dxa"/>
            <w:tcBorders>
              <w:top w:val="nil" w:sz="6" w:space="0" w:color="auto"/>
              <w:left w:val="single" w:sz="4" w:space="0" w:color="000000"/>
              <w:bottom w:val="single" w:sz="17" w:space="0" w:color="000000"/>
              <w:right w:val="nil" w:sz="6" w:space="0" w:color="auto"/>
            </w:tcBorders>
          </w:tcPr>
          <w:p>
            <w:pPr>
              <w:pStyle w:val="TableParagraph"/>
              <w:spacing w:line="241" w:lineRule="exact"/>
              <w:ind w:right="103"/>
              <w:jc w:val="right"/>
              <w:rPr>
                <w:rFonts w:ascii="Arial" w:hAnsi="Arial" w:cs="Arial" w:eastAsia="Arial" w:hint="default"/>
                <w:sz w:val="21"/>
                <w:szCs w:val="21"/>
              </w:rPr>
            </w:pPr>
            <w:r>
              <w:rPr>
                <w:rFonts w:ascii="Arial"/>
                <w:spacing w:val="-1"/>
                <w:sz w:val="21"/>
              </w:rPr>
              <w:t>7.1%</w:t>
            </w:r>
          </w:p>
        </w:tc>
      </w:tr>
    </w:tbl>
    <w:p>
      <w:pPr>
        <w:spacing w:after="0" w:line="241" w:lineRule="exact"/>
        <w:jc w:val="right"/>
        <w:rPr>
          <w:rFonts w:ascii="Arial" w:hAnsi="Arial" w:cs="Arial" w:eastAsia="Arial" w:hint="default"/>
          <w:sz w:val="21"/>
          <w:szCs w:val="21"/>
        </w:rPr>
        <w:sectPr>
          <w:pgSz w:w="11910" w:h="16840"/>
          <w:pgMar w:header="880" w:footer="1194" w:top="1120" w:bottom="1380" w:left="1660" w:right="1120"/>
        </w:sectPr>
      </w:pPr>
    </w:p>
    <w:p>
      <w:pPr>
        <w:spacing w:line="240" w:lineRule="auto" w:before="11"/>
        <w:rPr>
          <w:rFonts w:ascii="宋体" w:hAnsi="宋体" w:cs="宋体" w:eastAsia="宋体" w:hint="default"/>
          <w:sz w:val="29"/>
          <w:szCs w:val="29"/>
        </w:rPr>
      </w:pPr>
    </w:p>
    <w:p>
      <w:pPr>
        <w:spacing w:line="504" w:lineRule="auto" w:before="36"/>
        <w:ind w:left="138" w:right="204" w:firstLine="0"/>
        <w:jc w:val="left"/>
        <w:rPr>
          <w:rFonts w:ascii="宋体" w:hAnsi="宋体" w:cs="宋体" w:eastAsia="宋体" w:hint="default"/>
          <w:sz w:val="21"/>
          <w:szCs w:val="21"/>
        </w:rPr>
      </w:pPr>
      <w:r>
        <w:rPr>
          <w:rFonts w:ascii="宋体" w:hAnsi="宋体" w:cs="宋体" w:eastAsia="宋体" w:hint="default"/>
          <w:b/>
          <w:bCs/>
          <w:spacing w:val="-1"/>
          <w:sz w:val="21"/>
          <w:szCs w:val="21"/>
        </w:rPr>
        <w:t>一、董事会关于公司报告期内经营情况的讨论与分析（续）</w:t>
      </w:r>
      <w:r>
        <w:rPr>
          <w:rFonts w:ascii="宋体" w:hAnsi="宋体" w:cs="宋体" w:eastAsia="宋体" w:hint="default"/>
          <w:b/>
          <w:bCs/>
          <w:spacing w:val="-78"/>
          <w:sz w:val="21"/>
          <w:szCs w:val="21"/>
        </w:rPr>
        <w:t> </w:t>
      </w:r>
      <w:r>
        <w:rPr>
          <w:rFonts w:ascii="宋体" w:hAnsi="宋体" w:cs="宋体" w:eastAsia="宋体" w:hint="default"/>
          <w:b/>
          <w:bCs/>
          <w:spacing w:val="-78"/>
          <w:sz w:val="21"/>
          <w:szCs w:val="21"/>
        </w:rPr>
      </w:r>
      <w:r>
        <w:rPr>
          <w:rFonts w:ascii="宋体" w:hAnsi="宋体" w:cs="宋体" w:eastAsia="宋体" w:hint="default"/>
          <w:b/>
          <w:bCs/>
          <w:sz w:val="21"/>
          <w:szCs w:val="21"/>
        </w:rPr>
        <w:t>第三部分：财务情况讨论与分析（续）</w:t>
      </w:r>
      <w:r>
        <w:rPr>
          <w:rFonts w:ascii="宋体" w:hAnsi="宋体" w:cs="宋体" w:eastAsia="宋体" w:hint="default"/>
          <w:sz w:val="21"/>
          <w:szCs w:val="21"/>
        </w:rPr>
      </w:r>
    </w:p>
    <w:p>
      <w:pPr>
        <w:spacing w:before="7"/>
        <w:ind w:left="485" w:right="204" w:firstLine="0"/>
        <w:jc w:val="left"/>
        <w:rPr>
          <w:rFonts w:ascii="宋体" w:hAnsi="宋体" w:cs="宋体" w:eastAsia="宋体" w:hint="default"/>
          <w:sz w:val="21"/>
          <w:szCs w:val="21"/>
        </w:rPr>
      </w:pPr>
      <w:r>
        <w:rPr>
          <w:rFonts w:ascii="Arial" w:hAnsi="Arial" w:cs="Arial" w:eastAsia="Arial" w:hint="default"/>
          <w:sz w:val="21"/>
          <w:szCs w:val="21"/>
        </w:rPr>
        <w:t>7</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资产负债情况</w:t>
      </w:r>
    </w:p>
    <w:p>
      <w:pPr>
        <w:spacing w:line="240" w:lineRule="auto" w:before="1"/>
        <w:rPr>
          <w:rFonts w:ascii="宋体" w:hAnsi="宋体" w:cs="宋体" w:eastAsia="宋体" w:hint="default"/>
          <w:sz w:val="17"/>
          <w:szCs w:val="17"/>
        </w:rPr>
      </w:pPr>
    </w:p>
    <w:p>
      <w:pPr>
        <w:spacing w:line="280" w:lineRule="exact" w:before="0"/>
        <w:ind w:left="846" w:right="100"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5"/>
          <w:sz w:val="21"/>
          <w:szCs w:val="21"/>
        </w:rPr>
        <w:t> </w:t>
      </w: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年底，公司资产总额由上年底的</w:t>
      </w:r>
      <w:r>
        <w:rPr>
          <w:rFonts w:ascii="宋体" w:hAnsi="宋体" w:cs="宋体" w:eastAsia="宋体" w:hint="default"/>
          <w:spacing w:val="-55"/>
          <w:sz w:val="21"/>
          <w:szCs w:val="21"/>
        </w:rPr>
        <w:t> </w:t>
      </w:r>
      <w:r>
        <w:rPr>
          <w:rFonts w:ascii="Arial" w:hAnsi="Arial" w:cs="Arial" w:eastAsia="Arial" w:hint="default"/>
          <w:sz w:val="21"/>
          <w:szCs w:val="21"/>
        </w:rPr>
        <w:t>5,313.6</w:t>
      </w:r>
      <w:r>
        <w:rPr>
          <w:rFonts w:ascii="Arial" w:hAnsi="Arial" w:cs="Arial" w:eastAsia="Arial" w:hint="default"/>
          <w:spacing w:val="-8"/>
          <w:sz w:val="21"/>
          <w:szCs w:val="21"/>
        </w:rPr>
        <w:t> </w:t>
      </w:r>
      <w:r>
        <w:rPr>
          <w:rFonts w:ascii="宋体" w:hAnsi="宋体" w:cs="宋体" w:eastAsia="宋体" w:hint="default"/>
          <w:sz w:val="21"/>
          <w:szCs w:val="21"/>
        </w:rPr>
        <w:t>亿元上升至</w:t>
      </w:r>
      <w:r>
        <w:rPr>
          <w:rFonts w:ascii="宋体" w:hAnsi="宋体" w:cs="宋体" w:eastAsia="宋体" w:hint="default"/>
          <w:spacing w:val="-54"/>
          <w:sz w:val="21"/>
          <w:szCs w:val="21"/>
        </w:rPr>
        <w:t> </w:t>
      </w:r>
      <w:r>
        <w:rPr>
          <w:rFonts w:ascii="Arial" w:hAnsi="Arial" w:cs="Arial" w:eastAsia="Arial" w:hint="default"/>
          <w:sz w:val="21"/>
          <w:szCs w:val="21"/>
        </w:rPr>
        <w:t>5,471.2</w:t>
      </w:r>
      <w:r>
        <w:rPr>
          <w:rFonts w:ascii="Arial" w:hAnsi="Arial" w:cs="Arial" w:eastAsia="Arial" w:hint="default"/>
          <w:spacing w:val="-10"/>
          <w:sz w:val="21"/>
          <w:szCs w:val="21"/>
        </w:rPr>
        <w:t> </w:t>
      </w:r>
      <w:r>
        <w:rPr>
          <w:rFonts w:ascii="宋体" w:hAnsi="宋体" w:cs="宋体" w:eastAsia="宋体" w:hint="default"/>
          <w:sz w:val="21"/>
          <w:szCs w:val="21"/>
        </w:rPr>
        <w:t>亿元，负债总额</w:t>
      </w:r>
    </w:p>
    <w:p>
      <w:pPr>
        <w:spacing w:line="274" w:lineRule="exact" w:before="16"/>
        <w:ind w:left="846" w:right="204" w:firstLine="0"/>
        <w:jc w:val="left"/>
        <w:rPr>
          <w:rFonts w:ascii="宋体" w:hAnsi="宋体" w:cs="宋体" w:eastAsia="宋体" w:hint="default"/>
          <w:sz w:val="21"/>
          <w:szCs w:val="21"/>
        </w:rPr>
      </w:pPr>
      <w:r>
        <w:rPr>
          <w:rFonts w:ascii="宋体" w:hAnsi="宋体" w:cs="宋体" w:eastAsia="宋体" w:hint="default"/>
          <w:sz w:val="21"/>
          <w:szCs w:val="21"/>
        </w:rPr>
        <w:t>由上年底的</w:t>
      </w:r>
      <w:r>
        <w:rPr>
          <w:rFonts w:ascii="宋体" w:hAnsi="宋体" w:cs="宋体" w:eastAsia="宋体" w:hint="default"/>
          <w:spacing w:val="-55"/>
          <w:sz w:val="21"/>
          <w:szCs w:val="21"/>
        </w:rPr>
        <w:t> </w:t>
      </w:r>
      <w:r>
        <w:rPr>
          <w:rFonts w:ascii="Arial" w:hAnsi="Arial" w:cs="Arial" w:eastAsia="Arial" w:hint="default"/>
          <w:sz w:val="21"/>
          <w:szCs w:val="21"/>
        </w:rPr>
        <w:t>3,097.4</w:t>
      </w:r>
      <w:r>
        <w:rPr>
          <w:rFonts w:ascii="Arial" w:hAnsi="Arial" w:cs="Arial" w:eastAsia="Arial" w:hint="default"/>
          <w:spacing w:val="-9"/>
          <w:sz w:val="21"/>
          <w:szCs w:val="21"/>
        </w:rPr>
        <w:t> </w:t>
      </w:r>
      <w:r>
        <w:rPr>
          <w:rFonts w:ascii="宋体" w:hAnsi="宋体" w:cs="宋体" w:eastAsia="宋体" w:hint="default"/>
          <w:sz w:val="21"/>
          <w:szCs w:val="21"/>
        </w:rPr>
        <w:t>亿元变化至</w:t>
      </w:r>
      <w:r>
        <w:rPr>
          <w:rFonts w:ascii="宋体" w:hAnsi="宋体" w:cs="宋体" w:eastAsia="宋体" w:hint="default"/>
          <w:spacing w:val="-56"/>
          <w:sz w:val="21"/>
          <w:szCs w:val="21"/>
        </w:rPr>
        <w:t> </w:t>
      </w:r>
      <w:r>
        <w:rPr>
          <w:rFonts w:ascii="Arial" w:hAnsi="Arial" w:cs="Arial" w:eastAsia="Arial" w:hint="default"/>
          <w:sz w:val="21"/>
          <w:szCs w:val="21"/>
        </w:rPr>
        <w:t>3,168.0</w:t>
      </w:r>
      <w:r>
        <w:rPr>
          <w:rFonts w:ascii="Arial" w:hAnsi="Arial" w:cs="Arial" w:eastAsia="Arial" w:hint="default"/>
          <w:spacing w:val="-9"/>
          <w:sz w:val="21"/>
          <w:szCs w:val="21"/>
        </w:rPr>
        <w:t> </w:t>
      </w:r>
      <w:r>
        <w:rPr>
          <w:rFonts w:ascii="宋体" w:hAnsi="宋体" w:cs="宋体" w:eastAsia="宋体" w:hint="default"/>
          <w:sz w:val="21"/>
          <w:szCs w:val="21"/>
        </w:rPr>
        <w:t>亿元，资产负债率由上年底的</w:t>
      </w:r>
      <w:r>
        <w:rPr>
          <w:rFonts w:ascii="宋体" w:hAnsi="宋体" w:cs="宋体" w:eastAsia="宋体" w:hint="default"/>
          <w:spacing w:val="-56"/>
          <w:sz w:val="21"/>
          <w:szCs w:val="21"/>
        </w:rPr>
        <w:t> </w:t>
      </w:r>
      <w:r>
        <w:rPr>
          <w:rFonts w:ascii="Arial" w:hAnsi="Arial" w:cs="Arial" w:eastAsia="Arial" w:hint="default"/>
          <w:sz w:val="21"/>
          <w:szCs w:val="21"/>
        </w:rPr>
        <w:t>58.3%</w:t>
      </w:r>
      <w:r>
        <w:rPr>
          <w:rFonts w:ascii="宋体" w:hAnsi="宋体" w:cs="宋体" w:eastAsia="宋体" w:hint="default"/>
          <w:sz w:val="21"/>
          <w:szCs w:val="21"/>
        </w:rPr>
        <w:t>下降至</w:t>
      </w:r>
      <w:r>
        <w:rPr>
          <w:rFonts w:ascii="宋体" w:hAnsi="宋体" w:cs="宋体" w:eastAsia="宋体" w:hint="default"/>
          <w:w w:val="100"/>
          <w:sz w:val="21"/>
          <w:szCs w:val="21"/>
        </w:rPr>
        <w:t> </w:t>
      </w:r>
      <w:r>
        <w:rPr>
          <w:rFonts w:ascii="Arial" w:hAnsi="Arial" w:cs="Arial" w:eastAsia="Arial" w:hint="default"/>
          <w:sz w:val="21"/>
          <w:szCs w:val="21"/>
        </w:rPr>
        <w:t>57.9%</w:t>
      </w:r>
      <w:r>
        <w:rPr>
          <w:rFonts w:ascii="宋体" w:hAnsi="宋体" w:cs="宋体" w:eastAsia="宋体" w:hint="default"/>
          <w:sz w:val="21"/>
          <w:szCs w:val="21"/>
        </w:rPr>
        <w:t>。债务资本率由上年底的</w:t>
      </w:r>
      <w:r>
        <w:rPr>
          <w:rFonts w:ascii="宋体" w:hAnsi="宋体" w:cs="宋体" w:eastAsia="宋体" w:hint="default"/>
          <w:spacing w:val="-56"/>
          <w:sz w:val="21"/>
          <w:szCs w:val="21"/>
        </w:rPr>
        <w:t> </w:t>
      </w:r>
      <w:r>
        <w:rPr>
          <w:rFonts w:ascii="Arial" w:hAnsi="Arial" w:cs="Arial" w:eastAsia="Arial" w:hint="default"/>
          <w:sz w:val="21"/>
          <w:szCs w:val="21"/>
        </w:rPr>
        <w:t>79.6%</w:t>
      </w:r>
      <w:r>
        <w:rPr>
          <w:rFonts w:ascii="宋体" w:hAnsi="宋体" w:cs="宋体" w:eastAsia="宋体" w:hint="default"/>
          <w:sz w:val="21"/>
          <w:szCs w:val="21"/>
        </w:rPr>
        <w:t>下降至</w:t>
      </w:r>
      <w:r>
        <w:rPr>
          <w:rFonts w:ascii="宋体" w:hAnsi="宋体" w:cs="宋体" w:eastAsia="宋体" w:hint="default"/>
          <w:spacing w:val="-56"/>
          <w:sz w:val="21"/>
          <w:szCs w:val="21"/>
        </w:rPr>
        <w:t> </w:t>
      </w:r>
      <w:r>
        <w:rPr>
          <w:rFonts w:ascii="Arial" w:hAnsi="Arial" w:cs="Arial" w:eastAsia="Arial" w:hint="default"/>
          <w:sz w:val="21"/>
          <w:szCs w:val="21"/>
        </w:rPr>
        <w:t>79.0%</w:t>
      </w:r>
      <w:r>
        <w:rPr>
          <w:rFonts w:ascii="宋体" w:hAnsi="宋体" w:cs="宋体" w:eastAsia="宋体" w:hint="default"/>
          <w:sz w:val="21"/>
          <w:szCs w:val="21"/>
        </w:rPr>
        <w:t>；净债务资本率为</w:t>
      </w:r>
      <w:r>
        <w:rPr>
          <w:rFonts w:ascii="宋体" w:hAnsi="宋体" w:cs="宋体" w:eastAsia="宋体" w:hint="default"/>
          <w:spacing w:val="-58"/>
          <w:sz w:val="21"/>
          <w:szCs w:val="21"/>
        </w:rPr>
        <w:t> </w:t>
      </w:r>
      <w:r>
        <w:rPr>
          <w:rFonts w:ascii="Arial" w:hAnsi="Arial" w:cs="Arial" w:eastAsia="Arial" w:hint="default"/>
          <w:sz w:val="21"/>
          <w:szCs w:val="21"/>
        </w:rPr>
        <w:t>72.2%</w:t>
      </w:r>
      <w:r>
        <w:rPr>
          <w:rFonts w:ascii="宋体" w:hAnsi="宋体" w:cs="宋体" w:eastAsia="宋体" w:hint="default"/>
          <w:sz w:val="21"/>
          <w:szCs w:val="21"/>
        </w:rPr>
        <w:t>。</w:t>
      </w:r>
    </w:p>
    <w:p>
      <w:pPr>
        <w:spacing w:line="240" w:lineRule="auto" w:before="4"/>
        <w:rPr>
          <w:rFonts w:ascii="宋体" w:hAnsi="宋体" w:cs="宋体" w:eastAsia="宋体" w:hint="default"/>
          <w:sz w:val="16"/>
          <w:szCs w:val="16"/>
        </w:rPr>
      </w:pPr>
    </w:p>
    <w:p>
      <w:pPr>
        <w:spacing w:line="280" w:lineRule="exact" w:before="0"/>
        <w:ind w:left="846" w:right="100"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1"/>
          <w:sz w:val="21"/>
          <w:szCs w:val="21"/>
        </w:rPr>
        <w:t> </w:t>
      </w: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pacing w:val="-3"/>
          <w:sz w:val="21"/>
          <w:szCs w:val="21"/>
        </w:rPr>
        <w:t>年底，公司的流动负债净额（即流动负债减流动资产）由上年底的</w:t>
      </w:r>
      <w:r>
        <w:rPr>
          <w:rFonts w:ascii="宋体" w:hAnsi="宋体" w:cs="宋体" w:eastAsia="宋体" w:hint="default"/>
          <w:spacing w:val="-44"/>
          <w:sz w:val="21"/>
          <w:szCs w:val="21"/>
        </w:rPr>
        <w:t> </w:t>
      </w:r>
      <w:r>
        <w:rPr>
          <w:rFonts w:ascii="Arial" w:hAnsi="Arial" w:cs="Arial" w:eastAsia="Arial" w:hint="default"/>
          <w:sz w:val="21"/>
          <w:szCs w:val="21"/>
        </w:rPr>
        <w:t>2,423.6</w:t>
      </w:r>
      <w:r>
        <w:rPr>
          <w:rFonts w:ascii="Arial" w:hAnsi="Arial" w:cs="Arial" w:eastAsia="Arial" w:hint="default"/>
          <w:spacing w:val="2"/>
          <w:sz w:val="21"/>
          <w:szCs w:val="21"/>
        </w:rPr>
        <w:t> </w:t>
      </w:r>
      <w:r>
        <w:rPr>
          <w:rFonts w:ascii="宋体" w:hAnsi="宋体" w:cs="宋体" w:eastAsia="宋体" w:hint="default"/>
          <w:sz w:val="21"/>
          <w:szCs w:val="21"/>
        </w:rPr>
        <w:t>亿</w:t>
      </w:r>
    </w:p>
    <w:p>
      <w:pPr>
        <w:spacing w:line="274" w:lineRule="exact" w:before="16"/>
        <w:ind w:left="846" w:right="110" w:firstLine="0"/>
        <w:jc w:val="left"/>
        <w:rPr>
          <w:rFonts w:ascii="宋体" w:hAnsi="宋体" w:cs="宋体" w:eastAsia="宋体" w:hint="default"/>
          <w:sz w:val="21"/>
          <w:szCs w:val="21"/>
        </w:rPr>
      </w:pPr>
      <w:r>
        <w:rPr>
          <w:rFonts w:ascii="宋体" w:hAnsi="宋体" w:cs="宋体" w:eastAsia="宋体" w:hint="default"/>
          <w:sz w:val="21"/>
          <w:szCs w:val="21"/>
        </w:rPr>
        <w:t>元变化至</w:t>
      </w:r>
      <w:r>
        <w:rPr>
          <w:rFonts w:ascii="宋体" w:hAnsi="宋体" w:cs="宋体" w:eastAsia="宋体" w:hint="default"/>
          <w:spacing w:val="-54"/>
          <w:sz w:val="21"/>
          <w:szCs w:val="21"/>
        </w:rPr>
        <w:t> </w:t>
      </w:r>
      <w:r>
        <w:rPr>
          <w:rFonts w:ascii="Arial" w:hAnsi="Arial" w:cs="Arial" w:eastAsia="Arial" w:hint="default"/>
          <w:sz w:val="21"/>
          <w:szCs w:val="21"/>
        </w:rPr>
        <w:t>2,345.4</w:t>
      </w:r>
      <w:r>
        <w:rPr>
          <w:rFonts w:ascii="Arial" w:hAnsi="Arial" w:cs="Arial" w:eastAsia="Arial" w:hint="default"/>
          <w:spacing w:val="-10"/>
          <w:sz w:val="21"/>
          <w:szCs w:val="21"/>
        </w:rPr>
        <w:t> </w:t>
      </w:r>
      <w:r>
        <w:rPr>
          <w:rFonts w:ascii="宋体" w:hAnsi="宋体" w:cs="宋体" w:eastAsia="宋体" w:hint="default"/>
          <w:sz w:val="21"/>
          <w:szCs w:val="21"/>
        </w:rPr>
        <w:t>亿元。考虑到公司经营活动净现金流入保持稳定以及良好的信贷信用，</w:t>
      </w:r>
      <w:r>
        <w:rPr>
          <w:rFonts w:ascii="宋体" w:hAnsi="宋体" w:cs="宋体" w:eastAsia="宋体" w:hint="default"/>
          <w:w w:val="100"/>
          <w:sz w:val="21"/>
          <w:szCs w:val="21"/>
        </w:rPr>
        <w:t> </w:t>
      </w:r>
      <w:r>
        <w:rPr>
          <w:rFonts w:ascii="宋体" w:hAnsi="宋体" w:cs="宋体" w:eastAsia="宋体" w:hint="default"/>
          <w:sz w:val="21"/>
          <w:szCs w:val="21"/>
        </w:rPr>
        <w:t>我们相信公司应有足够的运营资金满足生产经营需要。</w:t>
      </w:r>
    </w:p>
    <w:p>
      <w:pPr>
        <w:spacing w:line="240" w:lineRule="auto" w:before="5"/>
        <w:rPr>
          <w:rFonts w:ascii="宋体" w:hAnsi="宋体" w:cs="宋体" w:eastAsia="宋体" w:hint="default"/>
          <w:sz w:val="16"/>
          <w:szCs w:val="16"/>
        </w:rPr>
      </w:pPr>
    </w:p>
    <w:p>
      <w:pPr>
        <w:spacing w:before="0"/>
        <w:ind w:left="138" w:right="204" w:firstLine="0"/>
        <w:jc w:val="left"/>
        <w:rPr>
          <w:rFonts w:ascii="宋体" w:hAnsi="宋体" w:cs="宋体" w:eastAsia="宋体" w:hint="default"/>
          <w:sz w:val="21"/>
          <w:szCs w:val="21"/>
        </w:rPr>
      </w:pPr>
      <w:r>
        <w:rPr>
          <w:rFonts w:ascii="宋体" w:hAnsi="宋体" w:cs="宋体" w:eastAsia="宋体" w:hint="default"/>
          <w:b/>
          <w:bCs/>
          <w:sz w:val="21"/>
          <w:szCs w:val="21"/>
        </w:rPr>
        <w:t>第四部分：未来展望</w:t>
      </w:r>
      <w:r>
        <w:rPr>
          <w:rFonts w:ascii="宋体" w:hAnsi="宋体" w:cs="宋体" w:eastAsia="宋体" w:hint="default"/>
          <w:sz w:val="21"/>
          <w:szCs w:val="21"/>
        </w:rPr>
      </w:r>
    </w:p>
    <w:p>
      <w:pPr>
        <w:spacing w:line="240" w:lineRule="auto" w:before="11"/>
        <w:rPr>
          <w:rFonts w:ascii="宋体" w:hAnsi="宋体" w:cs="宋体" w:eastAsia="宋体" w:hint="default"/>
          <w:b/>
          <w:bCs/>
          <w:sz w:val="18"/>
          <w:szCs w:val="18"/>
        </w:rPr>
      </w:pPr>
    </w:p>
    <w:p>
      <w:pPr>
        <w:spacing w:line="232" w:lineRule="auto" w:before="0"/>
        <w:ind w:left="565" w:right="100" w:firstLine="0"/>
        <w:jc w:val="left"/>
        <w:rPr>
          <w:rFonts w:ascii="宋体" w:hAnsi="宋体" w:cs="宋体" w:eastAsia="宋体" w:hint="default"/>
          <w:sz w:val="21"/>
          <w:szCs w:val="21"/>
        </w:rPr>
      </w:pPr>
      <w:r>
        <w:rPr>
          <w:rFonts w:ascii="宋体" w:hAnsi="宋体" w:cs="宋体" w:eastAsia="宋体" w:hint="default"/>
          <w:sz w:val="21"/>
          <w:szCs w:val="21"/>
        </w:rPr>
        <w:t>新的一年，随着</w:t>
      </w:r>
      <w:r>
        <w:rPr>
          <w:rFonts w:ascii="宋体" w:hAnsi="宋体" w:cs="宋体" w:eastAsia="宋体" w:hint="default"/>
          <w:spacing w:val="-53"/>
          <w:sz w:val="21"/>
          <w:szCs w:val="21"/>
        </w:rPr>
        <w:t> </w:t>
      </w:r>
      <w:r>
        <w:rPr>
          <w:rFonts w:ascii="Arial" w:hAnsi="Arial" w:cs="Arial" w:eastAsia="Arial" w:hint="default"/>
          <w:sz w:val="21"/>
          <w:szCs w:val="21"/>
        </w:rPr>
        <w:t>LTE</w:t>
      </w:r>
      <w:r>
        <w:rPr>
          <w:rFonts w:ascii="Arial" w:hAnsi="Arial" w:cs="Arial" w:eastAsia="Arial" w:hint="default"/>
          <w:spacing w:val="-2"/>
          <w:sz w:val="21"/>
          <w:szCs w:val="21"/>
        </w:rPr>
        <w:t> </w:t>
      </w:r>
      <w:r>
        <w:rPr>
          <w:rFonts w:ascii="Arial" w:hAnsi="Arial" w:cs="Arial" w:eastAsia="Arial" w:hint="default"/>
          <w:sz w:val="21"/>
          <w:szCs w:val="21"/>
        </w:rPr>
        <w:t>FDD</w:t>
      </w:r>
      <w:r>
        <w:rPr>
          <w:rFonts w:ascii="Arial" w:hAnsi="Arial" w:cs="Arial" w:eastAsia="Arial" w:hint="default"/>
          <w:spacing w:val="-8"/>
          <w:sz w:val="21"/>
          <w:szCs w:val="21"/>
        </w:rPr>
        <w:t> </w:t>
      </w:r>
      <w:r>
        <w:rPr>
          <w:rFonts w:ascii="宋体" w:hAnsi="宋体" w:cs="宋体" w:eastAsia="宋体" w:hint="default"/>
          <w:sz w:val="21"/>
          <w:szCs w:val="21"/>
        </w:rPr>
        <w:t>牌照发放、用户实名制等监管政策的深化实施，通信行业发展正</w:t>
      </w:r>
      <w:r>
        <w:rPr>
          <w:rFonts w:ascii="宋体" w:hAnsi="宋体" w:cs="宋体" w:eastAsia="宋体" w:hint="default"/>
          <w:w w:val="100"/>
          <w:sz w:val="21"/>
          <w:szCs w:val="21"/>
        </w:rPr>
        <w:t> </w:t>
      </w:r>
      <w:r>
        <w:rPr>
          <w:rFonts w:ascii="宋体" w:hAnsi="宋体" w:cs="宋体" w:eastAsia="宋体" w:hint="default"/>
          <w:spacing w:val="-3"/>
          <w:sz w:val="21"/>
          <w:szCs w:val="21"/>
        </w:rPr>
        <w:t>在发生前所未有的新变化。传统以用户数量为主的发展空间更加趋窄，电话用户普及接近饱</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3"/>
          <w:sz w:val="21"/>
          <w:szCs w:val="21"/>
        </w:rPr>
        <w:t>和，传统语音业务持续下滑。传统业务的竞争型发展更加理性，发展方式正从增量扩张为主</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3"/>
          <w:sz w:val="21"/>
          <w:szCs w:val="21"/>
        </w:rPr>
        <w:t>转向调整存量、做优增量并存的深度调整，需要更加理性地关注量质并重、量收平衡。用户</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3"/>
          <w:sz w:val="21"/>
          <w:szCs w:val="21"/>
        </w:rPr>
        <w:t>结构与消费结构调整加快，用户结构正加速从</w:t>
      </w:r>
      <w:r>
        <w:rPr>
          <w:rFonts w:ascii="宋体" w:hAnsi="宋体" w:cs="宋体" w:eastAsia="宋体" w:hint="default"/>
          <w:spacing w:val="-41"/>
          <w:sz w:val="21"/>
          <w:szCs w:val="21"/>
        </w:rPr>
        <w:t> </w:t>
      </w:r>
      <w:r>
        <w:rPr>
          <w:rFonts w:ascii="Arial" w:hAnsi="Arial" w:cs="Arial" w:eastAsia="Arial" w:hint="default"/>
          <w:spacing w:val="-5"/>
          <w:sz w:val="21"/>
          <w:szCs w:val="21"/>
        </w:rPr>
        <w:t>2G</w:t>
      </w:r>
      <w:r>
        <w:rPr>
          <w:rFonts w:ascii="宋体" w:hAnsi="宋体" w:cs="宋体" w:eastAsia="宋体" w:hint="default"/>
          <w:spacing w:val="-5"/>
          <w:sz w:val="21"/>
          <w:szCs w:val="21"/>
        </w:rPr>
        <w:t>、</w:t>
      </w:r>
      <w:r>
        <w:rPr>
          <w:rFonts w:ascii="Arial" w:hAnsi="Arial" w:cs="Arial" w:eastAsia="Arial" w:hint="default"/>
          <w:spacing w:val="-5"/>
          <w:sz w:val="21"/>
          <w:szCs w:val="21"/>
        </w:rPr>
        <w:t>3G</w:t>
      </w:r>
      <w:r>
        <w:rPr>
          <w:rFonts w:ascii="Arial" w:hAnsi="Arial" w:cs="Arial" w:eastAsia="Arial" w:hint="default"/>
          <w:spacing w:val="4"/>
          <w:sz w:val="21"/>
          <w:szCs w:val="21"/>
        </w:rPr>
        <w:t> </w:t>
      </w:r>
      <w:r>
        <w:rPr>
          <w:rFonts w:ascii="宋体" w:hAnsi="宋体" w:cs="宋体" w:eastAsia="宋体" w:hint="default"/>
          <w:sz w:val="21"/>
          <w:szCs w:val="21"/>
        </w:rPr>
        <w:t>用户向</w:t>
      </w:r>
      <w:r>
        <w:rPr>
          <w:rFonts w:ascii="宋体" w:hAnsi="宋体" w:cs="宋体" w:eastAsia="宋体" w:hint="default"/>
          <w:spacing w:val="-41"/>
          <w:sz w:val="21"/>
          <w:szCs w:val="21"/>
        </w:rPr>
        <w:t> </w:t>
      </w:r>
      <w:r>
        <w:rPr>
          <w:rFonts w:ascii="Arial" w:hAnsi="Arial" w:cs="Arial" w:eastAsia="Arial" w:hint="default"/>
          <w:sz w:val="21"/>
          <w:szCs w:val="21"/>
        </w:rPr>
        <w:t>4G </w:t>
      </w:r>
      <w:r>
        <w:rPr>
          <w:rFonts w:ascii="宋体" w:hAnsi="宋体" w:cs="宋体" w:eastAsia="宋体" w:hint="default"/>
          <w:spacing w:val="-4"/>
          <w:sz w:val="21"/>
          <w:szCs w:val="21"/>
        </w:rPr>
        <w:t>用户转变，消费结构正加</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6"/>
          <w:sz w:val="21"/>
          <w:szCs w:val="21"/>
        </w:rPr>
        <w:t>速从以语音消费为主向以流量消费为主转变。信息消费正在加速渗透至各行各业、千家万户，</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给运营商带来巨大的转型发展新空间。</w:t>
      </w:r>
    </w:p>
    <w:p>
      <w:pPr>
        <w:spacing w:line="240" w:lineRule="auto" w:before="11"/>
        <w:rPr>
          <w:rFonts w:ascii="宋体" w:hAnsi="宋体" w:cs="宋体" w:eastAsia="宋体" w:hint="default"/>
          <w:sz w:val="18"/>
          <w:szCs w:val="18"/>
        </w:rPr>
      </w:pPr>
    </w:p>
    <w:p>
      <w:pPr>
        <w:spacing w:line="232" w:lineRule="auto" w:before="0"/>
        <w:ind w:left="565" w:right="207" w:firstLine="0"/>
        <w:jc w:val="both"/>
        <w:rPr>
          <w:rFonts w:ascii="宋体" w:hAnsi="宋体" w:cs="宋体" w:eastAsia="宋体" w:hint="default"/>
          <w:sz w:val="21"/>
          <w:szCs w:val="21"/>
        </w:rPr>
      </w:pPr>
      <w:r>
        <w:rPr>
          <w:rFonts w:ascii="宋体" w:hAnsi="宋体" w:cs="宋体" w:eastAsia="宋体" w:hint="default"/>
          <w:spacing w:val="-3"/>
          <w:sz w:val="21"/>
          <w:szCs w:val="21"/>
        </w:rPr>
        <w:t>面对新形势新变化，公司将深化实施“移动宽带领先与一体化创新”战略，抓住新机遇、实</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现新发展。公司将巩固和扩大宽带网络优势，充分发挥“移动宽带</w:t>
      </w:r>
      <w:r>
        <w:rPr>
          <w:rFonts w:ascii="Arial" w:hAnsi="Arial" w:cs="Arial" w:eastAsia="Arial" w:hint="default"/>
          <w:spacing w:val="-2"/>
          <w:sz w:val="21"/>
          <w:szCs w:val="21"/>
        </w:rPr>
        <w:t>+</w:t>
      </w:r>
      <w:r>
        <w:rPr>
          <w:rFonts w:ascii="宋体" w:hAnsi="宋体" w:cs="宋体" w:eastAsia="宋体" w:hint="default"/>
          <w:spacing w:val="-2"/>
          <w:sz w:val="21"/>
          <w:szCs w:val="21"/>
        </w:rPr>
        <w:t>固定宽带”的综合网络</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优势，加快打造</w:t>
      </w:r>
      <w:r>
        <w:rPr>
          <w:rFonts w:ascii="宋体" w:hAnsi="宋体" w:cs="宋体" w:eastAsia="宋体" w:hint="default"/>
          <w:spacing w:val="-55"/>
          <w:sz w:val="21"/>
          <w:szCs w:val="21"/>
        </w:rPr>
        <w:t> </w:t>
      </w:r>
      <w:r>
        <w:rPr>
          <w:rFonts w:ascii="Arial" w:hAnsi="Arial" w:cs="Arial" w:eastAsia="Arial" w:hint="default"/>
          <w:sz w:val="21"/>
          <w:szCs w:val="21"/>
        </w:rPr>
        <w:t>3G+4G</w:t>
      </w:r>
      <w:r>
        <w:rPr>
          <w:rFonts w:ascii="Arial" w:hAnsi="Arial" w:cs="Arial" w:eastAsia="Arial" w:hint="default"/>
          <w:spacing w:val="-13"/>
          <w:sz w:val="21"/>
          <w:szCs w:val="21"/>
        </w:rPr>
        <w:t> </w:t>
      </w:r>
      <w:r>
        <w:rPr>
          <w:rFonts w:ascii="宋体" w:hAnsi="宋体" w:cs="宋体" w:eastAsia="宋体" w:hint="default"/>
          <w:sz w:val="21"/>
          <w:szCs w:val="21"/>
        </w:rPr>
        <w:t>一体化的移动宽带精品网络，全面推进固网宽带光纤化改造。公司</w:t>
      </w:r>
      <w:r>
        <w:rPr>
          <w:rFonts w:ascii="宋体" w:hAnsi="宋体" w:cs="宋体" w:eastAsia="宋体" w:hint="default"/>
          <w:w w:val="100"/>
          <w:sz w:val="21"/>
          <w:szCs w:val="21"/>
        </w:rPr>
        <w:t> </w:t>
      </w:r>
      <w:r>
        <w:rPr>
          <w:rFonts w:ascii="宋体" w:hAnsi="宋体" w:cs="宋体" w:eastAsia="宋体" w:hint="default"/>
          <w:spacing w:val="-3"/>
          <w:sz w:val="21"/>
          <w:szCs w:val="21"/>
        </w:rPr>
        <w:t>将积极创造集中运营的差异化应用服务优势，对外提供一体化服务能力，对内提升一体化运</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3"/>
          <w:sz w:val="21"/>
          <w:szCs w:val="21"/>
        </w:rPr>
        <w:t>营效率，为信息消费创造更加方便快捷的服务。公司将实现信息消费的新发展，面向信息消</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3"/>
          <w:sz w:val="21"/>
          <w:szCs w:val="21"/>
        </w:rPr>
        <w:t>费加快生产运营模式调整，加快在互联网金融、行业应用等信息消费应用热点领域以及大数</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据、物联网、云计算等新型业务领域实现新发展。</w:t>
      </w:r>
    </w:p>
    <w:p>
      <w:pPr>
        <w:spacing w:line="240" w:lineRule="auto" w:before="6"/>
        <w:rPr>
          <w:rFonts w:ascii="宋体" w:hAnsi="宋体" w:cs="宋体" w:eastAsia="宋体" w:hint="default"/>
          <w:sz w:val="20"/>
          <w:szCs w:val="20"/>
        </w:rPr>
      </w:pPr>
    </w:p>
    <w:p>
      <w:pPr>
        <w:spacing w:line="272" w:lineRule="exact" w:before="0"/>
        <w:ind w:left="565" w:right="204" w:firstLine="0"/>
        <w:jc w:val="left"/>
        <w:rPr>
          <w:rFonts w:ascii="宋体" w:hAnsi="宋体" w:cs="宋体" w:eastAsia="宋体" w:hint="default"/>
          <w:sz w:val="21"/>
          <w:szCs w:val="21"/>
        </w:rPr>
      </w:pPr>
      <w:r>
        <w:rPr>
          <w:rFonts w:ascii="宋体" w:hAnsi="宋体" w:cs="宋体" w:eastAsia="宋体" w:hint="default"/>
          <w:spacing w:val="-3"/>
          <w:sz w:val="21"/>
          <w:szCs w:val="21"/>
        </w:rPr>
        <w:t>总之，面对新的形势和机遇，公司将紧紧抓住信息消费新机遇，在转型发展上进一步加快步</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伐，实现更好更快发展，创造更大价值，回报广大股东。</w:t>
      </w:r>
    </w:p>
    <w:p>
      <w:pPr>
        <w:spacing w:line="240" w:lineRule="auto" w:before="4"/>
        <w:rPr>
          <w:rFonts w:ascii="宋体" w:hAnsi="宋体" w:cs="宋体" w:eastAsia="宋体" w:hint="default"/>
          <w:sz w:val="18"/>
          <w:szCs w:val="18"/>
        </w:rPr>
      </w:pPr>
    </w:p>
    <w:p>
      <w:pPr>
        <w:spacing w:line="274" w:lineRule="exact" w:before="0"/>
        <w:ind w:left="1414" w:right="208" w:hanging="850"/>
        <w:jc w:val="both"/>
        <w:rPr>
          <w:rFonts w:ascii="宋体" w:hAnsi="宋体" w:cs="宋体" w:eastAsia="宋体" w:hint="default"/>
          <w:sz w:val="21"/>
          <w:szCs w:val="21"/>
        </w:rPr>
      </w:pPr>
      <w:r>
        <w:rPr>
          <w:rFonts w:ascii="宋体" w:hAnsi="宋体" w:cs="宋体" w:eastAsia="宋体" w:hint="default"/>
          <w:sz w:val="21"/>
          <w:szCs w:val="21"/>
        </w:rPr>
        <w:t>附注</w:t>
      </w:r>
      <w:r>
        <w:rPr>
          <w:rFonts w:ascii="宋体" w:hAnsi="宋体" w:cs="宋体" w:eastAsia="宋体" w:hint="default"/>
          <w:spacing w:val="-56"/>
          <w:sz w:val="21"/>
          <w:szCs w:val="21"/>
        </w:rPr>
        <w:t> </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pacing w:val="-60"/>
          <w:sz w:val="21"/>
          <w:szCs w:val="21"/>
        </w:rPr>
        <w:t> </w:t>
      </w:r>
      <w:r>
        <w:rPr>
          <w:rFonts w:ascii="宋体" w:hAnsi="宋体" w:cs="宋体" w:eastAsia="宋体" w:hint="default"/>
          <w:sz w:val="21"/>
          <w:szCs w:val="21"/>
        </w:rPr>
        <w:t>行业平均水平采用国家工信部未调整的</w:t>
      </w:r>
      <w:r>
        <w:rPr>
          <w:rFonts w:ascii="宋体" w:hAnsi="宋体" w:cs="宋体" w:eastAsia="宋体" w:hint="default"/>
          <w:spacing w:val="-55"/>
          <w:sz w:val="21"/>
          <w:szCs w:val="21"/>
        </w:rPr>
        <w:t> </w:t>
      </w:r>
      <w:r>
        <w:rPr>
          <w:rFonts w:ascii="Arial" w:hAnsi="Arial" w:cs="Arial" w:eastAsia="Arial" w:hint="default"/>
          <w:sz w:val="21"/>
          <w:szCs w:val="21"/>
        </w:rPr>
        <w:t>2014</w:t>
      </w:r>
      <w:r>
        <w:rPr>
          <w:rFonts w:ascii="Arial" w:hAnsi="Arial" w:cs="Arial" w:eastAsia="Arial" w:hint="default"/>
          <w:spacing w:val="-9"/>
          <w:sz w:val="21"/>
          <w:szCs w:val="21"/>
        </w:rPr>
        <w:t> </w:t>
      </w:r>
      <w:r>
        <w:rPr>
          <w:rFonts w:ascii="宋体" w:hAnsi="宋体" w:cs="宋体" w:eastAsia="宋体" w:hint="default"/>
          <w:sz w:val="21"/>
          <w:szCs w:val="21"/>
        </w:rPr>
        <w:t>年行业电信业务收入同比增速（即根</w:t>
      </w:r>
      <w:r>
        <w:rPr>
          <w:rFonts w:ascii="宋体" w:hAnsi="宋体" w:cs="宋体" w:eastAsia="宋体" w:hint="default"/>
          <w:w w:val="100"/>
          <w:sz w:val="21"/>
          <w:szCs w:val="21"/>
        </w:rPr>
        <w:t> </w:t>
      </w:r>
      <w:r>
        <w:rPr>
          <w:rFonts w:ascii="宋体" w:hAnsi="宋体" w:cs="宋体" w:eastAsia="宋体" w:hint="default"/>
          <w:sz w:val="21"/>
          <w:szCs w:val="21"/>
        </w:rPr>
        <w:t>据工信部网站披露数据，行业电信业务收入</w:t>
      </w:r>
      <w:r>
        <w:rPr>
          <w:rFonts w:ascii="宋体" w:hAnsi="宋体" w:cs="宋体" w:eastAsia="宋体" w:hint="default"/>
          <w:spacing w:val="-54"/>
          <w:sz w:val="21"/>
          <w:szCs w:val="21"/>
        </w:rPr>
        <w:t> </w:t>
      </w:r>
      <w:r>
        <w:rPr>
          <w:rFonts w:ascii="Arial" w:hAnsi="Arial" w:cs="Arial" w:eastAsia="Arial" w:hint="default"/>
          <w:sz w:val="21"/>
          <w:szCs w:val="21"/>
        </w:rPr>
        <w:t>2014</w:t>
      </w:r>
      <w:r>
        <w:rPr>
          <w:rFonts w:ascii="Arial" w:hAnsi="Arial" w:cs="Arial" w:eastAsia="Arial" w:hint="default"/>
          <w:spacing w:val="-10"/>
          <w:sz w:val="21"/>
          <w:szCs w:val="21"/>
        </w:rPr>
        <w:t> </w:t>
      </w:r>
      <w:r>
        <w:rPr>
          <w:rFonts w:ascii="宋体" w:hAnsi="宋体" w:cs="宋体" w:eastAsia="宋体" w:hint="default"/>
          <w:sz w:val="21"/>
          <w:szCs w:val="21"/>
        </w:rPr>
        <w:t>年为</w:t>
      </w:r>
      <w:r>
        <w:rPr>
          <w:rFonts w:ascii="宋体" w:hAnsi="宋体" w:cs="宋体" w:eastAsia="宋体" w:hint="default"/>
          <w:spacing w:val="-54"/>
          <w:sz w:val="21"/>
          <w:szCs w:val="21"/>
        </w:rPr>
        <w:t> </w:t>
      </w:r>
      <w:r>
        <w:rPr>
          <w:rFonts w:ascii="Arial" w:hAnsi="Arial" w:cs="Arial" w:eastAsia="Arial" w:hint="default"/>
          <w:sz w:val="21"/>
          <w:szCs w:val="21"/>
        </w:rPr>
        <w:t>11,541.1</w:t>
      </w:r>
      <w:r>
        <w:rPr>
          <w:rFonts w:ascii="Arial" w:hAnsi="Arial" w:cs="Arial" w:eastAsia="Arial" w:hint="default"/>
          <w:spacing w:val="-8"/>
          <w:sz w:val="21"/>
          <w:szCs w:val="21"/>
        </w:rPr>
        <w:t> </w:t>
      </w:r>
      <w:r>
        <w:rPr>
          <w:rFonts w:ascii="宋体" w:hAnsi="宋体" w:cs="宋体" w:eastAsia="宋体" w:hint="default"/>
          <w:sz w:val="21"/>
          <w:szCs w:val="21"/>
        </w:rPr>
        <w:t>亿元，</w:t>
      </w: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年为</w:t>
      </w:r>
    </w:p>
    <w:p>
      <w:pPr>
        <w:spacing w:line="253" w:lineRule="exact" w:before="0"/>
        <w:ind w:left="1414" w:right="204" w:firstLine="0"/>
        <w:jc w:val="left"/>
        <w:rPr>
          <w:rFonts w:ascii="宋体" w:hAnsi="宋体" w:cs="宋体" w:eastAsia="宋体" w:hint="default"/>
          <w:sz w:val="21"/>
          <w:szCs w:val="21"/>
        </w:rPr>
      </w:pPr>
      <w:r>
        <w:rPr>
          <w:rFonts w:ascii="Arial" w:hAnsi="Arial" w:cs="Arial" w:eastAsia="Arial" w:hint="default"/>
          <w:sz w:val="21"/>
          <w:szCs w:val="21"/>
        </w:rPr>
        <w:t>11,689.1 </w:t>
      </w:r>
      <w:r>
        <w:rPr>
          <w:rFonts w:ascii="宋体" w:hAnsi="宋体" w:cs="宋体" w:eastAsia="宋体" w:hint="default"/>
          <w:sz w:val="21"/>
          <w:szCs w:val="21"/>
        </w:rPr>
        <w:t>亿元，计算未调整同比增速约为</w:t>
      </w:r>
      <w:r>
        <w:rPr>
          <w:rFonts w:ascii="宋体" w:hAnsi="宋体" w:cs="宋体" w:eastAsia="宋体" w:hint="default"/>
          <w:spacing w:val="-14"/>
          <w:sz w:val="21"/>
          <w:szCs w:val="21"/>
        </w:rPr>
        <w:t> </w:t>
      </w:r>
      <w:r>
        <w:rPr>
          <w:rFonts w:ascii="Arial" w:hAnsi="Arial" w:cs="Arial" w:eastAsia="Arial" w:hint="default"/>
          <w:sz w:val="21"/>
          <w:szCs w:val="21"/>
        </w:rPr>
        <w:t>-1.3%</w:t>
      </w:r>
      <w:r>
        <w:rPr>
          <w:rFonts w:ascii="宋体" w:hAnsi="宋体" w:cs="宋体" w:eastAsia="宋体" w:hint="default"/>
          <w:sz w:val="21"/>
          <w:szCs w:val="21"/>
        </w:rPr>
        <w:t>）。</w:t>
      </w:r>
    </w:p>
    <w:p>
      <w:pPr>
        <w:spacing w:line="272" w:lineRule="exact" w:before="0"/>
        <w:ind w:left="565" w:right="204" w:firstLine="0"/>
        <w:jc w:val="left"/>
        <w:rPr>
          <w:rFonts w:ascii="宋体" w:hAnsi="宋体" w:cs="宋体" w:eastAsia="宋体" w:hint="default"/>
          <w:sz w:val="21"/>
          <w:szCs w:val="21"/>
        </w:rPr>
      </w:pPr>
      <w:r>
        <w:rPr>
          <w:rFonts w:ascii="宋体" w:hAnsi="宋体" w:cs="宋体" w:eastAsia="宋体" w:hint="default"/>
          <w:sz w:val="21"/>
          <w:szCs w:val="21"/>
        </w:rPr>
        <w:t>附注</w:t>
      </w:r>
      <w:r>
        <w:rPr>
          <w:rFonts w:ascii="宋体" w:hAnsi="宋体" w:cs="宋体" w:eastAsia="宋体" w:hint="default"/>
          <w:spacing w:val="-53"/>
          <w:sz w:val="21"/>
          <w:szCs w:val="21"/>
        </w:rPr>
        <w:t> </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pacing w:val="-57"/>
          <w:sz w:val="21"/>
          <w:szCs w:val="21"/>
        </w:rPr>
        <w:t> </w:t>
      </w:r>
      <w:r>
        <w:rPr>
          <w:rFonts w:ascii="宋体" w:hAnsi="宋体" w:cs="宋体" w:eastAsia="宋体" w:hint="default"/>
          <w:sz w:val="21"/>
          <w:szCs w:val="21"/>
        </w:rPr>
        <w:t>移动宽带业务包含</w:t>
      </w:r>
      <w:r>
        <w:rPr>
          <w:rFonts w:ascii="宋体" w:hAnsi="宋体" w:cs="宋体" w:eastAsia="宋体" w:hint="default"/>
          <w:spacing w:val="-52"/>
          <w:sz w:val="21"/>
          <w:szCs w:val="21"/>
        </w:rPr>
        <w:t> </w:t>
      </w:r>
      <w:r>
        <w:rPr>
          <w:rFonts w:ascii="Arial" w:hAnsi="Arial" w:cs="Arial" w:eastAsia="Arial" w:hint="default"/>
          <w:sz w:val="21"/>
          <w:szCs w:val="21"/>
        </w:rPr>
        <w:t>3G</w:t>
      </w:r>
      <w:r>
        <w:rPr>
          <w:rFonts w:ascii="Arial" w:hAnsi="Arial" w:cs="Arial" w:eastAsia="Arial" w:hint="default"/>
          <w:spacing w:val="-10"/>
          <w:sz w:val="21"/>
          <w:szCs w:val="21"/>
        </w:rPr>
        <w:t> </w:t>
      </w:r>
      <w:r>
        <w:rPr>
          <w:rFonts w:ascii="宋体" w:hAnsi="宋体" w:cs="宋体" w:eastAsia="宋体" w:hint="default"/>
          <w:sz w:val="21"/>
          <w:szCs w:val="21"/>
        </w:rPr>
        <w:t>业务和</w:t>
      </w:r>
      <w:r>
        <w:rPr>
          <w:rFonts w:ascii="宋体" w:hAnsi="宋体" w:cs="宋体" w:eastAsia="宋体" w:hint="default"/>
          <w:spacing w:val="-52"/>
          <w:sz w:val="21"/>
          <w:szCs w:val="21"/>
        </w:rPr>
        <w:t> </w:t>
      </w:r>
      <w:r>
        <w:rPr>
          <w:rFonts w:ascii="Arial" w:hAnsi="Arial" w:cs="Arial" w:eastAsia="Arial" w:hint="default"/>
          <w:sz w:val="21"/>
          <w:szCs w:val="21"/>
        </w:rPr>
        <w:t>4G</w:t>
      </w:r>
      <w:r>
        <w:rPr>
          <w:rFonts w:ascii="Arial" w:hAnsi="Arial" w:cs="Arial" w:eastAsia="Arial" w:hint="default"/>
          <w:spacing w:val="-7"/>
          <w:sz w:val="21"/>
          <w:szCs w:val="21"/>
        </w:rPr>
        <w:t> </w:t>
      </w:r>
      <w:r>
        <w:rPr>
          <w:rFonts w:ascii="宋体" w:hAnsi="宋体" w:cs="宋体" w:eastAsia="宋体" w:hint="default"/>
          <w:sz w:val="21"/>
          <w:szCs w:val="21"/>
        </w:rPr>
        <w:t>业务。</w:t>
      </w:r>
    </w:p>
    <w:p>
      <w:pPr>
        <w:spacing w:line="273" w:lineRule="exact" w:before="0"/>
        <w:ind w:left="565" w:right="204" w:firstLine="0"/>
        <w:jc w:val="left"/>
        <w:rPr>
          <w:rFonts w:ascii="宋体" w:hAnsi="宋体" w:cs="宋体" w:eastAsia="宋体" w:hint="default"/>
          <w:sz w:val="21"/>
          <w:szCs w:val="21"/>
        </w:rPr>
      </w:pPr>
      <w:r>
        <w:rPr>
          <w:rFonts w:ascii="宋体" w:hAnsi="宋体" w:cs="宋体" w:eastAsia="宋体" w:hint="default"/>
          <w:sz w:val="21"/>
          <w:szCs w:val="21"/>
        </w:rPr>
        <w:t>附注</w:t>
      </w:r>
      <w:r>
        <w:rPr>
          <w:rFonts w:ascii="宋体" w:hAnsi="宋体" w:cs="宋体" w:eastAsia="宋体" w:hint="default"/>
          <w:spacing w:val="-54"/>
          <w:sz w:val="21"/>
          <w:szCs w:val="21"/>
        </w:rPr>
        <w:t> </w:t>
      </w: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spacing w:val="-58"/>
          <w:sz w:val="21"/>
          <w:szCs w:val="21"/>
        </w:rPr>
        <w:t> </w:t>
      </w:r>
      <w:r>
        <w:rPr>
          <w:rFonts w:ascii="宋体" w:hAnsi="宋体" w:cs="宋体" w:eastAsia="宋体" w:hint="default"/>
          <w:sz w:val="21"/>
          <w:szCs w:val="21"/>
        </w:rPr>
        <w:t>成本费用包括营业成本、销售费用、管理费用及财务费用（收入）。</w:t>
      </w:r>
    </w:p>
    <w:p>
      <w:pPr>
        <w:spacing w:line="232" w:lineRule="auto" w:before="0"/>
        <w:ind w:left="1414" w:right="208" w:hanging="850"/>
        <w:jc w:val="both"/>
        <w:rPr>
          <w:rFonts w:ascii="宋体" w:hAnsi="宋体" w:cs="宋体" w:eastAsia="宋体" w:hint="default"/>
          <w:sz w:val="21"/>
          <w:szCs w:val="21"/>
        </w:rPr>
      </w:pPr>
      <w:r>
        <w:rPr>
          <w:rFonts w:ascii="宋体" w:hAnsi="宋体" w:cs="宋体" w:eastAsia="宋体" w:hint="default"/>
          <w:sz w:val="21"/>
          <w:szCs w:val="21"/>
        </w:rPr>
        <w:t>附注</w:t>
      </w:r>
      <w:r>
        <w:rPr>
          <w:rFonts w:ascii="宋体" w:hAnsi="宋体" w:cs="宋体" w:eastAsia="宋体" w:hint="default"/>
          <w:spacing w:val="-21"/>
          <w:sz w:val="21"/>
          <w:szCs w:val="21"/>
        </w:rPr>
        <w:t> </w:t>
      </w:r>
      <w:r>
        <w:rPr>
          <w:rFonts w:ascii="Arial" w:hAnsi="Arial" w:cs="Arial" w:eastAsia="Arial" w:hint="default"/>
          <w:sz w:val="21"/>
          <w:szCs w:val="21"/>
        </w:rPr>
        <w:t>4</w:t>
      </w:r>
      <w:r>
        <w:rPr>
          <w:rFonts w:ascii="宋体" w:hAnsi="宋体" w:cs="宋体" w:eastAsia="宋体" w:hint="default"/>
          <w:sz w:val="21"/>
          <w:szCs w:val="21"/>
        </w:rPr>
        <w:t>：</w:t>
      </w:r>
      <w:r>
        <w:rPr>
          <w:rFonts w:ascii="宋体" w:hAnsi="宋体" w:cs="宋体" w:eastAsia="宋体" w:hint="default"/>
          <w:spacing w:val="-27"/>
          <w:sz w:val="21"/>
          <w:szCs w:val="21"/>
        </w:rPr>
        <w:t> </w:t>
      </w:r>
      <w:r>
        <w:rPr>
          <w:rFonts w:ascii="宋体" w:hAnsi="宋体" w:cs="宋体" w:eastAsia="宋体" w:hint="default"/>
          <w:spacing w:val="-4"/>
          <w:sz w:val="21"/>
          <w:szCs w:val="21"/>
        </w:rPr>
        <w:t>在这里为了分析目的，将移动宽带终端补贴成本、网间结算成本、折旧及摊销、网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络运行及支撑成本、人工成本、销售费用、其他营业成本及管理费用、财务费用合</w:t>
      </w:r>
      <w:r>
        <w:rPr>
          <w:rFonts w:ascii="宋体" w:hAnsi="宋体" w:cs="宋体" w:eastAsia="宋体" w:hint="default"/>
          <w:w w:val="100"/>
          <w:sz w:val="21"/>
          <w:szCs w:val="21"/>
        </w:rPr>
        <w:t> </w:t>
      </w:r>
      <w:r>
        <w:rPr>
          <w:rFonts w:ascii="宋体" w:hAnsi="宋体" w:cs="宋体" w:eastAsia="宋体" w:hint="default"/>
          <w:sz w:val="21"/>
          <w:szCs w:val="21"/>
        </w:rPr>
        <w:t>计，形成经调整成本费用。</w:t>
      </w:r>
    </w:p>
    <w:p>
      <w:pPr>
        <w:spacing w:line="235" w:lineRule="auto" w:before="2"/>
        <w:ind w:left="1414" w:right="209" w:hanging="850"/>
        <w:jc w:val="both"/>
        <w:rPr>
          <w:rFonts w:ascii="宋体" w:hAnsi="宋体" w:cs="宋体" w:eastAsia="宋体" w:hint="default"/>
          <w:sz w:val="21"/>
          <w:szCs w:val="21"/>
        </w:rPr>
      </w:pPr>
      <w:r>
        <w:rPr>
          <w:rFonts w:ascii="宋体" w:hAnsi="宋体" w:cs="宋体" w:eastAsia="宋体" w:hint="default"/>
          <w:sz w:val="21"/>
          <w:szCs w:val="21"/>
        </w:rPr>
        <w:t>附注</w:t>
      </w:r>
      <w:r>
        <w:rPr>
          <w:rFonts w:ascii="宋体" w:hAnsi="宋体" w:cs="宋体" w:eastAsia="宋体" w:hint="default"/>
          <w:spacing w:val="-37"/>
          <w:sz w:val="21"/>
          <w:szCs w:val="21"/>
        </w:rPr>
        <w:t> </w:t>
      </w:r>
      <w:r>
        <w:rPr>
          <w:rFonts w:ascii="Arial" w:hAnsi="Arial" w:cs="Arial" w:eastAsia="Arial" w:hint="default"/>
          <w:sz w:val="21"/>
          <w:szCs w:val="21"/>
        </w:rPr>
        <w:t>5</w:t>
      </w:r>
      <w:r>
        <w:rPr>
          <w:rFonts w:ascii="宋体" w:hAnsi="宋体" w:cs="宋体" w:eastAsia="宋体" w:hint="default"/>
          <w:sz w:val="21"/>
          <w:szCs w:val="21"/>
        </w:rPr>
        <w:t>：</w:t>
      </w:r>
      <w:r>
        <w:rPr>
          <w:rFonts w:ascii="宋体" w:hAnsi="宋体" w:cs="宋体" w:eastAsia="宋体" w:hint="default"/>
          <w:spacing w:val="-42"/>
          <w:sz w:val="21"/>
          <w:szCs w:val="21"/>
        </w:rPr>
        <w:t> </w:t>
      </w:r>
      <w:r>
        <w:rPr>
          <w:rFonts w:ascii="Arial" w:hAnsi="Arial" w:cs="Arial" w:eastAsia="Arial" w:hint="default"/>
          <w:sz w:val="21"/>
          <w:szCs w:val="21"/>
        </w:rPr>
        <w:t>EBITDA</w:t>
      </w:r>
      <w:r>
        <w:rPr>
          <w:rFonts w:ascii="Arial" w:hAnsi="Arial" w:cs="Arial" w:eastAsia="Arial" w:hint="default"/>
          <w:spacing w:val="10"/>
          <w:sz w:val="21"/>
          <w:szCs w:val="21"/>
        </w:rPr>
        <w:t> </w:t>
      </w:r>
      <w:r>
        <w:rPr>
          <w:rFonts w:ascii="宋体" w:hAnsi="宋体" w:cs="宋体" w:eastAsia="宋体" w:hint="default"/>
          <w:spacing w:val="-3"/>
          <w:sz w:val="21"/>
          <w:szCs w:val="21"/>
        </w:rPr>
        <w:t>反映了加回（减去）财务费用（收入）、所得税、扣除非流动资产处置损</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益的营业外支出（收入）、营业成本及管理费用中的折旧及摊销以及减去投资收益</w:t>
      </w:r>
      <w:r>
        <w:rPr>
          <w:rFonts w:ascii="宋体" w:hAnsi="宋体" w:cs="宋体" w:eastAsia="宋体" w:hint="default"/>
          <w:w w:val="100"/>
          <w:sz w:val="21"/>
          <w:szCs w:val="21"/>
        </w:rPr>
        <w:t> </w:t>
      </w:r>
      <w:r>
        <w:rPr>
          <w:rFonts w:ascii="宋体" w:hAnsi="宋体" w:cs="宋体" w:eastAsia="宋体" w:hint="default"/>
          <w:spacing w:val="-4"/>
          <w:sz w:val="21"/>
          <w:szCs w:val="21"/>
        </w:rPr>
        <w:t>的营业利润。由于电信业是资本密集型产业，资本开支和财务费用可能对具有类似</w:t>
      </w:r>
      <w:r>
        <w:rPr>
          <w:rFonts w:ascii="宋体" w:hAnsi="宋体" w:cs="宋体" w:eastAsia="宋体" w:hint="default"/>
          <w:w w:val="100"/>
          <w:sz w:val="21"/>
          <w:szCs w:val="21"/>
        </w:rPr>
        <w:t> </w:t>
      </w:r>
      <w:r>
        <w:rPr>
          <w:rFonts w:ascii="宋体" w:hAnsi="宋体" w:cs="宋体" w:eastAsia="宋体" w:hint="default"/>
          <w:spacing w:val="-4"/>
          <w:sz w:val="21"/>
          <w:szCs w:val="21"/>
        </w:rPr>
        <w:t>经营成果的公司年度盈利产生重大影响。因此，公司认为，对于与集团类似的电信</w:t>
      </w:r>
      <w:r>
        <w:rPr>
          <w:rFonts w:ascii="宋体" w:hAnsi="宋体" w:cs="宋体" w:eastAsia="宋体" w:hint="default"/>
          <w:w w:val="100"/>
          <w:sz w:val="21"/>
          <w:szCs w:val="21"/>
        </w:rPr>
        <w:t> </w:t>
      </w:r>
      <w:r>
        <w:rPr>
          <w:rFonts w:ascii="宋体" w:hAnsi="宋体" w:cs="宋体" w:eastAsia="宋体" w:hint="default"/>
          <w:sz w:val="21"/>
          <w:szCs w:val="21"/>
        </w:rPr>
        <w:t>公司而言，</w:t>
      </w:r>
      <w:r>
        <w:rPr>
          <w:rFonts w:ascii="Arial" w:hAnsi="Arial" w:cs="Arial" w:eastAsia="Arial" w:hint="default"/>
          <w:sz w:val="21"/>
          <w:szCs w:val="21"/>
        </w:rPr>
        <w:t>EBITDA</w:t>
      </w:r>
      <w:r>
        <w:rPr>
          <w:rFonts w:ascii="Arial" w:hAnsi="Arial" w:cs="Arial" w:eastAsia="Arial" w:hint="default"/>
          <w:spacing w:val="-10"/>
          <w:sz w:val="21"/>
          <w:szCs w:val="21"/>
        </w:rPr>
        <w:t> </w:t>
      </w:r>
      <w:r>
        <w:rPr>
          <w:rFonts w:ascii="宋体" w:hAnsi="宋体" w:cs="宋体" w:eastAsia="宋体" w:hint="default"/>
          <w:sz w:val="21"/>
          <w:szCs w:val="21"/>
        </w:rPr>
        <w:t>有助于对公司经营成果分析。</w:t>
      </w:r>
    </w:p>
    <w:p>
      <w:pPr>
        <w:spacing w:after="0" w:line="235" w:lineRule="auto"/>
        <w:jc w:val="both"/>
        <w:rPr>
          <w:rFonts w:ascii="宋体" w:hAnsi="宋体" w:cs="宋体" w:eastAsia="宋体" w:hint="default"/>
          <w:sz w:val="21"/>
          <w:szCs w:val="21"/>
        </w:rPr>
        <w:sectPr>
          <w:pgSz w:w="11910" w:h="16840"/>
          <w:pgMar w:header="880" w:footer="1194" w:top="1120" w:bottom="1380" w:left="1660" w:right="1120"/>
        </w:sectPr>
      </w:pPr>
    </w:p>
    <w:p>
      <w:pPr>
        <w:spacing w:line="240" w:lineRule="auto" w:before="11"/>
        <w:rPr>
          <w:rFonts w:ascii="宋体" w:hAnsi="宋体" w:cs="宋体" w:eastAsia="宋体" w:hint="default"/>
          <w:sz w:val="29"/>
          <w:szCs w:val="29"/>
        </w:rPr>
      </w:pPr>
    </w:p>
    <w:p>
      <w:pPr>
        <w:spacing w:before="36"/>
        <w:ind w:left="138" w:right="1922" w:firstLine="0"/>
        <w:jc w:val="left"/>
        <w:rPr>
          <w:rFonts w:ascii="宋体" w:hAnsi="宋体" w:cs="宋体" w:eastAsia="宋体" w:hint="default"/>
          <w:sz w:val="21"/>
          <w:szCs w:val="21"/>
        </w:rPr>
      </w:pPr>
      <w:r>
        <w:rPr>
          <w:rFonts w:ascii="宋体" w:hAnsi="宋体" w:cs="宋体" w:eastAsia="宋体" w:hint="default"/>
          <w:b/>
          <w:bCs/>
          <w:sz w:val="21"/>
          <w:szCs w:val="21"/>
        </w:rPr>
        <w:t>一、董事会关于公司报告期内经营情况的讨论与分析（续）</w:t>
      </w:r>
      <w:r>
        <w:rPr>
          <w:rFonts w:ascii="宋体" w:hAnsi="宋体" w:cs="宋体" w:eastAsia="宋体" w:hint="default"/>
          <w:sz w:val="21"/>
          <w:szCs w:val="21"/>
        </w:rPr>
      </w:r>
    </w:p>
    <w:p>
      <w:pPr>
        <w:spacing w:line="240" w:lineRule="auto" w:before="11"/>
        <w:rPr>
          <w:rFonts w:ascii="宋体" w:hAnsi="宋体" w:cs="宋体" w:eastAsia="宋体" w:hint="default"/>
          <w:b/>
          <w:bCs/>
          <w:sz w:val="29"/>
          <w:szCs w:val="29"/>
        </w:rPr>
      </w:pPr>
    </w:p>
    <w:p>
      <w:pPr>
        <w:spacing w:before="0"/>
        <w:ind w:left="138" w:right="1922"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一</w:t>
      </w:r>
      <w:r>
        <w:rPr>
          <w:rFonts w:ascii="Arial" w:hAnsi="Arial" w:cs="Arial" w:eastAsia="Arial" w:hint="default"/>
          <w:b/>
          <w:bCs/>
          <w:sz w:val="21"/>
          <w:szCs w:val="21"/>
        </w:rPr>
        <w:t>)</w:t>
      </w:r>
      <w:r>
        <w:rPr>
          <w:rFonts w:ascii="Arial" w:hAnsi="Arial" w:cs="Arial" w:eastAsia="Arial" w:hint="default"/>
          <w:b/>
          <w:bCs/>
          <w:spacing w:val="19"/>
          <w:sz w:val="21"/>
          <w:szCs w:val="21"/>
        </w:rPr>
        <w:t> </w:t>
      </w:r>
      <w:r>
        <w:rPr>
          <w:rFonts w:ascii="宋体" w:hAnsi="宋体" w:cs="宋体" w:eastAsia="宋体" w:hint="default"/>
          <w:b/>
          <w:bCs/>
          <w:sz w:val="21"/>
          <w:szCs w:val="21"/>
        </w:rPr>
        <w:t>主营业务分析</w:t>
      </w:r>
      <w:r>
        <w:rPr>
          <w:rFonts w:ascii="宋体" w:hAnsi="宋体" w:cs="宋体" w:eastAsia="宋体" w:hint="default"/>
          <w:sz w:val="21"/>
          <w:szCs w:val="21"/>
        </w:rPr>
      </w:r>
    </w:p>
    <w:p>
      <w:pPr>
        <w:spacing w:line="240" w:lineRule="auto" w:before="4"/>
        <w:rPr>
          <w:rFonts w:ascii="宋体" w:hAnsi="宋体" w:cs="宋体" w:eastAsia="宋体" w:hint="default"/>
          <w:b/>
          <w:bCs/>
          <w:sz w:val="21"/>
          <w:szCs w:val="21"/>
        </w:rPr>
      </w:pPr>
    </w:p>
    <w:p>
      <w:pPr>
        <w:spacing w:line="282" w:lineRule="exact" w:before="36"/>
        <w:ind w:left="485" w:right="1922" w:firstLine="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pacing w:val="-36"/>
          <w:sz w:val="21"/>
          <w:szCs w:val="21"/>
        </w:rPr>
        <w:t> </w:t>
      </w:r>
      <w:r>
        <w:rPr>
          <w:rFonts w:ascii="宋体" w:hAnsi="宋体" w:cs="宋体" w:eastAsia="宋体" w:hint="default"/>
          <w:spacing w:val="-2"/>
          <w:sz w:val="21"/>
          <w:szCs w:val="21"/>
        </w:rPr>
        <w:t>利润表及现金流量表相关科目变动分析表</w:t>
      </w:r>
    </w:p>
    <w:p>
      <w:pPr>
        <w:tabs>
          <w:tab w:pos="1048" w:val="left" w:leader="none"/>
        </w:tabs>
        <w:spacing w:line="267" w:lineRule="exact" w:before="0"/>
        <w:ind w:left="0" w:right="12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874" w:type="dxa"/>
        <w:tblLayout w:type="fixed"/>
        <w:tblCellMar>
          <w:top w:w="0" w:type="dxa"/>
          <w:left w:w="0" w:type="dxa"/>
          <w:bottom w:w="0" w:type="dxa"/>
          <w:right w:w="0" w:type="dxa"/>
        </w:tblCellMar>
        <w:tblLook w:val="01E0"/>
      </w:tblPr>
      <w:tblGrid>
        <w:gridCol w:w="2662"/>
        <w:gridCol w:w="1985"/>
        <w:gridCol w:w="1933"/>
        <w:gridCol w:w="1472"/>
      </w:tblGrid>
      <w:tr>
        <w:trPr>
          <w:trHeight w:val="245" w:hRule="exact"/>
        </w:trPr>
        <w:tc>
          <w:tcPr>
            <w:tcW w:w="266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科目</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b/>
                <w:bCs/>
                <w:sz w:val="18"/>
                <w:szCs w:val="18"/>
              </w:rPr>
              <w:t>本期数</w:t>
            </w:r>
            <w:r>
              <w:rPr>
                <w:rFonts w:ascii="宋体" w:hAnsi="宋体" w:cs="宋体" w:eastAsia="宋体" w:hint="default"/>
                <w:sz w:val="18"/>
                <w:szCs w:val="18"/>
              </w:rPr>
            </w:r>
          </w:p>
        </w:tc>
        <w:tc>
          <w:tcPr>
            <w:tcW w:w="193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506" w:right="0"/>
              <w:jc w:val="left"/>
              <w:rPr>
                <w:rFonts w:ascii="宋体" w:hAnsi="宋体" w:cs="宋体" w:eastAsia="宋体" w:hint="default"/>
                <w:sz w:val="18"/>
                <w:szCs w:val="18"/>
              </w:rPr>
            </w:pPr>
            <w:r>
              <w:rPr>
                <w:rFonts w:ascii="宋体" w:hAnsi="宋体" w:cs="宋体" w:eastAsia="宋体" w:hint="default"/>
                <w:b/>
                <w:bCs/>
                <w:sz w:val="18"/>
                <w:szCs w:val="18"/>
              </w:rPr>
              <w:t>上年同期数</w:t>
            </w:r>
            <w:r>
              <w:rPr>
                <w:rFonts w:ascii="宋体" w:hAnsi="宋体" w:cs="宋体" w:eastAsia="宋体" w:hint="default"/>
                <w:sz w:val="18"/>
                <w:szCs w:val="18"/>
              </w:rPr>
            </w:r>
          </w:p>
        </w:tc>
        <w:tc>
          <w:tcPr>
            <w:tcW w:w="147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18" w:lineRule="exact"/>
              <w:ind w:right="110"/>
              <w:jc w:val="right"/>
              <w:rPr>
                <w:rFonts w:ascii="宋体" w:hAnsi="宋体" w:cs="宋体" w:eastAsia="宋体" w:hint="default"/>
                <w:sz w:val="18"/>
                <w:szCs w:val="18"/>
              </w:rPr>
            </w:pPr>
            <w:r>
              <w:rPr>
                <w:rFonts w:ascii="宋体" w:hAnsi="宋体" w:cs="宋体" w:eastAsia="宋体" w:hint="default"/>
                <w:b/>
                <w:bCs/>
                <w:w w:val="95"/>
                <w:sz w:val="18"/>
                <w:szCs w:val="18"/>
              </w:rPr>
              <w:t>变动比例（</w:t>
            </w:r>
            <w:r>
              <w:rPr>
                <w:rFonts w:ascii="Arial" w:hAnsi="Arial" w:cs="Arial" w:eastAsia="Arial"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r>
      <w:tr>
        <w:trPr>
          <w:trHeight w:val="242"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Arial" w:hAnsi="Arial" w:cs="Arial" w:eastAsia="Arial" w:hint="default"/>
                <w:sz w:val="18"/>
                <w:szCs w:val="18"/>
              </w:rPr>
            </w:pPr>
            <w:r>
              <w:rPr>
                <w:rFonts w:ascii="Arial"/>
                <w:spacing w:val="-1"/>
                <w:sz w:val="18"/>
              </w:rPr>
              <w:t>288,570,874,374</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Arial" w:hAnsi="Arial" w:cs="Arial" w:eastAsia="Arial" w:hint="default"/>
                <w:sz w:val="18"/>
                <w:szCs w:val="18"/>
              </w:rPr>
            </w:pPr>
            <w:r>
              <w:rPr>
                <w:rFonts w:ascii="Arial"/>
                <w:spacing w:val="-1"/>
                <w:sz w:val="18"/>
              </w:rPr>
              <w:t>303,727,203,182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46"/>
              <w:jc w:val="right"/>
              <w:rPr>
                <w:rFonts w:ascii="Arial" w:hAnsi="Arial" w:cs="Arial" w:eastAsia="Arial" w:hint="default"/>
                <w:sz w:val="18"/>
                <w:szCs w:val="18"/>
              </w:rPr>
            </w:pPr>
            <w:r>
              <w:rPr>
                <w:rFonts w:ascii="Arial"/>
                <w:sz w:val="18"/>
              </w:rPr>
              <w:t>(5.0)</w:t>
            </w:r>
          </w:p>
        </w:tc>
      </w:tr>
      <w:tr>
        <w:trPr>
          <w:trHeight w:val="245"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Arial" w:hAnsi="Arial" w:cs="Arial" w:eastAsia="Arial" w:hint="default"/>
                <w:sz w:val="18"/>
                <w:szCs w:val="18"/>
              </w:rPr>
            </w:pPr>
            <w:r>
              <w:rPr>
                <w:rFonts w:ascii="Arial"/>
                <w:spacing w:val="-1"/>
                <w:sz w:val="18"/>
              </w:rPr>
              <w:t>199,936,890,360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Arial" w:hAnsi="Arial" w:cs="Arial" w:eastAsia="Arial" w:hint="default"/>
                <w:sz w:val="18"/>
                <w:szCs w:val="18"/>
              </w:rPr>
            </w:pPr>
            <w:r>
              <w:rPr>
                <w:rFonts w:ascii="Arial"/>
                <w:spacing w:val="-2"/>
                <w:sz w:val="18"/>
              </w:rPr>
              <w:t>211,657,042,435</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46"/>
              <w:jc w:val="right"/>
              <w:rPr>
                <w:rFonts w:ascii="Arial" w:hAnsi="Arial" w:cs="Arial" w:eastAsia="Arial" w:hint="default"/>
                <w:sz w:val="18"/>
                <w:szCs w:val="18"/>
              </w:rPr>
            </w:pPr>
            <w:r>
              <w:rPr>
                <w:rFonts w:ascii="Arial"/>
                <w:sz w:val="18"/>
              </w:rPr>
              <w:t>(5.5)</w:t>
            </w:r>
          </w:p>
        </w:tc>
      </w:tr>
      <w:tr>
        <w:trPr>
          <w:trHeight w:val="242"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Arial" w:hAnsi="Arial" w:cs="Arial" w:eastAsia="Arial" w:hint="default"/>
                <w:sz w:val="18"/>
                <w:szCs w:val="18"/>
              </w:rPr>
            </w:pPr>
            <w:r>
              <w:rPr>
                <w:rFonts w:ascii="Arial"/>
                <w:spacing w:val="-1"/>
                <w:sz w:val="18"/>
              </w:rPr>
              <w:t>40,193,368,746</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Arial" w:hAnsi="Arial" w:cs="Arial" w:eastAsia="Arial" w:hint="default"/>
                <w:sz w:val="18"/>
                <w:szCs w:val="18"/>
              </w:rPr>
            </w:pPr>
            <w:r>
              <w:rPr>
                <w:rFonts w:ascii="Arial"/>
                <w:spacing w:val="-1"/>
                <w:sz w:val="18"/>
              </w:rPr>
              <w:t>42,991,498,574</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46"/>
              <w:jc w:val="right"/>
              <w:rPr>
                <w:rFonts w:ascii="Arial" w:hAnsi="Arial" w:cs="Arial" w:eastAsia="Arial" w:hint="default"/>
                <w:sz w:val="18"/>
                <w:szCs w:val="18"/>
              </w:rPr>
            </w:pPr>
            <w:r>
              <w:rPr>
                <w:rFonts w:ascii="Arial"/>
                <w:sz w:val="18"/>
              </w:rPr>
              <w:t>(6.5)</w:t>
            </w:r>
          </w:p>
        </w:tc>
      </w:tr>
      <w:tr>
        <w:trPr>
          <w:trHeight w:val="242"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Arial" w:hAnsi="Arial" w:cs="Arial" w:eastAsia="Arial" w:hint="default"/>
                <w:sz w:val="18"/>
                <w:szCs w:val="18"/>
              </w:rPr>
            </w:pPr>
            <w:r>
              <w:rPr>
                <w:rFonts w:ascii="Arial"/>
                <w:spacing w:val="-2"/>
                <w:sz w:val="18"/>
              </w:rPr>
              <w:t>19,825,119,469</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Arial" w:hAnsi="Arial" w:cs="Arial" w:eastAsia="Arial" w:hint="default"/>
                <w:sz w:val="18"/>
                <w:szCs w:val="18"/>
              </w:rPr>
            </w:pPr>
            <w:r>
              <w:rPr>
                <w:rFonts w:ascii="Arial"/>
                <w:spacing w:val="-1"/>
                <w:sz w:val="18"/>
              </w:rPr>
              <w:t>20,373,057,592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46"/>
              <w:jc w:val="right"/>
              <w:rPr>
                <w:rFonts w:ascii="Arial" w:hAnsi="Arial" w:cs="Arial" w:eastAsia="Arial" w:hint="default"/>
                <w:sz w:val="18"/>
                <w:szCs w:val="18"/>
              </w:rPr>
            </w:pPr>
            <w:r>
              <w:rPr>
                <w:rFonts w:ascii="Arial"/>
                <w:sz w:val="18"/>
              </w:rPr>
              <w:t>(2.7)</w:t>
            </w:r>
          </w:p>
        </w:tc>
      </w:tr>
      <w:tr>
        <w:trPr>
          <w:trHeight w:val="245"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Arial" w:hAnsi="Arial" w:cs="Arial" w:eastAsia="Arial" w:hint="default"/>
                <w:sz w:val="18"/>
                <w:szCs w:val="18"/>
              </w:rPr>
            </w:pPr>
            <w:r>
              <w:rPr>
                <w:rFonts w:ascii="Arial"/>
                <w:spacing w:val="-1"/>
                <w:sz w:val="18"/>
              </w:rPr>
              <w:t>4,333,087,838</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Arial" w:hAnsi="Arial" w:cs="Arial" w:eastAsia="Arial" w:hint="default"/>
                <w:sz w:val="18"/>
                <w:szCs w:val="18"/>
              </w:rPr>
            </w:pPr>
            <w:r>
              <w:rPr>
                <w:rFonts w:ascii="Arial"/>
                <w:spacing w:val="-1"/>
                <w:sz w:val="18"/>
              </w:rPr>
              <w:t>2,949,207,468</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Arial" w:hAnsi="Arial" w:cs="Arial" w:eastAsia="Arial" w:hint="default"/>
                <w:sz w:val="18"/>
                <w:szCs w:val="18"/>
              </w:rPr>
            </w:pPr>
            <w:r>
              <w:rPr>
                <w:rFonts w:ascii="Arial"/>
                <w:w w:val="95"/>
                <w:sz w:val="18"/>
              </w:rPr>
              <w:t>46.9</w:t>
            </w:r>
          </w:p>
        </w:tc>
      </w:tr>
      <w:tr>
        <w:trPr>
          <w:trHeight w:val="242"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Arial" w:hAnsi="Arial" w:cs="Arial" w:eastAsia="Arial" w:hint="default"/>
                <w:sz w:val="18"/>
                <w:szCs w:val="18"/>
              </w:rPr>
            </w:pPr>
            <w:r>
              <w:rPr>
                <w:rFonts w:ascii="Arial"/>
                <w:spacing w:val="-1"/>
                <w:sz w:val="18"/>
              </w:rPr>
              <w:t>92,429,180,159</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Arial" w:hAnsi="Arial" w:cs="Arial" w:eastAsia="Arial" w:hint="default"/>
                <w:sz w:val="18"/>
                <w:szCs w:val="18"/>
              </w:rPr>
            </w:pPr>
            <w:r>
              <w:rPr>
                <w:rFonts w:ascii="Arial"/>
                <w:spacing w:val="-1"/>
                <w:sz w:val="18"/>
              </w:rPr>
              <w:t>83,369,464,367</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Arial" w:hAnsi="Arial" w:cs="Arial" w:eastAsia="Arial" w:hint="default"/>
                <w:sz w:val="18"/>
                <w:szCs w:val="18"/>
              </w:rPr>
            </w:pPr>
            <w:r>
              <w:rPr>
                <w:rFonts w:ascii="Arial"/>
                <w:w w:val="95"/>
                <w:sz w:val="18"/>
              </w:rPr>
              <w:t>10.9</w:t>
            </w:r>
          </w:p>
        </w:tc>
      </w:tr>
      <w:tr>
        <w:trPr>
          <w:trHeight w:val="245"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4"/>
              <w:jc w:val="right"/>
              <w:rPr>
                <w:rFonts w:ascii="Arial" w:hAnsi="Arial" w:cs="Arial" w:eastAsia="Arial" w:hint="default"/>
                <w:sz w:val="18"/>
                <w:szCs w:val="18"/>
              </w:rPr>
            </w:pPr>
            <w:r>
              <w:rPr>
                <w:rFonts w:ascii="Arial"/>
                <w:spacing w:val="-2"/>
                <w:sz w:val="18"/>
              </w:rPr>
              <w:t>(75,033,880,118)</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4"/>
              <w:jc w:val="right"/>
              <w:rPr>
                <w:rFonts w:ascii="Arial" w:hAnsi="Arial" w:cs="Arial" w:eastAsia="Arial" w:hint="default"/>
                <w:sz w:val="18"/>
                <w:szCs w:val="18"/>
              </w:rPr>
            </w:pPr>
            <w:r>
              <w:rPr>
                <w:rFonts w:ascii="Arial"/>
                <w:spacing w:val="-1"/>
                <w:sz w:val="18"/>
              </w:rPr>
              <w:t>(76,936,458,841)</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46"/>
              <w:jc w:val="right"/>
              <w:rPr>
                <w:rFonts w:ascii="Arial" w:hAnsi="Arial" w:cs="Arial" w:eastAsia="Arial" w:hint="default"/>
                <w:sz w:val="18"/>
                <w:szCs w:val="18"/>
              </w:rPr>
            </w:pPr>
            <w:r>
              <w:rPr>
                <w:rFonts w:ascii="Arial"/>
                <w:sz w:val="18"/>
              </w:rPr>
              <w:t>(2.5)</w:t>
            </w:r>
          </w:p>
        </w:tc>
      </w:tr>
      <w:tr>
        <w:trPr>
          <w:trHeight w:val="242"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4"/>
              <w:jc w:val="right"/>
              <w:rPr>
                <w:rFonts w:ascii="Arial" w:hAnsi="Arial" w:cs="Arial" w:eastAsia="Arial" w:hint="default"/>
                <w:sz w:val="18"/>
                <w:szCs w:val="18"/>
              </w:rPr>
            </w:pPr>
            <w:r>
              <w:rPr>
                <w:rFonts w:ascii="Arial"/>
                <w:spacing w:val="-1"/>
                <w:sz w:val="18"/>
              </w:rPr>
              <w:t>(13,585,750,582)</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4"/>
              <w:jc w:val="right"/>
              <w:rPr>
                <w:rFonts w:ascii="Arial" w:hAnsi="Arial" w:cs="Arial" w:eastAsia="Arial" w:hint="default"/>
                <w:sz w:val="18"/>
                <w:szCs w:val="18"/>
              </w:rPr>
            </w:pPr>
            <w:r>
              <w:rPr>
                <w:rFonts w:ascii="Arial"/>
                <w:spacing w:val="-1"/>
                <w:sz w:val="18"/>
              </w:rPr>
              <w:t>(3,143,988,158)</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Arial" w:hAnsi="Arial" w:cs="Arial" w:eastAsia="Arial" w:hint="default"/>
                <w:sz w:val="18"/>
                <w:szCs w:val="18"/>
              </w:rPr>
            </w:pPr>
            <w:r>
              <w:rPr>
                <w:rFonts w:ascii="Arial"/>
                <w:w w:val="95"/>
                <w:sz w:val="18"/>
              </w:rPr>
              <w:t>332.1</w:t>
            </w:r>
          </w:p>
        </w:tc>
      </w:tr>
      <w:tr>
        <w:trPr>
          <w:trHeight w:val="245"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Arial" w:hAnsi="Arial" w:cs="Arial" w:eastAsia="Arial" w:hint="default"/>
                <w:sz w:val="18"/>
                <w:szCs w:val="18"/>
              </w:rPr>
            </w:pPr>
            <w:r>
              <w:rPr>
                <w:rFonts w:ascii="Arial"/>
                <w:spacing w:val="-1"/>
                <w:sz w:val="18"/>
              </w:rPr>
              <w:t>226,318,324</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Arial" w:hAnsi="Arial" w:cs="Arial" w:eastAsia="Arial" w:hint="default"/>
                <w:sz w:val="18"/>
                <w:szCs w:val="18"/>
              </w:rPr>
            </w:pPr>
            <w:r>
              <w:rPr>
                <w:rFonts w:ascii="Arial"/>
                <w:spacing w:val="-1"/>
                <w:sz w:val="18"/>
              </w:rPr>
              <w:t>537,255,282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46"/>
              <w:jc w:val="right"/>
              <w:rPr>
                <w:rFonts w:ascii="Arial" w:hAnsi="Arial" w:cs="Arial" w:eastAsia="Arial" w:hint="default"/>
                <w:sz w:val="18"/>
                <w:szCs w:val="18"/>
              </w:rPr>
            </w:pPr>
            <w:r>
              <w:rPr>
                <w:rFonts w:ascii="Arial"/>
                <w:sz w:val="18"/>
              </w:rPr>
              <w:t>(57.9)</w:t>
            </w:r>
          </w:p>
        </w:tc>
      </w:tr>
    </w:tbl>
    <w:p>
      <w:pPr>
        <w:spacing w:line="240" w:lineRule="auto" w:before="13"/>
        <w:rPr>
          <w:rFonts w:ascii="宋体" w:hAnsi="宋体" w:cs="宋体" w:eastAsia="宋体" w:hint="default"/>
          <w:sz w:val="12"/>
          <w:szCs w:val="12"/>
        </w:rPr>
      </w:pPr>
    </w:p>
    <w:p>
      <w:pPr>
        <w:spacing w:before="36"/>
        <w:ind w:left="485" w:right="1922" w:firstLine="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pacing w:val="-70"/>
          <w:sz w:val="21"/>
          <w:szCs w:val="21"/>
        </w:rPr>
        <w:t> </w:t>
      </w:r>
      <w:r>
        <w:rPr>
          <w:rFonts w:ascii="宋体" w:hAnsi="宋体" w:cs="宋体" w:eastAsia="宋体" w:hint="default"/>
          <w:sz w:val="21"/>
          <w:szCs w:val="21"/>
        </w:rPr>
        <w:t>收入</w:t>
      </w:r>
    </w:p>
    <w:p>
      <w:pPr>
        <w:spacing w:line="240" w:lineRule="auto" w:before="1"/>
        <w:rPr>
          <w:rFonts w:ascii="宋体" w:hAnsi="宋体" w:cs="宋体" w:eastAsia="宋体" w:hint="default"/>
          <w:sz w:val="17"/>
          <w:szCs w:val="17"/>
        </w:rPr>
      </w:pPr>
    </w:p>
    <w:p>
      <w:pPr>
        <w:spacing w:before="0"/>
        <w:ind w:left="846" w:right="1922" w:firstLine="0"/>
        <w:jc w:val="left"/>
        <w:rPr>
          <w:rFonts w:ascii="宋体" w:hAnsi="宋体" w:cs="宋体" w:eastAsia="宋体" w:hint="default"/>
          <w:sz w:val="21"/>
          <w:szCs w:val="21"/>
        </w:rPr>
      </w:pPr>
      <w:r>
        <w:rPr>
          <w:rFonts w:ascii="Arial" w:hAnsi="Arial" w:cs="Arial" w:eastAsia="Arial" w:hint="default"/>
          <w:sz w:val="21"/>
          <w:szCs w:val="21"/>
        </w:rPr>
        <w:t>2.1 </w:t>
      </w:r>
      <w:r>
        <w:rPr>
          <w:rFonts w:ascii="Arial" w:hAnsi="Arial" w:cs="Arial" w:eastAsia="Arial" w:hint="default"/>
          <w:spacing w:val="17"/>
          <w:sz w:val="21"/>
          <w:szCs w:val="21"/>
        </w:rPr>
        <w:t> </w:t>
      </w:r>
      <w:r>
        <w:rPr>
          <w:rFonts w:ascii="宋体" w:hAnsi="宋体" w:cs="宋体" w:eastAsia="宋体" w:hint="default"/>
          <w:sz w:val="21"/>
          <w:szCs w:val="21"/>
        </w:rPr>
        <w:t>主要销售客户的情况</w:t>
      </w:r>
    </w:p>
    <w:p>
      <w:pPr>
        <w:spacing w:line="240" w:lineRule="auto" w:before="4"/>
        <w:rPr>
          <w:rFonts w:ascii="宋体" w:hAnsi="宋体" w:cs="宋体" w:eastAsia="宋体" w:hint="default"/>
          <w:sz w:val="17"/>
          <w:szCs w:val="17"/>
        </w:rPr>
      </w:pPr>
    </w:p>
    <w:p>
      <w:pPr>
        <w:spacing w:line="280" w:lineRule="exact" w:before="0"/>
        <w:ind w:left="1270" w:right="48" w:firstLine="0"/>
        <w:jc w:val="left"/>
        <w:rPr>
          <w:rFonts w:ascii="Arial" w:hAnsi="Arial" w:cs="Arial" w:eastAsia="Arial" w:hint="default"/>
          <w:sz w:val="21"/>
          <w:szCs w:val="21"/>
        </w:rPr>
      </w:pPr>
      <w:r>
        <w:rPr>
          <w:rFonts w:ascii="宋体" w:hAnsi="宋体" w:cs="宋体" w:eastAsia="宋体" w:hint="default"/>
          <w:w w:val="100"/>
          <w:sz w:val="21"/>
          <w:szCs w:val="21"/>
        </w:rPr>
        <w:t>本集</w:t>
      </w:r>
      <w:r>
        <w:rPr>
          <w:rFonts w:ascii="宋体" w:hAnsi="宋体" w:cs="宋体" w:eastAsia="宋体" w:hint="default"/>
          <w:spacing w:val="-3"/>
          <w:w w:val="100"/>
          <w:sz w:val="21"/>
          <w:szCs w:val="21"/>
        </w:rPr>
        <w:t>团</w:t>
      </w:r>
      <w:r>
        <w:rPr>
          <w:rFonts w:ascii="宋体" w:hAnsi="宋体" w:cs="宋体" w:eastAsia="宋体" w:hint="default"/>
          <w:w w:val="100"/>
          <w:sz w:val="21"/>
          <w:szCs w:val="21"/>
        </w:rPr>
        <w:t>前</w:t>
      </w:r>
      <w:r>
        <w:rPr>
          <w:rFonts w:ascii="宋体" w:hAnsi="宋体" w:cs="宋体" w:eastAsia="宋体" w:hint="default"/>
          <w:spacing w:val="-3"/>
          <w:w w:val="100"/>
          <w:sz w:val="21"/>
          <w:szCs w:val="21"/>
        </w:rPr>
        <w:t>五</w:t>
      </w:r>
      <w:r>
        <w:rPr>
          <w:rFonts w:ascii="宋体" w:hAnsi="宋体" w:cs="宋体" w:eastAsia="宋体" w:hint="default"/>
          <w:w w:val="100"/>
          <w:sz w:val="21"/>
          <w:szCs w:val="21"/>
        </w:rPr>
        <w:t>名</w:t>
      </w:r>
      <w:r>
        <w:rPr>
          <w:rFonts w:ascii="宋体" w:hAnsi="宋体" w:cs="宋体" w:eastAsia="宋体" w:hint="default"/>
          <w:spacing w:val="-3"/>
          <w:w w:val="100"/>
          <w:sz w:val="21"/>
          <w:szCs w:val="21"/>
        </w:rPr>
        <w:t>客</w:t>
      </w:r>
      <w:r>
        <w:rPr>
          <w:rFonts w:ascii="宋体" w:hAnsi="宋体" w:cs="宋体" w:eastAsia="宋体" w:hint="default"/>
          <w:w w:val="100"/>
          <w:sz w:val="21"/>
          <w:szCs w:val="21"/>
        </w:rPr>
        <w:t>户</w:t>
      </w:r>
      <w:r>
        <w:rPr>
          <w:rFonts w:ascii="宋体" w:hAnsi="宋体" w:cs="宋体" w:eastAsia="宋体" w:hint="default"/>
          <w:spacing w:val="-3"/>
          <w:w w:val="100"/>
          <w:sz w:val="21"/>
          <w:szCs w:val="21"/>
        </w:rPr>
        <w:t>营</w:t>
      </w:r>
      <w:r>
        <w:rPr>
          <w:rFonts w:ascii="宋体" w:hAnsi="宋体" w:cs="宋体" w:eastAsia="宋体" w:hint="default"/>
          <w:w w:val="100"/>
          <w:sz w:val="21"/>
          <w:szCs w:val="21"/>
        </w:rPr>
        <w:t>业</w:t>
      </w:r>
      <w:r>
        <w:rPr>
          <w:rFonts w:ascii="宋体" w:hAnsi="宋体" w:cs="宋体" w:eastAsia="宋体" w:hint="default"/>
          <w:spacing w:val="-3"/>
          <w:w w:val="100"/>
          <w:sz w:val="21"/>
          <w:szCs w:val="21"/>
        </w:rPr>
        <w:t>收</w:t>
      </w:r>
      <w:r>
        <w:rPr>
          <w:rFonts w:ascii="宋体" w:hAnsi="宋体" w:cs="宋体" w:eastAsia="宋体" w:hint="default"/>
          <w:w w:val="100"/>
          <w:sz w:val="21"/>
          <w:szCs w:val="21"/>
        </w:rPr>
        <w:t>入的</w:t>
      </w:r>
      <w:r>
        <w:rPr>
          <w:rFonts w:ascii="宋体" w:hAnsi="宋体" w:cs="宋体" w:eastAsia="宋体" w:hint="default"/>
          <w:spacing w:val="-3"/>
          <w:w w:val="100"/>
          <w:sz w:val="21"/>
          <w:szCs w:val="21"/>
        </w:rPr>
        <w:t>总</w:t>
      </w:r>
      <w:r>
        <w:rPr>
          <w:rFonts w:ascii="宋体" w:hAnsi="宋体" w:cs="宋体" w:eastAsia="宋体" w:hint="default"/>
          <w:w w:val="100"/>
          <w:sz w:val="21"/>
          <w:szCs w:val="21"/>
        </w:rPr>
        <w:t>额</w:t>
      </w:r>
      <w:r>
        <w:rPr>
          <w:rFonts w:ascii="宋体" w:hAnsi="宋体" w:cs="宋体" w:eastAsia="宋体" w:hint="default"/>
          <w:spacing w:val="-3"/>
          <w:w w:val="100"/>
          <w:sz w:val="21"/>
          <w:szCs w:val="21"/>
        </w:rPr>
        <w:t>约</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52"/>
          <w:sz w:val="21"/>
          <w:szCs w:val="21"/>
        </w:rPr>
        <w:t> </w:t>
      </w:r>
      <w:r>
        <w:rPr>
          <w:rFonts w:ascii="Arial" w:hAnsi="Arial" w:cs="Arial" w:eastAsia="Arial" w:hint="default"/>
          <w:spacing w:val="-3"/>
          <w:w w:val="100"/>
          <w:sz w:val="21"/>
          <w:szCs w:val="21"/>
        </w:rPr>
        <w:t>1</w:t>
      </w:r>
      <w:r>
        <w:rPr>
          <w:rFonts w:ascii="Arial" w:hAnsi="Arial" w:cs="Arial" w:eastAsia="Arial" w:hint="default"/>
          <w:w w:val="100"/>
          <w:sz w:val="21"/>
          <w:szCs w:val="21"/>
        </w:rPr>
        <w:t>70</w:t>
      </w:r>
      <w:r>
        <w:rPr>
          <w:rFonts w:ascii="Arial" w:hAnsi="Arial" w:cs="Arial" w:eastAsia="Arial" w:hint="default"/>
          <w:spacing w:val="-1"/>
          <w:w w:val="100"/>
          <w:sz w:val="21"/>
          <w:szCs w:val="21"/>
        </w:rPr>
        <w:t>.</w:t>
      </w:r>
      <w:r>
        <w:rPr>
          <w:rFonts w:ascii="Arial" w:hAnsi="Arial" w:cs="Arial" w:eastAsia="Arial" w:hint="default"/>
          <w:spacing w:val="-3"/>
          <w:w w:val="100"/>
          <w:sz w:val="21"/>
          <w:szCs w:val="21"/>
        </w:rPr>
        <w:t>6</w:t>
      </w:r>
      <w:r>
        <w:rPr>
          <w:rFonts w:ascii="Arial" w:hAnsi="Arial" w:cs="Arial" w:eastAsia="Arial" w:hint="default"/>
          <w:w w:val="100"/>
          <w:sz w:val="21"/>
          <w:szCs w:val="21"/>
        </w:rPr>
        <w:t>6</w:t>
      </w:r>
      <w:r>
        <w:rPr>
          <w:rFonts w:ascii="Arial" w:hAnsi="Arial" w:cs="Arial" w:eastAsia="Arial" w:hint="default"/>
          <w:spacing w:val="-8"/>
          <w:sz w:val="21"/>
          <w:szCs w:val="21"/>
        </w:rPr>
        <w:t> </w:t>
      </w:r>
      <w:r>
        <w:rPr>
          <w:rFonts w:ascii="宋体" w:hAnsi="宋体" w:cs="宋体" w:eastAsia="宋体" w:hint="default"/>
          <w:w w:val="100"/>
          <w:sz w:val="21"/>
          <w:szCs w:val="21"/>
        </w:rPr>
        <w:t>亿</w:t>
      </w:r>
      <w:r>
        <w:rPr>
          <w:rFonts w:ascii="宋体" w:hAnsi="宋体" w:cs="宋体" w:eastAsia="宋体" w:hint="default"/>
          <w:spacing w:val="-104"/>
          <w:w w:val="100"/>
          <w:sz w:val="21"/>
          <w:szCs w:val="21"/>
        </w:rPr>
        <w:t>元</w:t>
      </w:r>
      <w:r>
        <w:rPr>
          <w:rFonts w:ascii="宋体" w:hAnsi="宋体" w:cs="宋体" w:eastAsia="宋体" w:hint="default"/>
          <w:w w:val="100"/>
          <w:sz w:val="21"/>
          <w:szCs w:val="21"/>
        </w:rPr>
        <w:t>（</w:t>
      </w:r>
      <w:r>
        <w:rPr>
          <w:rFonts w:ascii="Arial" w:hAnsi="Arial" w:cs="Arial" w:eastAsia="Arial" w:hint="default"/>
          <w:spacing w:val="-3"/>
          <w:w w:val="100"/>
          <w:sz w:val="21"/>
          <w:szCs w:val="21"/>
        </w:rPr>
        <w:t>2</w:t>
      </w:r>
      <w:r>
        <w:rPr>
          <w:rFonts w:ascii="Arial" w:hAnsi="Arial" w:cs="Arial" w:eastAsia="Arial" w:hint="default"/>
          <w:w w:val="100"/>
          <w:sz w:val="21"/>
          <w:szCs w:val="21"/>
        </w:rPr>
        <w:t>013</w:t>
      </w:r>
      <w:r>
        <w:rPr>
          <w:rFonts w:ascii="Arial" w:hAnsi="Arial" w:cs="Arial" w:eastAsia="Arial" w:hint="default"/>
          <w:spacing w:val="-8"/>
          <w:sz w:val="21"/>
          <w:szCs w:val="21"/>
        </w:rPr>
        <w:t> </w:t>
      </w:r>
      <w:r>
        <w:rPr>
          <w:rFonts w:ascii="宋体" w:hAnsi="宋体" w:cs="宋体" w:eastAsia="宋体" w:hint="default"/>
          <w:spacing w:val="-3"/>
          <w:w w:val="100"/>
          <w:sz w:val="21"/>
          <w:szCs w:val="21"/>
        </w:rPr>
        <w:t>年</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约</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53"/>
          <w:sz w:val="21"/>
          <w:szCs w:val="21"/>
        </w:rPr>
        <w:t> </w:t>
      </w:r>
      <w:r>
        <w:rPr>
          <w:rFonts w:ascii="Arial" w:hAnsi="Arial" w:cs="Arial" w:eastAsia="Arial" w:hint="default"/>
          <w:spacing w:val="-3"/>
          <w:w w:val="100"/>
          <w:sz w:val="21"/>
          <w:szCs w:val="21"/>
        </w:rPr>
        <w:t>1</w:t>
      </w:r>
      <w:r>
        <w:rPr>
          <w:rFonts w:ascii="Arial" w:hAnsi="Arial" w:cs="Arial" w:eastAsia="Arial" w:hint="default"/>
          <w:w w:val="100"/>
          <w:sz w:val="21"/>
          <w:szCs w:val="21"/>
        </w:rPr>
        <w:t>92</w:t>
      </w:r>
      <w:r>
        <w:rPr>
          <w:rFonts w:ascii="Arial" w:hAnsi="Arial" w:cs="Arial" w:eastAsia="Arial" w:hint="default"/>
          <w:spacing w:val="-1"/>
          <w:w w:val="100"/>
          <w:sz w:val="21"/>
          <w:szCs w:val="21"/>
        </w:rPr>
        <w:t>.</w:t>
      </w:r>
      <w:r>
        <w:rPr>
          <w:rFonts w:ascii="Arial" w:hAnsi="Arial" w:cs="Arial" w:eastAsia="Arial" w:hint="default"/>
          <w:w w:val="100"/>
          <w:sz w:val="21"/>
          <w:szCs w:val="21"/>
        </w:rPr>
        <w:t>49</w:t>
      </w:r>
    </w:p>
    <w:p>
      <w:pPr>
        <w:spacing w:line="280" w:lineRule="exact" w:before="0"/>
        <w:ind w:left="1270" w:right="143" w:firstLine="0"/>
        <w:jc w:val="left"/>
        <w:rPr>
          <w:rFonts w:ascii="宋体" w:hAnsi="宋体" w:cs="宋体" w:eastAsia="宋体" w:hint="default"/>
          <w:sz w:val="21"/>
          <w:szCs w:val="21"/>
        </w:rPr>
      </w:pPr>
      <w:r>
        <w:rPr>
          <w:rFonts w:ascii="宋体" w:hAnsi="宋体" w:cs="宋体" w:eastAsia="宋体" w:hint="default"/>
          <w:sz w:val="21"/>
          <w:szCs w:val="21"/>
        </w:rPr>
        <w:t>亿元），占本集团全部营业收入的比例为</w:t>
      </w:r>
      <w:r>
        <w:rPr>
          <w:rFonts w:ascii="宋体" w:hAnsi="宋体" w:cs="宋体" w:eastAsia="宋体" w:hint="default"/>
          <w:spacing w:val="-54"/>
          <w:sz w:val="21"/>
          <w:szCs w:val="21"/>
        </w:rPr>
        <w:t> </w:t>
      </w:r>
      <w:r>
        <w:rPr>
          <w:rFonts w:ascii="Arial" w:hAnsi="Arial" w:cs="Arial" w:eastAsia="Arial" w:hint="default"/>
          <w:sz w:val="21"/>
          <w:szCs w:val="21"/>
        </w:rPr>
        <w:t>5.9%</w:t>
      </w:r>
      <w:r>
        <w:rPr>
          <w:rFonts w:ascii="宋体" w:hAnsi="宋体" w:cs="宋体" w:eastAsia="宋体" w:hint="default"/>
          <w:sz w:val="21"/>
          <w:szCs w:val="21"/>
        </w:rPr>
        <w:t>（</w:t>
      </w: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Arial" w:hAnsi="Arial" w:cs="Arial" w:eastAsia="Arial" w:hint="default"/>
          <w:sz w:val="21"/>
          <w:szCs w:val="21"/>
        </w:rPr>
        <w:t>6.3%</w:t>
      </w:r>
      <w:r>
        <w:rPr>
          <w:rFonts w:ascii="宋体" w:hAnsi="宋体" w:cs="宋体" w:eastAsia="宋体" w:hint="default"/>
          <w:sz w:val="21"/>
          <w:szCs w:val="21"/>
        </w:rPr>
        <w:t>）。</w:t>
      </w:r>
    </w:p>
    <w:p>
      <w:pPr>
        <w:spacing w:line="240" w:lineRule="auto" w:before="1"/>
        <w:rPr>
          <w:rFonts w:ascii="宋体" w:hAnsi="宋体" w:cs="宋体" w:eastAsia="宋体" w:hint="default"/>
          <w:sz w:val="17"/>
          <w:szCs w:val="17"/>
        </w:rPr>
      </w:pPr>
    </w:p>
    <w:p>
      <w:pPr>
        <w:spacing w:before="0"/>
        <w:ind w:left="485" w:right="1922" w:firstLine="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spacing w:val="-70"/>
          <w:sz w:val="21"/>
          <w:szCs w:val="21"/>
        </w:rPr>
        <w:t> </w:t>
      </w:r>
      <w:r>
        <w:rPr>
          <w:rFonts w:ascii="宋体" w:hAnsi="宋体" w:cs="宋体" w:eastAsia="宋体" w:hint="default"/>
          <w:sz w:val="21"/>
          <w:szCs w:val="21"/>
        </w:rPr>
        <w:t>成本</w:t>
      </w:r>
    </w:p>
    <w:p>
      <w:pPr>
        <w:spacing w:line="240" w:lineRule="auto" w:before="4"/>
        <w:rPr>
          <w:rFonts w:ascii="宋体" w:hAnsi="宋体" w:cs="宋体" w:eastAsia="宋体" w:hint="default"/>
          <w:sz w:val="14"/>
          <w:szCs w:val="14"/>
        </w:rPr>
      </w:pPr>
    </w:p>
    <w:p>
      <w:pPr>
        <w:spacing w:line="282" w:lineRule="exact" w:before="36"/>
        <w:ind w:left="846" w:right="1922" w:firstLine="0"/>
        <w:jc w:val="left"/>
        <w:rPr>
          <w:rFonts w:ascii="宋体" w:hAnsi="宋体" w:cs="宋体" w:eastAsia="宋体" w:hint="default"/>
          <w:sz w:val="21"/>
          <w:szCs w:val="21"/>
        </w:rPr>
      </w:pPr>
      <w:r>
        <w:rPr>
          <w:rFonts w:ascii="Arial" w:hAnsi="Arial" w:cs="Arial" w:eastAsia="Arial" w:hint="default"/>
          <w:sz w:val="21"/>
          <w:szCs w:val="21"/>
        </w:rPr>
        <w:t>3.1 </w:t>
      </w:r>
      <w:r>
        <w:rPr>
          <w:rFonts w:ascii="Arial" w:hAnsi="Arial" w:cs="Arial" w:eastAsia="Arial" w:hint="default"/>
          <w:spacing w:val="18"/>
          <w:sz w:val="21"/>
          <w:szCs w:val="21"/>
        </w:rPr>
        <w:t> </w:t>
      </w:r>
      <w:r>
        <w:rPr>
          <w:rFonts w:ascii="宋体" w:hAnsi="宋体" w:cs="宋体" w:eastAsia="宋体" w:hint="default"/>
          <w:sz w:val="21"/>
          <w:szCs w:val="21"/>
        </w:rPr>
        <w:t>成本分析表</w:t>
      </w:r>
    </w:p>
    <w:p>
      <w:pPr>
        <w:tabs>
          <w:tab w:pos="1468" w:val="left" w:leader="none"/>
        </w:tabs>
        <w:spacing w:line="267" w:lineRule="exact" w:before="0"/>
        <w:ind w:left="0" w:right="129" w:firstLine="0"/>
        <w:jc w:val="right"/>
        <w:rPr>
          <w:rFonts w:ascii="宋体" w:hAnsi="宋体" w:cs="宋体" w:eastAsia="宋体" w:hint="default"/>
          <w:sz w:val="21"/>
          <w:szCs w:val="21"/>
        </w:rPr>
      </w:pPr>
      <w:r>
        <w:rPr>
          <w:rFonts w:ascii="宋体" w:hAnsi="宋体" w:cs="宋体" w:eastAsia="宋体" w:hint="default"/>
          <w:spacing w:val="-1"/>
          <w:sz w:val="21"/>
          <w:szCs w:val="21"/>
        </w:rPr>
        <w:t>单位：百万元</w:t>
        <w:tab/>
        <w:t>币种：人民币</w:t>
      </w:r>
    </w:p>
    <w:p>
      <w:pPr>
        <w:spacing w:line="240" w:lineRule="auto" w:before="4"/>
        <w:rPr>
          <w:rFonts w:ascii="宋体" w:hAnsi="宋体" w:cs="宋体" w:eastAsia="宋体" w:hint="default"/>
          <w:sz w:val="2"/>
          <w:szCs w:val="2"/>
        </w:rPr>
      </w:pPr>
    </w:p>
    <w:tbl>
      <w:tblPr>
        <w:tblW w:w="0" w:type="auto"/>
        <w:jc w:val="left"/>
        <w:tblInd w:w="1268" w:type="dxa"/>
        <w:tblLayout w:type="fixed"/>
        <w:tblCellMar>
          <w:top w:w="0" w:type="dxa"/>
          <w:left w:w="0" w:type="dxa"/>
          <w:bottom w:w="0" w:type="dxa"/>
          <w:right w:w="0" w:type="dxa"/>
        </w:tblCellMar>
        <w:tblLook w:val="01E0"/>
      </w:tblPr>
      <w:tblGrid>
        <w:gridCol w:w="775"/>
        <w:gridCol w:w="1850"/>
        <w:gridCol w:w="953"/>
        <w:gridCol w:w="1133"/>
        <w:gridCol w:w="821"/>
        <w:gridCol w:w="994"/>
        <w:gridCol w:w="1131"/>
      </w:tblGrid>
      <w:tr>
        <w:trPr>
          <w:trHeight w:val="245" w:hRule="exact"/>
        </w:trPr>
        <w:tc>
          <w:tcPr>
            <w:tcW w:w="7656" w:type="dxa"/>
            <w:gridSpan w:val="7"/>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b/>
                <w:bCs/>
                <w:sz w:val="18"/>
                <w:szCs w:val="18"/>
              </w:rPr>
              <w:t>分行业情况</w:t>
            </w:r>
            <w:r>
              <w:rPr>
                <w:rFonts w:ascii="宋体" w:hAnsi="宋体" w:cs="宋体" w:eastAsia="宋体" w:hint="default"/>
                <w:sz w:val="18"/>
                <w:szCs w:val="18"/>
              </w:rPr>
            </w:r>
          </w:p>
        </w:tc>
      </w:tr>
      <w:tr>
        <w:trPr>
          <w:trHeight w:val="710" w:hRule="exact"/>
        </w:trPr>
        <w:tc>
          <w:tcPr>
            <w:tcW w:w="77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b/>
                <w:bCs/>
                <w:sz w:val="18"/>
                <w:szCs w:val="18"/>
              </w:rPr>
              <w:t>分行业</w:t>
            </w:r>
            <w:r>
              <w:rPr>
                <w:rFonts w:ascii="宋体" w:hAnsi="宋体" w:cs="宋体" w:eastAsia="宋体" w:hint="default"/>
                <w:sz w:val="18"/>
                <w:szCs w:val="18"/>
              </w:rPr>
            </w:r>
          </w:p>
        </w:tc>
        <w:tc>
          <w:tcPr>
            <w:tcW w:w="185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b/>
                <w:bCs/>
                <w:sz w:val="18"/>
                <w:szCs w:val="18"/>
              </w:rPr>
              <w:t>成本构成项目</w:t>
            </w:r>
            <w:r>
              <w:rPr>
                <w:rFonts w:ascii="宋体" w:hAnsi="宋体" w:cs="宋体" w:eastAsia="宋体" w:hint="default"/>
                <w:sz w:val="18"/>
                <w:szCs w:val="18"/>
              </w:rPr>
            </w:r>
          </w:p>
        </w:tc>
        <w:tc>
          <w:tcPr>
            <w:tcW w:w="9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5"/>
              <w:jc w:val="right"/>
              <w:rPr>
                <w:rFonts w:ascii="宋体" w:hAnsi="宋体" w:cs="宋体" w:eastAsia="宋体" w:hint="default"/>
                <w:sz w:val="18"/>
                <w:szCs w:val="18"/>
              </w:rPr>
            </w:pPr>
            <w:r>
              <w:rPr>
                <w:rFonts w:ascii="宋体" w:hAnsi="宋体" w:cs="宋体" w:eastAsia="宋体" w:hint="default"/>
                <w:b/>
                <w:bCs/>
                <w:w w:val="95"/>
                <w:sz w:val="18"/>
                <w:szCs w:val="18"/>
              </w:rPr>
              <w:t>本期金额</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5"/>
              <w:ind w:left="148" w:right="108" w:hanging="39"/>
              <w:jc w:val="left"/>
              <w:rPr>
                <w:rFonts w:ascii="Arial" w:hAnsi="Arial" w:cs="Arial" w:eastAsia="Arial" w:hint="default"/>
                <w:sz w:val="18"/>
                <w:szCs w:val="18"/>
              </w:rPr>
            </w:pPr>
            <w:r>
              <w:rPr>
                <w:rFonts w:ascii="宋体" w:hAnsi="宋体" w:cs="宋体" w:eastAsia="宋体" w:hint="default"/>
                <w:b/>
                <w:bCs/>
                <w:sz w:val="18"/>
                <w:szCs w:val="18"/>
              </w:rPr>
              <w:t>本期占总成</w:t>
            </w:r>
            <w:r>
              <w:rPr>
                <w:rFonts w:ascii="宋体" w:hAnsi="宋体" w:cs="宋体" w:eastAsia="宋体" w:hint="default"/>
                <w:b/>
                <w:bCs/>
                <w:w w:val="99"/>
                <w:sz w:val="18"/>
                <w:szCs w:val="18"/>
              </w:rPr>
              <w:t> </w:t>
            </w:r>
            <w:r>
              <w:rPr>
                <w:rFonts w:ascii="宋体" w:hAnsi="宋体" w:cs="宋体" w:eastAsia="宋体" w:hint="default"/>
                <w:b/>
                <w:bCs/>
                <w:sz w:val="18"/>
                <w:szCs w:val="18"/>
              </w:rPr>
              <w:t>本比例</w:t>
            </w:r>
            <w:r>
              <w:rPr>
                <w:rFonts w:ascii="Arial" w:hAnsi="Arial" w:cs="Arial" w:eastAsia="Arial" w:hint="default"/>
                <w:b/>
                <w:bCs/>
                <w:sz w:val="18"/>
                <w:szCs w:val="18"/>
              </w:rPr>
              <w:t>(%)</w:t>
            </w:r>
            <w:r>
              <w:rPr>
                <w:rFonts w:ascii="Arial" w:hAnsi="Arial" w:cs="Arial" w:eastAsia="Arial"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5"/>
              <w:ind w:left="137" w:right="130"/>
              <w:jc w:val="left"/>
              <w:rPr>
                <w:rFonts w:ascii="宋体" w:hAnsi="宋体" w:cs="宋体" w:eastAsia="宋体" w:hint="default"/>
                <w:sz w:val="18"/>
                <w:szCs w:val="18"/>
              </w:rPr>
            </w:pPr>
            <w:r>
              <w:rPr>
                <w:rFonts w:ascii="宋体" w:hAnsi="宋体" w:cs="宋体" w:eastAsia="宋体" w:hint="default"/>
                <w:b/>
                <w:bCs/>
                <w:sz w:val="18"/>
                <w:szCs w:val="18"/>
              </w:rPr>
              <w:t>上年同</w:t>
            </w:r>
            <w:r>
              <w:rPr>
                <w:rFonts w:ascii="宋体" w:hAnsi="宋体" w:cs="宋体" w:eastAsia="宋体" w:hint="default"/>
                <w:b/>
                <w:bCs/>
                <w:w w:val="99"/>
                <w:sz w:val="18"/>
                <w:szCs w:val="18"/>
              </w:rPr>
              <w:t> </w:t>
            </w:r>
            <w:r>
              <w:rPr>
                <w:rFonts w:ascii="宋体" w:hAnsi="宋体" w:cs="宋体" w:eastAsia="宋体" w:hint="default"/>
                <w:b/>
                <w:bCs/>
                <w:sz w:val="18"/>
                <w:szCs w:val="18"/>
              </w:rPr>
              <w:t>期金额</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4" w:lineRule="exact"/>
              <w:ind w:left="129" w:right="0"/>
              <w:jc w:val="left"/>
              <w:rPr>
                <w:rFonts w:ascii="宋体" w:hAnsi="宋体" w:cs="宋体" w:eastAsia="宋体" w:hint="default"/>
                <w:sz w:val="18"/>
                <w:szCs w:val="18"/>
              </w:rPr>
            </w:pPr>
            <w:r>
              <w:rPr>
                <w:rFonts w:ascii="宋体" w:hAnsi="宋体" w:cs="宋体" w:eastAsia="宋体" w:hint="default"/>
                <w:b/>
                <w:bCs/>
                <w:sz w:val="18"/>
                <w:szCs w:val="18"/>
              </w:rPr>
              <w:t>上年同期</w:t>
            </w:r>
            <w:r>
              <w:rPr>
                <w:rFonts w:ascii="宋体" w:hAnsi="宋体" w:cs="宋体" w:eastAsia="宋体" w:hint="default"/>
                <w:sz w:val="18"/>
                <w:szCs w:val="18"/>
              </w:rPr>
            </w:r>
          </w:p>
          <w:p>
            <w:pPr>
              <w:pStyle w:val="TableParagraph"/>
              <w:spacing w:line="232" w:lineRule="exact" w:before="23"/>
              <w:ind w:left="170" w:right="130" w:hanging="41"/>
              <w:jc w:val="left"/>
              <w:rPr>
                <w:rFonts w:ascii="Arial" w:hAnsi="Arial" w:cs="Arial" w:eastAsia="Arial" w:hint="default"/>
                <w:sz w:val="18"/>
                <w:szCs w:val="18"/>
              </w:rPr>
            </w:pPr>
            <w:r>
              <w:rPr>
                <w:rFonts w:ascii="宋体" w:hAnsi="宋体" w:cs="宋体" w:eastAsia="宋体" w:hint="default"/>
                <w:b/>
                <w:bCs/>
                <w:sz w:val="18"/>
                <w:szCs w:val="18"/>
              </w:rPr>
              <w:t>占总成本</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Arial" w:hAnsi="Arial" w:cs="Arial" w:eastAsia="Arial" w:hint="default"/>
                <w:b/>
                <w:bCs/>
                <w:sz w:val="18"/>
                <w:szCs w:val="18"/>
              </w:rPr>
              <w:t>(%)</w:t>
            </w:r>
            <w:r>
              <w:rPr>
                <w:rFonts w:ascii="Arial" w:hAnsi="Arial" w:cs="Arial" w:eastAsia="Arial" w:hint="default"/>
                <w:sz w:val="18"/>
                <w:szCs w:val="18"/>
              </w:rPr>
            </w:r>
          </w:p>
        </w:tc>
        <w:tc>
          <w:tcPr>
            <w:tcW w:w="113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本期金额较</w:t>
            </w:r>
            <w:r>
              <w:rPr>
                <w:rFonts w:ascii="宋体" w:hAnsi="宋体" w:cs="宋体" w:eastAsia="宋体" w:hint="default"/>
                <w:sz w:val="18"/>
                <w:szCs w:val="18"/>
              </w:rPr>
            </w:r>
          </w:p>
          <w:p>
            <w:pPr>
              <w:pStyle w:val="TableParagraph"/>
              <w:spacing w:line="232" w:lineRule="exact" w:before="23"/>
              <w:ind w:left="148" w:right="109" w:hanging="41"/>
              <w:jc w:val="left"/>
              <w:rPr>
                <w:rFonts w:ascii="Arial" w:hAnsi="Arial" w:cs="Arial" w:eastAsia="Arial" w:hint="default"/>
                <w:sz w:val="18"/>
                <w:szCs w:val="18"/>
              </w:rPr>
            </w:pPr>
            <w:r>
              <w:rPr>
                <w:rFonts w:ascii="宋体" w:hAnsi="宋体" w:cs="宋体" w:eastAsia="宋体" w:hint="default"/>
                <w:b/>
                <w:bCs/>
                <w:sz w:val="18"/>
                <w:szCs w:val="18"/>
              </w:rPr>
              <w:t>上年同期变</w:t>
            </w:r>
            <w:r>
              <w:rPr>
                <w:rFonts w:ascii="宋体" w:hAnsi="宋体" w:cs="宋体" w:eastAsia="宋体" w:hint="default"/>
                <w:b/>
                <w:bCs/>
                <w:w w:val="99"/>
                <w:sz w:val="18"/>
                <w:szCs w:val="18"/>
              </w:rPr>
              <w:t> </w:t>
            </w:r>
            <w:r>
              <w:rPr>
                <w:rFonts w:ascii="宋体" w:hAnsi="宋体" w:cs="宋体" w:eastAsia="宋体" w:hint="default"/>
                <w:b/>
                <w:bCs/>
                <w:sz w:val="18"/>
                <w:szCs w:val="18"/>
              </w:rPr>
              <w:t>动比例</w:t>
            </w:r>
            <w:r>
              <w:rPr>
                <w:rFonts w:ascii="Arial" w:hAnsi="Arial" w:cs="Arial" w:eastAsia="Arial" w:hint="default"/>
                <w:b/>
                <w:bCs/>
                <w:sz w:val="18"/>
                <w:szCs w:val="18"/>
              </w:rPr>
              <w:t>(%)</w:t>
            </w:r>
            <w:r>
              <w:rPr>
                <w:rFonts w:ascii="Arial" w:hAnsi="Arial" w:cs="Arial" w:eastAsia="Arial" w:hint="default"/>
                <w:sz w:val="18"/>
                <w:szCs w:val="18"/>
              </w:rPr>
            </w:r>
          </w:p>
        </w:tc>
      </w:tr>
      <w:tr>
        <w:trPr>
          <w:trHeight w:val="242" w:hRule="exact"/>
        </w:trPr>
        <w:tc>
          <w:tcPr>
            <w:tcW w:w="7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 w:right="0"/>
              <w:jc w:val="left"/>
              <w:rPr>
                <w:rFonts w:ascii="宋体" w:hAnsi="宋体" w:cs="宋体" w:eastAsia="宋体" w:hint="default"/>
                <w:sz w:val="18"/>
                <w:szCs w:val="18"/>
              </w:rPr>
            </w:pPr>
            <w:r>
              <w:rPr>
                <w:rFonts w:ascii="宋体" w:hAnsi="宋体" w:cs="宋体" w:eastAsia="宋体" w:hint="default"/>
                <w:sz w:val="18"/>
                <w:szCs w:val="18"/>
              </w:rPr>
              <w:t>网络运行及支撑成本</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7"/>
              <w:jc w:val="right"/>
              <w:rPr>
                <w:rFonts w:ascii="Arial" w:hAnsi="Arial" w:cs="Arial" w:eastAsia="Arial" w:hint="default"/>
                <w:sz w:val="18"/>
                <w:szCs w:val="18"/>
              </w:rPr>
            </w:pPr>
            <w:r>
              <w:rPr>
                <w:rFonts w:ascii="Arial"/>
                <w:spacing w:val="-1"/>
                <w:sz w:val="18"/>
              </w:rPr>
              <w:t>37,851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3"/>
              <w:jc w:val="right"/>
              <w:rPr>
                <w:rFonts w:ascii="Arial" w:hAnsi="Arial" w:cs="Arial" w:eastAsia="Arial" w:hint="default"/>
                <w:sz w:val="18"/>
                <w:szCs w:val="18"/>
              </w:rPr>
            </w:pPr>
            <w:r>
              <w:rPr>
                <w:rFonts w:ascii="Arial"/>
                <w:w w:val="95"/>
                <w:sz w:val="18"/>
              </w:rPr>
              <w:t>18.9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6" w:right="0"/>
              <w:jc w:val="center"/>
              <w:rPr>
                <w:rFonts w:ascii="Arial" w:hAnsi="Arial" w:cs="Arial" w:eastAsia="Arial" w:hint="default"/>
                <w:sz w:val="18"/>
                <w:szCs w:val="18"/>
              </w:rPr>
            </w:pPr>
            <w:r>
              <w:rPr>
                <w:rFonts w:ascii="Arial"/>
                <w:sz w:val="18"/>
              </w:rPr>
              <w:t>33,704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5"/>
                <w:sz w:val="18"/>
              </w:rPr>
              <w:t>18.2</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5"/>
                <w:sz w:val="18"/>
              </w:rPr>
              <w:t>12.3</w:t>
            </w:r>
          </w:p>
        </w:tc>
      </w:tr>
      <w:tr>
        <w:trPr>
          <w:trHeight w:val="242" w:hRule="exact"/>
        </w:trPr>
        <w:tc>
          <w:tcPr>
            <w:tcW w:w="775" w:type="dxa"/>
            <w:vMerge/>
            <w:tcBorders>
              <w:left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 w:right="0"/>
              <w:jc w:val="left"/>
              <w:rPr>
                <w:rFonts w:ascii="宋体" w:hAnsi="宋体" w:cs="宋体" w:eastAsia="宋体" w:hint="default"/>
                <w:sz w:val="18"/>
                <w:szCs w:val="18"/>
              </w:rPr>
            </w:pPr>
            <w:r>
              <w:rPr>
                <w:rFonts w:ascii="宋体" w:hAnsi="宋体" w:cs="宋体" w:eastAsia="宋体" w:hint="default"/>
                <w:sz w:val="18"/>
                <w:szCs w:val="18"/>
              </w:rPr>
              <w:t>网间结算成本</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7"/>
              <w:jc w:val="right"/>
              <w:rPr>
                <w:rFonts w:ascii="Arial" w:hAnsi="Arial" w:cs="Arial" w:eastAsia="Arial" w:hint="default"/>
                <w:sz w:val="18"/>
                <w:szCs w:val="18"/>
              </w:rPr>
            </w:pPr>
            <w:r>
              <w:rPr>
                <w:rFonts w:ascii="Arial"/>
                <w:spacing w:val="-1"/>
                <w:sz w:val="18"/>
              </w:rPr>
              <w:t>14,599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2"/>
              <w:jc w:val="right"/>
              <w:rPr>
                <w:rFonts w:ascii="Arial" w:hAnsi="Arial" w:cs="Arial" w:eastAsia="Arial" w:hint="default"/>
                <w:sz w:val="18"/>
                <w:szCs w:val="18"/>
              </w:rPr>
            </w:pPr>
            <w:r>
              <w:rPr>
                <w:rFonts w:ascii="Arial"/>
                <w:w w:val="95"/>
                <w:sz w:val="18"/>
              </w:rPr>
              <w:t>7.3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56" w:right="0"/>
              <w:jc w:val="center"/>
              <w:rPr>
                <w:rFonts w:ascii="Arial" w:hAnsi="Arial" w:cs="Arial" w:eastAsia="Arial" w:hint="default"/>
                <w:sz w:val="18"/>
                <w:szCs w:val="18"/>
              </w:rPr>
            </w:pPr>
            <w:r>
              <w:rPr>
                <w:rFonts w:ascii="Arial"/>
                <w:sz w:val="18"/>
              </w:rPr>
              <w:t>20,208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18"/>
                <w:szCs w:val="18"/>
              </w:rPr>
            </w:pPr>
            <w:r>
              <w:rPr>
                <w:rFonts w:ascii="Arial"/>
                <w:w w:val="95"/>
                <w:sz w:val="18"/>
              </w:rPr>
              <w:t>10.4</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3"/>
              <w:jc w:val="right"/>
              <w:rPr>
                <w:rFonts w:ascii="Arial" w:hAnsi="Arial" w:cs="Arial" w:eastAsia="Arial" w:hint="default"/>
                <w:sz w:val="18"/>
                <w:szCs w:val="18"/>
              </w:rPr>
            </w:pPr>
            <w:r>
              <w:rPr>
                <w:rFonts w:ascii="Arial"/>
                <w:sz w:val="18"/>
              </w:rPr>
              <w:t>(27.8)</w:t>
            </w:r>
          </w:p>
        </w:tc>
      </w:tr>
      <w:tr>
        <w:trPr>
          <w:trHeight w:val="245" w:hRule="exact"/>
        </w:trPr>
        <w:tc>
          <w:tcPr>
            <w:tcW w:w="775" w:type="dxa"/>
            <w:vMerge/>
            <w:tcBorders>
              <w:left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7"/>
              <w:jc w:val="right"/>
              <w:rPr>
                <w:rFonts w:ascii="Arial" w:hAnsi="Arial" w:cs="Arial" w:eastAsia="Arial" w:hint="default"/>
                <w:sz w:val="18"/>
                <w:szCs w:val="18"/>
              </w:rPr>
            </w:pPr>
            <w:r>
              <w:rPr>
                <w:rFonts w:ascii="Arial"/>
                <w:spacing w:val="-1"/>
                <w:sz w:val="18"/>
              </w:rPr>
              <w:t>25,116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3"/>
              <w:jc w:val="right"/>
              <w:rPr>
                <w:rFonts w:ascii="Arial" w:hAnsi="Arial" w:cs="Arial" w:eastAsia="Arial" w:hint="default"/>
                <w:sz w:val="18"/>
                <w:szCs w:val="18"/>
              </w:rPr>
            </w:pPr>
            <w:r>
              <w:rPr>
                <w:rFonts w:ascii="Arial"/>
                <w:w w:val="95"/>
                <w:sz w:val="18"/>
              </w:rPr>
              <w:t>12.6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56" w:right="0"/>
              <w:jc w:val="center"/>
              <w:rPr>
                <w:rFonts w:ascii="Arial" w:hAnsi="Arial" w:cs="Arial" w:eastAsia="Arial" w:hint="default"/>
                <w:sz w:val="18"/>
                <w:szCs w:val="18"/>
              </w:rPr>
            </w:pPr>
            <w:r>
              <w:rPr>
                <w:rFonts w:ascii="Arial"/>
                <w:sz w:val="18"/>
              </w:rPr>
              <w:t>22,729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18"/>
                <w:szCs w:val="18"/>
              </w:rPr>
            </w:pPr>
            <w:r>
              <w:rPr>
                <w:rFonts w:ascii="Arial"/>
                <w:w w:val="95"/>
                <w:sz w:val="18"/>
              </w:rPr>
              <w:t>10.7</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18"/>
                <w:szCs w:val="18"/>
              </w:rPr>
            </w:pPr>
            <w:r>
              <w:rPr>
                <w:rFonts w:ascii="Arial"/>
                <w:w w:val="95"/>
                <w:sz w:val="18"/>
              </w:rPr>
              <w:t>10.5</w:t>
            </w:r>
          </w:p>
        </w:tc>
      </w:tr>
      <w:tr>
        <w:trPr>
          <w:trHeight w:val="242" w:hRule="exact"/>
        </w:trPr>
        <w:tc>
          <w:tcPr>
            <w:tcW w:w="775" w:type="dxa"/>
            <w:vMerge/>
            <w:tcBorders>
              <w:left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7"/>
              <w:jc w:val="right"/>
              <w:rPr>
                <w:rFonts w:ascii="Arial" w:hAnsi="Arial" w:cs="Arial" w:eastAsia="Arial" w:hint="default"/>
                <w:sz w:val="18"/>
                <w:szCs w:val="18"/>
              </w:rPr>
            </w:pPr>
            <w:r>
              <w:rPr>
                <w:rFonts w:ascii="Arial"/>
                <w:spacing w:val="-1"/>
                <w:sz w:val="18"/>
              </w:rPr>
              <w:t>70,680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2"/>
              <w:jc w:val="right"/>
              <w:rPr>
                <w:rFonts w:ascii="Arial" w:hAnsi="Arial" w:cs="Arial" w:eastAsia="Arial" w:hint="default"/>
                <w:sz w:val="18"/>
                <w:szCs w:val="18"/>
              </w:rPr>
            </w:pPr>
            <w:r>
              <w:rPr>
                <w:rFonts w:ascii="Arial"/>
                <w:w w:val="95"/>
                <w:sz w:val="18"/>
              </w:rPr>
              <w:t>35.4</w:t>
            </w:r>
            <w:r>
              <w:rPr>
                <w:rFonts w:ascii="Arial"/>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56" w:right="0"/>
              <w:jc w:val="center"/>
              <w:rPr>
                <w:rFonts w:ascii="Arial" w:hAnsi="Arial" w:cs="Arial" w:eastAsia="Arial" w:hint="default"/>
                <w:sz w:val="18"/>
                <w:szCs w:val="18"/>
              </w:rPr>
            </w:pPr>
            <w:r>
              <w:rPr>
                <w:rFonts w:ascii="Arial"/>
                <w:sz w:val="18"/>
              </w:rPr>
              <w:t>64,224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18"/>
                <w:szCs w:val="18"/>
              </w:rPr>
            </w:pPr>
            <w:r>
              <w:rPr>
                <w:rFonts w:ascii="Arial"/>
                <w:w w:val="95"/>
                <w:sz w:val="18"/>
              </w:rPr>
              <w:t>32.2</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Arial" w:hAnsi="Arial" w:cs="Arial" w:eastAsia="Arial" w:hint="default"/>
                <w:sz w:val="18"/>
                <w:szCs w:val="18"/>
              </w:rPr>
            </w:pPr>
            <w:r>
              <w:rPr>
                <w:rFonts w:ascii="Arial"/>
                <w:w w:val="95"/>
                <w:sz w:val="18"/>
              </w:rPr>
              <w:t>10.1</w:t>
            </w:r>
            <w:r>
              <w:rPr>
                <w:rFonts w:ascii="Arial"/>
                <w:sz w:val="18"/>
              </w:rPr>
            </w:r>
          </w:p>
        </w:tc>
      </w:tr>
      <w:tr>
        <w:trPr>
          <w:trHeight w:val="245" w:hRule="exact"/>
        </w:trPr>
        <w:tc>
          <w:tcPr>
            <w:tcW w:w="775" w:type="dxa"/>
            <w:vMerge/>
            <w:tcBorders>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 w:right="0"/>
              <w:jc w:val="left"/>
              <w:rPr>
                <w:rFonts w:ascii="宋体" w:hAnsi="宋体" w:cs="宋体" w:eastAsia="宋体" w:hint="default"/>
                <w:sz w:val="18"/>
                <w:szCs w:val="18"/>
              </w:rPr>
            </w:pPr>
            <w:r>
              <w:rPr>
                <w:rFonts w:ascii="宋体" w:hAnsi="宋体" w:cs="宋体" w:eastAsia="宋体" w:hint="default"/>
                <w:sz w:val="18"/>
                <w:szCs w:val="18"/>
              </w:rPr>
              <w:t>销售通信产品支出</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7"/>
              <w:jc w:val="right"/>
              <w:rPr>
                <w:rFonts w:ascii="Arial" w:hAnsi="Arial" w:cs="Arial" w:eastAsia="Arial" w:hint="default"/>
                <w:sz w:val="18"/>
                <w:szCs w:val="18"/>
              </w:rPr>
            </w:pPr>
            <w:r>
              <w:rPr>
                <w:rFonts w:ascii="Arial"/>
                <w:spacing w:val="-1"/>
                <w:sz w:val="18"/>
              </w:rPr>
              <w:t>43,397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3"/>
              <w:jc w:val="right"/>
              <w:rPr>
                <w:rFonts w:ascii="Arial" w:hAnsi="Arial" w:cs="Arial" w:eastAsia="Arial" w:hint="default"/>
                <w:sz w:val="18"/>
                <w:szCs w:val="18"/>
              </w:rPr>
            </w:pPr>
            <w:r>
              <w:rPr>
                <w:rFonts w:ascii="Arial"/>
                <w:w w:val="95"/>
                <w:sz w:val="18"/>
              </w:rPr>
              <w:t>21.7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56" w:right="0"/>
              <w:jc w:val="center"/>
              <w:rPr>
                <w:rFonts w:ascii="Arial" w:hAnsi="Arial" w:cs="Arial" w:eastAsia="Arial" w:hint="default"/>
                <w:sz w:val="18"/>
                <w:szCs w:val="18"/>
              </w:rPr>
            </w:pPr>
            <w:r>
              <w:rPr>
                <w:rFonts w:ascii="Arial"/>
                <w:sz w:val="18"/>
              </w:rPr>
              <w:t>63,416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18"/>
                <w:szCs w:val="18"/>
              </w:rPr>
            </w:pPr>
            <w:r>
              <w:rPr>
                <w:rFonts w:ascii="Arial"/>
                <w:w w:val="95"/>
                <w:sz w:val="18"/>
              </w:rPr>
              <w:t>25.1</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3"/>
              <w:jc w:val="right"/>
              <w:rPr>
                <w:rFonts w:ascii="Arial" w:hAnsi="Arial" w:cs="Arial" w:eastAsia="Arial" w:hint="default"/>
                <w:sz w:val="18"/>
                <w:szCs w:val="18"/>
              </w:rPr>
            </w:pPr>
            <w:r>
              <w:rPr>
                <w:rFonts w:ascii="Arial"/>
                <w:sz w:val="18"/>
              </w:rPr>
              <w:t>(31.6)</w:t>
            </w:r>
          </w:p>
        </w:tc>
      </w:tr>
      <w:tr>
        <w:trPr>
          <w:trHeight w:val="242" w:hRule="exact"/>
        </w:trPr>
        <w:tc>
          <w:tcPr>
            <w:tcW w:w="7656" w:type="dxa"/>
            <w:gridSpan w:val="7"/>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b/>
                <w:bCs/>
                <w:sz w:val="18"/>
                <w:szCs w:val="18"/>
              </w:rPr>
              <w:t>分产品情况</w:t>
            </w:r>
            <w:r>
              <w:rPr>
                <w:rFonts w:ascii="宋体" w:hAnsi="宋体" w:cs="宋体" w:eastAsia="宋体" w:hint="default"/>
                <w:sz w:val="18"/>
                <w:szCs w:val="18"/>
              </w:rPr>
            </w:r>
          </w:p>
        </w:tc>
      </w:tr>
      <w:tr>
        <w:trPr>
          <w:trHeight w:val="710" w:hRule="exact"/>
        </w:trPr>
        <w:tc>
          <w:tcPr>
            <w:tcW w:w="77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分产品</w:t>
            </w:r>
            <w:r>
              <w:rPr>
                <w:rFonts w:ascii="宋体" w:hAnsi="宋体" w:cs="宋体" w:eastAsia="宋体" w:hint="default"/>
                <w:sz w:val="18"/>
                <w:szCs w:val="18"/>
              </w:rPr>
            </w:r>
          </w:p>
        </w:tc>
        <w:tc>
          <w:tcPr>
            <w:tcW w:w="185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5" w:right="0"/>
              <w:jc w:val="left"/>
              <w:rPr>
                <w:rFonts w:ascii="宋体" w:hAnsi="宋体" w:cs="宋体" w:eastAsia="宋体" w:hint="default"/>
                <w:sz w:val="18"/>
                <w:szCs w:val="18"/>
              </w:rPr>
            </w:pPr>
            <w:r>
              <w:rPr>
                <w:rFonts w:ascii="宋体" w:hAnsi="宋体" w:cs="宋体" w:eastAsia="宋体" w:hint="default"/>
                <w:b/>
                <w:bCs/>
                <w:sz w:val="18"/>
                <w:szCs w:val="18"/>
              </w:rPr>
              <w:t>成本构成项目</w:t>
            </w:r>
            <w:r>
              <w:rPr>
                <w:rFonts w:ascii="宋体" w:hAnsi="宋体" w:cs="宋体" w:eastAsia="宋体" w:hint="default"/>
                <w:sz w:val="18"/>
                <w:szCs w:val="18"/>
              </w:rPr>
            </w:r>
          </w:p>
        </w:tc>
        <w:tc>
          <w:tcPr>
            <w:tcW w:w="9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b/>
                <w:bCs/>
                <w:w w:val="95"/>
                <w:sz w:val="18"/>
                <w:szCs w:val="18"/>
              </w:rPr>
              <w:t>本期金额</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2" w:lineRule="exact" w:before="9"/>
              <w:ind w:left="199" w:right="199"/>
              <w:jc w:val="center"/>
              <w:rPr>
                <w:rFonts w:ascii="宋体" w:hAnsi="宋体" w:cs="宋体" w:eastAsia="宋体" w:hint="default"/>
                <w:sz w:val="18"/>
                <w:szCs w:val="18"/>
              </w:rPr>
            </w:pPr>
            <w:r>
              <w:rPr>
                <w:rFonts w:ascii="宋体" w:hAnsi="宋体" w:cs="宋体" w:eastAsia="宋体" w:hint="default"/>
                <w:b/>
                <w:bCs/>
                <w:sz w:val="18"/>
                <w:szCs w:val="18"/>
              </w:rPr>
              <w:t>本期占总</w:t>
            </w:r>
            <w:r>
              <w:rPr>
                <w:rFonts w:ascii="宋体" w:hAnsi="宋体" w:cs="宋体" w:eastAsia="宋体" w:hint="default"/>
                <w:b/>
                <w:bCs/>
                <w:w w:val="99"/>
                <w:sz w:val="18"/>
                <w:szCs w:val="18"/>
              </w:rPr>
              <w:t> </w:t>
            </w:r>
            <w:r>
              <w:rPr>
                <w:rFonts w:ascii="宋体" w:hAnsi="宋体" w:cs="宋体" w:eastAsia="宋体" w:hint="default"/>
                <w:b/>
                <w:bCs/>
                <w:sz w:val="18"/>
                <w:szCs w:val="18"/>
              </w:rPr>
              <w:t>成本比例</w:t>
            </w:r>
            <w:r>
              <w:rPr>
                <w:rFonts w:ascii="宋体" w:hAnsi="宋体" w:cs="宋体" w:eastAsia="宋体" w:hint="default"/>
                <w:sz w:val="18"/>
                <w:szCs w:val="18"/>
              </w:rPr>
            </w:r>
          </w:p>
          <w:p>
            <w:pPr>
              <w:pStyle w:val="TableParagraph"/>
              <w:spacing w:line="240" w:lineRule="auto"/>
              <w:ind w:right="2"/>
              <w:jc w:val="center"/>
              <w:rPr>
                <w:rFonts w:ascii="Arial" w:hAnsi="Arial" w:cs="Arial" w:eastAsia="Arial" w:hint="default"/>
                <w:sz w:val="18"/>
                <w:szCs w:val="18"/>
              </w:rPr>
            </w:pPr>
            <w:r>
              <w:rPr>
                <w:rFonts w:ascii="Arial"/>
                <w:b/>
                <w:sz w:val="18"/>
              </w:rPr>
              <w:t>(%)</w:t>
            </w:r>
            <w:r>
              <w:rPr>
                <w:rFonts w:ascii="Arial"/>
                <w:sz w:val="18"/>
              </w:rPr>
            </w:r>
          </w:p>
        </w:tc>
        <w:tc>
          <w:tcPr>
            <w:tcW w:w="82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2" w:lineRule="exact" w:before="112"/>
              <w:ind w:left="130" w:right="137"/>
              <w:jc w:val="left"/>
              <w:rPr>
                <w:rFonts w:ascii="宋体" w:hAnsi="宋体" w:cs="宋体" w:eastAsia="宋体" w:hint="default"/>
                <w:sz w:val="18"/>
                <w:szCs w:val="18"/>
              </w:rPr>
            </w:pPr>
            <w:r>
              <w:rPr>
                <w:rFonts w:ascii="宋体" w:hAnsi="宋体" w:cs="宋体" w:eastAsia="宋体" w:hint="default"/>
                <w:b/>
                <w:bCs/>
                <w:sz w:val="18"/>
                <w:szCs w:val="18"/>
              </w:rPr>
              <w:t>上年同</w:t>
            </w:r>
            <w:r>
              <w:rPr>
                <w:rFonts w:ascii="宋体" w:hAnsi="宋体" w:cs="宋体" w:eastAsia="宋体" w:hint="default"/>
                <w:b/>
                <w:bCs/>
                <w:w w:val="99"/>
                <w:sz w:val="18"/>
                <w:szCs w:val="18"/>
              </w:rPr>
              <w:t> </w:t>
            </w:r>
            <w:r>
              <w:rPr>
                <w:rFonts w:ascii="宋体" w:hAnsi="宋体" w:cs="宋体" w:eastAsia="宋体" w:hint="default"/>
                <w:b/>
                <w:bCs/>
                <w:sz w:val="18"/>
                <w:szCs w:val="18"/>
              </w:rPr>
              <w:t>期金额</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b/>
                <w:bCs/>
                <w:sz w:val="18"/>
                <w:szCs w:val="18"/>
              </w:rPr>
              <w:t>上年同期</w:t>
            </w:r>
            <w:r>
              <w:rPr>
                <w:rFonts w:ascii="宋体" w:hAnsi="宋体" w:cs="宋体" w:eastAsia="宋体" w:hint="default"/>
                <w:sz w:val="18"/>
                <w:szCs w:val="18"/>
              </w:rPr>
            </w:r>
          </w:p>
          <w:p>
            <w:pPr>
              <w:pStyle w:val="TableParagraph"/>
              <w:spacing w:line="232" w:lineRule="exact" w:before="24"/>
              <w:ind w:left="170" w:right="130" w:hanging="41"/>
              <w:jc w:val="left"/>
              <w:rPr>
                <w:rFonts w:ascii="Arial" w:hAnsi="Arial" w:cs="Arial" w:eastAsia="Arial" w:hint="default"/>
                <w:sz w:val="18"/>
                <w:szCs w:val="18"/>
              </w:rPr>
            </w:pPr>
            <w:r>
              <w:rPr>
                <w:rFonts w:ascii="宋体" w:hAnsi="宋体" w:cs="宋体" w:eastAsia="宋体" w:hint="default"/>
                <w:b/>
                <w:bCs/>
                <w:sz w:val="18"/>
                <w:szCs w:val="18"/>
              </w:rPr>
              <w:t>占总成本</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Arial" w:hAnsi="Arial" w:cs="Arial" w:eastAsia="Arial" w:hint="default"/>
                <w:b/>
                <w:bCs/>
                <w:sz w:val="18"/>
                <w:szCs w:val="18"/>
              </w:rPr>
              <w:t>(%)</w:t>
            </w:r>
            <w:r>
              <w:rPr>
                <w:rFonts w:ascii="Arial" w:hAnsi="Arial" w:cs="Arial" w:eastAsia="Arial" w:hint="default"/>
                <w:sz w:val="18"/>
                <w:szCs w:val="18"/>
              </w:rPr>
            </w:r>
          </w:p>
        </w:tc>
        <w:tc>
          <w:tcPr>
            <w:tcW w:w="113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本期金额较</w:t>
            </w:r>
            <w:r>
              <w:rPr>
                <w:rFonts w:ascii="宋体" w:hAnsi="宋体" w:cs="宋体" w:eastAsia="宋体" w:hint="default"/>
                <w:sz w:val="18"/>
                <w:szCs w:val="18"/>
              </w:rPr>
            </w:r>
          </w:p>
          <w:p>
            <w:pPr>
              <w:pStyle w:val="TableParagraph"/>
              <w:spacing w:line="232" w:lineRule="exact" w:before="24"/>
              <w:ind w:left="148" w:right="109" w:hanging="41"/>
              <w:jc w:val="left"/>
              <w:rPr>
                <w:rFonts w:ascii="Arial" w:hAnsi="Arial" w:cs="Arial" w:eastAsia="Arial" w:hint="default"/>
                <w:sz w:val="18"/>
                <w:szCs w:val="18"/>
              </w:rPr>
            </w:pPr>
            <w:r>
              <w:rPr>
                <w:rFonts w:ascii="宋体" w:hAnsi="宋体" w:cs="宋体" w:eastAsia="宋体" w:hint="default"/>
                <w:b/>
                <w:bCs/>
                <w:sz w:val="18"/>
                <w:szCs w:val="18"/>
              </w:rPr>
              <w:t>上年同期变</w:t>
            </w:r>
            <w:r>
              <w:rPr>
                <w:rFonts w:ascii="宋体" w:hAnsi="宋体" w:cs="宋体" w:eastAsia="宋体" w:hint="default"/>
                <w:b/>
                <w:bCs/>
                <w:w w:val="99"/>
                <w:sz w:val="18"/>
                <w:szCs w:val="18"/>
              </w:rPr>
              <w:t> </w:t>
            </w:r>
            <w:r>
              <w:rPr>
                <w:rFonts w:ascii="宋体" w:hAnsi="宋体" w:cs="宋体" w:eastAsia="宋体" w:hint="default"/>
                <w:b/>
                <w:bCs/>
                <w:sz w:val="18"/>
                <w:szCs w:val="18"/>
              </w:rPr>
              <w:t>动比例</w:t>
            </w:r>
            <w:r>
              <w:rPr>
                <w:rFonts w:ascii="Arial" w:hAnsi="Arial" w:cs="Arial" w:eastAsia="Arial" w:hint="default"/>
                <w:b/>
                <w:bCs/>
                <w:sz w:val="18"/>
                <w:szCs w:val="18"/>
              </w:rPr>
              <w:t>(%)</w:t>
            </w:r>
            <w:r>
              <w:rPr>
                <w:rFonts w:ascii="Arial" w:hAnsi="Arial" w:cs="Arial" w:eastAsia="Arial" w:hint="default"/>
                <w:sz w:val="18"/>
                <w:szCs w:val="18"/>
              </w:rPr>
            </w:r>
          </w:p>
        </w:tc>
      </w:tr>
      <w:tr>
        <w:trPr>
          <w:trHeight w:val="245" w:hRule="exact"/>
        </w:trPr>
        <w:tc>
          <w:tcPr>
            <w:tcW w:w="7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1" w:right="0"/>
              <w:jc w:val="left"/>
              <w:rPr>
                <w:rFonts w:ascii="宋体" w:hAnsi="宋体" w:cs="宋体" w:eastAsia="宋体" w:hint="default"/>
                <w:sz w:val="18"/>
                <w:szCs w:val="18"/>
              </w:rPr>
            </w:pPr>
            <w:r>
              <w:rPr>
                <w:rFonts w:ascii="宋体" w:hAnsi="宋体" w:cs="宋体" w:eastAsia="宋体" w:hint="default"/>
                <w:sz w:val="18"/>
                <w:szCs w:val="18"/>
              </w:rPr>
              <w:t>网络运行及支撑成本</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2"/>
              <w:jc w:val="right"/>
              <w:rPr>
                <w:rFonts w:ascii="Arial" w:hAnsi="Arial" w:cs="Arial" w:eastAsia="Arial" w:hint="default"/>
                <w:sz w:val="18"/>
                <w:szCs w:val="18"/>
              </w:rPr>
            </w:pPr>
            <w:r>
              <w:rPr>
                <w:rFonts w:ascii="Arial"/>
                <w:spacing w:val="-1"/>
                <w:sz w:val="18"/>
              </w:rPr>
              <w:t>37,851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7"/>
              <w:jc w:val="right"/>
              <w:rPr>
                <w:rFonts w:ascii="Arial" w:hAnsi="Arial" w:cs="Arial" w:eastAsia="Arial" w:hint="default"/>
                <w:sz w:val="18"/>
                <w:szCs w:val="18"/>
              </w:rPr>
            </w:pPr>
            <w:r>
              <w:rPr>
                <w:rFonts w:ascii="Arial"/>
                <w:w w:val="95"/>
                <w:sz w:val="18"/>
              </w:rPr>
              <w:t>18.9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6" w:right="0"/>
              <w:jc w:val="center"/>
              <w:rPr>
                <w:rFonts w:ascii="Arial" w:hAnsi="Arial" w:cs="Arial" w:eastAsia="Arial" w:hint="default"/>
                <w:sz w:val="18"/>
                <w:szCs w:val="18"/>
              </w:rPr>
            </w:pPr>
            <w:r>
              <w:rPr>
                <w:rFonts w:ascii="Arial"/>
                <w:sz w:val="18"/>
              </w:rPr>
              <w:t>33,704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Arial" w:hAnsi="Arial" w:cs="Arial" w:eastAsia="Arial" w:hint="default"/>
                <w:sz w:val="18"/>
                <w:szCs w:val="18"/>
              </w:rPr>
            </w:pPr>
            <w:r>
              <w:rPr>
                <w:rFonts w:ascii="Arial"/>
                <w:w w:val="95"/>
                <w:sz w:val="18"/>
              </w:rPr>
              <w:t>18.2</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Arial" w:hAnsi="Arial" w:cs="Arial" w:eastAsia="Arial" w:hint="default"/>
                <w:sz w:val="18"/>
                <w:szCs w:val="18"/>
              </w:rPr>
            </w:pPr>
            <w:r>
              <w:rPr>
                <w:rFonts w:ascii="Arial"/>
                <w:w w:val="95"/>
                <w:sz w:val="18"/>
              </w:rPr>
              <w:t>12.3</w:t>
            </w:r>
          </w:p>
        </w:tc>
      </w:tr>
      <w:tr>
        <w:trPr>
          <w:trHeight w:val="242" w:hRule="exact"/>
        </w:trPr>
        <w:tc>
          <w:tcPr>
            <w:tcW w:w="775" w:type="dxa"/>
            <w:vMerge/>
            <w:tcBorders>
              <w:left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1" w:right="0"/>
              <w:jc w:val="left"/>
              <w:rPr>
                <w:rFonts w:ascii="宋体" w:hAnsi="宋体" w:cs="宋体" w:eastAsia="宋体" w:hint="default"/>
                <w:sz w:val="18"/>
                <w:szCs w:val="18"/>
              </w:rPr>
            </w:pPr>
            <w:r>
              <w:rPr>
                <w:rFonts w:ascii="宋体" w:hAnsi="宋体" w:cs="宋体" w:eastAsia="宋体" w:hint="default"/>
                <w:sz w:val="18"/>
                <w:szCs w:val="18"/>
              </w:rPr>
              <w:t>网间结算成本</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2"/>
              <w:jc w:val="right"/>
              <w:rPr>
                <w:rFonts w:ascii="Arial" w:hAnsi="Arial" w:cs="Arial" w:eastAsia="Arial" w:hint="default"/>
                <w:sz w:val="18"/>
                <w:szCs w:val="18"/>
              </w:rPr>
            </w:pPr>
            <w:r>
              <w:rPr>
                <w:rFonts w:ascii="Arial"/>
                <w:spacing w:val="-1"/>
                <w:sz w:val="18"/>
              </w:rPr>
              <w:t>14,599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7"/>
              <w:jc w:val="right"/>
              <w:rPr>
                <w:rFonts w:ascii="Arial" w:hAnsi="Arial" w:cs="Arial" w:eastAsia="Arial" w:hint="default"/>
                <w:sz w:val="18"/>
                <w:szCs w:val="18"/>
              </w:rPr>
            </w:pPr>
            <w:r>
              <w:rPr>
                <w:rFonts w:ascii="Arial"/>
                <w:w w:val="95"/>
                <w:sz w:val="18"/>
              </w:rPr>
              <w:t>7.3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6" w:right="0"/>
              <w:jc w:val="center"/>
              <w:rPr>
                <w:rFonts w:ascii="Arial" w:hAnsi="Arial" w:cs="Arial" w:eastAsia="Arial" w:hint="default"/>
                <w:sz w:val="18"/>
                <w:szCs w:val="18"/>
              </w:rPr>
            </w:pPr>
            <w:r>
              <w:rPr>
                <w:rFonts w:ascii="Arial"/>
                <w:sz w:val="18"/>
              </w:rPr>
              <w:t>20,208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5"/>
                <w:sz w:val="18"/>
              </w:rPr>
              <w:t>10.4</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3"/>
              <w:jc w:val="right"/>
              <w:rPr>
                <w:rFonts w:ascii="Arial" w:hAnsi="Arial" w:cs="Arial" w:eastAsia="Arial" w:hint="default"/>
                <w:sz w:val="18"/>
                <w:szCs w:val="18"/>
              </w:rPr>
            </w:pPr>
            <w:r>
              <w:rPr>
                <w:rFonts w:ascii="Arial"/>
                <w:sz w:val="18"/>
              </w:rPr>
              <w:t>(27.8)</w:t>
            </w:r>
          </w:p>
        </w:tc>
      </w:tr>
      <w:tr>
        <w:trPr>
          <w:trHeight w:val="242" w:hRule="exact"/>
        </w:trPr>
        <w:tc>
          <w:tcPr>
            <w:tcW w:w="775" w:type="dxa"/>
            <w:vMerge/>
            <w:tcBorders>
              <w:left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1"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2"/>
              <w:jc w:val="right"/>
              <w:rPr>
                <w:rFonts w:ascii="Arial" w:hAnsi="Arial" w:cs="Arial" w:eastAsia="Arial" w:hint="default"/>
                <w:sz w:val="18"/>
                <w:szCs w:val="18"/>
              </w:rPr>
            </w:pPr>
            <w:r>
              <w:rPr>
                <w:rFonts w:ascii="Arial"/>
                <w:spacing w:val="-1"/>
                <w:sz w:val="18"/>
              </w:rPr>
              <w:t>25,116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7"/>
              <w:jc w:val="right"/>
              <w:rPr>
                <w:rFonts w:ascii="Arial" w:hAnsi="Arial" w:cs="Arial" w:eastAsia="Arial" w:hint="default"/>
                <w:sz w:val="18"/>
                <w:szCs w:val="18"/>
              </w:rPr>
            </w:pPr>
            <w:r>
              <w:rPr>
                <w:rFonts w:ascii="Arial"/>
                <w:w w:val="95"/>
                <w:sz w:val="18"/>
              </w:rPr>
              <w:t>12.6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56" w:right="0"/>
              <w:jc w:val="center"/>
              <w:rPr>
                <w:rFonts w:ascii="Arial" w:hAnsi="Arial" w:cs="Arial" w:eastAsia="Arial" w:hint="default"/>
                <w:sz w:val="18"/>
                <w:szCs w:val="18"/>
              </w:rPr>
            </w:pPr>
            <w:r>
              <w:rPr>
                <w:rFonts w:ascii="Arial"/>
                <w:sz w:val="18"/>
              </w:rPr>
              <w:t>22,729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18"/>
                <w:szCs w:val="18"/>
              </w:rPr>
            </w:pPr>
            <w:r>
              <w:rPr>
                <w:rFonts w:ascii="Arial"/>
                <w:w w:val="95"/>
                <w:sz w:val="18"/>
              </w:rPr>
              <w:t>10.7</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18"/>
                <w:szCs w:val="18"/>
              </w:rPr>
            </w:pPr>
            <w:r>
              <w:rPr>
                <w:rFonts w:ascii="Arial"/>
                <w:w w:val="95"/>
                <w:sz w:val="18"/>
              </w:rPr>
              <w:t>10.5</w:t>
            </w:r>
          </w:p>
        </w:tc>
      </w:tr>
      <w:tr>
        <w:trPr>
          <w:trHeight w:val="245" w:hRule="exact"/>
        </w:trPr>
        <w:tc>
          <w:tcPr>
            <w:tcW w:w="775" w:type="dxa"/>
            <w:vMerge/>
            <w:tcBorders>
              <w:left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11"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2"/>
              <w:jc w:val="right"/>
              <w:rPr>
                <w:rFonts w:ascii="Arial" w:hAnsi="Arial" w:cs="Arial" w:eastAsia="Arial" w:hint="default"/>
                <w:sz w:val="18"/>
                <w:szCs w:val="18"/>
              </w:rPr>
            </w:pPr>
            <w:r>
              <w:rPr>
                <w:rFonts w:ascii="Arial"/>
                <w:spacing w:val="-1"/>
                <w:sz w:val="18"/>
              </w:rPr>
              <w:t>70,680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7"/>
              <w:jc w:val="right"/>
              <w:rPr>
                <w:rFonts w:ascii="Arial" w:hAnsi="Arial" w:cs="Arial" w:eastAsia="Arial" w:hint="default"/>
                <w:sz w:val="18"/>
                <w:szCs w:val="18"/>
              </w:rPr>
            </w:pPr>
            <w:r>
              <w:rPr>
                <w:rFonts w:ascii="Arial"/>
                <w:w w:val="95"/>
                <w:sz w:val="18"/>
              </w:rPr>
              <w:t>35.4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56" w:right="0"/>
              <w:jc w:val="center"/>
              <w:rPr>
                <w:rFonts w:ascii="Arial" w:hAnsi="Arial" w:cs="Arial" w:eastAsia="Arial" w:hint="default"/>
                <w:sz w:val="18"/>
                <w:szCs w:val="18"/>
              </w:rPr>
            </w:pPr>
            <w:r>
              <w:rPr>
                <w:rFonts w:ascii="Arial"/>
                <w:sz w:val="18"/>
              </w:rPr>
              <w:t>64,224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18"/>
                <w:szCs w:val="18"/>
              </w:rPr>
            </w:pPr>
            <w:r>
              <w:rPr>
                <w:rFonts w:ascii="Arial"/>
                <w:w w:val="95"/>
                <w:sz w:val="18"/>
              </w:rPr>
              <w:t>32.2</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18"/>
                <w:szCs w:val="18"/>
              </w:rPr>
            </w:pPr>
            <w:r>
              <w:rPr>
                <w:rFonts w:ascii="Arial"/>
                <w:w w:val="95"/>
                <w:sz w:val="18"/>
              </w:rPr>
              <w:t>10.1</w:t>
            </w:r>
          </w:p>
        </w:tc>
      </w:tr>
      <w:tr>
        <w:trPr>
          <w:trHeight w:val="242" w:hRule="exact"/>
        </w:trPr>
        <w:tc>
          <w:tcPr>
            <w:tcW w:w="775" w:type="dxa"/>
            <w:vMerge/>
            <w:tcBorders>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1" w:right="0"/>
              <w:jc w:val="left"/>
              <w:rPr>
                <w:rFonts w:ascii="宋体" w:hAnsi="宋体" w:cs="宋体" w:eastAsia="宋体" w:hint="default"/>
                <w:sz w:val="18"/>
                <w:szCs w:val="18"/>
              </w:rPr>
            </w:pPr>
            <w:r>
              <w:rPr>
                <w:rFonts w:ascii="宋体" w:hAnsi="宋体" w:cs="宋体" w:eastAsia="宋体" w:hint="default"/>
                <w:sz w:val="18"/>
                <w:szCs w:val="18"/>
              </w:rPr>
              <w:t>销售通信产品支出</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2"/>
              <w:jc w:val="right"/>
              <w:rPr>
                <w:rFonts w:ascii="Arial" w:hAnsi="Arial" w:cs="Arial" w:eastAsia="Arial" w:hint="default"/>
                <w:sz w:val="18"/>
                <w:szCs w:val="18"/>
              </w:rPr>
            </w:pPr>
            <w:r>
              <w:rPr>
                <w:rFonts w:ascii="Arial"/>
                <w:spacing w:val="-1"/>
                <w:sz w:val="18"/>
              </w:rPr>
              <w:t>43,397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7"/>
              <w:jc w:val="right"/>
              <w:rPr>
                <w:rFonts w:ascii="Arial" w:hAnsi="Arial" w:cs="Arial" w:eastAsia="Arial" w:hint="default"/>
                <w:sz w:val="18"/>
                <w:szCs w:val="18"/>
              </w:rPr>
            </w:pPr>
            <w:r>
              <w:rPr>
                <w:rFonts w:ascii="Arial"/>
                <w:w w:val="95"/>
                <w:sz w:val="18"/>
              </w:rPr>
              <w:t>21.7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56" w:right="0"/>
              <w:jc w:val="center"/>
              <w:rPr>
                <w:rFonts w:ascii="Arial" w:hAnsi="Arial" w:cs="Arial" w:eastAsia="Arial" w:hint="default"/>
                <w:sz w:val="18"/>
                <w:szCs w:val="18"/>
              </w:rPr>
            </w:pPr>
            <w:r>
              <w:rPr>
                <w:rFonts w:ascii="Arial"/>
                <w:sz w:val="18"/>
              </w:rPr>
              <w:t>63,416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Arial" w:hAnsi="Arial" w:cs="Arial" w:eastAsia="Arial" w:hint="default"/>
                <w:sz w:val="18"/>
                <w:szCs w:val="18"/>
              </w:rPr>
            </w:pPr>
            <w:r>
              <w:rPr>
                <w:rFonts w:ascii="Arial"/>
                <w:w w:val="95"/>
                <w:sz w:val="18"/>
              </w:rPr>
              <w:t>25.1</w:t>
            </w:r>
            <w:r>
              <w:rPr>
                <w:rFonts w:ascii="Arial"/>
                <w:sz w:val="18"/>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3"/>
              <w:jc w:val="right"/>
              <w:rPr>
                <w:rFonts w:ascii="Arial" w:hAnsi="Arial" w:cs="Arial" w:eastAsia="Arial" w:hint="default"/>
                <w:sz w:val="18"/>
                <w:szCs w:val="18"/>
              </w:rPr>
            </w:pPr>
            <w:r>
              <w:rPr>
                <w:rFonts w:ascii="Arial"/>
                <w:sz w:val="18"/>
              </w:rPr>
              <w:t>(31.6)</w:t>
            </w:r>
          </w:p>
        </w:tc>
      </w:tr>
    </w:tbl>
    <w:p>
      <w:pPr>
        <w:spacing w:after="0" w:line="240" w:lineRule="auto"/>
        <w:jc w:val="right"/>
        <w:rPr>
          <w:rFonts w:ascii="Arial" w:hAnsi="Arial" w:cs="Arial" w:eastAsia="Arial" w:hint="default"/>
          <w:sz w:val="18"/>
          <w:szCs w:val="18"/>
        </w:rPr>
        <w:sectPr>
          <w:pgSz w:w="11910" w:h="16840"/>
          <w:pgMar w:header="880" w:footer="1194" w:top="1120" w:bottom="1380" w:left="1660" w:right="1200"/>
        </w:sectPr>
      </w:pPr>
    </w:p>
    <w:p>
      <w:pPr>
        <w:spacing w:line="240" w:lineRule="auto" w:before="11"/>
        <w:rPr>
          <w:rFonts w:ascii="宋体" w:hAnsi="宋体" w:cs="宋体" w:eastAsia="宋体" w:hint="default"/>
          <w:sz w:val="29"/>
          <w:szCs w:val="29"/>
        </w:rPr>
      </w:pPr>
    </w:p>
    <w:p>
      <w:pPr>
        <w:spacing w:before="36"/>
        <w:ind w:left="138" w:right="173" w:firstLine="0"/>
        <w:jc w:val="left"/>
        <w:rPr>
          <w:rFonts w:ascii="宋体" w:hAnsi="宋体" w:cs="宋体" w:eastAsia="宋体" w:hint="default"/>
          <w:sz w:val="21"/>
          <w:szCs w:val="21"/>
        </w:rPr>
      </w:pPr>
      <w:r>
        <w:rPr>
          <w:rFonts w:ascii="宋体" w:hAnsi="宋体" w:cs="宋体" w:eastAsia="宋体" w:hint="default"/>
          <w:b/>
          <w:bCs/>
          <w:sz w:val="21"/>
          <w:szCs w:val="21"/>
        </w:rPr>
        <w:t>一、董事会关于公司报告期内经营情况的讨论与分析（续）</w:t>
      </w:r>
      <w:r>
        <w:rPr>
          <w:rFonts w:ascii="宋体" w:hAnsi="宋体" w:cs="宋体" w:eastAsia="宋体" w:hint="default"/>
          <w:sz w:val="21"/>
          <w:szCs w:val="21"/>
        </w:rPr>
      </w:r>
    </w:p>
    <w:p>
      <w:pPr>
        <w:spacing w:line="240" w:lineRule="auto" w:before="11"/>
        <w:rPr>
          <w:rFonts w:ascii="宋体" w:hAnsi="宋体" w:cs="宋体" w:eastAsia="宋体" w:hint="default"/>
          <w:b/>
          <w:bCs/>
          <w:sz w:val="29"/>
          <w:szCs w:val="29"/>
        </w:rPr>
      </w:pPr>
    </w:p>
    <w:p>
      <w:pPr>
        <w:spacing w:before="0"/>
        <w:ind w:left="138" w:right="173"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一</w:t>
      </w:r>
      <w:r>
        <w:rPr>
          <w:rFonts w:ascii="Arial" w:hAnsi="Arial" w:cs="Arial" w:eastAsia="Arial" w:hint="default"/>
          <w:b/>
          <w:bCs/>
          <w:sz w:val="21"/>
          <w:szCs w:val="21"/>
        </w:rPr>
        <w:t>)</w:t>
      </w:r>
      <w:r>
        <w:rPr>
          <w:rFonts w:ascii="Arial" w:hAnsi="Arial" w:cs="Arial" w:eastAsia="Arial" w:hint="default"/>
          <w:b/>
          <w:bCs/>
          <w:spacing w:val="20"/>
          <w:sz w:val="21"/>
          <w:szCs w:val="21"/>
        </w:rPr>
        <w:t> </w:t>
      </w:r>
      <w:r>
        <w:rPr>
          <w:rFonts w:ascii="宋体" w:hAnsi="宋体" w:cs="宋体" w:eastAsia="宋体" w:hint="default"/>
          <w:b/>
          <w:bCs/>
          <w:sz w:val="21"/>
          <w:szCs w:val="21"/>
        </w:rPr>
        <w:t>主营业务分析（续）</w:t>
      </w:r>
      <w:r>
        <w:rPr>
          <w:rFonts w:ascii="宋体" w:hAnsi="宋体" w:cs="宋体" w:eastAsia="宋体" w:hint="default"/>
          <w:sz w:val="21"/>
          <w:szCs w:val="21"/>
        </w:rPr>
      </w:r>
    </w:p>
    <w:p>
      <w:pPr>
        <w:spacing w:line="240" w:lineRule="auto" w:before="9"/>
        <w:rPr>
          <w:rFonts w:ascii="宋体" w:hAnsi="宋体" w:cs="宋体" w:eastAsia="宋体" w:hint="default"/>
          <w:b/>
          <w:bCs/>
          <w:sz w:val="21"/>
          <w:szCs w:val="21"/>
        </w:rPr>
      </w:pPr>
    </w:p>
    <w:p>
      <w:pPr>
        <w:spacing w:before="0"/>
        <w:ind w:left="485" w:right="173" w:firstLine="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spacing w:val="-70"/>
          <w:sz w:val="21"/>
          <w:szCs w:val="21"/>
        </w:rPr>
        <w:t> </w:t>
      </w:r>
      <w:r>
        <w:rPr>
          <w:rFonts w:ascii="宋体" w:hAnsi="宋体" w:cs="宋体" w:eastAsia="宋体" w:hint="default"/>
          <w:sz w:val="21"/>
          <w:szCs w:val="21"/>
        </w:rPr>
        <w:t>成本（续）</w:t>
      </w:r>
    </w:p>
    <w:p>
      <w:pPr>
        <w:spacing w:line="240" w:lineRule="auto" w:before="4"/>
        <w:rPr>
          <w:rFonts w:ascii="宋体" w:hAnsi="宋体" w:cs="宋体" w:eastAsia="宋体" w:hint="default"/>
          <w:sz w:val="17"/>
          <w:szCs w:val="17"/>
        </w:rPr>
      </w:pPr>
    </w:p>
    <w:p>
      <w:pPr>
        <w:spacing w:line="424" w:lineRule="auto" w:before="0"/>
        <w:ind w:left="1270" w:right="5915" w:hanging="425"/>
        <w:jc w:val="left"/>
        <w:rPr>
          <w:rFonts w:ascii="宋体" w:hAnsi="宋体" w:cs="宋体" w:eastAsia="宋体" w:hint="default"/>
          <w:sz w:val="21"/>
          <w:szCs w:val="21"/>
        </w:rPr>
      </w:pPr>
      <w:r>
        <w:rPr>
          <w:rFonts w:ascii="Arial" w:hAnsi="Arial" w:cs="Arial" w:eastAsia="Arial" w:hint="default"/>
          <w:sz w:val="21"/>
          <w:szCs w:val="21"/>
        </w:rPr>
        <w:t>3.1</w:t>
      </w:r>
      <w:r>
        <w:rPr>
          <w:rFonts w:ascii="Arial" w:hAnsi="Arial" w:cs="Arial" w:eastAsia="Arial" w:hint="default"/>
          <w:spacing w:val="15"/>
          <w:sz w:val="21"/>
          <w:szCs w:val="21"/>
        </w:rPr>
        <w:t> </w:t>
      </w:r>
      <w:r>
        <w:rPr>
          <w:rFonts w:ascii="宋体" w:hAnsi="宋体" w:cs="宋体" w:eastAsia="宋体" w:hint="default"/>
          <w:sz w:val="21"/>
          <w:szCs w:val="21"/>
        </w:rPr>
        <w:t>成本分析表（续）</w:t>
      </w:r>
      <w:r>
        <w:rPr>
          <w:rFonts w:ascii="宋体" w:hAnsi="宋体" w:cs="宋体" w:eastAsia="宋体" w:hint="default"/>
          <w:w w:val="100"/>
          <w:sz w:val="21"/>
          <w:szCs w:val="21"/>
        </w:rPr>
        <w:t> </w:t>
      </w:r>
      <w:r>
        <w:rPr>
          <w:rFonts w:ascii="宋体" w:hAnsi="宋体" w:cs="宋体" w:eastAsia="宋体" w:hint="default"/>
          <w:spacing w:val="-1"/>
          <w:sz w:val="21"/>
          <w:szCs w:val="21"/>
        </w:rPr>
        <w:t>成本变动原因分析：</w:t>
      </w:r>
    </w:p>
    <w:p>
      <w:pPr>
        <w:tabs>
          <w:tab w:pos="1611" w:val="left" w:leader="none"/>
        </w:tabs>
        <w:spacing w:line="272" w:lineRule="exact" w:before="104"/>
        <w:ind w:left="1611" w:right="173" w:hanging="341"/>
        <w:jc w:val="left"/>
        <w:rPr>
          <w:rFonts w:ascii="宋体" w:hAnsi="宋体" w:cs="宋体" w:eastAsia="宋体" w:hint="default"/>
          <w:sz w:val="21"/>
          <w:szCs w:val="21"/>
        </w:rPr>
      </w:pPr>
      <w:r>
        <w:rPr>
          <w:rFonts w:ascii="Symbol" w:hAnsi="Symbol" w:cs="Symbol" w:eastAsia="Symbol"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pacing w:val="-3"/>
          <w:sz w:val="21"/>
          <w:szCs w:val="21"/>
        </w:rPr>
        <w:t>网络运行及支撑成本：在网络覆盖扩大、网络资产增加及能源、物业租金等基础</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价格上涨的同时，公司加大网络运营投入，提升网络支撑与维护质量。</w:t>
      </w:r>
    </w:p>
    <w:p>
      <w:pPr>
        <w:tabs>
          <w:tab w:pos="1611" w:val="left" w:leader="none"/>
        </w:tabs>
        <w:spacing w:line="256" w:lineRule="exact" w:before="0"/>
        <w:ind w:left="1270" w:right="173" w:firstLine="0"/>
        <w:jc w:val="left"/>
        <w:rPr>
          <w:rFonts w:ascii="宋体" w:hAnsi="宋体" w:cs="宋体" w:eastAsia="宋体" w:hint="default"/>
          <w:sz w:val="21"/>
          <w:szCs w:val="21"/>
        </w:rPr>
      </w:pPr>
      <w:r>
        <w:rPr>
          <w:rFonts w:ascii="Symbol" w:hAnsi="Symbol" w:cs="Symbol" w:eastAsia="Symbol"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z w:val="21"/>
          <w:szCs w:val="21"/>
        </w:rPr>
        <w:t>网间结算成本：受网间结算政策调整影响。</w:t>
      </w:r>
    </w:p>
    <w:p>
      <w:pPr>
        <w:tabs>
          <w:tab w:pos="1611" w:val="left" w:leader="none"/>
        </w:tabs>
        <w:spacing w:line="274" w:lineRule="exact" w:before="16"/>
        <w:ind w:left="1611" w:right="173" w:hanging="341"/>
        <w:jc w:val="left"/>
        <w:rPr>
          <w:rFonts w:ascii="宋体" w:hAnsi="宋体" w:cs="宋体" w:eastAsia="宋体" w:hint="default"/>
          <w:sz w:val="21"/>
          <w:szCs w:val="21"/>
        </w:rPr>
      </w:pPr>
      <w:r>
        <w:rPr>
          <w:rFonts w:ascii="Symbol" w:hAnsi="Symbol" w:cs="Symbol" w:eastAsia="Symbol"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pacing w:val="-3"/>
          <w:sz w:val="21"/>
          <w:szCs w:val="21"/>
        </w:rPr>
        <w:t>人工成本：公司实施企业年金制度，深化用工和分配制度改革，加大对基层员工</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的激励。</w:t>
      </w:r>
    </w:p>
    <w:p>
      <w:pPr>
        <w:tabs>
          <w:tab w:pos="1611" w:val="left" w:leader="none"/>
        </w:tabs>
        <w:spacing w:line="254" w:lineRule="exact" w:before="0"/>
        <w:ind w:left="1270" w:right="173" w:firstLine="0"/>
        <w:jc w:val="left"/>
        <w:rPr>
          <w:rFonts w:ascii="宋体" w:hAnsi="宋体" w:cs="宋体" w:eastAsia="宋体" w:hint="default"/>
          <w:sz w:val="21"/>
          <w:szCs w:val="21"/>
        </w:rPr>
      </w:pPr>
      <w:r>
        <w:rPr>
          <w:rFonts w:ascii="Symbol" w:hAnsi="Symbol" w:cs="Symbol" w:eastAsia="Symbol"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z w:val="21"/>
          <w:szCs w:val="21"/>
        </w:rPr>
        <w:t>折旧及摊销：公司加快移动宽带和固网宽带网络建设。</w:t>
      </w:r>
    </w:p>
    <w:p>
      <w:pPr>
        <w:tabs>
          <w:tab w:pos="1611" w:val="left" w:leader="none"/>
        </w:tabs>
        <w:spacing w:line="283" w:lineRule="exact" w:before="0"/>
        <w:ind w:left="1270" w:right="0" w:firstLine="0"/>
        <w:jc w:val="left"/>
        <w:rPr>
          <w:rFonts w:ascii="宋体" w:hAnsi="宋体" w:cs="宋体" w:eastAsia="宋体" w:hint="default"/>
          <w:sz w:val="21"/>
          <w:szCs w:val="21"/>
        </w:rPr>
      </w:pPr>
      <w:r>
        <w:rPr>
          <w:rFonts w:ascii="Symbol" w:hAnsi="Symbol" w:cs="Symbol" w:eastAsia="Symbol"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z w:val="21"/>
          <w:szCs w:val="21"/>
        </w:rPr>
        <w:t>销售通信产品支出：公司持续优化终端合约产品结构，提升终端补贴使用效益。</w:t>
      </w:r>
    </w:p>
    <w:p>
      <w:pPr>
        <w:spacing w:line="240" w:lineRule="auto" w:before="13"/>
        <w:rPr>
          <w:rFonts w:ascii="宋体" w:hAnsi="宋体" w:cs="宋体" w:eastAsia="宋体" w:hint="default"/>
          <w:sz w:val="16"/>
          <w:szCs w:val="16"/>
        </w:rPr>
      </w:pPr>
    </w:p>
    <w:p>
      <w:pPr>
        <w:spacing w:before="0"/>
        <w:ind w:left="846" w:right="173" w:firstLine="0"/>
        <w:jc w:val="left"/>
        <w:rPr>
          <w:rFonts w:ascii="宋体" w:hAnsi="宋体" w:cs="宋体" w:eastAsia="宋体" w:hint="default"/>
          <w:sz w:val="21"/>
          <w:szCs w:val="21"/>
        </w:rPr>
      </w:pPr>
      <w:r>
        <w:rPr>
          <w:rFonts w:ascii="Arial" w:hAnsi="Arial" w:cs="Arial" w:eastAsia="Arial" w:hint="default"/>
          <w:sz w:val="21"/>
          <w:szCs w:val="21"/>
        </w:rPr>
        <w:t>3.2 </w:t>
      </w:r>
      <w:r>
        <w:rPr>
          <w:rFonts w:ascii="Arial" w:hAnsi="Arial" w:cs="Arial" w:eastAsia="Arial" w:hint="default"/>
          <w:spacing w:val="18"/>
          <w:sz w:val="21"/>
          <w:szCs w:val="21"/>
        </w:rPr>
        <w:t> </w:t>
      </w:r>
      <w:r>
        <w:rPr>
          <w:rFonts w:ascii="宋体" w:hAnsi="宋体" w:cs="宋体" w:eastAsia="宋体" w:hint="default"/>
          <w:sz w:val="21"/>
          <w:szCs w:val="21"/>
        </w:rPr>
        <w:t>主要供应商情况</w:t>
      </w:r>
    </w:p>
    <w:p>
      <w:pPr>
        <w:spacing w:line="240" w:lineRule="auto" w:before="3"/>
        <w:rPr>
          <w:rFonts w:ascii="宋体" w:hAnsi="宋体" w:cs="宋体" w:eastAsia="宋体" w:hint="default"/>
          <w:sz w:val="19"/>
          <w:szCs w:val="19"/>
        </w:rPr>
      </w:pPr>
    </w:p>
    <w:p>
      <w:pPr>
        <w:spacing w:line="272" w:lineRule="exact" w:before="0"/>
        <w:ind w:left="1270" w:right="167" w:firstLine="0"/>
        <w:jc w:val="left"/>
        <w:rPr>
          <w:rFonts w:ascii="宋体" w:hAnsi="宋体" w:cs="宋体" w:eastAsia="宋体" w:hint="default"/>
          <w:sz w:val="21"/>
          <w:szCs w:val="21"/>
        </w:rPr>
      </w:pPr>
      <w:r>
        <w:rPr>
          <w:rFonts w:ascii="宋体" w:hAnsi="宋体" w:cs="宋体" w:eastAsia="宋体" w:hint="default"/>
          <w:sz w:val="21"/>
          <w:szCs w:val="21"/>
        </w:rPr>
        <w:t>本集团前五名供应商的采购总额约人民币</w:t>
      </w:r>
      <w:r>
        <w:rPr>
          <w:rFonts w:ascii="宋体" w:hAnsi="宋体" w:cs="宋体" w:eastAsia="宋体" w:hint="default"/>
          <w:spacing w:val="-45"/>
          <w:sz w:val="21"/>
          <w:szCs w:val="21"/>
        </w:rPr>
        <w:t> </w:t>
      </w:r>
      <w:r>
        <w:rPr>
          <w:rFonts w:ascii="Arial" w:hAnsi="Arial" w:cs="Arial" w:eastAsia="Arial" w:hint="default"/>
          <w:sz w:val="21"/>
          <w:szCs w:val="21"/>
        </w:rPr>
        <w:t>549.69</w:t>
      </w:r>
      <w:r>
        <w:rPr>
          <w:rFonts w:ascii="Arial" w:hAnsi="Arial" w:cs="Arial" w:eastAsia="Arial" w:hint="default"/>
          <w:spacing w:val="-2"/>
          <w:sz w:val="21"/>
          <w:szCs w:val="21"/>
        </w:rPr>
        <w:t> </w:t>
      </w:r>
      <w:r>
        <w:rPr>
          <w:rFonts w:ascii="宋体" w:hAnsi="宋体" w:cs="宋体" w:eastAsia="宋体" w:hint="default"/>
          <w:spacing w:val="-4"/>
          <w:sz w:val="21"/>
          <w:szCs w:val="21"/>
        </w:rPr>
        <w:t>亿元，占集团年度采购总额的比例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为</w:t>
      </w:r>
      <w:r>
        <w:rPr>
          <w:rFonts w:ascii="宋体" w:hAnsi="宋体" w:cs="宋体" w:eastAsia="宋体" w:hint="default"/>
          <w:spacing w:val="-51"/>
          <w:sz w:val="21"/>
          <w:szCs w:val="21"/>
        </w:rPr>
        <w:t> </w:t>
      </w:r>
      <w:r>
        <w:rPr>
          <w:rFonts w:ascii="Arial" w:hAnsi="Arial" w:cs="Arial" w:eastAsia="Arial" w:hint="default"/>
          <w:sz w:val="21"/>
          <w:szCs w:val="21"/>
        </w:rPr>
        <w:t>46.84%</w:t>
      </w:r>
      <w:r>
        <w:rPr>
          <w:rFonts w:ascii="宋体" w:hAnsi="宋体" w:cs="宋体" w:eastAsia="宋体" w:hint="default"/>
          <w:sz w:val="21"/>
          <w:szCs w:val="21"/>
        </w:rPr>
        <w:t>。</w:t>
      </w:r>
    </w:p>
    <w:p>
      <w:pPr>
        <w:spacing w:line="240" w:lineRule="auto" w:before="5"/>
        <w:rPr>
          <w:rFonts w:ascii="宋体" w:hAnsi="宋体" w:cs="宋体" w:eastAsia="宋体" w:hint="default"/>
          <w:sz w:val="16"/>
          <w:szCs w:val="16"/>
        </w:rPr>
      </w:pPr>
    </w:p>
    <w:p>
      <w:pPr>
        <w:spacing w:before="0"/>
        <w:ind w:left="485" w:right="173" w:firstLine="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w:t>
      </w:r>
      <w:r>
        <w:rPr>
          <w:rFonts w:ascii="宋体" w:hAnsi="宋体" w:cs="宋体" w:eastAsia="宋体" w:hint="default"/>
          <w:spacing w:val="-70"/>
          <w:sz w:val="21"/>
          <w:szCs w:val="21"/>
        </w:rPr>
        <w:t> </w:t>
      </w:r>
      <w:r>
        <w:rPr>
          <w:rFonts w:ascii="宋体" w:hAnsi="宋体" w:cs="宋体" w:eastAsia="宋体" w:hint="default"/>
          <w:sz w:val="21"/>
          <w:szCs w:val="21"/>
        </w:rPr>
        <w:t>费用</w:t>
      </w:r>
    </w:p>
    <w:p>
      <w:pPr>
        <w:spacing w:line="240" w:lineRule="auto" w:before="1"/>
        <w:rPr>
          <w:rFonts w:ascii="宋体" w:hAnsi="宋体" w:cs="宋体" w:eastAsia="宋体" w:hint="default"/>
          <w:sz w:val="19"/>
          <w:szCs w:val="19"/>
        </w:rPr>
      </w:pPr>
    </w:p>
    <w:p>
      <w:pPr>
        <w:spacing w:line="274" w:lineRule="exact" w:before="0"/>
        <w:ind w:left="846" w:right="173" w:firstLine="0"/>
        <w:jc w:val="left"/>
        <w:rPr>
          <w:rFonts w:ascii="宋体" w:hAnsi="宋体" w:cs="宋体" w:eastAsia="宋体" w:hint="default"/>
          <w:sz w:val="21"/>
          <w:szCs w:val="21"/>
        </w:rPr>
      </w:pPr>
      <w:r>
        <w:rPr>
          <w:rFonts w:ascii="宋体" w:hAnsi="宋体" w:cs="宋体" w:eastAsia="宋体" w:hint="default"/>
          <w:spacing w:val="-2"/>
          <w:sz w:val="21"/>
          <w:szCs w:val="21"/>
        </w:rPr>
        <w:t>营业税金及附加较上年同比减少</w:t>
      </w:r>
      <w:r>
        <w:rPr>
          <w:rFonts w:ascii="宋体" w:hAnsi="宋体" w:cs="宋体" w:eastAsia="宋体" w:hint="default"/>
          <w:sz w:val="21"/>
          <w:szCs w:val="21"/>
        </w:rPr>
        <w:t> </w:t>
      </w:r>
      <w:r>
        <w:rPr>
          <w:rFonts w:ascii="Arial" w:hAnsi="Arial" w:cs="Arial" w:eastAsia="Arial" w:hint="default"/>
          <w:spacing w:val="-2"/>
          <w:sz w:val="21"/>
          <w:szCs w:val="21"/>
        </w:rPr>
        <w:t>45.7%</w:t>
      </w:r>
      <w:r>
        <w:rPr>
          <w:rFonts w:ascii="宋体" w:hAnsi="宋体" w:cs="宋体" w:eastAsia="宋体" w:hint="default"/>
          <w:spacing w:val="-2"/>
          <w:sz w:val="21"/>
          <w:szCs w:val="21"/>
        </w:rPr>
        <w:t>，主要由于受营改增政策影响，营业税金减少所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致；</w:t>
      </w:r>
    </w:p>
    <w:p>
      <w:pPr>
        <w:spacing w:line="240" w:lineRule="auto" w:before="4"/>
        <w:rPr>
          <w:rFonts w:ascii="宋体" w:hAnsi="宋体" w:cs="宋体" w:eastAsia="宋体" w:hint="default"/>
          <w:sz w:val="16"/>
          <w:szCs w:val="16"/>
        </w:rPr>
      </w:pPr>
    </w:p>
    <w:p>
      <w:pPr>
        <w:spacing w:line="424" w:lineRule="auto" w:before="0"/>
        <w:ind w:left="846" w:right="951" w:firstLine="0"/>
        <w:jc w:val="left"/>
        <w:rPr>
          <w:rFonts w:ascii="宋体" w:hAnsi="宋体" w:cs="宋体" w:eastAsia="宋体" w:hint="default"/>
          <w:sz w:val="21"/>
          <w:szCs w:val="21"/>
        </w:rPr>
      </w:pPr>
      <w:r>
        <w:rPr>
          <w:rFonts w:ascii="宋体" w:hAnsi="宋体" w:cs="宋体" w:eastAsia="宋体" w:hint="default"/>
          <w:sz w:val="21"/>
          <w:szCs w:val="21"/>
        </w:rPr>
        <w:t>投资收益较上年同比增长</w:t>
      </w:r>
      <w:r>
        <w:rPr>
          <w:rFonts w:ascii="宋体" w:hAnsi="宋体" w:cs="宋体" w:eastAsia="宋体" w:hint="default"/>
          <w:spacing w:val="-56"/>
          <w:sz w:val="21"/>
          <w:szCs w:val="21"/>
        </w:rPr>
        <w:t> </w:t>
      </w:r>
      <w:r>
        <w:rPr>
          <w:rFonts w:ascii="Arial" w:hAnsi="Arial" w:cs="Arial" w:eastAsia="Arial" w:hint="default"/>
          <w:sz w:val="21"/>
          <w:szCs w:val="21"/>
        </w:rPr>
        <w:t>83.5%</w:t>
      </w:r>
      <w:r>
        <w:rPr>
          <w:rFonts w:ascii="宋体" w:hAnsi="宋体" w:cs="宋体" w:eastAsia="宋体" w:hint="default"/>
          <w:sz w:val="21"/>
          <w:szCs w:val="21"/>
        </w:rPr>
        <w:t>，主要由于股利增加所致；</w:t>
      </w:r>
      <w:r>
        <w:rPr>
          <w:rFonts w:ascii="宋体" w:hAnsi="宋体" w:cs="宋体" w:eastAsia="宋体" w:hint="default"/>
          <w:w w:val="100"/>
          <w:sz w:val="21"/>
          <w:szCs w:val="21"/>
        </w:rPr>
        <w:t> </w:t>
      </w:r>
      <w:r>
        <w:rPr>
          <w:rFonts w:ascii="宋体" w:hAnsi="宋体" w:cs="宋体" w:eastAsia="宋体" w:hint="default"/>
          <w:sz w:val="21"/>
          <w:szCs w:val="21"/>
        </w:rPr>
        <w:t>财务费用较上年同比增长</w:t>
      </w:r>
      <w:r>
        <w:rPr>
          <w:rFonts w:ascii="宋体" w:hAnsi="宋体" w:cs="宋体" w:eastAsia="宋体" w:hint="default"/>
          <w:spacing w:val="-56"/>
          <w:sz w:val="21"/>
          <w:szCs w:val="21"/>
        </w:rPr>
        <w:t> </w:t>
      </w:r>
      <w:r>
        <w:rPr>
          <w:rFonts w:ascii="Arial" w:hAnsi="Arial" w:cs="Arial" w:eastAsia="Arial" w:hint="default"/>
          <w:sz w:val="21"/>
          <w:szCs w:val="21"/>
        </w:rPr>
        <w:t>46.9%</w:t>
      </w:r>
      <w:r>
        <w:rPr>
          <w:rFonts w:ascii="宋体" w:hAnsi="宋体" w:cs="宋体" w:eastAsia="宋体" w:hint="default"/>
          <w:sz w:val="21"/>
          <w:szCs w:val="21"/>
        </w:rPr>
        <w:t>，主要由于汇兑收益减少所致；</w:t>
      </w:r>
      <w:r>
        <w:rPr>
          <w:rFonts w:ascii="宋体" w:hAnsi="宋体" w:cs="宋体" w:eastAsia="宋体" w:hint="default"/>
          <w:w w:val="100"/>
          <w:sz w:val="21"/>
          <w:szCs w:val="21"/>
        </w:rPr>
        <w:t> </w:t>
      </w:r>
      <w:r>
        <w:rPr>
          <w:rFonts w:ascii="宋体" w:hAnsi="宋体" w:cs="宋体" w:eastAsia="宋体" w:hint="default"/>
          <w:spacing w:val="-2"/>
          <w:sz w:val="21"/>
          <w:szCs w:val="21"/>
        </w:rPr>
        <w:t>营业外支出较上年同比增长</w:t>
      </w:r>
      <w:r>
        <w:rPr>
          <w:rFonts w:ascii="宋体" w:hAnsi="宋体" w:cs="宋体" w:eastAsia="宋体" w:hint="default"/>
          <w:spacing w:val="16"/>
          <w:sz w:val="21"/>
          <w:szCs w:val="21"/>
        </w:rPr>
        <w:t> </w:t>
      </w:r>
      <w:r>
        <w:rPr>
          <w:rFonts w:ascii="Arial" w:hAnsi="Arial" w:cs="Arial" w:eastAsia="Arial" w:hint="default"/>
          <w:spacing w:val="-2"/>
          <w:sz w:val="21"/>
          <w:szCs w:val="21"/>
        </w:rPr>
        <w:t>133.2%</w:t>
      </w:r>
      <w:r>
        <w:rPr>
          <w:rFonts w:ascii="宋体" w:hAnsi="宋体" w:cs="宋体" w:eastAsia="宋体" w:hint="default"/>
          <w:spacing w:val="-2"/>
          <w:sz w:val="21"/>
          <w:szCs w:val="21"/>
        </w:rPr>
        <w:t>，主要由于非流动资产处置损失增加所致。</w:t>
      </w:r>
    </w:p>
    <w:p>
      <w:pPr>
        <w:spacing w:before="43"/>
        <w:ind w:left="485" w:right="173" w:firstLine="0"/>
        <w:jc w:val="left"/>
        <w:rPr>
          <w:rFonts w:ascii="宋体" w:hAnsi="宋体" w:cs="宋体" w:eastAsia="宋体" w:hint="default"/>
          <w:sz w:val="21"/>
          <w:szCs w:val="21"/>
        </w:rPr>
      </w:pPr>
      <w:r>
        <w:rPr>
          <w:rFonts w:ascii="Arial" w:hAnsi="Arial" w:cs="Arial" w:eastAsia="Arial" w:hint="default"/>
          <w:sz w:val="21"/>
          <w:szCs w:val="21"/>
        </w:rPr>
        <w:t>5</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研发支出</w:t>
      </w:r>
    </w:p>
    <w:p>
      <w:pPr>
        <w:spacing w:line="240" w:lineRule="auto" w:before="4"/>
        <w:rPr>
          <w:rFonts w:ascii="宋体" w:hAnsi="宋体" w:cs="宋体" w:eastAsia="宋体" w:hint="default"/>
          <w:sz w:val="14"/>
          <w:szCs w:val="14"/>
        </w:rPr>
      </w:pPr>
    </w:p>
    <w:p>
      <w:pPr>
        <w:spacing w:line="282" w:lineRule="exact" w:before="36"/>
        <w:ind w:left="846" w:right="173" w:firstLine="0"/>
        <w:jc w:val="left"/>
        <w:rPr>
          <w:rFonts w:ascii="宋体" w:hAnsi="宋体" w:cs="宋体" w:eastAsia="宋体" w:hint="default"/>
          <w:sz w:val="21"/>
          <w:szCs w:val="21"/>
        </w:rPr>
      </w:pPr>
      <w:r>
        <w:rPr>
          <w:rFonts w:ascii="Arial" w:hAnsi="Arial" w:cs="Arial" w:eastAsia="Arial" w:hint="default"/>
          <w:sz w:val="21"/>
          <w:szCs w:val="21"/>
        </w:rPr>
        <w:t>5.1 </w:t>
      </w:r>
      <w:r>
        <w:rPr>
          <w:rFonts w:ascii="Arial" w:hAnsi="Arial" w:cs="Arial" w:eastAsia="Arial" w:hint="default"/>
          <w:spacing w:val="18"/>
          <w:sz w:val="21"/>
          <w:szCs w:val="21"/>
        </w:rPr>
        <w:t> </w:t>
      </w:r>
      <w:r>
        <w:rPr>
          <w:rFonts w:ascii="宋体" w:hAnsi="宋体" w:cs="宋体" w:eastAsia="宋体" w:hint="default"/>
          <w:sz w:val="21"/>
          <w:szCs w:val="21"/>
        </w:rPr>
        <w:t>研发支出情况表</w:t>
      </w:r>
    </w:p>
    <w:p>
      <w:pPr>
        <w:tabs>
          <w:tab w:pos="1048" w:val="left" w:leader="none"/>
        </w:tabs>
        <w:spacing w:line="267" w:lineRule="exact" w:before="0"/>
        <w:ind w:left="0" w:right="170"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268" w:type="dxa"/>
        <w:tblLayout w:type="fixed"/>
        <w:tblCellMar>
          <w:top w:w="0" w:type="dxa"/>
          <w:left w:w="0" w:type="dxa"/>
          <w:bottom w:w="0" w:type="dxa"/>
          <w:right w:w="0" w:type="dxa"/>
        </w:tblCellMar>
        <w:tblLook w:val="01E0"/>
      </w:tblPr>
      <w:tblGrid>
        <w:gridCol w:w="3968"/>
        <w:gridCol w:w="3687"/>
      </w:tblGrid>
      <w:tr>
        <w:trPr>
          <w:trHeight w:val="245" w:hRule="exact"/>
        </w:trPr>
        <w:tc>
          <w:tcPr>
            <w:tcW w:w="396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本期费用化研发支出</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Arial" w:hAnsi="Arial" w:cs="Arial" w:eastAsia="Arial" w:hint="default"/>
                <w:sz w:val="18"/>
                <w:szCs w:val="18"/>
              </w:rPr>
            </w:pPr>
            <w:r>
              <w:rPr>
                <w:rFonts w:ascii="Arial"/>
                <w:spacing w:val="-1"/>
                <w:sz w:val="18"/>
              </w:rPr>
              <w:t>226,176,696</w:t>
            </w:r>
          </w:p>
        </w:tc>
      </w:tr>
      <w:tr>
        <w:trPr>
          <w:trHeight w:val="242" w:hRule="exact"/>
        </w:trPr>
        <w:tc>
          <w:tcPr>
            <w:tcW w:w="396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本期资本化研发支出</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Arial" w:hAnsi="Arial" w:cs="Arial" w:eastAsia="Arial" w:hint="default"/>
                <w:sz w:val="18"/>
                <w:szCs w:val="18"/>
              </w:rPr>
            </w:pPr>
            <w:r>
              <w:rPr>
                <w:rFonts w:ascii="Arial"/>
                <w:spacing w:val="-1"/>
                <w:sz w:val="18"/>
              </w:rPr>
              <w:t>141,628</w:t>
            </w:r>
          </w:p>
        </w:tc>
      </w:tr>
      <w:tr>
        <w:trPr>
          <w:trHeight w:val="245" w:hRule="exact"/>
        </w:trPr>
        <w:tc>
          <w:tcPr>
            <w:tcW w:w="396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研发支出合计</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3"/>
              <w:jc w:val="right"/>
              <w:rPr>
                <w:rFonts w:ascii="Arial" w:hAnsi="Arial" w:cs="Arial" w:eastAsia="Arial" w:hint="default"/>
                <w:sz w:val="18"/>
                <w:szCs w:val="18"/>
              </w:rPr>
            </w:pPr>
            <w:r>
              <w:rPr>
                <w:rFonts w:ascii="Arial"/>
                <w:spacing w:val="-1"/>
                <w:sz w:val="18"/>
              </w:rPr>
              <w:t>226,318,324</w:t>
            </w:r>
          </w:p>
        </w:tc>
      </w:tr>
      <w:tr>
        <w:trPr>
          <w:trHeight w:val="242" w:hRule="exact"/>
        </w:trPr>
        <w:tc>
          <w:tcPr>
            <w:tcW w:w="396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18" w:lineRule="exact"/>
              <w:ind w:left="100" w:right="0"/>
              <w:jc w:val="left"/>
              <w:rPr>
                <w:rFonts w:ascii="宋体" w:hAnsi="宋体" w:cs="宋体" w:eastAsia="宋体" w:hint="default"/>
                <w:sz w:val="18"/>
                <w:szCs w:val="18"/>
              </w:rPr>
            </w:pPr>
            <w:r>
              <w:rPr>
                <w:rFonts w:ascii="宋体" w:hAnsi="宋体" w:cs="宋体" w:eastAsia="宋体" w:hint="default"/>
                <w:sz w:val="18"/>
                <w:szCs w:val="18"/>
              </w:rPr>
              <w:t>研发支出总额占净资产比例（</w:t>
            </w:r>
            <w:r>
              <w:rPr>
                <w:rFonts w:ascii="Arial" w:hAnsi="Arial" w:cs="Arial" w:eastAsia="Arial" w:hint="default"/>
                <w:sz w:val="18"/>
                <w:szCs w:val="18"/>
              </w:rPr>
              <w:t>%</w:t>
            </w:r>
            <w:r>
              <w:rPr>
                <w:rFonts w:ascii="宋体" w:hAnsi="宋体" w:cs="宋体" w:eastAsia="宋体" w:hint="default"/>
                <w:sz w:val="18"/>
                <w:szCs w:val="18"/>
              </w:rPr>
              <w:t>）</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Arial" w:hAnsi="Arial" w:cs="Arial" w:eastAsia="Arial" w:hint="default"/>
                <w:sz w:val="18"/>
                <w:szCs w:val="18"/>
              </w:rPr>
            </w:pPr>
            <w:r>
              <w:rPr>
                <w:rFonts w:ascii="Arial"/>
                <w:w w:val="95"/>
                <w:sz w:val="18"/>
              </w:rPr>
              <w:t>0.1</w:t>
            </w:r>
          </w:p>
        </w:tc>
      </w:tr>
      <w:tr>
        <w:trPr>
          <w:trHeight w:val="245" w:hRule="exact"/>
        </w:trPr>
        <w:tc>
          <w:tcPr>
            <w:tcW w:w="396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18" w:lineRule="exact"/>
              <w:ind w:left="100" w:right="0"/>
              <w:jc w:val="left"/>
              <w:rPr>
                <w:rFonts w:ascii="宋体" w:hAnsi="宋体" w:cs="宋体" w:eastAsia="宋体" w:hint="default"/>
                <w:sz w:val="18"/>
                <w:szCs w:val="18"/>
              </w:rPr>
            </w:pPr>
            <w:r>
              <w:rPr>
                <w:rFonts w:ascii="宋体" w:hAnsi="宋体" w:cs="宋体" w:eastAsia="宋体" w:hint="default"/>
                <w:sz w:val="18"/>
                <w:szCs w:val="18"/>
              </w:rPr>
              <w:t>研发支出总额占营业收入比例（</w:t>
            </w:r>
            <w:r>
              <w:rPr>
                <w:rFonts w:ascii="Arial" w:hAnsi="Arial" w:cs="Arial" w:eastAsia="Arial" w:hint="default"/>
                <w:sz w:val="18"/>
                <w:szCs w:val="18"/>
              </w:rPr>
              <w:t>%</w:t>
            </w:r>
            <w:r>
              <w:rPr>
                <w:rFonts w:ascii="宋体" w:hAnsi="宋体" w:cs="宋体" w:eastAsia="宋体" w:hint="default"/>
                <w:sz w:val="18"/>
                <w:szCs w:val="18"/>
              </w:rPr>
              <w:t>）</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Arial" w:hAnsi="Arial" w:cs="Arial" w:eastAsia="Arial" w:hint="default"/>
                <w:sz w:val="18"/>
                <w:szCs w:val="18"/>
              </w:rPr>
            </w:pPr>
            <w:r>
              <w:rPr>
                <w:rFonts w:ascii="Arial"/>
                <w:w w:val="95"/>
                <w:sz w:val="18"/>
              </w:rPr>
              <w:t>0.1</w:t>
            </w:r>
          </w:p>
        </w:tc>
      </w:tr>
    </w:tbl>
    <w:p>
      <w:pPr>
        <w:spacing w:line="240" w:lineRule="auto" w:before="13"/>
        <w:rPr>
          <w:rFonts w:ascii="宋体" w:hAnsi="宋体" w:cs="宋体" w:eastAsia="宋体" w:hint="default"/>
          <w:sz w:val="12"/>
          <w:szCs w:val="12"/>
        </w:rPr>
      </w:pPr>
    </w:p>
    <w:p>
      <w:pPr>
        <w:spacing w:before="36"/>
        <w:ind w:left="485" w:right="173" w:firstLine="0"/>
        <w:jc w:val="left"/>
        <w:rPr>
          <w:rFonts w:ascii="宋体" w:hAnsi="宋体" w:cs="宋体" w:eastAsia="宋体" w:hint="default"/>
          <w:sz w:val="21"/>
          <w:szCs w:val="21"/>
        </w:rPr>
      </w:pPr>
      <w:r>
        <w:rPr>
          <w:rFonts w:ascii="Arial" w:hAnsi="Arial" w:cs="Arial" w:eastAsia="Arial" w:hint="default"/>
          <w:sz w:val="21"/>
          <w:szCs w:val="21"/>
        </w:rPr>
        <w:t>6</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现金流</w:t>
      </w:r>
    </w:p>
    <w:p>
      <w:pPr>
        <w:spacing w:line="240" w:lineRule="auto" w:before="1"/>
        <w:rPr>
          <w:rFonts w:ascii="宋体" w:hAnsi="宋体" w:cs="宋体" w:eastAsia="宋体" w:hint="default"/>
          <w:sz w:val="17"/>
          <w:szCs w:val="17"/>
        </w:rPr>
      </w:pPr>
    </w:p>
    <w:p>
      <w:pPr>
        <w:spacing w:line="282" w:lineRule="exact" w:before="0"/>
        <w:ind w:left="846" w:right="173" w:firstLine="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10"/>
          <w:sz w:val="21"/>
          <w:szCs w:val="21"/>
        </w:rPr>
        <w:t> </w:t>
      </w:r>
      <w:r>
        <w:rPr>
          <w:rFonts w:ascii="宋体" w:hAnsi="宋体" w:cs="宋体" w:eastAsia="宋体" w:hint="default"/>
          <w:sz w:val="21"/>
          <w:szCs w:val="21"/>
        </w:rPr>
        <w:t>年公司经营活动现金流量净额为</w:t>
      </w:r>
      <w:r>
        <w:rPr>
          <w:rFonts w:ascii="宋体" w:hAnsi="宋体" w:cs="宋体" w:eastAsia="宋体" w:hint="default"/>
          <w:spacing w:val="-54"/>
          <w:sz w:val="21"/>
          <w:szCs w:val="21"/>
        </w:rPr>
        <w:t> </w:t>
      </w:r>
      <w:r>
        <w:rPr>
          <w:rFonts w:ascii="Arial" w:hAnsi="Arial" w:cs="Arial" w:eastAsia="Arial" w:hint="default"/>
          <w:sz w:val="21"/>
          <w:szCs w:val="21"/>
        </w:rPr>
        <w:t>924.3</w:t>
      </w:r>
      <w:r>
        <w:rPr>
          <w:rFonts w:ascii="Arial" w:hAnsi="Arial" w:cs="Arial" w:eastAsia="Arial" w:hint="default"/>
          <w:spacing w:val="-8"/>
          <w:sz w:val="21"/>
          <w:szCs w:val="21"/>
        </w:rPr>
        <w:t> </w:t>
      </w:r>
      <w:r>
        <w:rPr>
          <w:rFonts w:ascii="宋体" w:hAnsi="宋体" w:cs="宋体" w:eastAsia="宋体" w:hint="default"/>
          <w:sz w:val="21"/>
          <w:szCs w:val="21"/>
        </w:rPr>
        <w:t>亿元，扣除本年资本开支后自由现金流为</w:t>
      </w:r>
    </w:p>
    <w:p>
      <w:pPr>
        <w:spacing w:line="272" w:lineRule="exact" w:before="19"/>
        <w:ind w:left="846" w:right="173" w:firstLine="0"/>
        <w:jc w:val="left"/>
        <w:rPr>
          <w:rFonts w:ascii="宋体" w:hAnsi="宋体" w:cs="宋体" w:eastAsia="宋体" w:hint="default"/>
          <w:sz w:val="21"/>
          <w:szCs w:val="21"/>
        </w:rPr>
      </w:pPr>
      <w:r>
        <w:rPr>
          <w:rFonts w:ascii="Arial" w:hAnsi="Arial" w:cs="Arial" w:eastAsia="Arial" w:hint="default"/>
          <w:spacing w:val="-1"/>
          <w:sz w:val="21"/>
          <w:szCs w:val="21"/>
        </w:rPr>
        <w:t>75.5</w:t>
      </w:r>
      <w:r>
        <w:rPr>
          <w:rFonts w:ascii="Arial" w:hAnsi="Arial" w:cs="Arial" w:eastAsia="Arial" w:hint="default"/>
          <w:sz w:val="21"/>
          <w:szCs w:val="21"/>
        </w:rPr>
        <w:t> </w:t>
      </w:r>
      <w:r>
        <w:rPr>
          <w:rFonts w:ascii="宋体" w:hAnsi="宋体" w:cs="宋体" w:eastAsia="宋体" w:hint="default"/>
          <w:spacing w:val="-2"/>
          <w:sz w:val="21"/>
          <w:szCs w:val="21"/>
        </w:rPr>
        <w:t>亿元。考虑到公司经营活动净现金流入保持稳定以及良好的信贷信用，我们相信公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司应有足够的运营资金满足生产经营需要。</w:t>
      </w:r>
    </w:p>
    <w:p>
      <w:pPr>
        <w:spacing w:after="0" w:line="272" w:lineRule="exact"/>
        <w:jc w:val="left"/>
        <w:rPr>
          <w:rFonts w:ascii="宋体" w:hAnsi="宋体" w:cs="宋体" w:eastAsia="宋体" w:hint="default"/>
          <w:sz w:val="21"/>
          <w:szCs w:val="21"/>
        </w:rPr>
        <w:sectPr>
          <w:pgSz w:w="11910" w:h="16840"/>
          <w:pgMar w:header="880" w:footer="1194" w:top="1120" w:bottom="1380" w:left="1660" w:right="1160"/>
        </w:sectPr>
      </w:pPr>
    </w:p>
    <w:p>
      <w:pPr>
        <w:spacing w:line="240" w:lineRule="auto" w:before="11"/>
        <w:rPr>
          <w:rFonts w:ascii="宋体" w:hAnsi="宋体" w:cs="宋体" w:eastAsia="宋体" w:hint="default"/>
          <w:sz w:val="29"/>
          <w:szCs w:val="29"/>
        </w:rPr>
      </w:pPr>
    </w:p>
    <w:p>
      <w:pPr>
        <w:spacing w:before="36"/>
        <w:ind w:left="138" w:right="1922" w:firstLine="0"/>
        <w:jc w:val="left"/>
        <w:rPr>
          <w:rFonts w:ascii="宋体" w:hAnsi="宋体" w:cs="宋体" w:eastAsia="宋体" w:hint="default"/>
          <w:sz w:val="21"/>
          <w:szCs w:val="21"/>
        </w:rPr>
      </w:pPr>
      <w:r>
        <w:rPr>
          <w:rFonts w:ascii="宋体" w:hAnsi="宋体" w:cs="宋体" w:eastAsia="宋体" w:hint="default"/>
          <w:b/>
          <w:bCs/>
          <w:sz w:val="21"/>
          <w:szCs w:val="21"/>
        </w:rPr>
        <w:t>一、董事会关于公司报告期内经营情况的讨论与分析（续）</w:t>
      </w:r>
      <w:r>
        <w:rPr>
          <w:rFonts w:ascii="宋体" w:hAnsi="宋体" w:cs="宋体" w:eastAsia="宋体" w:hint="default"/>
          <w:sz w:val="21"/>
          <w:szCs w:val="21"/>
        </w:rPr>
      </w:r>
    </w:p>
    <w:p>
      <w:pPr>
        <w:spacing w:line="240" w:lineRule="auto" w:before="11"/>
        <w:rPr>
          <w:rFonts w:ascii="宋体" w:hAnsi="宋体" w:cs="宋体" w:eastAsia="宋体" w:hint="default"/>
          <w:b/>
          <w:bCs/>
          <w:sz w:val="29"/>
          <w:szCs w:val="29"/>
        </w:rPr>
      </w:pPr>
    </w:p>
    <w:p>
      <w:pPr>
        <w:spacing w:before="0"/>
        <w:ind w:left="138" w:right="1922"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二</w:t>
      </w:r>
      <w:r>
        <w:rPr>
          <w:rFonts w:ascii="Arial" w:hAnsi="Arial" w:cs="Arial" w:eastAsia="Arial" w:hint="default"/>
          <w:b/>
          <w:bCs/>
          <w:sz w:val="21"/>
          <w:szCs w:val="21"/>
        </w:rPr>
        <w:t>)</w:t>
      </w:r>
      <w:r>
        <w:rPr>
          <w:rFonts w:ascii="Arial" w:hAnsi="Arial" w:cs="Arial" w:eastAsia="Arial" w:hint="default"/>
          <w:b/>
          <w:bCs/>
          <w:spacing w:val="16"/>
          <w:sz w:val="21"/>
          <w:szCs w:val="21"/>
        </w:rPr>
        <w:t> </w:t>
      </w:r>
      <w:r>
        <w:rPr>
          <w:rFonts w:ascii="宋体" w:hAnsi="宋体" w:cs="宋体" w:eastAsia="宋体" w:hint="default"/>
          <w:b/>
          <w:bCs/>
          <w:sz w:val="21"/>
          <w:szCs w:val="21"/>
        </w:rPr>
        <w:t>行业、产品或地区经营情况分析</w:t>
      </w:r>
      <w:r>
        <w:rPr>
          <w:rFonts w:ascii="宋体" w:hAnsi="宋体" w:cs="宋体" w:eastAsia="宋体" w:hint="default"/>
          <w:sz w:val="21"/>
          <w:szCs w:val="21"/>
        </w:rPr>
      </w:r>
    </w:p>
    <w:p>
      <w:pPr>
        <w:spacing w:line="240" w:lineRule="auto" w:before="12"/>
        <w:rPr>
          <w:rFonts w:ascii="宋体" w:hAnsi="宋体" w:cs="宋体" w:eastAsia="宋体" w:hint="default"/>
          <w:b/>
          <w:bCs/>
          <w:sz w:val="18"/>
          <w:szCs w:val="18"/>
        </w:rPr>
      </w:pPr>
    </w:p>
    <w:p>
      <w:pPr>
        <w:spacing w:line="282" w:lineRule="exact" w:before="36"/>
        <w:ind w:left="485" w:right="1922" w:firstLine="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pacing w:val="-72"/>
          <w:sz w:val="21"/>
          <w:szCs w:val="21"/>
        </w:rPr>
        <w:t> </w:t>
      </w:r>
      <w:r>
        <w:rPr>
          <w:rFonts w:ascii="宋体" w:hAnsi="宋体" w:cs="宋体" w:eastAsia="宋体" w:hint="default"/>
          <w:sz w:val="21"/>
          <w:szCs w:val="21"/>
        </w:rPr>
        <w:t>主营业务分行业、分产品情况</w:t>
      </w:r>
    </w:p>
    <w:p>
      <w:pPr>
        <w:tabs>
          <w:tab w:pos="1468" w:val="left" w:leader="none"/>
        </w:tabs>
        <w:spacing w:line="267" w:lineRule="exact" w:before="0"/>
        <w:ind w:left="0" w:right="129" w:firstLine="0"/>
        <w:jc w:val="right"/>
        <w:rPr>
          <w:rFonts w:ascii="宋体" w:hAnsi="宋体" w:cs="宋体" w:eastAsia="宋体" w:hint="default"/>
          <w:sz w:val="21"/>
          <w:szCs w:val="21"/>
        </w:rPr>
      </w:pPr>
      <w:r>
        <w:rPr>
          <w:rFonts w:ascii="宋体" w:hAnsi="宋体" w:cs="宋体" w:eastAsia="宋体" w:hint="default"/>
          <w:spacing w:val="-1"/>
          <w:sz w:val="21"/>
          <w:szCs w:val="21"/>
        </w:rPr>
        <w:t>单位：百万元</w:t>
        <w:tab/>
        <w:t>币种：人民币</w:t>
      </w:r>
    </w:p>
    <w:p>
      <w:pPr>
        <w:spacing w:line="240" w:lineRule="auto" w:before="5"/>
        <w:rPr>
          <w:rFonts w:ascii="宋体" w:hAnsi="宋体" w:cs="宋体" w:eastAsia="宋体" w:hint="default"/>
          <w:sz w:val="2"/>
          <w:szCs w:val="2"/>
        </w:rPr>
      </w:pPr>
    </w:p>
    <w:tbl>
      <w:tblPr>
        <w:tblW w:w="0" w:type="auto"/>
        <w:jc w:val="left"/>
        <w:tblInd w:w="841" w:type="dxa"/>
        <w:tblLayout w:type="fixed"/>
        <w:tblCellMar>
          <w:top w:w="0" w:type="dxa"/>
          <w:left w:w="0" w:type="dxa"/>
          <w:bottom w:w="0" w:type="dxa"/>
          <w:right w:w="0" w:type="dxa"/>
        </w:tblCellMar>
        <w:tblLook w:val="01E0"/>
      </w:tblPr>
      <w:tblGrid>
        <w:gridCol w:w="857"/>
        <w:gridCol w:w="950"/>
        <w:gridCol w:w="1032"/>
        <w:gridCol w:w="1128"/>
        <w:gridCol w:w="1421"/>
        <w:gridCol w:w="1416"/>
        <w:gridCol w:w="1277"/>
      </w:tblGrid>
      <w:tr>
        <w:trPr>
          <w:trHeight w:val="244" w:hRule="exact"/>
        </w:trPr>
        <w:tc>
          <w:tcPr>
            <w:tcW w:w="8083" w:type="dxa"/>
            <w:gridSpan w:val="7"/>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主营业务分行业情况</w:t>
            </w:r>
            <w:r>
              <w:rPr>
                <w:rFonts w:ascii="宋体" w:hAnsi="宋体" w:cs="宋体" w:eastAsia="宋体" w:hint="default"/>
                <w:sz w:val="18"/>
                <w:szCs w:val="18"/>
              </w:rPr>
            </w:r>
          </w:p>
        </w:tc>
      </w:tr>
      <w:tr>
        <w:trPr>
          <w:trHeight w:val="478" w:hRule="exact"/>
        </w:trPr>
        <w:tc>
          <w:tcPr>
            <w:tcW w:w="85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分行业</w:t>
            </w:r>
          </w:p>
        </w:tc>
        <w:tc>
          <w:tcPr>
            <w:tcW w:w="95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7"/>
              <w:ind w:right="108"/>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03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7"/>
              <w:ind w:right="149"/>
              <w:jc w:val="right"/>
              <w:rPr>
                <w:rFonts w:ascii="宋体" w:hAnsi="宋体" w:cs="宋体" w:eastAsia="宋体" w:hint="default"/>
                <w:sz w:val="18"/>
                <w:szCs w:val="18"/>
              </w:rPr>
            </w:pPr>
            <w:r>
              <w:rPr>
                <w:rFonts w:ascii="宋体" w:hAnsi="宋体" w:cs="宋体" w:eastAsia="宋体" w:hint="default"/>
                <w:sz w:val="18"/>
                <w:szCs w:val="18"/>
              </w:rPr>
              <w:t>营业成本</w:t>
            </w:r>
          </w:p>
        </w:tc>
        <w:tc>
          <w:tcPr>
            <w:tcW w:w="112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7"/>
              <w:ind w:left="117" w:right="0"/>
              <w:jc w:val="left"/>
              <w:rPr>
                <w:rFonts w:ascii="宋体" w:hAnsi="宋体" w:cs="宋体" w:eastAsia="宋体" w:hint="default"/>
                <w:sz w:val="18"/>
                <w:szCs w:val="18"/>
              </w:rPr>
            </w:pPr>
            <w:r>
              <w:rPr>
                <w:rFonts w:ascii="宋体" w:hAnsi="宋体" w:cs="宋体" w:eastAsia="宋体" w:hint="default"/>
                <w:sz w:val="18"/>
                <w:szCs w:val="18"/>
              </w:rPr>
              <w:t>毛利（</w:t>
            </w:r>
            <w:r>
              <w:rPr>
                <w:rFonts w:ascii="Arial" w:hAnsi="Arial" w:cs="Arial" w:eastAsia="Arial" w:hint="default"/>
                <w:sz w:val="18"/>
                <w:szCs w:val="18"/>
              </w:rPr>
              <w:t>%</w:t>
            </w:r>
            <w:r>
              <w:rPr>
                <w:rFonts w:ascii="宋体" w:hAnsi="宋体" w:cs="宋体" w:eastAsia="宋体" w:hint="default"/>
                <w:sz w:val="18"/>
                <w:szCs w:val="18"/>
              </w:rPr>
              <w:t>）</w:t>
            </w:r>
          </w:p>
        </w:tc>
        <w:tc>
          <w:tcPr>
            <w:tcW w:w="142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4" w:lineRule="exact"/>
              <w:ind w:left="172" w:right="0" w:hanging="10"/>
              <w:jc w:val="left"/>
              <w:rPr>
                <w:rFonts w:ascii="宋体" w:hAnsi="宋体" w:cs="宋体" w:eastAsia="宋体" w:hint="default"/>
                <w:sz w:val="18"/>
                <w:szCs w:val="18"/>
              </w:rPr>
            </w:pPr>
            <w:r>
              <w:rPr>
                <w:rFonts w:ascii="宋体" w:hAnsi="宋体" w:cs="宋体" w:eastAsia="宋体" w:hint="default"/>
                <w:sz w:val="18"/>
                <w:szCs w:val="18"/>
              </w:rPr>
              <w:t>营业收入比上</w:t>
            </w:r>
          </w:p>
          <w:p>
            <w:pPr>
              <w:pStyle w:val="TableParagraph"/>
              <w:spacing w:line="247" w:lineRule="exact"/>
              <w:ind w:left="172" w:right="0"/>
              <w:jc w:val="left"/>
              <w:rPr>
                <w:rFonts w:ascii="宋体" w:hAnsi="宋体" w:cs="宋体" w:eastAsia="宋体" w:hint="default"/>
                <w:sz w:val="18"/>
                <w:szCs w:val="18"/>
              </w:rPr>
            </w:pPr>
            <w:r>
              <w:rPr>
                <w:rFonts w:ascii="宋体" w:hAnsi="宋体" w:cs="宋体" w:eastAsia="宋体" w:hint="default"/>
                <w:sz w:val="18"/>
                <w:szCs w:val="18"/>
              </w:rPr>
              <w:t>年增减（</w:t>
            </w:r>
            <w:r>
              <w:rPr>
                <w:rFonts w:ascii="Arial" w:hAnsi="Arial" w:cs="Arial" w:eastAsia="Arial" w:hint="default"/>
                <w:sz w:val="18"/>
                <w:szCs w:val="18"/>
              </w:rPr>
              <w:t>%</w:t>
            </w:r>
            <w:r>
              <w:rPr>
                <w:rFonts w:ascii="宋体" w:hAnsi="宋体" w:cs="宋体" w:eastAsia="宋体"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4" w:lineRule="exact"/>
              <w:ind w:left="170" w:right="0" w:hanging="10"/>
              <w:jc w:val="left"/>
              <w:rPr>
                <w:rFonts w:ascii="宋体" w:hAnsi="宋体" w:cs="宋体" w:eastAsia="宋体" w:hint="default"/>
                <w:sz w:val="18"/>
                <w:szCs w:val="18"/>
              </w:rPr>
            </w:pPr>
            <w:r>
              <w:rPr>
                <w:rFonts w:ascii="宋体" w:hAnsi="宋体" w:cs="宋体" w:eastAsia="宋体" w:hint="default"/>
                <w:sz w:val="18"/>
                <w:szCs w:val="18"/>
              </w:rPr>
              <w:t>营业成本比上</w:t>
            </w:r>
          </w:p>
          <w:p>
            <w:pPr>
              <w:pStyle w:val="TableParagraph"/>
              <w:spacing w:line="247" w:lineRule="exact"/>
              <w:ind w:left="170" w:right="0"/>
              <w:jc w:val="left"/>
              <w:rPr>
                <w:rFonts w:ascii="宋体" w:hAnsi="宋体" w:cs="宋体" w:eastAsia="宋体" w:hint="default"/>
                <w:sz w:val="18"/>
                <w:szCs w:val="18"/>
              </w:rPr>
            </w:pPr>
            <w:r>
              <w:rPr>
                <w:rFonts w:ascii="宋体" w:hAnsi="宋体" w:cs="宋体" w:eastAsia="宋体" w:hint="default"/>
                <w:sz w:val="18"/>
                <w:szCs w:val="18"/>
              </w:rPr>
              <w:t>年增减（</w:t>
            </w:r>
            <w:r>
              <w:rPr>
                <w:rFonts w:ascii="Arial" w:hAnsi="Arial" w:cs="Arial" w:eastAsia="Arial" w:hint="default"/>
                <w:sz w:val="18"/>
                <w:szCs w:val="18"/>
              </w:rPr>
              <w:t>%</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4" w:lineRule="exact"/>
              <w:ind w:left="103" w:right="0" w:firstLine="79"/>
              <w:jc w:val="left"/>
              <w:rPr>
                <w:rFonts w:ascii="宋体" w:hAnsi="宋体" w:cs="宋体" w:eastAsia="宋体" w:hint="default"/>
                <w:sz w:val="18"/>
                <w:szCs w:val="18"/>
              </w:rPr>
            </w:pPr>
            <w:r>
              <w:rPr>
                <w:rFonts w:ascii="宋体" w:hAnsi="宋体" w:cs="宋体" w:eastAsia="宋体" w:hint="default"/>
                <w:sz w:val="18"/>
                <w:szCs w:val="18"/>
              </w:rPr>
              <w:t>毛利率比上</w:t>
            </w:r>
          </w:p>
          <w:p>
            <w:pPr>
              <w:pStyle w:val="TableParagraph"/>
              <w:spacing w:line="247" w:lineRule="exact"/>
              <w:ind w:left="103" w:right="0"/>
              <w:jc w:val="left"/>
              <w:rPr>
                <w:rFonts w:ascii="宋体" w:hAnsi="宋体" w:cs="宋体" w:eastAsia="宋体" w:hint="default"/>
                <w:sz w:val="18"/>
                <w:szCs w:val="18"/>
              </w:rPr>
            </w:pPr>
            <w:r>
              <w:rPr>
                <w:rFonts w:ascii="宋体" w:hAnsi="宋体" w:cs="宋体" w:eastAsia="宋体" w:hint="default"/>
                <w:sz w:val="18"/>
                <w:szCs w:val="18"/>
              </w:rPr>
              <w:t>年增减（</w:t>
            </w:r>
            <w:r>
              <w:rPr>
                <w:rFonts w:ascii="Arial" w:hAnsi="Arial" w:cs="Arial" w:eastAsia="Arial" w:hint="default"/>
                <w:sz w:val="18"/>
                <w:szCs w:val="18"/>
              </w:rPr>
              <w:t>%</w:t>
            </w:r>
            <w:r>
              <w:rPr>
                <w:rFonts w:ascii="宋体" w:hAnsi="宋体" w:cs="宋体" w:eastAsia="宋体" w:hint="default"/>
                <w:sz w:val="18"/>
                <w:szCs w:val="18"/>
              </w:rPr>
              <w:t>）</w:t>
            </w:r>
          </w:p>
        </w:tc>
      </w:tr>
      <w:tr>
        <w:trPr>
          <w:trHeight w:val="362"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7" w:right="0"/>
              <w:jc w:val="center"/>
              <w:rPr>
                <w:rFonts w:ascii="宋体" w:hAnsi="宋体" w:cs="宋体" w:eastAsia="宋体" w:hint="default"/>
                <w:sz w:val="18"/>
                <w:szCs w:val="18"/>
              </w:rPr>
            </w:pPr>
            <w:r>
              <w:rPr>
                <w:rFonts w:ascii="宋体" w:hAnsi="宋体" w:cs="宋体" w:eastAsia="宋体" w:hint="default"/>
                <w:b/>
                <w:bCs/>
                <w:sz w:val="18"/>
                <w:szCs w:val="18"/>
              </w:rPr>
              <w:t>电信业</w:t>
            </w:r>
            <w:r>
              <w:rPr>
                <w:rFonts w:ascii="宋体" w:hAnsi="宋体" w:cs="宋体" w:eastAsia="宋体" w:hint="default"/>
                <w:sz w:val="18"/>
                <w:szCs w:val="18"/>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Arial" w:hAnsi="Arial" w:cs="Arial" w:eastAsia="Arial" w:hint="default"/>
                <w:sz w:val="18"/>
                <w:szCs w:val="18"/>
              </w:rPr>
            </w:pPr>
            <w:r>
              <w:rPr>
                <w:rFonts w:ascii="Arial"/>
                <w:spacing w:val="-1"/>
                <w:sz w:val="18"/>
              </w:rPr>
              <w:t>288,571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Arial" w:hAnsi="Arial" w:cs="Arial" w:eastAsia="Arial" w:hint="default"/>
                <w:sz w:val="18"/>
                <w:szCs w:val="18"/>
              </w:rPr>
            </w:pPr>
            <w:r>
              <w:rPr>
                <w:rFonts w:ascii="Arial"/>
                <w:spacing w:val="-1"/>
                <w:sz w:val="18"/>
              </w:rPr>
              <w:t>204,658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665" w:right="0"/>
              <w:jc w:val="left"/>
              <w:rPr>
                <w:rFonts w:ascii="Arial" w:hAnsi="Arial" w:cs="Arial" w:eastAsia="Arial" w:hint="default"/>
                <w:sz w:val="18"/>
                <w:szCs w:val="18"/>
              </w:rPr>
            </w:pPr>
            <w:r>
              <w:rPr>
                <w:rFonts w:ascii="Arial"/>
                <w:sz w:val="18"/>
              </w:rPr>
              <w:t>29.1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sz w:val="18"/>
              </w:rPr>
              <w:t>(5.0)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sz w:val="18"/>
              </w:rPr>
              <w:t>(7.1)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Arial" w:hAnsi="Arial" w:cs="Arial" w:eastAsia="Arial" w:hint="default"/>
                <w:sz w:val="18"/>
                <w:szCs w:val="18"/>
              </w:rPr>
            </w:pPr>
            <w:r>
              <w:rPr>
                <w:rFonts w:ascii="Arial"/>
                <w:w w:val="95"/>
                <w:sz w:val="18"/>
              </w:rPr>
              <w:t>1.6</w:t>
            </w:r>
          </w:p>
        </w:tc>
      </w:tr>
      <w:tr>
        <w:trPr>
          <w:trHeight w:val="245" w:hRule="exact"/>
        </w:trPr>
        <w:tc>
          <w:tcPr>
            <w:tcW w:w="8083" w:type="dxa"/>
            <w:gridSpan w:val="7"/>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主营业务分产品情况</w:t>
            </w:r>
            <w:r>
              <w:rPr>
                <w:rFonts w:ascii="宋体" w:hAnsi="宋体" w:cs="宋体" w:eastAsia="宋体" w:hint="default"/>
                <w:sz w:val="18"/>
                <w:szCs w:val="18"/>
              </w:rPr>
            </w:r>
          </w:p>
        </w:tc>
      </w:tr>
      <w:tr>
        <w:trPr>
          <w:trHeight w:val="475" w:hRule="exact"/>
        </w:trPr>
        <w:tc>
          <w:tcPr>
            <w:tcW w:w="85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分产品</w:t>
            </w:r>
          </w:p>
        </w:tc>
        <w:tc>
          <w:tcPr>
            <w:tcW w:w="95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5"/>
              <w:ind w:right="108"/>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03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5"/>
              <w:ind w:right="149"/>
              <w:jc w:val="right"/>
              <w:rPr>
                <w:rFonts w:ascii="宋体" w:hAnsi="宋体" w:cs="宋体" w:eastAsia="宋体" w:hint="default"/>
                <w:sz w:val="18"/>
                <w:szCs w:val="18"/>
              </w:rPr>
            </w:pPr>
            <w:r>
              <w:rPr>
                <w:rFonts w:ascii="宋体" w:hAnsi="宋体" w:cs="宋体" w:eastAsia="宋体" w:hint="default"/>
                <w:sz w:val="18"/>
                <w:szCs w:val="18"/>
              </w:rPr>
              <w:t>营业成本</w:t>
            </w:r>
          </w:p>
        </w:tc>
        <w:tc>
          <w:tcPr>
            <w:tcW w:w="112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pacing w:val="-10"/>
                <w:sz w:val="18"/>
                <w:szCs w:val="18"/>
              </w:rPr>
              <w:t>毛利率（</w:t>
            </w:r>
            <w:r>
              <w:rPr>
                <w:rFonts w:ascii="Arial" w:hAnsi="Arial" w:cs="Arial" w:eastAsia="Arial" w:hint="default"/>
                <w:spacing w:val="-10"/>
                <w:sz w:val="18"/>
                <w:szCs w:val="18"/>
              </w:rPr>
              <w:t>%</w:t>
            </w:r>
            <w:r>
              <w:rPr>
                <w:rFonts w:ascii="宋体" w:hAnsi="宋体" w:cs="宋体" w:eastAsia="宋体" w:hint="default"/>
                <w:spacing w:val="-10"/>
                <w:sz w:val="18"/>
                <w:szCs w:val="18"/>
              </w:rPr>
              <w:t>）</w:t>
            </w:r>
          </w:p>
        </w:tc>
        <w:tc>
          <w:tcPr>
            <w:tcW w:w="142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4" w:lineRule="exact"/>
              <w:ind w:left="172" w:right="0" w:hanging="10"/>
              <w:jc w:val="left"/>
              <w:rPr>
                <w:rFonts w:ascii="宋体" w:hAnsi="宋体" w:cs="宋体" w:eastAsia="宋体" w:hint="default"/>
                <w:sz w:val="18"/>
                <w:szCs w:val="18"/>
              </w:rPr>
            </w:pPr>
            <w:r>
              <w:rPr>
                <w:rFonts w:ascii="宋体" w:hAnsi="宋体" w:cs="宋体" w:eastAsia="宋体" w:hint="default"/>
                <w:sz w:val="18"/>
                <w:szCs w:val="18"/>
              </w:rPr>
              <w:t>营业收入比上</w:t>
            </w:r>
          </w:p>
          <w:p>
            <w:pPr>
              <w:pStyle w:val="TableParagraph"/>
              <w:spacing w:line="247" w:lineRule="exact"/>
              <w:ind w:left="172" w:right="0"/>
              <w:jc w:val="left"/>
              <w:rPr>
                <w:rFonts w:ascii="宋体" w:hAnsi="宋体" w:cs="宋体" w:eastAsia="宋体" w:hint="default"/>
                <w:sz w:val="18"/>
                <w:szCs w:val="18"/>
              </w:rPr>
            </w:pPr>
            <w:r>
              <w:rPr>
                <w:rFonts w:ascii="宋体" w:hAnsi="宋体" w:cs="宋体" w:eastAsia="宋体" w:hint="default"/>
                <w:sz w:val="18"/>
                <w:szCs w:val="18"/>
              </w:rPr>
              <w:t>年增减（</w:t>
            </w:r>
            <w:r>
              <w:rPr>
                <w:rFonts w:ascii="Arial" w:hAnsi="Arial" w:cs="Arial" w:eastAsia="Arial" w:hint="default"/>
                <w:sz w:val="18"/>
                <w:szCs w:val="18"/>
              </w:rPr>
              <w:t>%</w:t>
            </w:r>
            <w:r>
              <w:rPr>
                <w:rFonts w:ascii="宋体" w:hAnsi="宋体" w:cs="宋体" w:eastAsia="宋体"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4" w:lineRule="exact"/>
              <w:ind w:left="170" w:right="0" w:hanging="10"/>
              <w:jc w:val="left"/>
              <w:rPr>
                <w:rFonts w:ascii="宋体" w:hAnsi="宋体" w:cs="宋体" w:eastAsia="宋体" w:hint="default"/>
                <w:sz w:val="18"/>
                <w:szCs w:val="18"/>
              </w:rPr>
            </w:pPr>
            <w:r>
              <w:rPr>
                <w:rFonts w:ascii="宋体" w:hAnsi="宋体" w:cs="宋体" w:eastAsia="宋体" w:hint="default"/>
                <w:sz w:val="18"/>
                <w:szCs w:val="18"/>
              </w:rPr>
              <w:t>营业成本比上</w:t>
            </w:r>
          </w:p>
          <w:p>
            <w:pPr>
              <w:pStyle w:val="TableParagraph"/>
              <w:spacing w:line="247" w:lineRule="exact"/>
              <w:ind w:left="170" w:right="0"/>
              <w:jc w:val="left"/>
              <w:rPr>
                <w:rFonts w:ascii="宋体" w:hAnsi="宋体" w:cs="宋体" w:eastAsia="宋体" w:hint="default"/>
                <w:sz w:val="18"/>
                <w:szCs w:val="18"/>
              </w:rPr>
            </w:pPr>
            <w:r>
              <w:rPr>
                <w:rFonts w:ascii="宋体" w:hAnsi="宋体" w:cs="宋体" w:eastAsia="宋体" w:hint="default"/>
                <w:sz w:val="18"/>
                <w:szCs w:val="18"/>
              </w:rPr>
              <w:t>年增减（</w:t>
            </w:r>
            <w:r>
              <w:rPr>
                <w:rFonts w:ascii="Arial" w:hAnsi="Arial" w:cs="Arial" w:eastAsia="Arial" w:hint="default"/>
                <w:sz w:val="18"/>
                <w:szCs w:val="18"/>
              </w:rPr>
              <w:t>%</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4" w:lineRule="exact"/>
              <w:ind w:left="103" w:right="0" w:firstLine="79"/>
              <w:jc w:val="left"/>
              <w:rPr>
                <w:rFonts w:ascii="宋体" w:hAnsi="宋体" w:cs="宋体" w:eastAsia="宋体" w:hint="default"/>
                <w:sz w:val="18"/>
                <w:szCs w:val="18"/>
              </w:rPr>
            </w:pPr>
            <w:r>
              <w:rPr>
                <w:rFonts w:ascii="宋体" w:hAnsi="宋体" w:cs="宋体" w:eastAsia="宋体" w:hint="default"/>
                <w:sz w:val="18"/>
                <w:szCs w:val="18"/>
              </w:rPr>
              <w:t>毛利率比上</w:t>
            </w:r>
          </w:p>
          <w:p>
            <w:pPr>
              <w:pStyle w:val="TableParagraph"/>
              <w:spacing w:line="247" w:lineRule="exact"/>
              <w:ind w:left="103" w:right="0"/>
              <w:jc w:val="left"/>
              <w:rPr>
                <w:rFonts w:ascii="宋体" w:hAnsi="宋体" w:cs="宋体" w:eastAsia="宋体" w:hint="default"/>
                <w:sz w:val="18"/>
                <w:szCs w:val="18"/>
              </w:rPr>
            </w:pPr>
            <w:r>
              <w:rPr>
                <w:rFonts w:ascii="宋体" w:hAnsi="宋体" w:cs="宋体" w:eastAsia="宋体" w:hint="default"/>
                <w:sz w:val="18"/>
                <w:szCs w:val="18"/>
              </w:rPr>
              <w:t>年增减（</w:t>
            </w:r>
            <w:r>
              <w:rPr>
                <w:rFonts w:ascii="Arial" w:hAnsi="Arial" w:cs="Arial" w:eastAsia="Arial" w:hint="default"/>
                <w:sz w:val="18"/>
                <w:szCs w:val="18"/>
              </w:rPr>
              <w:t>%</w:t>
            </w:r>
            <w:r>
              <w:rPr>
                <w:rFonts w:ascii="宋体" w:hAnsi="宋体" w:cs="宋体" w:eastAsia="宋体" w:hint="default"/>
                <w:sz w:val="18"/>
                <w:szCs w:val="18"/>
              </w:rPr>
              <w:t>）</w:t>
            </w:r>
          </w:p>
        </w:tc>
      </w:tr>
      <w:tr>
        <w:trPr>
          <w:trHeight w:val="380"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7" w:right="0"/>
              <w:jc w:val="center"/>
              <w:rPr>
                <w:rFonts w:ascii="宋体" w:hAnsi="宋体" w:cs="宋体" w:eastAsia="宋体" w:hint="default"/>
                <w:sz w:val="18"/>
                <w:szCs w:val="18"/>
              </w:rPr>
            </w:pPr>
            <w:r>
              <w:rPr>
                <w:rFonts w:ascii="宋体" w:hAnsi="宋体" w:cs="宋体" w:eastAsia="宋体" w:hint="default"/>
                <w:b/>
                <w:bCs/>
                <w:sz w:val="18"/>
                <w:szCs w:val="18"/>
              </w:rPr>
              <w:t>电信业</w:t>
            </w:r>
            <w:r>
              <w:rPr>
                <w:rFonts w:ascii="宋体" w:hAnsi="宋体" w:cs="宋体" w:eastAsia="宋体" w:hint="default"/>
                <w:sz w:val="18"/>
                <w:szCs w:val="18"/>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8"/>
                <w:szCs w:val="18"/>
              </w:rPr>
            </w:pPr>
            <w:r>
              <w:rPr>
                <w:rFonts w:ascii="Arial"/>
                <w:spacing w:val="-1"/>
                <w:sz w:val="18"/>
              </w:rPr>
              <w:t>288,571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8"/>
                <w:szCs w:val="18"/>
              </w:rPr>
            </w:pPr>
            <w:r>
              <w:rPr>
                <w:rFonts w:ascii="Arial"/>
                <w:spacing w:val="-1"/>
                <w:sz w:val="18"/>
              </w:rPr>
              <w:t>204,658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665" w:right="0"/>
              <w:jc w:val="left"/>
              <w:rPr>
                <w:rFonts w:ascii="Arial" w:hAnsi="Arial" w:cs="Arial" w:eastAsia="Arial" w:hint="default"/>
                <w:sz w:val="18"/>
                <w:szCs w:val="18"/>
              </w:rPr>
            </w:pPr>
            <w:r>
              <w:rPr>
                <w:rFonts w:ascii="Arial"/>
                <w:sz w:val="18"/>
              </w:rPr>
              <w:t>29.1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8"/>
                <w:szCs w:val="18"/>
              </w:rPr>
            </w:pPr>
            <w:r>
              <w:rPr>
                <w:rFonts w:ascii="Arial"/>
                <w:sz w:val="18"/>
              </w:rPr>
              <w:t>(5.0)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w:hAnsi="Arial" w:cs="Arial" w:eastAsia="Arial" w:hint="default"/>
                <w:sz w:val="18"/>
                <w:szCs w:val="18"/>
              </w:rPr>
            </w:pPr>
            <w:r>
              <w:rPr>
                <w:rFonts w:ascii="Arial"/>
                <w:sz w:val="18"/>
              </w:rPr>
              <w:t>(7.1)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Arial" w:hAnsi="Arial" w:cs="Arial" w:eastAsia="Arial" w:hint="default"/>
                <w:sz w:val="18"/>
                <w:szCs w:val="18"/>
              </w:rPr>
            </w:pPr>
            <w:r>
              <w:rPr>
                <w:rFonts w:ascii="Arial"/>
                <w:w w:val="95"/>
                <w:sz w:val="18"/>
              </w:rPr>
              <w:t>1.6</w:t>
            </w:r>
          </w:p>
        </w:tc>
      </w:tr>
    </w:tbl>
    <w:p>
      <w:pPr>
        <w:spacing w:line="240" w:lineRule="auto" w:before="13"/>
        <w:rPr>
          <w:rFonts w:ascii="宋体" w:hAnsi="宋体" w:cs="宋体" w:eastAsia="宋体" w:hint="default"/>
          <w:sz w:val="12"/>
          <w:szCs w:val="12"/>
        </w:rPr>
      </w:pPr>
    </w:p>
    <w:p>
      <w:pPr>
        <w:spacing w:before="36"/>
        <w:ind w:left="846" w:right="1922" w:firstLine="0"/>
        <w:jc w:val="left"/>
        <w:rPr>
          <w:rFonts w:ascii="宋体" w:hAnsi="宋体" w:cs="宋体" w:eastAsia="宋体" w:hint="default"/>
          <w:sz w:val="21"/>
          <w:szCs w:val="21"/>
        </w:rPr>
      </w:pPr>
      <w:r>
        <w:rPr>
          <w:rFonts w:ascii="宋体" w:hAnsi="宋体" w:cs="宋体" w:eastAsia="宋体" w:hint="default"/>
          <w:sz w:val="21"/>
          <w:szCs w:val="21"/>
        </w:rPr>
        <w:t>主营业务分行业和分产品情况的说明：</w:t>
      </w:r>
    </w:p>
    <w:p>
      <w:pPr>
        <w:spacing w:line="240" w:lineRule="auto" w:before="3"/>
        <w:rPr>
          <w:rFonts w:ascii="宋体" w:hAnsi="宋体" w:cs="宋体" w:eastAsia="宋体" w:hint="default"/>
          <w:sz w:val="18"/>
          <w:szCs w:val="18"/>
        </w:rPr>
      </w:pPr>
    </w:p>
    <w:p>
      <w:pPr>
        <w:spacing w:before="0"/>
        <w:ind w:left="846" w:right="1922" w:firstLine="0"/>
        <w:jc w:val="left"/>
        <w:rPr>
          <w:rFonts w:ascii="宋体" w:hAnsi="宋体" w:cs="宋体" w:eastAsia="宋体" w:hint="default"/>
          <w:sz w:val="21"/>
          <w:szCs w:val="21"/>
        </w:rPr>
      </w:pPr>
      <w:r>
        <w:rPr>
          <w:rFonts w:ascii="宋体" w:hAnsi="宋体" w:cs="宋体" w:eastAsia="宋体" w:hint="default"/>
          <w:sz w:val="21"/>
          <w:szCs w:val="21"/>
        </w:rPr>
        <w:t>注 </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pacing w:val="-40"/>
          <w:sz w:val="21"/>
          <w:szCs w:val="21"/>
        </w:rPr>
        <w:t> </w:t>
      </w:r>
      <w:r>
        <w:rPr>
          <w:rFonts w:ascii="宋体" w:hAnsi="宋体" w:cs="宋体" w:eastAsia="宋体" w:hint="default"/>
          <w:sz w:val="21"/>
          <w:szCs w:val="21"/>
        </w:rPr>
        <w:t>上述资料所列的“营业成本”包括营业税金及附加。</w:t>
      </w:r>
    </w:p>
    <w:p>
      <w:pPr>
        <w:spacing w:line="240" w:lineRule="auto" w:before="1"/>
        <w:rPr>
          <w:rFonts w:ascii="宋体" w:hAnsi="宋体" w:cs="宋体" w:eastAsia="宋体" w:hint="default"/>
          <w:sz w:val="19"/>
          <w:szCs w:val="19"/>
        </w:rPr>
      </w:pPr>
    </w:p>
    <w:p>
      <w:pPr>
        <w:spacing w:line="274" w:lineRule="exact" w:before="0"/>
        <w:ind w:left="1556" w:right="124" w:hanging="711"/>
        <w:jc w:val="left"/>
        <w:rPr>
          <w:rFonts w:ascii="宋体" w:hAnsi="宋体" w:cs="宋体" w:eastAsia="宋体" w:hint="default"/>
          <w:sz w:val="21"/>
          <w:szCs w:val="21"/>
        </w:rPr>
      </w:pPr>
      <w:r>
        <w:rPr>
          <w:rFonts w:ascii="宋体" w:hAnsi="宋体" w:cs="宋体" w:eastAsia="宋体" w:hint="default"/>
          <w:sz w:val="21"/>
          <w:szCs w:val="21"/>
        </w:rPr>
        <w:t>注 </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pacing w:val="-40"/>
          <w:sz w:val="21"/>
          <w:szCs w:val="21"/>
        </w:rPr>
        <w:t> </w:t>
      </w:r>
      <w:r>
        <w:rPr>
          <w:rFonts w:ascii="宋体" w:hAnsi="宋体" w:cs="宋体" w:eastAsia="宋体" w:hint="default"/>
          <w:sz w:val="21"/>
          <w:szCs w:val="21"/>
        </w:rPr>
        <w:t>本公司的主要经营决策者根据内部管理职能分配资源，将本集团视为一个整体而</w:t>
      </w:r>
      <w:r>
        <w:rPr>
          <w:rFonts w:ascii="宋体" w:hAnsi="宋体" w:cs="宋体" w:eastAsia="宋体" w:hint="default"/>
          <w:w w:val="100"/>
          <w:sz w:val="21"/>
          <w:szCs w:val="21"/>
        </w:rPr>
        <w:t> </w:t>
      </w:r>
      <w:r>
        <w:rPr>
          <w:rFonts w:ascii="宋体" w:hAnsi="宋体" w:cs="宋体" w:eastAsia="宋体" w:hint="default"/>
          <w:sz w:val="21"/>
          <w:szCs w:val="21"/>
        </w:rPr>
        <w:t>非以业务之种类或地区角度进行业绩评估。因此，本集团只有一个经营分部。</w:t>
      </w:r>
    </w:p>
    <w:p>
      <w:pPr>
        <w:spacing w:line="240" w:lineRule="auto" w:before="4"/>
        <w:rPr>
          <w:rFonts w:ascii="宋体" w:hAnsi="宋体" w:cs="宋体" w:eastAsia="宋体" w:hint="default"/>
          <w:sz w:val="16"/>
          <w:szCs w:val="16"/>
        </w:rPr>
      </w:pPr>
    </w:p>
    <w:p>
      <w:pPr>
        <w:spacing w:before="0"/>
        <w:ind w:left="846" w:right="1922" w:firstLine="0"/>
        <w:jc w:val="left"/>
        <w:rPr>
          <w:rFonts w:ascii="宋体" w:hAnsi="宋体" w:cs="宋体" w:eastAsia="宋体" w:hint="default"/>
          <w:sz w:val="21"/>
          <w:szCs w:val="21"/>
        </w:rPr>
      </w:pPr>
      <w:r>
        <w:rPr>
          <w:rFonts w:ascii="宋体" w:hAnsi="宋体" w:cs="宋体" w:eastAsia="宋体" w:hint="default"/>
          <w:sz w:val="21"/>
          <w:szCs w:val="21"/>
        </w:rPr>
        <w:t>注 </w:t>
      </w: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spacing w:val="-45"/>
          <w:sz w:val="21"/>
          <w:szCs w:val="21"/>
        </w:rPr>
        <w:t> </w:t>
      </w:r>
      <w:r>
        <w:rPr>
          <w:rFonts w:ascii="宋体" w:hAnsi="宋体" w:cs="宋体" w:eastAsia="宋体" w:hint="default"/>
          <w:sz w:val="21"/>
          <w:szCs w:val="21"/>
        </w:rPr>
        <w:t>毛利率</w:t>
      </w:r>
      <w:r>
        <w:rPr>
          <w:rFonts w:ascii="Arial" w:hAnsi="Arial" w:cs="Arial" w:eastAsia="Arial" w:hint="default"/>
          <w:sz w:val="21"/>
          <w:szCs w:val="21"/>
        </w:rPr>
        <w:t>=</w:t>
      </w:r>
      <w:r>
        <w:rPr>
          <w:rFonts w:ascii="宋体" w:hAnsi="宋体" w:cs="宋体" w:eastAsia="宋体" w:hint="default"/>
          <w:sz w:val="21"/>
          <w:szCs w:val="21"/>
        </w:rPr>
        <w:t>（营业收入</w:t>
      </w:r>
      <w:r>
        <w:rPr>
          <w:rFonts w:ascii="Arial" w:hAnsi="Arial" w:cs="Arial" w:eastAsia="Arial" w:hint="default"/>
          <w:sz w:val="21"/>
          <w:szCs w:val="21"/>
        </w:rPr>
        <w:t>-</w:t>
      </w:r>
      <w:r>
        <w:rPr>
          <w:rFonts w:ascii="宋体" w:hAnsi="宋体" w:cs="宋体" w:eastAsia="宋体" w:hint="default"/>
          <w:sz w:val="21"/>
          <w:szCs w:val="21"/>
        </w:rPr>
        <w:t>营业成本）</w:t>
      </w:r>
      <w:r>
        <w:rPr>
          <w:rFonts w:ascii="Arial" w:hAnsi="Arial" w:cs="Arial" w:eastAsia="Arial" w:hint="default"/>
          <w:sz w:val="21"/>
          <w:szCs w:val="21"/>
        </w:rPr>
        <w:t>/</w:t>
      </w:r>
      <w:r>
        <w:rPr>
          <w:rFonts w:ascii="宋体" w:hAnsi="宋体" w:cs="宋体" w:eastAsia="宋体" w:hint="default"/>
          <w:sz w:val="21"/>
          <w:szCs w:val="21"/>
        </w:rPr>
        <w:t>营业收入</w:t>
      </w:r>
      <w:r>
        <w:rPr>
          <w:rFonts w:ascii="Arial" w:hAnsi="Arial" w:cs="Arial" w:eastAsia="Arial" w:hint="default"/>
          <w:sz w:val="21"/>
          <w:szCs w:val="21"/>
        </w:rPr>
        <w:t>*100</w:t>
      </w:r>
      <w:r>
        <w:rPr>
          <w:rFonts w:ascii="宋体" w:hAnsi="宋体" w:cs="宋体" w:eastAsia="宋体" w:hint="default"/>
          <w:sz w:val="21"/>
          <w:szCs w:val="21"/>
        </w:rPr>
        <w:t>。</w:t>
      </w:r>
    </w:p>
    <w:p>
      <w:pPr>
        <w:spacing w:line="240" w:lineRule="auto" w:before="4"/>
        <w:rPr>
          <w:rFonts w:ascii="宋体" w:hAnsi="宋体" w:cs="宋体" w:eastAsia="宋体" w:hint="default"/>
          <w:sz w:val="14"/>
          <w:szCs w:val="14"/>
        </w:rPr>
      </w:pPr>
    </w:p>
    <w:p>
      <w:pPr>
        <w:spacing w:line="282" w:lineRule="exact" w:before="36"/>
        <w:ind w:left="485" w:right="1922" w:firstLine="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主营业务分地区情况</w:t>
      </w:r>
    </w:p>
    <w:p>
      <w:pPr>
        <w:tabs>
          <w:tab w:pos="1468" w:val="left" w:leader="none"/>
        </w:tabs>
        <w:spacing w:line="267" w:lineRule="exact" w:before="0"/>
        <w:ind w:left="0" w:right="130" w:firstLine="0"/>
        <w:jc w:val="right"/>
        <w:rPr>
          <w:rFonts w:ascii="宋体" w:hAnsi="宋体" w:cs="宋体" w:eastAsia="宋体" w:hint="default"/>
          <w:sz w:val="21"/>
          <w:szCs w:val="21"/>
        </w:rPr>
      </w:pPr>
      <w:r>
        <w:rPr>
          <w:rFonts w:ascii="宋体" w:hAnsi="宋体" w:cs="宋体" w:eastAsia="宋体" w:hint="default"/>
          <w:spacing w:val="-1"/>
          <w:sz w:val="21"/>
          <w:szCs w:val="21"/>
        </w:rPr>
        <w:t>单位：百万元</w:t>
        <w:tab/>
        <w:t>币种：人民币</w:t>
      </w:r>
    </w:p>
    <w:p>
      <w:pPr>
        <w:spacing w:line="240" w:lineRule="auto" w:before="4"/>
        <w:rPr>
          <w:rFonts w:ascii="宋体" w:hAnsi="宋体" w:cs="宋体" w:eastAsia="宋体" w:hint="default"/>
          <w:sz w:val="2"/>
          <w:szCs w:val="2"/>
        </w:rPr>
      </w:pPr>
    </w:p>
    <w:tbl>
      <w:tblPr>
        <w:tblW w:w="0" w:type="auto"/>
        <w:jc w:val="left"/>
        <w:tblInd w:w="841" w:type="dxa"/>
        <w:tblLayout w:type="fixed"/>
        <w:tblCellMar>
          <w:top w:w="0" w:type="dxa"/>
          <w:left w:w="0" w:type="dxa"/>
          <w:bottom w:w="0" w:type="dxa"/>
          <w:right w:w="0" w:type="dxa"/>
        </w:tblCellMar>
        <w:tblLook w:val="01E0"/>
      </w:tblPr>
      <w:tblGrid>
        <w:gridCol w:w="2761"/>
        <w:gridCol w:w="2677"/>
        <w:gridCol w:w="2645"/>
      </w:tblGrid>
      <w:tr>
        <w:trPr>
          <w:trHeight w:val="308" w:hRule="exact"/>
        </w:trPr>
        <w:tc>
          <w:tcPr>
            <w:tcW w:w="276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z w:val="18"/>
                <w:szCs w:val="18"/>
              </w:rPr>
              <w:t>地区</w:t>
            </w:r>
            <w:r>
              <w:rPr>
                <w:rFonts w:ascii="宋体" w:hAnsi="宋体" w:cs="宋体" w:eastAsia="宋体" w:hint="default"/>
                <w:sz w:val="18"/>
                <w:szCs w:val="18"/>
              </w:rPr>
            </w:r>
          </w:p>
        </w:tc>
        <w:tc>
          <w:tcPr>
            <w:tcW w:w="267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264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
              <w:ind w:left="242" w:right="0"/>
              <w:jc w:val="left"/>
              <w:rPr>
                <w:rFonts w:ascii="宋体" w:hAnsi="宋体" w:cs="宋体" w:eastAsia="宋体" w:hint="default"/>
                <w:sz w:val="18"/>
                <w:szCs w:val="18"/>
              </w:rPr>
            </w:pPr>
            <w:r>
              <w:rPr>
                <w:rFonts w:ascii="宋体" w:hAnsi="宋体" w:cs="宋体" w:eastAsia="宋体" w:hint="default"/>
                <w:b/>
                <w:bCs/>
                <w:sz w:val="18"/>
                <w:szCs w:val="18"/>
              </w:rPr>
              <w:t>营业收入比上年增减（</w:t>
            </w:r>
            <w:r>
              <w:rPr>
                <w:rFonts w:ascii="Arial" w:hAnsi="Arial" w:cs="Arial" w:eastAsia="Arial"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95"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全国范围内</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Arial" w:hAnsi="Arial" w:cs="Arial" w:eastAsia="Arial" w:hint="default"/>
                <w:sz w:val="18"/>
                <w:szCs w:val="18"/>
              </w:rPr>
            </w:pPr>
            <w:r>
              <w:rPr>
                <w:rFonts w:ascii="Arial"/>
                <w:spacing w:val="-1"/>
                <w:sz w:val="18"/>
              </w:rPr>
              <w:t>288,571</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8"/>
                <w:szCs w:val="18"/>
              </w:rPr>
            </w:pPr>
            <w:r>
              <w:rPr>
                <w:rFonts w:ascii="Arial"/>
                <w:sz w:val="18"/>
              </w:rPr>
              <w:t>(5.0)</w:t>
            </w:r>
          </w:p>
        </w:tc>
      </w:tr>
    </w:tbl>
    <w:p>
      <w:pPr>
        <w:spacing w:after="0" w:line="240" w:lineRule="auto"/>
        <w:jc w:val="right"/>
        <w:rPr>
          <w:rFonts w:ascii="Arial" w:hAnsi="Arial" w:cs="Arial" w:eastAsia="Arial" w:hint="default"/>
          <w:sz w:val="18"/>
          <w:szCs w:val="18"/>
        </w:rPr>
        <w:sectPr>
          <w:pgSz w:w="11910" w:h="16840"/>
          <w:pgMar w:header="880" w:footer="1194" w:top="1120" w:bottom="1380" w:left="1660" w:right="1200"/>
        </w:sectPr>
      </w:pPr>
    </w:p>
    <w:p>
      <w:pPr>
        <w:spacing w:line="240" w:lineRule="auto" w:before="11"/>
        <w:rPr>
          <w:rFonts w:ascii="宋体" w:hAnsi="宋体" w:cs="宋体" w:eastAsia="宋体" w:hint="default"/>
          <w:sz w:val="29"/>
          <w:szCs w:val="29"/>
        </w:rPr>
      </w:pPr>
    </w:p>
    <w:p>
      <w:pPr>
        <w:spacing w:before="36"/>
        <w:ind w:left="138" w:right="204" w:firstLine="0"/>
        <w:jc w:val="left"/>
        <w:rPr>
          <w:rFonts w:ascii="宋体" w:hAnsi="宋体" w:cs="宋体" w:eastAsia="宋体" w:hint="default"/>
          <w:sz w:val="21"/>
          <w:szCs w:val="21"/>
        </w:rPr>
      </w:pPr>
      <w:r>
        <w:rPr>
          <w:rFonts w:ascii="宋体" w:hAnsi="宋体" w:cs="宋体" w:eastAsia="宋体" w:hint="default"/>
          <w:b/>
          <w:bCs/>
          <w:sz w:val="21"/>
          <w:szCs w:val="21"/>
        </w:rPr>
        <w:t>一、董事会关于公司报告期内经营情况的讨论与分析（续）</w:t>
      </w:r>
      <w:r>
        <w:rPr>
          <w:rFonts w:ascii="宋体" w:hAnsi="宋体" w:cs="宋体" w:eastAsia="宋体" w:hint="default"/>
          <w:sz w:val="21"/>
          <w:szCs w:val="21"/>
        </w:rPr>
      </w:r>
    </w:p>
    <w:p>
      <w:pPr>
        <w:spacing w:line="240" w:lineRule="auto" w:before="11"/>
        <w:rPr>
          <w:rFonts w:ascii="宋体" w:hAnsi="宋体" w:cs="宋体" w:eastAsia="宋体" w:hint="default"/>
          <w:b/>
          <w:bCs/>
          <w:sz w:val="29"/>
          <w:szCs w:val="29"/>
        </w:rPr>
      </w:pPr>
    </w:p>
    <w:p>
      <w:pPr>
        <w:spacing w:before="0"/>
        <w:ind w:left="138" w:right="204"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三</w:t>
      </w:r>
      <w:r>
        <w:rPr>
          <w:rFonts w:ascii="Arial" w:hAnsi="Arial" w:cs="Arial" w:eastAsia="Arial" w:hint="default"/>
          <w:b/>
          <w:bCs/>
          <w:sz w:val="21"/>
          <w:szCs w:val="21"/>
        </w:rPr>
        <w:t>)</w:t>
      </w:r>
      <w:r>
        <w:rPr>
          <w:rFonts w:ascii="Arial" w:hAnsi="Arial" w:cs="Arial" w:eastAsia="Arial" w:hint="default"/>
          <w:b/>
          <w:bCs/>
          <w:spacing w:val="20"/>
          <w:sz w:val="21"/>
          <w:szCs w:val="21"/>
        </w:rPr>
        <w:t> </w:t>
      </w:r>
      <w:r>
        <w:rPr>
          <w:rFonts w:ascii="宋体" w:hAnsi="宋体" w:cs="宋体" w:eastAsia="宋体" w:hint="default"/>
          <w:b/>
          <w:bCs/>
          <w:sz w:val="21"/>
          <w:szCs w:val="21"/>
        </w:rPr>
        <w:t>资产、负债情况分析</w:t>
      </w:r>
      <w:r>
        <w:rPr>
          <w:rFonts w:ascii="宋体" w:hAnsi="宋体" w:cs="宋体" w:eastAsia="宋体" w:hint="default"/>
          <w:sz w:val="21"/>
          <w:szCs w:val="21"/>
        </w:rPr>
      </w:r>
    </w:p>
    <w:p>
      <w:pPr>
        <w:spacing w:line="240" w:lineRule="auto" w:before="4"/>
        <w:rPr>
          <w:rFonts w:ascii="宋体" w:hAnsi="宋体" w:cs="宋体" w:eastAsia="宋体" w:hint="default"/>
          <w:b/>
          <w:bCs/>
          <w:sz w:val="21"/>
          <w:szCs w:val="21"/>
        </w:rPr>
      </w:pPr>
    </w:p>
    <w:p>
      <w:pPr>
        <w:spacing w:line="282" w:lineRule="exact" w:before="36"/>
        <w:ind w:left="485" w:right="204" w:firstLine="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资产负债情况分析表</w:t>
      </w:r>
    </w:p>
    <w:p>
      <w:pPr>
        <w:tabs>
          <w:tab w:pos="1468" w:val="left" w:leader="none"/>
        </w:tabs>
        <w:spacing w:line="267" w:lineRule="exact" w:before="0"/>
        <w:ind w:left="0" w:right="210" w:firstLine="0"/>
        <w:jc w:val="right"/>
        <w:rPr>
          <w:rFonts w:ascii="宋体" w:hAnsi="宋体" w:cs="宋体" w:eastAsia="宋体" w:hint="default"/>
          <w:sz w:val="21"/>
          <w:szCs w:val="21"/>
        </w:rPr>
      </w:pPr>
      <w:r>
        <w:rPr>
          <w:rFonts w:ascii="宋体" w:hAnsi="宋体" w:cs="宋体" w:eastAsia="宋体" w:hint="default"/>
          <w:spacing w:val="-1"/>
          <w:sz w:val="21"/>
          <w:szCs w:val="21"/>
        </w:rPr>
        <w:t>单位：百万元</w:t>
        <w:tab/>
        <w:t>币种：人民币</w:t>
      </w:r>
    </w:p>
    <w:p>
      <w:pPr>
        <w:spacing w:line="240" w:lineRule="auto" w:before="4"/>
        <w:rPr>
          <w:rFonts w:ascii="宋体" w:hAnsi="宋体" w:cs="宋体" w:eastAsia="宋体" w:hint="default"/>
          <w:sz w:val="2"/>
          <w:szCs w:val="2"/>
        </w:rPr>
      </w:pPr>
    </w:p>
    <w:tbl>
      <w:tblPr>
        <w:tblW w:w="0" w:type="auto"/>
        <w:jc w:val="left"/>
        <w:tblInd w:w="841" w:type="dxa"/>
        <w:tblLayout w:type="fixed"/>
        <w:tblCellMar>
          <w:top w:w="0" w:type="dxa"/>
          <w:left w:w="0" w:type="dxa"/>
          <w:bottom w:w="0" w:type="dxa"/>
          <w:right w:w="0" w:type="dxa"/>
        </w:tblCellMar>
        <w:tblLook w:val="01E0"/>
      </w:tblPr>
      <w:tblGrid>
        <w:gridCol w:w="2221"/>
        <w:gridCol w:w="797"/>
        <w:gridCol w:w="1498"/>
        <w:gridCol w:w="874"/>
        <w:gridCol w:w="1274"/>
        <w:gridCol w:w="1419"/>
      </w:tblGrid>
      <w:tr>
        <w:trPr>
          <w:trHeight w:val="710" w:hRule="exact"/>
        </w:trPr>
        <w:tc>
          <w:tcPr>
            <w:tcW w:w="222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2" w:lineRule="exact" w:before="112"/>
              <w:ind w:left="122" w:right="121" w:firstLine="88"/>
              <w:jc w:val="left"/>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b/>
                <w:bCs/>
                <w:spacing w:val="2"/>
                <w:w w:val="99"/>
                <w:sz w:val="18"/>
                <w:szCs w:val="18"/>
              </w:rPr>
              <w:t> </w:t>
            </w:r>
            <w:r>
              <w:rPr>
                <w:rFonts w:ascii="宋体" w:hAnsi="宋体" w:cs="宋体" w:eastAsia="宋体" w:hint="default"/>
                <w:b/>
                <w:bCs/>
                <w:sz w:val="18"/>
                <w:szCs w:val="18"/>
              </w:rPr>
              <w:t>期末数</w:t>
            </w:r>
            <w:r>
              <w:rPr>
                <w:rFonts w:ascii="宋体" w:hAnsi="宋体" w:cs="宋体" w:eastAsia="宋体" w:hint="default"/>
                <w:sz w:val="18"/>
                <w:szCs w:val="18"/>
              </w:rPr>
            </w:r>
          </w:p>
        </w:tc>
        <w:tc>
          <w:tcPr>
            <w:tcW w:w="149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2" w:lineRule="exact" w:before="112"/>
              <w:ind w:left="103" w:right="12" w:firstLine="7"/>
              <w:jc w:val="left"/>
              <w:rPr>
                <w:rFonts w:ascii="宋体" w:hAnsi="宋体" w:cs="宋体" w:eastAsia="宋体" w:hint="default"/>
                <w:sz w:val="18"/>
                <w:szCs w:val="18"/>
              </w:rPr>
            </w:pPr>
            <w:r>
              <w:rPr>
                <w:rFonts w:ascii="宋体" w:hAnsi="宋体" w:cs="宋体" w:eastAsia="宋体" w:hint="default"/>
                <w:b/>
                <w:bCs/>
                <w:sz w:val="18"/>
                <w:szCs w:val="18"/>
              </w:rPr>
              <w:t>本期期末数占总</w:t>
            </w:r>
            <w:r>
              <w:rPr>
                <w:rFonts w:ascii="宋体" w:hAnsi="宋体" w:cs="宋体" w:eastAsia="宋体" w:hint="default"/>
                <w:b/>
                <w:bCs/>
                <w:w w:val="99"/>
                <w:sz w:val="18"/>
                <w:szCs w:val="18"/>
              </w:rPr>
              <w:t> </w:t>
            </w:r>
            <w:r>
              <w:rPr>
                <w:rFonts w:ascii="宋体" w:hAnsi="宋体" w:cs="宋体" w:eastAsia="宋体" w:hint="default"/>
                <w:b/>
                <w:bCs/>
                <w:spacing w:val="-7"/>
                <w:sz w:val="18"/>
                <w:szCs w:val="18"/>
              </w:rPr>
              <w:t>资产的比例（</w:t>
            </w:r>
            <w:r>
              <w:rPr>
                <w:rFonts w:ascii="Arial" w:hAnsi="Arial" w:cs="Arial" w:eastAsia="Arial" w:hint="default"/>
                <w:b/>
                <w:bCs/>
                <w:spacing w:val="-7"/>
                <w:sz w:val="18"/>
                <w:szCs w:val="18"/>
              </w:rPr>
              <w:t>%</w:t>
            </w:r>
            <w:r>
              <w:rPr>
                <w:rFonts w:ascii="宋体" w:hAnsi="宋体" w:cs="宋体" w:eastAsia="宋体" w:hint="default"/>
                <w:b/>
                <w:bCs/>
                <w:spacing w:val="-7"/>
                <w:sz w:val="18"/>
                <w:szCs w:val="18"/>
              </w:rPr>
              <w:t>）</w:t>
            </w:r>
            <w:r>
              <w:rPr>
                <w:rFonts w:ascii="宋体" w:hAnsi="宋体" w:cs="宋体" w:eastAsia="宋体" w:hint="default"/>
                <w:spacing w:val="-7"/>
                <w:sz w:val="18"/>
                <w:szCs w:val="18"/>
              </w:rPr>
            </w:r>
          </w:p>
        </w:tc>
        <w:tc>
          <w:tcPr>
            <w:tcW w:w="87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2" w:lineRule="exact" w:before="112"/>
              <w:ind w:left="160" w:right="159" w:firstLine="88"/>
              <w:jc w:val="left"/>
              <w:rPr>
                <w:rFonts w:ascii="宋体" w:hAnsi="宋体" w:cs="宋体" w:eastAsia="宋体" w:hint="default"/>
                <w:sz w:val="18"/>
                <w:szCs w:val="18"/>
              </w:rPr>
            </w:pPr>
            <w:r>
              <w:rPr>
                <w:rFonts w:ascii="宋体" w:hAnsi="宋体" w:cs="宋体" w:eastAsia="宋体" w:hint="default"/>
                <w:b/>
                <w:bCs/>
                <w:sz w:val="18"/>
                <w:szCs w:val="18"/>
              </w:rPr>
              <w:t>上期</w:t>
            </w:r>
            <w:r>
              <w:rPr>
                <w:rFonts w:ascii="宋体" w:hAnsi="宋体" w:cs="宋体" w:eastAsia="宋体" w:hint="default"/>
                <w:b/>
                <w:bCs/>
                <w:spacing w:val="2"/>
                <w:w w:val="99"/>
                <w:sz w:val="18"/>
                <w:szCs w:val="18"/>
              </w:rPr>
              <w:t> </w:t>
            </w:r>
            <w:r>
              <w:rPr>
                <w:rFonts w:ascii="宋体" w:hAnsi="宋体" w:cs="宋体" w:eastAsia="宋体" w:hint="default"/>
                <w:b/>
                <w:bCs/>
                <w:sz w:val="18"/>
                <w:szCs w:val="18"/>
              </w:rPr>
              <w:t>期末数</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180" w:right="0"/>
              <w:jc w:val="left"/>
              <w:rPr>
                <w:rFonts w:ascii="宋体" w:hAnsi="宋体" w:cs="宋体" w:eastAsia="宋体" w:hint="default"/>
                <w:sz w:val="18"/>
                <w:szCs w:val="18"/>
              </w:rPr>
            </w:pPr>
            <w:r>
              <w:rPr>
                <w:rFonts w:ascii="宋体" w:hAnsi="宋体" w:cs="宋体" w:eastAsia="宋体" w:hint="default"/>
                <w:b/>
                <w:bCs/>
                <w:sz w:val="18"/>
                <w:szCs w:val="18"/>
              </w:rPr>
              <w:t>上期期末数</w:t>
            </w:r>
            <w:r>
              <w:rPr>
                <w:rFonts w:ascii="宋体" w:hAnsi="宋体" w:cs="宋体" w:eastAsia="宋体" w:hint="default"/>
                <w:sz w:val="18"/>
                <w:szCs w:val="18"/>
              </w:rPr>
            </w:r>
          </w:p>
          <w:p>
            <w:pPr>
              <w:pStyle w:val="TableParagraph"/>
              <w:spacing w:line="232" w:lineRule="exact" w:before="24"/>
              <w:ind w:left="189" w:right="180" w:hanging="10"/>
              <w:jc w:val="left"/>
              <w:rPr>
                <w:rFonts w:ascii="宋体" w:hAnsi="宋体" w:cs="宋体" w:eastAsia="宋体" w:hint="default"/>
                <w:sz w:val="18"/>
                <w:szCs w:val="18"/>
              </w:rPr>
            </w:pPr>
            <w:r>
              <w:rPr>
                <w:rFonts w:ascii="宋体" w:hAnsi="宋体" w:cs="宋体" w:eastAsia="宋体" w:hint="default"/>
                <w:b/>
                <w:bCs/>
                <w:sz w:val="18"/>
                <w:szCs w:val="18"/>
              </w:rPr>
              <w:t>占总资产的</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Arial" w:hAnsi="Arial" w:cs="Arial" w:eastAsia="Arial"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160" w:right="0"/>
              <w:jc w:val="left"/>
              <w:rPr>
                <w:rFonts w:ascii="宋体" w:hAnsi="宋体" w:cs="宋体" w:eastAsia="宋体" w:hint="default"/>
                <w:sz w:val="18"/>
                <w:szCs w:val="18"/>
              </w:rPr>
            </w:pPr>
            <w:r>
              <w:rPr>
                <w:rFonts w:ascii="宋体" w:hAnsi="宋体" w:cs="宋体" w:eastAsia="宋体" w:hint="default"/>
                <w:b/>
                <w:bCs/>
                <w:sz w:val="18"/>
                <w:szCs w:val="18"/>
              </w:rPr>
              <w:t>本期期末金额</w:t>
            </w:r>
            <w:r>
              <w:rPr>
                <w:rFonts w:ascii="宋体" w:hAnsi="宋体" w:cs="宋体" w:eastAsia="宋体" w:hint="default"/>
                <w:sz w:val="18"/>
                <w:szCs w:val="18"/>
              </w:rPr>
            </w:r>
          </w:p>
          <w:p>
            <w:pPr>
              <w:pStyle w:val="TableParagraph"/>
              <w:spacing w:line="232" w:lineRule="exact" w:before="24"/>
              <w:ind w:left="172" w:right="162" w:hanging="12"/>
              <w:jc w:val="left"/>
              <w:rPr>
                <w:rFonts w:ascii="宋体" w:hAnsi="宋体" w:cs="宋体" w:eastAsia="宋体" w:hint="default"/>
                <w:sz w:val="18"/>
                <w:szCs w:val="18"/>
              </w:rPr>
            </w:pPr>
            <w:r>
              <w:rPr>
                <w:rFonts w:ascii="宋体" w:hAnsi="宋体" w:cs="宋体" w:eastAsia="宋体" w:hint="default"/>
                <w:b/>
                <w:bCs/>
                <w:sz w:val="18"/>
                <w:szCs w:val="18"/>
              </w:rPr>
              <w:t>较上期期末变</w:t>
            </w:r>
            <w:r>
              <w:rPr>
                <w:rFonts w:ascii="宋体" w:hAnsi="宋体" w:cs="宋体" w:eastAsia="宋体" w:hint="default"/>
                <w:b/>
                <w:bCs/>
                <w:w w:val="99"/>
                <w:sz w:val="18"/>
                <w:szCs w:val="18"/>
              </w:rPr>
              <w:t> </w:t>
            </w:r>
            <w:r>
              <w:rPr>
                <w:rFonts w:ascii="宋体" w:hAnsi="宋体" w:cs="宋体" w:eastAsia="宋体" w:hint="default"/>
                <w:b/>
                <w:bCs/>
                <w:sz w:val="18"/>
                <w:szCs w:val="18"/>
              </w:rPr>
              <w:t>动比例（</w:t>
            </w:r>
            <w:r>
              <w:rPr>
                <w:rFonts w:ascii="Arial" w:hAnsi="Arial" w:cs="Arial" w:eastAsia="Arial"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45" w:hRule="exact"/>
        </w:trPr>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Arial" w:hAnsi="Arial" w:cs="Arial" w:eastAsia="Arial" w:hint="default"/>
                <w:sz w:val="18"/>
                <w:szCs w:val="18"/>
              </w:rPr>
            </w:pPr>
            <w:r>
              <w:rPr>
                <w:rFonts w:ascii="Arial"/>
                <w:w w:val="95"/>
                <w:sz w:val="18"/>
              </w:rPr>
              <w:t>38</w:t>
            </w:r>
            <w:r>
              <w:rPr>
                <w:rFonts w:ascii="Arial"/>
                <w:sz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Arial" w:hAnsi="Arial" w:cs="Arial" w:eastAsia="Arial" w:hint="default"/>
                <w:sz w:val="18"/>
                <w:szCs w:val="18"/>
              </w:rPr>
            </w:pPr>
            <w:r>
              <w:rPr>
                <w:rFonts w:ascii="Arial"/>
                <w:w w:val="95"/>
                <w:sz w:val="18"/>
              </w:rPr>
              <w:t>86</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Arial" w:hAnsi="Arial" w:cs="Arial" w:eastAsia="Arial" w:hint="default"/>
                <w:sz w:val="18"/>
                <w:szCs w:val="18"/>
              </w:rPr>
            </w:pPr>
            <w:r>
              <w:rPr>
                <w:rFonts w:ascii="Arial"/>
                <w:w w:val="95"/>
                <w:sz w:val="18"/>
              </w:rPr>
              <w:t>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Arial" w:hAnsi="Arial" w:cs="Arial" w:eastAsia="Arial" w:hint="default"/>
                <w:sz w:val="18"/>
                <w:szCs w:val="18"/>
              </w:rPr>
            </w:pPr>
            <w:r>
              <w:rPr>
                <w:rFonts w:ascii="Arial"/>
                <w:w w:val="95"/>
                <w:sz w:val="18"/>
              </w:rPr>
              <w:t>(55.8)</w:t>
            </w:r>
            <w:r>
              <w:rPr>
                <w:rFonts w:ascii="Arial"/>
                <w:sz w:val="18"/>
              </w:rPr>
            </w:r>
          </w:p>
        </w:tc>
      </w:tr>
      <w:tr>
        <w:trPr>
          <w:trHeight w:val="242" w:hRule="exact"/>
        </w:trPr>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Arial" w:hAnsi="Arial" w:cs="Arial" w:eastAsia="Arial" w:hint="default"/>
                <w:sz w:val="18"/>
                <w:szCs w:val="18"/>
              </w:rPr>
            </w:pPr>
            <w:r>
              <w:rPr>
                <w:rFonts w:ascii="Arial"/>
                <w:w w:val="95"/>
                <w:sz w:val="18"/>
              </w:rPr>
              <w:t>1,262</w:t>
            </w:r>
            <w:r>
              <w:rPr>
                <w:rFonts w:ascii="Arial"/>
                <w:sz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0.2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Arial" w:hAnsi="Arial" w:cs="Arial" w:eastAsia="Arial" w:hint="default"/>
                <w:sz w:val="18"/>
                <w:szCs w:val="18"/>
              </w:rPr>
            </w:pPr>
            <w:r>
              <w:rPr>
                <w:rFonts w:ascii="Arial"/>
                <w:w w:val="95"/>
                <w:sz w:val="18"/>
              </w:rPr>
              <w:t>161</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Arial" w:hAnsi="Arial" w:cs="Arial" w:eastAsia="Arial" w:hint="default"/>
                <w:sz w:val="18"/>
                <w:szCs w:val="18"/>
              </w:rPr>
            </w:pPr>
            <w:r>
              <w:rPr>
                <w:rFonts w:ascii="Arial"/>
                <w:w w:val="95"/>
                <w:sz w:val="18"/>
              </w:rPr>
              <w:t>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58"/>
              <w:jc w:val="right"/>
              <w:rPr>
                <w:rFonts w:ascii="Arial" w:hAnsi="Arial" w:cs="Arial" w:eastAsia="Arial" w:hint="default"/>
                <w:sz w:val="18"/>
                <w:szCs w:val="18"/>
              </w:rPr>
            </w:pPr>
            <w:r>
              <w:rPr>
                <w:rFonts w:ascii="Arial"/>
                <w:w w:val="95"/>
                <w:sz w:val="18"/>
              </w:rPr>
              <w:t>683.9</w:t>
            </w:r>
          </w:p>
        </w:tc>
      </w:tr>
      <w:tr>
        <w:trPr>
          <w:trHeight w:val="245" w:hRule="exact"/>
        </w:trPr>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3,057</w:t>
            </w:r>
            <w:r>
              <w:rPr>
                <w:rFonts w:ascii="Arial"/>
                <w:sz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0.6</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Arial" w:hAnsi="Arial" w:cs="Arial" w:eastAsia="Arial" w:hint="default"/>
                <w:sz w:val="18"/>
                <w:szCs w:val="18"/>
              </w:rPr>
            </w:pPr>
            <w:r>
              <w:rPr>
                <w:rFonts w:ascii="Arial"/>
                <w:w w:val="95"/>
                <w:sz w:val="18"/>
              </w:rPr>
              <w:t>53</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Arial" w:hAnsi="Arial" w:cs="Arial" w:eastAsia="Arial" w:hint="default"/>
                <w:sz w:val="18"/>
                <w:szCs w:val="18"/>
              </w:rPr>
            </w:pPr>
            <w:r>
              <w:rPr>
                <w:rFonts w:ascii="Arial"/>
                <w:w w:val="95"/>
                <w:sz w:val="18"/>
              </w:rPr>
              <w:t>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58"/>
              <w:jc w:val="right"/>
              <w:rPr>
                <w:rFonts w:ascii="Arial" w:hAnsi="Arial" w:cs="Arial" w:eastAsia="Arial" w:hint="default"/>
                <w:sz w:val="18"/>
                <w:szCs w:val="18"/>
              </w:rPr>
            </w:pPr>
            <w:r>
              <w:rPr>
                <w:rFonts w:ascii="Arial"/>
                <w:spacing w:val="-1"/>
                <w:sz w:val="18"/>
              </w:rPr>
              <w:t>5,667.9</w:t>
            </w:r>
          </w:p>
        </w:tc>
      </w:tr>
      <w:tr>
        <w:trPr>
          <w:trHeight w:val="242" w:hRule="exact"/>
        </w:trPr>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Arial" w:hAnsi="Arial" w:cs="Arial" w:eastAsia="Arial" w:hint="default"/>
                <w:sz w:val="18"/>
                <w:szCs w:val="18"/>
              </w:rPr>
            </w:pPr>
            <w:r>
              <w:rPr>
                <w:rFonts w:ascii="Arial"/>
                <w:w w:val="95"/>
                <w:sz w:val="18"/>
              </w:rPr>
              <w:t>1,195</w:t>
            </w:r>
            <w:r>
              <w:rPr>
                <w:rFonts w:ascii="Arial"/>
                <w:sz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0.2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Arial" w:hAnsi="Arial" w:cs="Arial" w:eastAsia="Arial" w:hint="default"/>
                <w:sz w:val="18"/>
                <w:szCs w:val="18"/>
              </w:rPr>
            </w:pPr>
            <w:r>
              <w:rPr>
                <w:rFonts w:ascii="Arial"/>
                <w:w w:val="95"/>
                <w:sz w:val="18"/>
              </w:rPr>
              <w:t>2,496</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Arial" w:hAnsi="Arial" w:cs="Arial" w:eastAsia="Arial" w:hint="default"/>
                <w:sz w:val="18"/>
                <w:szCs w:val="18"/>
              </w:rPr>
            </w:pPr>
            <w:r>
              <w:rPr>
                <w:rFonts w:ascii="Arial"/>
                <w:w w:val="95"/>
                <w:sz w:val="18"/>
              </w:rPr>
              <w:t>0.5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Arial" w:hAnsi="Arial" w:cs="Arial" w:eastAsia="Arial" w:hint="default"/>
                <w:sz w:val="18"/>
                <w:szCs w:val="18"/>
              </w:rPr>
            </w:pPr>
            <w:r>
              <w:rPr>
                <w:rFonts w:ascii="Arial"/>
                <w:sz w:val="18"/>
              </w:rPr>
              <w:t>(52.1)</w:t>
            </w:r>
          </w:p>
        </w:tc>
      </w:tr>
      <w:tr>
        <w:trPr>
          <w:trHeight w:val="243" w:hRule="exact"/>
        </w:trPr>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99"/>
              <w:jc w:val="right"/>
              <w:rPr>
                <w:rFonts w:ascii="Arial" w:hAnsi="Arial" w:cs="Arial" w:eastAsia="Arial" w:hint="default"/>
                <w:sz w:val="18"/>
                <w:szCs w:val="18"/>
              </w:rPr>
            </w:pPr>
            <w:r>
              <w:rPr>
                <w:rFonts w:ascii="Arial"/>
                <w:w w:val="95"/>
                <w:sz w:val="18"/>
              </w:rPr>
              <w:t>108</w:t>
            </w:r>
            <w:r>
              <w:rPr>
                <w:rFonts w:ascii="Arial"/>
                <w:sz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0"/>
              <w:jc w:val="right"/>
              <w:rPr>
                <w:rFonts w:ascii="Arial" w:hAnsi="Arial" w:cs="Arial" w:eastAsia="Arial" w:hint="default"/>
                <w:sz w:val="18"/>
                <w:szCs w:val="18"/>
              </w:rPr>
            </w:pPr>
            <w:r>
              <w:rPr>
                <w:rFonts w:ascii="Arial"/>
                <w:w w:val="95"/>
                <w:sz w:val="18"/>
              </w:rPr>
              <w:t>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99"/>
              <w:jc w:val="right"/>
              <w:rPr>
                <w:rFonts w:ascii="Arial" w:hAnsi="Arial" w:cs="Arial" w:eastAsia="Arial" w:hint="default"/>
                <w:sz w:val="18"/>
                <w:szCs w:val="18"/>
              </w:rPr>
            </w:pPr>
            <w:r>
              <w:rPr>
                <w:rFonts w:ascii="Arial"/>
                <w:w w:val="95"/>
                <w:sz w:val="18"/>
              </w:rPr>
              <w:t>406</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Arial" w:hAnsi="Arial" w:cs="Arial" w:eastAsia="Arial" w:hint="default"/>
                <w:sz w:val="18"/>
                <w:szCs w:val="18"/>
              </w:rPr>
            </w:pPr>
            <w:r>
              <w:rPr>
                <w:rFonts w:ascii="Arial"/>
                <w:w w:val="95"/>
                <w:sz w:val="18"/>
              </w:rPr>
              <w:t>0.1</w:t>
            </w:r>
            <w:r>
              <w:rPr>
                <w:rFonts w:ascii="Arial"/>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57"/>
              <w:jc w:val="right"/>
              <w:rPr>
                <w:rFonts w:ascii="Arial" w:hAnsi="Arial" w:cs="Arial" w:eastAsia="Arial" w:hint="default"/>
                <w:sz w:val="18"/>
                <w:szCs w:val="18"/>
              </w:rPr>
            </w:pPr>
            <w:r>
              <w:rPr>
                <w:rFonts w:ascii="Arial"/>
                <w:w w:val="95"/>
                <w:sz w:val="18"/>
              </w:rPr>
              <w:t>73.4</w:t>
            </w:r>
          </w:p>
        </w:tc>
      </w:tr>
      <w:tr>
        <w:trPr>
          <w:trHeight w:val="245" w:hRule="exact"/>
        </w:trPr>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Arial" w:hAnsi="Arial" w:cs="Arial" w:eastAsia="Arial" w:hint="default"/>
                <w:sz w:val="18"/>
                <w:szCs w:val="18"/>
              </w:rPr>
            </w:pPr>
            <w:r>
              <w:rPr>
                <w:rFonts w:ascii="Arial"/>
                <w:w w:val="95"/>
                <w:sz w:val="18"/>
              </w:rPr>
              <w:t>6,873</w:t>
            </w:r>
            <w:r>
              <w:rPr>
                <w:rFonts w:ascii="Arial"/>
                <w:sz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Arial" w:hAnsi="Arial" w:cs="Arial" w:eastAsia="Arial" w:hint="default"/>
                <w:sz w:val="18"/>
                <w:szCs w:val="18"/>
              </w:rPr>
            </w:pPr>
            <w:r>
              <w:rPr>
                <w:rFonts w:ascii="Arial"/>
                <w:w w:val="95"/>
                <w:sz w:val="18"/>
              </w:rPr>
              <w:t>1.3</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Arial" w:hAnsi="Arial" w:cs="Arial" w:eastAsia="Arial" w:hint="default"/>
                <w:sz w:val="18"/>
                <w:szCs w:val="18"/>
              </w:rPr>
            </w:pPr>
            <w:r>
              <w:rPr>
                <w:rFonts w:ascii="Arial"/>
                <w:w w:val="95"/>
                <w:sz w:val="18"/>
              </w:rPr>
              <w:t>4,927</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Arial" w:hAnsi="Arial" w:cs="Arial" w:eastAsia="Arial" w:hint="default"/>
                <w:sz w:val="18"/>
                <w:szCs w:val="18"/>
              </w:rPr>
            </w:pPr>
            <w:r>
              <w:rPr>
                <w:rFonts w:ascii="Arial"/>
                <w:w w:val="95"/>
                <w:sz w:val="18"/>
              </w:rPr>
              <w:t>0.9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57"/>
              <w:jc w:val="right"/>
              <w:rPr>
                <w:rFonts w:ascii="Arial" w:hAnsi="Arial" w:cs="Arial" w:eastAsia="Arial" w:hint="default"/>
                <w:sz w:val="18"/>
                <w:szCs w:val="18"/>
              </w:rPr>
            </w:pPr>
            <w:r>
              <w:rPr>
                <w:rFonts w:ascii="Arial"/>
                <w:w w:val="95"/>
                <w:sz w:val="18"/>
              </w:rPr>
              <w:t>39.5</w:t>
            </w:r>
            <w:r>
              <w:rPr>
                <w:rFonts w:ascii="Arial"/>
                <w:sz w:val="18"/>
              </w:rPr>
            </w:r>
          </w:p>
        </w:tc>
      </w:tr>
      <w:tr>
        <w:trPr>
          <w:trHeight w:val="242" w:hRule="exact"/>
        </w:trPr>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1,467</w:t>
            </w:r>
            <w:r>
              <w:rPr>
                <w:rFonts w:ascii="Arial"/>
                <w:sz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0.3</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2,634</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Arial" w:hAnsi="Arial" w:cs="Arial" w:eastAsia="Arial" w:hint="default"/>
                <w:sz w:val="18"/>
                <w:szCs w:val="18"/>
              </w:rPr>
            </w:pPr>
            <w:r>
              <w:rPr>
                <w:rFonts w:ascii="Arial"/>
                <w:w w:val="95"/>
                <w:sz w:val="18"/>
              </w:rPr>
              <w:t>0.5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Arial" w:hAnsi="Arial" w:cs="Arial" w:eastAsia="Arial" w:hint="default"/>
                <w:sz w:val="18"/>
                <w:szCs w:val="18"/>
              </w:rPr>
            </w:pPr>
            <w:r>
              <w:rPr>
                <w:rFonts w:ascii="Arial"/>
                <w:sz w:val="18"/>
              </w:rPr>
              <w:t>(44.3)</w:t>
            </w:r>
          </w:p>
        </w:tc>
      </w:tr>
      <w:tr>
        <w:trPr>
          <w:trHeight w:val="245" w:hRule="exact"/>
        </w:trPr>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Arial" w:hAnsi="Arial" w:cs="Arial" w:eastAsia="Arial" w:hint="default"/>
                <w:sz w:val="18"/>
                <w:szCs w:val="18"/>
              </w:rPr>
            </w:pPr>
            <w:r>
              <w:rPr>
                <w:rFonts w:ascii="Arial"/>
                <w:w w:val="95"/>
                <w:sz w:val="18"/>
              </w:rPr>
              <w:t>766</w:t>
            </w:r>
            <w:r>
              <w:rPr>
                <w:rFonts w:ascii="Arial"/>
                <w:sz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0.1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Arial" w:hAnsi="Arial" w:cs="Arial" w:eastAsia="Arial" w:hint="default"/>
                <w:sz w:val="18"/>
                <w:szCs w:val="18"/>
              </w:rPr>
            </w:pPr>
            <w:r>
              <w:rPr>
                <w:rFonts w:ascii="Arial"/>
                <w:w w:val="95"/>
                <w:sz w:val="18"/>
              </w:rPr>
              <w:t>568</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Arial" w:hAnsi="Arial" w:cs="Arial" w:eastAsia="Arial" w:hint="default"/>
                <w:sz w:val="18"/>
                <w:szCs w:val="18"/>
              </w:rPr>
            </w:pPr>
            <w:r>
              <w:rPr>
                <w:rFonts w:ascii="Arial"/>
                <w:w w:val="95"/>
                <w:sz w:val="18"/>
              </w:rPr>
              <w:t>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57"/>
              <w:jc w:val="right"/>
              <w:rPr>
                <w:rFonts w:ascii="Arial" w:hAnsi="Arial" w:cs="Arial" w:eastAsia="Arial" w:hint="default"/>
                <w:sz w:val="18"/>
                <w:szCs w:val="18"/>
              </w:rPr>
            </w:pPr>
            <w:r>
              <w:rPr>
                <w:rFonts w:ascii="Arial"/>
                <w:w w:val="95"/>
                <w:sz w:val="18"/>
              </w:rPr>
              <w:t>34.9</w:t>
            </w:r>
          </w:p>
        </w:tc>
      </w:tr>
      <w:tr>
        <w:trPr>
          <w:trHeight w:val="242" w:hRule="exact"/>
        </w:trPr>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spacing w:val="-3"/>
                <w:sz w:val="18"/>
              </w:rPr>
              <w:t>11,380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2.1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Arial" w:hAnsi="Arial" w:cs="Arial" w:eastAsia="Arial" w:hint="default"/>
                <w:sz w:val="18"/>
                <w:szCs w:val="18"/>
              </w:rPr>
            </w:pPr>
            <w:r>
              <w:rPr>
                <w:rFonts w:ascii="Arial"/>
                <w:w w:val="95"/>
                <w:sz w:val="18"/>
              </w:rPr>
              <w:t>210</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5"/>
                <w:sz w:val="18"/>
              </w:rPr>
              <w:t>0.0</w:t>
            </w:r>
            <w:r>
              <w:rPr>
                <w:rFonts w:ascii="Arial"/>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57"/>
              <w:jc w:val="right"/>
              <w:rPr>
                <w:rFonts w:ascii="Arial" w:hAnsi="Arial" w:cs="Arial" w:eastAsia="Arial" w:hint="default"/>
                <w:sz w:val="18"/>
                <w:szCs w:val="18"/>
              </w:rPr>
            </w:pPr>
            <w:r>
              <w:rPr>
                <w:rFonts w:ascii="Arial"/>
                <w:spacing w:val="-1"/>
                <w:sz w:val="18"/>
              </w:rPr>
              <w:t>5,319.0</w:t>
            </w:r>
          </w:p>
        </w:tc>
      </w:tr>
      <w:tr>
        <w:trPr>
          <w:trHeight w:val="245" w:hRule="exact"/>
        </w:trPr>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spacing w:val="-1"/>
                <w:sz w:val="18"/>
              </w:rPr>
              <w:t>23,460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4.3</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spacing w:val="-1"/>
                <w:sz w:val="18"/>
              </w:rPr>
              <w:t>13,002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5"/>
                <w:sz w:val="18"/>
              </w:rPr>
              <w:t>2.4</w:t>
            </w:r>
            <w:r>
              <w:rPr>
                <w:rFonts w:ascii="Arial"/>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56"/>
              <w:jc w:val="right"/>
              <w:rPr>
                <w:rFonts w:ascii="Arial" w:hAnsi="Arial" w:cs="Arial" w:eastAsia="Arial" w:hint="default"/>
                <w:sz w:val="18"/>
                <w:szCs w:val="18"/>
              </w:rPr>
            </w:pPr>
            <w:r>
              <w:rPr>
                <w:rFonts w:ascii="Arial"/>
                <w:w w:val="95"/>
                <w:sz w:val="18"/>
              </w:rPr>
              <w:t>80.4</w:t>
            </w:r>
          </w:p>
        </w:tc>
      </w:tr>
    </w:tbl>
    <w:p>
      <w:pPr>
        <w:spacing w:line="240" w:lineRule="auto" w:before="13"/>
        <w:rPr>
          <w:rFonts w:ascii="宋体" w:hAnsi="宋体" w:cs="宋体" w:eastAsia="宋体" w:hint="default"/>
          <w:sz w:val="12"/>
          <w:szCs w:val="12"/>
        </w:rPr>
      </w:pPr>
    </w:p>
    <w:p>
      <w:pPr>
        <w:tabs>
          <w:tab w:pos="1270" w:val="left" w:leader="none"/>
        </w:tabs>
        <w:spacing w:line="283" w:lineRule="exact" w:before="36"/>
        <w:ind w:left="846" w:right="204" w:firstLine="0"/>
        <w:jc w:val="left"/>
        <w:rPr>
          <w:rFonts w:ascii="宋体" w:hAnsi="宋体" w:cs="宋体" w:eastAsia="宋体" w:hint="default"/>
          <w:sz w:val="21"/>
          <w:szCs w:val="21"/>
        </w:rPr>
      </w:pPr>
      <w:r>
        <w:rPr>
          <w:rFonts w:ascii="Symbol" w:hAnsi="Symbol" w:cs="Symbol" w:eastAsia="Symbol"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z w:val="21"/>
          <w:szCs w:val="21"/>
        </w:rPr>
        <w:t>应收票据：应收票据的减少主要是由于上年末应收票据到期回款所致。</w:t>
      </w:r>
    </w:p>
    <w:p>
      <w:pPr>
        <w:tabs>
          <w:tab w:pos="1270" w:val="left" w:leader="none"/>
        </w:tabs>
        <w:spacing w:line="272" w:lineRule="exact" w:before="18"/>
        <w:ind w:left="1270" w:right="228" w:hanging="425"/>
        <w:jc w:val="left"/>
        <w:rPr>
          <w:rFonts w:ascii="宋体" w:hAnsi="宋体" w:cs="宋体" w:eastAsia="宋体" w:hint="default"/>
          <w:sz w:val="21"/>
          <w:szCs w:val="21"/>
        </w:rPr>
      </w:pPr>
      <w:r>
        <w:rPr>
          <w:rFonts w:ascii="Symbol" w:hAnsi="Symbol" w:cs="Symbol" w:eastAsia="Symbol"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z w:val="21"/>
          <w:szCs w:val="21"/>
        </w:rPr>
        <w:t>其他流动资产：其他流动资产的增加主要是由于待抵扣增值税、预缴增值税和预缴</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企业所得税共同增长所致。</w:t>
      </w:r>
    </w:p>
    <w:p>
      <w:pPr>
        <w:tabs>
          <w:tab w:pos="1270" w:val="left" w:leader="none"/>
        </w:tabs>
        <w:spacing w:line="272" w:lineRule="exact" w:before="1"/>
        <w:ind w:left="1270" w:right="228" w:hanging="425"/>
        <w:jc w:val="left"/>
        <w:rPr>
          <w:rFonts w:ascii="宋体" w:hAnsi="宋体" w:cs="宋体" w:eastAsia="宋体" w:hint="default"/>
          <w:sz w:val="21"/>
          <w:szCs w:val="21"/>
        </w:rPr>
      </w:pPr>
      <w:r>
        <w:rPr>
          <w:rFonts w:ascii="Symbol" w:hAnsi="Symbol" w:cs="Symbol" w:eastAsia="Symbol"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z w:val="21"/>
          <w:szCs w:val="21"/>
        </w:rPr>
        <w:t>长期股权投资：长期股权投资的增长主要是由于公司认缴中国铁塔股份有限公司股</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份所致。</w:t>
      </w:r>
    </w:p>
    <w:p>
      <w:pPr>
        <w:tabs>
          <w:tab w:pos="1270" w:val="left" w:leader="none"/>
        </w:tabs>
        <w:spacing w:line="255" w:lineRule="exact" w:before="0"/>
        <w:ind w:left="846" w:right="204" w:firstLine="0"/>
        <w:jc w:val="left"/>
        <w:rPr>
          <w:rFonts w:ascii="宋体" w:hAnsi="宋体" w:cs="宋体" w:eastAsia="宋体" w:hint="default"/>
          <w:sz w:val="21"/>
          <w:szCs w:val="21"/>
        </w:rPr>
      </w:pPr>
      <w:r>
        <w:rPr>
          <w:rFonts w:ascii="Symbol" w:hAnsi="Symbol" w:cs="Symbol" w:eastAsia="Symbol"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z w:val="21"/>
          <w:szCs w:val="21"/>
        </w:rPr>
        <w:t>其他非流动资产：其他非流动资产减少主要是由于应收通信终端款减少所致。</w:t>
      </w:r>
    </w:p>
    <w:p>
      <w:pPr>
        <w:tabs>
          <w:tab w:pos="1270" w:val="left" w:leader="none"/>
        </w:tabs>
        <w:spacing w:line="273" w:lineRule="exact" w:before="0"/>
        <w:ind w:left="846" w:right="204" w:firstLine="0"/>
        <w:jc w:val="left"/>
        <w:rPr>
          <w:rFonts w:ascii="宋体" w:hAnsi="宋体" w:cs="宋体" w:eastAsia="宋体" w:hint="default"/>
          <w:sz w:val="21"/>
          <w:szCs w:val="21"/>
        </w:rPr>
      </w:pPr>
      <w:r>
        <w:rPr>
          <w:rFonts w:ascii="Symbol" w:hAnsi="Symbol" w:cs="Symbol" w:eastAsia="Symbol"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z w:val="21"/>
          <w:szCs w:val="21"/>
        </w:rPr>
        <w:t>应付票据：应付票据减少主要是由于上年末应付票据到期付款所致。</w:t>
      </w:r>
    </w:p>
    <w:p>
      <w:pPr>
        <w:tabs>
          <w:tab w:pos="1270" w:val="left" w:leader="none"/>
        </w:tabs>
        <w:spacing w:line="272" w:lineRule="exact" w:before="19"/>
        <w:ind w:left="1270" w:right="228" w:hanging="425"/>
        <w:jc w:val="left"/>
        <w:rPr>
          <w:rFonts w:ascii="宋体" w:hAnsi="宋体" w:cs="宋体" w:eastAsia="宋体" w:hint="default"/>
          <w:sz w:val="21"/>
          <w:szCs w:val="21"/>
        </w:rPr>
      </w:pPr>
      <w:r>
        <w:rPr>
          <w:rFonts w:ascii="Symbol" w:hAnsi="Symbol" w:cs="Symbol" w:eastAsia="Symbol"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z w:val="21"/>
          <w:szCs w:val="21"/>
        </w:rPr>
        <w:t>应付职工薪酬：应付职工薪酬的增加主要是由于尚未发放的职工薪酬及年金计划尚</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未划转的金额增长所致。</w:t>
      </w:r>
    </w:p>
    <w:p>
      <w:pPr>
        <w:tabs>
          <w:tab w:pos="1270" w:val="left" w:leader="none"/>
        </w:tabs>
        <w:spacing w:line="255" w:lineRule="exact" w:before="0"/>
        <w:ind w:left="846" w:right="204" w:firstLine="0"/>
        <w:jc w:val="left"/>
        <w:rPr>
          <w:rFonts w:ascii="宋体" w:hAnsi="宋体" w:cs="宋体" w:eastAsia="宋体" w:hint="default"/>
          <w:sz w:val="21"/>
          <w:szCs w:val="21"/>
        </w:rPr>
      </w:pPr>
      <w:r>
        <w:rPr>
          <w:rFonts w:ascii="Symbol" w:hAnsi="Symbol" w:cs="Symbol" w:eastAsia="Symbol"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z w:val="21"/>
          <w:szCs w:val="21"/>
        </w:rPr>
        <w:t>应交税费：应交税费的减少主要是由于尚未支付的企业所得税和营业税减少所致。</w:t>
      </w:r>
    </w:p>
    <w:p>
      <w:pPr>
        <w:tabs>
          <w:tab w:pos="1270" w:val="left" w:leader="none"/>
        </w:tabs>
        <w:spacing w:line="274" w:lineRule="exact" w:before="16"/>
        <w:ind w:left="1270" w:right="228" w:hanging="425"/>
        <w:jc w:val="left"/>
        <w:rPr>
          <w:rFonts w:ascii="宋体" w:hAnsi="宋体" w:cs="宋体" w:eastAsia="宋体" w:hint="default"/>
          <w:sz w:val="21"/>
          <w:szCs w:val="21"/>
        </w:rPr>
      </w:pPr>
      <w:r>
        <w:rPr>
          <w:rFonts w:ascii="Symbol" w:hAnsi="Symbol" w:cs="Symbol" w:eastAsia="Symbol"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z w:val="21"/>
          <w:szCs w:val="21"/>
        </w:rPr>
        <w:t>应付利息：应付利息的增加主要是由于本年新发行中期票据使应付长期债券利息增</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长所致。</w:t>
      </w:r>
    </w:p>
    <w:p>
      <w:pPr>
        <w:tabs>
          <w:tab w:pos="1270" w:val="left" w:leader="none"/>
        </w:tabs>
        <w:spacing w:line="254" w:lineRule="exact" w:before="0"/>
        <w:ind w:left="846" w:right="204" w:firstLine="0"/>
        <w:jc w:val="left"/>
        <w:rPr>
          <w:rFonts w:ascii="宋体" w:hAnsi="宋体" w:cs="宋体" w:eastAsia="宋体" w:hint="default"/>
          <w:sz w:val="21"/>
          <w:szCs w:val="21"/>
        </w:rPr>
      </w:pPr>
      <w:r>
        <w:rPr>
          <w:rFonts w:ascii="Symbol" w:hAnsi="Symbol" w:cs="Symbol" w:eastAsia="Symbol"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z w:val="21"/>
          <w:szCs w:val="21"/>
        </w:rPr>
        <w:t>一年内到期的非流动负债：一年内到期的非流动负债的增加主要是由于可转换债券</w:t>
      </w:r>
    </w:p>
    <w:p>
      <w:pPr>
        <w:spacing w:line="264" w:lineRule="exact" w:before="0"/>
        <w:ind w:left="1270" w:right="204" w:firstLine="0"/>
        <w:jc w:val="left"/>
        <w:rPr>
          <w:rFonts w:ascii="宋体" w:hAnsi="宋体" w:cs="宋体" w:eastAsia="宋体" w:hint="default"/>
          <w:sz w:val="21"/>
          <w:szCs w:val="21"/>
        </w:rPr>
      </w:pPr>
      <w:r>
        <w:rPr>
          <w:rFonts w:ascii="宋体" w:hAnsi="宋体" w:cs="宋体" w:eastAsia="宋体" w:hint="default"/>
          <w:sz w:val="21"/>
          <w:szCs w:val="21"/>
        </w:rPr>
        <w:t>将于一年内到期将其划分至本科目所致。</w:t>
      </w:r>
    </w:p>
    <w:p>
      <w:pPr>
        <w:tabs>
          <w:tab w:pos="1270" w:val="left" w:leader="none"/>
        </w:tabs>
        <w:spacing w:line="272" w:lineRule="exact" w:before="26"/>
        <w:ind w:left="1270" w:right="210" w:hanging="425"/>
        <w:jc w:val="left"/>
        <w:rPr>
          <w:rFonts w:ascii="宋体" w:hAnsi="宋体" w:cs="宋体" w:eastAsia="宋体" w:hint="default"/>
          <w:sz w:val="21"/>
          <w:szCs w:val="21"/>
        </w:rPr>
      </w:pPr>
      <w:r>
        <w:rPr>
          <w:rFonts w:ascii="Symbol" w:hAnsi="Symbol" w:cs="Symbol" w:eastAsia="Symbol"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pacing w:val="-6"/>
          <w:sz w:val="21"/>
          <w:szCs w:val="21"/>
        </w:rPr>
        <w:t>应付债券：应付债券的增加主要是由于 </w:t>
      </w:r>
      <w:r>
        <w:rPr>
          <w:rFonts w:ascii="Arial" w:hAnsi="Arial" w:cs="Arial" w:eastAsia="Arial" w:hint="default"/>
          <w:sz w:val="21"/>
          <w:szCs w:val="21"/>
        </w:rPr>
        <w:t>2014</w:t>
      </w:r>
      <w:r>
        <w:rPr>
          <w:rFonts w:ascii="Arial" w:hAnsi="Arial" w:cs="Arial" w:eastAsia="Arial" w:hint="default"/>
          <w:spacing w:val="-31"/>
          <w:sz w:val="21"/>
          <w:szCs w:val="21"/>
        </w:rPr>
        <w:t> </w:t>
      </w:r>
      <w:r>
        <w:rPr>
          <w:rFonts w:ascii="宋体" w:hAnsi="宋体" w:cs="宋体" w:eastAsia="宋体" w:hint="default"/>
          <w:sz w:val="21"/>
          <w:szCs w:val="21"/>
        </w:rPr>
        <w:t>年发行的中期票据增长及可转债重分类</w:t>
      </w:r>
      <w:r>
        <w:rPr>
          <w:rFonts w:ascii="宋体" w:hAnsi="宋体" w:cs="宋体" w:eastAsia="宋体" w:hint="default"/>
          <w:w w:val="100"/>
          <w:sz w:val="21"/>
          <w:szCs w:val="21"/>
        </w:rPr>
        <w:t> </w:t>
      </w:r>
      <w:r>
        <w:rPr>
          <w:rFonts w:ascii="宋体" w:hAnsi="宋体" w:cs="宋体" w:eastAsia="宋体" w:hint="default"/>
          <w:sz w:val="21"/>
          <w:szCs w:val="21"/>
        </w:rPr>
        <w:t>至一年内到期所致。</w:t>
      </w:r>
    </w:p>
    <w:p>
      <w:pPr>
        <w:spacing w:line="240" w:lineRule="auto" w:before="8"/>
        <w:rPr>
          <w:rFonts w:ascii="宋体" w:hAnsi="宋体" w:cs="宋体" w:eastAsia="宋体" w:hint="default"/>
          <w:sz w:val="15"/>
          <w:szCs w:val="15"/>
        </w:rPr>
      </w:pPr>
    </w:p>
    <w:p>
      <w:pPr>
        <w:spacing w:before="0"/>
        <w:ind w:left="485" w:right="204" w:firstLine="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pacing w:val="-23"/>
          <w:sz w:val="21"/>
          <w:szCs w:val="21"/>
        </w:rPr>
        <w:t> </w:t>
      </w:r>
      <w:r>
        <w:rPr>
          <w:rFonts w:ascii="宋体" w:hAnsi="宋体" w:cs="宋体" w:eastAsia="宋体" w:hint="default"/>
          <w:spacing w:val="-2"/>
          <w:sz w:val="21"/>
          <w:szCs w:val="21"/>
        </w:rPr>
        <w:t>公允价值计量资产、主要资产计量属性变化相关情况说明</w:t>
      </w:r>
    </w:p>
    <w:p>
      <w:pPr>
        <w:spacing w:line="240" w:lineRule="auto" w:before="4"/>
        <w:rPr>
          <w:rFonts w:ascii="宋体" w:hAnsi="宋体" w:cs="宋体" w:eastAsia="宋体" w:hint="default"/>
          <w:sz w:val="17"/>
          <w:szCs w:val="17"/>
        </w:rPr>
      </w:pPr>
    </w:p>
    <w:p>
      <w:pPr>
        <w:spacing w:line="237" w:lineRule="auto" w:before="0"/>
        <w:ind w:left="846" w:right="100" w:firstLine="0"/>
        <w:jc w:val="left"/>
        <w:rPr>
          <w:rFonts w:ascii="宋体" w:hAnsi="宋体" w:cs="宋体" w:eastAsia="宋体" w:hint="default"/>
          <w:sz w:val="21"/>
          <w:szCs w:val="21"/>
        </w:rPr>
      </w:pPr>
      <w:r>
        <w:rPr>
          <w:rFonts w:ascii="宋体" w:hAnsi="宋体" w:cs="宋体" w:eastAsia="宋体" w:hint="default"/>
          <w:sz w:val="21"/>
          <w:szCs w:val="21"/>
        </w:rPr>
        <w:t>本集团以公允价值计量的资产主要为对西班牙电信、交通银行及其他上市公司的股票投</w:t>
      </w:r>
      <w:r>
        <w:rPr>
          <w:rFonts w:ascii="宋体" w:hAnsi="宋体" w:cs="宋体" w:eastAsia="宋体" w:hint="default"/>
          <w:w w:val="100"/>
          <w:sz w:val="21"/>
          <w:szCs w:val="21"/>
        </w:rPr>
        <w:t> </w:t>
      </w:r>
      <w:r>
        <w:rPr>
          <w:rFonts w:ascii="宋体" w:hAnsi="宋体" w:cs="宋体" w:eastAsia="宋体" w:hint="default"/>
          <w:sz w:val="21"/>
          <w:szCs w:val="21"/>
        </w:rPr>
        <w:t>资。上述股票投资有活跃市场报价，其公允价值也能够可靠计量。本集团持有西班牙电</w:t>
      </w:r>
      <w:r>
        <w:rPr>
          <w:rFonts w:ascii="宋体" w:hAnsi="宋体" w:cs="宋体" w:eastAsia="宋体" w:hint="default"/>
          <w:w w:val="100"/>
          <w:sz w:val="21"/>
          <w:szCs w:val="21"/>
        </w:rPr>
        <w:t> </w:t>
      </w:r>
      <w:r>
        <w:rPr>
          <w:rFonts w:ascii="宋体" w:hAnsi="宋体" w:cs="宋体" w:eastAsia="宋体" w:hint="default"/>
          <w:spacing w:val="-2"/>
          <w:sz w:val="21"/>
          <w:szCs w:val="21"/>
        </w:rPr>
        <w:t>信和交通银行的股票投资并非为短期交易目的而持有，故将其划分为可供出售金融资产。</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其他以短期交易目的持有的股票投资划分为以公允价值计量且其变动计入当期损益的金</w:t>
      </w:r>
      <w:r>
        <w:rPr>
          <w:rFonts w:ascii="宋体" w:hAnsi="宋体" w:cs="宋体" w:eastAsia="宋体" w:hint="default"/>
          <w:w w:val="100"/>
          <w:sz w:val="21"/>
          <w:szCs w:val="21"/>
        </w:rPr>
        <w:t> </w:t>
      </w:r>
      <w:r>
        <w:rPr>
          <w:rFonts w:ascii="宋体" w:hAnsi="宋体" w:cs="宋体" w:eastAsia="宋体" w:hint="default"/>
          <w:sz w:val="21"/>
          <w:szCs w:val="21"/>
        </w:rPr>
        <w:t>融资产。</w:t>
      </w:r>
    </w:p>
    <w:p>
      <w:pPr>
        <w:spacing w:line="240" w:lineRule="auto" w:before="4"/>
        <w:rPr>
          <w:rFonts w:ascii="宋体" w:hAnsi="宋体" w:cs="宋体" w:eastAsia="宋体" w:hint="default"/>
          <w:sz w:val="18"/>
          <w:szCs w:val="18"/>
        </w:rPr>
      </w:pPr>
    </w:p>
    <w:p>
      <w:pPr>
        <w:spacing w:line="280" w:lineRule="exact" w:before="0"/>
        <w:ind w:left="846" w:right="204" w:firstLine="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9"/>
          <w:sz w:val="21"/>
          <w:szCs w:val="21"/>
        </w:rPr>
        <w:t> </w:t>
      </w:r>
      <w:r>
        <w:rPr>
          <w:rFonts w:ascii="宋体" w:hAnsi="宋体" w:cs="宋体" w:eastAsia="宋体" w:hint="default"/>
          <w:sz w:val="21"/>
          <w:szCs w:val="21"/>
        </w:rPr>
        <w:t>年度，西班牙电信股票投资的公允价值减少约人民币</w:t>
      </w:r>
      <w:r>
        <w:rPr>
          <w:rFonts w:ascii="宋体" w:hAnsi="宋体" w:cs="宋体" w:eastAsia="宋体" w:hint="default"/>
          <w:spacing w:val="-53"/>
          <w:sz w:val="21"/>
          <w:szCs w:val="21"/>
        </w:rPr>
        <w:t> </w:t>
      </w:r>
      <w:r>
        <w:rPr>
          <w:rFonts w:ascii="Arial" w:hAnsi="Arial" w:cs="Arial" w:eastAsia="Arial" w:hint="default"/>
          <w:sz w:val="21"/>
          <w:szCs w:val="21"/>
        </w:rPr>
        <w:t>6.94</w:t>
      </w:r>
      <w:r>
        <w:rPr>
          <w:rFonts w:ascii="Arial" w:hAnsi="Arial" w:cs="Arial" w:eastAsia="Arial" w:hint="default"/>
          <w:spacing w:val="-9"/>
          <w:sz w:val="21"/>
          <w:szCs w:val="21"/>
        </w:rPr>
        <w:t> </w:t>
      </w:r>
      <w:r>
        <w:rPr>
          <w:rFonts w:ascii="宋体" w:hAnsi="宋体" w:cs="宋体" w:eastAsia="宋体" w:hint="default"/>
          <w:sz w:val="21"/>
          <w:szCs w:val="21"/>
        </w:rPr>
        <w:t>亿元，扣除所得税影响</w:t>
      </w:r>
    </w:p>
    <w:p>
      <w:pPr>
        <w:spacing w:line="280" w:lineRule="exact" w:before="0"/>
        <w:ind w:left="846" w:right="204" w:firstLine="0"/>
        <w:jc w:val="left"/>
        <w:rPr>
          <w:rFonts w:ascii="宋体" w:hAnsi="宋体" w:cs="宋体" w:eastAsia="宋体" w:hint="default"/>
          <w:sz w:val="21"/>
          <w:szCs w:val="21"/>
        </w:rPr>
      </w:pPr>
      <w:r>
        <w:rPr>
          <w:rFonts w:ascii="宋体" w:hAnsi="宋体" w:cs="宋体" w:eastAsia="宋体" w:hint="default"/>
          <w:sz w:val="21"/>
          <w:szCs w:val="21"/>
        </w:rPr>
        <w:t>后的净额按持股比例计算约人民币</w:t>
      </w:r>
      <w:r>
        <w:rPr>
          <w:rFonts w:ascii="宋体" w:hAnsi="宋体" w:cs="宋体" w:eastAsia="宋体" w:hint="default"/>
          <w:spacing w:val="-55"/>
          <w:sz w:val="21"/>
          <w:szCs w:val="21"/>
        </w:rPr>
        <w:t> </w:t>
      </w:r>
      <w:r>
        <w:rPr>
          <w:rFonts w:ascii="Arial" w:hAnsi="Arial" w:cs="Arial" w:eastAsia="Arial" w:hint="default"/>
          <w:sz w:val="21"/>
          <w:szCs w:val="21"/>
        </w:rPr>
        <w:t>1.74</w:t>
      </w:r>
      <w:r>
        <w:rPr>
          <w:rFonts w:ascii="Arial" w:hAnsi="Arial" w:cs="Arial" w:eastAsia="Arial" w:hint="default"/>
          <w:spacing w:val="-9"/>
          <w:sz w:val="21"/>
          <w:szCs w:val="21"/>
        </w:rPr>
        <w:t> </w:t>
      </w:r>
      <w:r>
        <w:rPr>
          <w:rFonts w:ascii="宋体" w:hAnsi="宋体" w:cs="宋体" w:eastAsia="宋体" w:hint="default"/>
          <w:sz w:val="21"/>
          <w:szCs w:val="21"/>
        </w:rPr>
        <w:t>亿元被计入本集团其他综合收益项下。</w:t>
      </w:r>
    </w:p>
    <w:p>
      <w:pPr>
        <w:spacing w:line="240" w:lineRule="auto" w:before="1"/>
        <w:rPr>
          <w:rFonts w:ascii="宋体" w:hAnsi="宋体" w:cs="宋体" w:eastAsia="宋体" w:hint="default"/>
          <w:sz w:val="17"/>
          <w:szCs w:val="17"/>
        </w:rPr>
      </w:pPr>
    </w:p>
    <w:p>
      <w:pPr>
        <w:spacing w:line="282" w:lineRule="exact" w:before="0"/>
        <w:ind w:left="846" w:right="100" w:firstLine="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14"/>
          <w:sz w:val="21"/>
          <w:szCs w:val="21"/>
        </w:rPr>
        <w:t> </w:t>
      </w:r>
      <w:r>
        <w:rPr>
          <w:rFonts w:ascii="宋体" w:hAnsi="宋体" w:cs="宋体" w:eastAsia="宋体" w:hint="default"/>
          <w:sz w:val="21"/>
          <w:szCs w:val="21"/>
        </w:rPr>
        <w:t>年度，交通银行股票投资的公允价值增加约人民币</w:t>
      </w:r>
      <w:r>
        <w:rPr>
          <w:rFonts w:ascii="宋体" w:hAnsi="宋体" w:cs="宋体" w:eastAsia="宋体" w:hint="default"/>
          <w:spacing w:val="-59"/>
          <w:sz w:val="21"/>
          <w:szCs w:val="21"/>
        </w:rPr>
        <w:t> </w:t>
      </w:r>
      <w:r>
        <w:rPr>
          <w:rFonts w:ascii="Arial" w:hAnsi="Arial" w:cs="Arial" w:eastAsia="Arial" w:hint="default"/>
          <w:sz w:val="21"/>
          <w:szCs w:val="21"/>
        </w:rPr>
        <w:t>7,513</w:t>
      </w:r>
      <w:r>
        <w:rPr>
          <w:rFonts w:ascii="Arial" w:hAnsi="Arial" w:cs="Arial" w:eastAsia="Arial" w:hint="default"/>
          <w:spacing w:val="-14"/>
          <w:sz w:val="21"/>
          <w:szCs w:val="21"/>
        </w:rPr>
        <w:t> </w:t>
      </w:r>
      <w:r>
        <w:rPr>
          <w:rFonts w:ascii="宋体" w:hAnsi="宋体" w:cs="宋体" w:eastAsia="宋体" w:hint="default"/>
          <w:sz w:val="21"/>
          <w:szCs w:val="21"/>
        </w:rPr>
        <w:t>万元，扣除所得税影响后</w:t>
      </w:r>
    </w:p>
    <w:p>
      <w:pPr>
        <w:spacing w:line="282" w:lineRule="exact" w:before="0"/>
        <w:ind w:left="846" w:right="204" w:firstLine="0"/>
        <w:jc w:val="left"/>
        <w:rPr>
          <w:rFonts w:ascii="宋体" w:hAnsi="宋体" w:cs="宋体" w:eastAsia="宋体" w:hint="default"/>
          <w:sz w:val="21"/>
          <w:szCs w:val="21"/>
        </w:rPr>
      </w:pPr>
      <w:r>
        <w:rPr>
          <w:rFonts w:ascii="宋体" w:hAnsi="宋体" w:cs="宋体" w:eastAsia="宋体" w:hint="default"/>
          <w:sz w:val="21"/>
          <w:szCs w:val="21"/>
        </w:rPr>
        <w:t>的净额按持股比例计算约人民币</w:t>
      </w:r>
      <w:r>
        <w:rPr>
          <w:rFonts w:ascii="宋体" w:hAnsi="宋体" w:cs="宋体" w:eastAsia="宋体" w:hint="default"/>
          <w:spacing w:val="-56"/>
          <w:sz w:val="21"/>
          <w:szCs w:val="21"/>
        </w:rPr>
        <w:t> </w:t>
      </w:r>
      <w:r>
        <w:rPr>
          <w:rFonts w:ascii="Arial" w:hAnsi="Arial" w:cs="Arial" w:eastAsia="Arial" w:hint="default"/>
          <w:sz w:val="21"/>
          <w:szCs w:val="21"/>
        </w:rPr>
        <w:t>1,879</w:t>
      </w:r>
      <w:r>
        <w:rPr>
          <w:rFonts w:ascii="Arial" w:hAnsi="Arial" w:cs="Arial" w:eastAsia="Arial" w:hint="default"/>
          <w:spacing w:val="-8"/>
          <w:sz w:val="21"/>
          <w:szCs w:val="21"/>
        </w:rPr>
        <w:t> </w:t>
      </w:r>
      <w:r>
        <w:rPr>
          <w:rFonts w:ascii="宋体" w:hAnsi="宋体" w:cs="宋体" w:eastAsia="宋体" w:hint="default"/>
          <w:sz w:val="21"/>
          <w:szCs w:val="21"/>
        </w:rPr>
        <w:t>万元被计入本集团的其他综合收益项下。</w:t>
      </w:r>
    </w:p>
    <w:p>
      <w:pPr>
        <w:spacing w:after="0" w:line="282" w:lineRule="exact"/>
        <w:jc w:val="left"/>
        <w:rPr>
          <w:rFonts w:ascii="宋体" w:hAnsi="宋体" w:cs="宋体" w:eastAsia="宋体" w:hint="default"/>
          <w:sz w:val="21"/>
          <w:szCs w:val="21"/>
        </w:rPr>
        <w:sectPr>
          <w:pgSz w:w="11910" w:h="16840"/>
          <w:pgMar w:header="880" w:footer="1194" w:top="1120" w:bottom="1380" w:left="1660" w:right="1120"/>
        </w:sectPr>
      </w:pPr>
    </w:p>
    <w:p>
      <w:pPr>
        <w:spacing w:line="240" w:lineRule="auto" w:before="11"/>
        <w:rPr>
          <w:rFonts w:ascii="宋体" w:hAnsi="宋体" w:cs="宋体" w:eastAsia="宋体" w:hint="default"/>
          <w:sz w:val="29"/>
          <w:szCs w:val="29"/>
        </w:rPr>
      </w:pPr>
    </w:p>
    <w:p>
      <w:pPr>
        <w:spacing w:before="36"/>
        <w:ind w:left="138" w:right="204" w:firstLine="0"/>
        <w:jc w:val="left"/>
        <w:rPr>
          <w:rFonts w:ascii="宋体" w:hAnsi="宋体" w:cs="宋体" w:eastAsia="宋体" w:hint="default"/>
          <w:sz w:val="21"/>
          <w:szCs w:val="21"/>
        </w:rPr>
      </w:pPr>
      <w:r>
        <w:rPr>
          <w:rFonts w:ascii="宋体" w:hAnsi="宋体" w:cs="宋体" w:eastAsia="宋体" w:hint="default"/>
          <w:b/>
          <w:bCs/>
          <w:sz w:val="21"/>
          <w:szCs w:val="21"/>
        </w:rPr>
        <w:t>一、董事会关于公司报告期内经营情况的讨论与分析（续）</w:t>
      </w:r>
      <w:r>
        <w:rPr>
          <w:rFonts w:ascii="宋体" w:hAnsi="宋体" w:cs="宋体" w:eastAsia="宋体" w:hint="default"/>
          <w:sz w:val="21"/>
          <w:szCs w:val="21"/>
        </w:rPr>
      </w:r>
    </w:p>
    <w:p>
      <w:pPr>
        <w:spacing w:line="570" w:lineRule="atLeast" w:before="109"/>
        <w:ind w:left="565" w:right="204" w:hanging="428"/>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四</w:t>
      </w:r>
      <w:r>
        <w:rPr>
          <w:rFonts w:ascii="Arial" w:hAnsi="Arial" w:cs="Arial" w:eastAsia="Arial" w:hint="default"/>
          <w:b/>
          <w:bCs/>
          <w:sz w:val="21"/>
          <w:szCs w:val="21"/>
        </w:rPr>
        <w:t>)</w:t>
      </w:r>
      <w:r>
        <w:rPr>
          <w:rFonts w:ascii="Arial" w:hAnsi="Arial" w:cs="Arial" w:eastAsia="Arial" w:hint="default"/>
          <w:b/>
          <w:bCs/>
          <w:spacing w:val="15"/>
          <w:sz w:val="21"/>
          <w:szCs w:val="21"/>
        </w:rPr>
        <w:t> </w:t>
      </w:r>
      <w:r>
        <w:rPr>
          <w:rFonts w:ascii="宋体" w:hAnsi="宋体" w:cs="宋体" w:eastAsia="宋体" w:hint="default"/>
          <w:b/>
          <w:bCs/>
          <w:sz w:val="21"/>
          <w:szCs w:val="21"/>
        </w:rPr>
        <w:t>核心竞争力分析</w:t>
      </w:r>
      <w:r>
        <w:rPr>
          <w:rFonts w:ascii="宋体" w:hAnsi="宋体" w:cs="宋体" w:eastAsia="宋体" w:hint="default"/>
          <w:b/>
          <w:bCs/>
          <w:spacing w:val="-102"/>
          <w:sz w:val="21"/>
          <w:szCs w:val="21"/>
        </w:rPr>
        <w:t> </w:t>
      </w:r>
      <w:r>
        <w:rPr>
          <w:rFonts w:ascii="宋体" w:hAnsi="宋体" w:cs="宋体" w:eastAsia="宋体" w:hint="default"/>
          <w:sz w:val="21"/>
          <w:szCs w:val="21"/>
        </w:rPr>
        <w:t>公司拥有一个综合网络系统，对移动及固网业务的综合运营提供支持。</w:t>
      </w:r>
      <w:r>
        <w:rPr>
          <w:rFonts w:ascii="Arial" w:hAnsi="Arial" w:cs="Arial" w:eastAsia="Arial" w:hint="default"/>
          <w:sz w:val="21"/>
          <w:szCs w:val="21"/>
        </w:rPr>
        <w:t>GSM</w:t>
      </w:r>
      <w:r>
        <w:rPr>
          <w:rFonts w:ascii="Arial" w:hAnsi="Arial" w:cs="Arial" w:eastAsia="Arial" w:hint="default"/>
          <w:spacing w:val="43"/>
          <w:sz w:val="21"/>
          <w:szCs w:val="21"/>
        </w:rPr>
        <w:t> </w:t>
      </w:r>
      <w:r>
        <w:rPr>
          <w:rFonts w:ascii="宋体" w:hAnsi="宋体" w:cs="宋体" w:eastAsia="宋体" w:hint="default"/>
          <w:sz w:val="21"/>
          <w:szCs w:val="21"/>
        </w:rPr>
        <w:t>网络使用</w:t>
      </w:r>
    </w:p>
    <w:p>
      <w:pPr>
        <w:spacing w:line="264" w:lineRule="exact" w:before="0"/>
        <w:ind w:left="565" w:right="100" w:firstLine="0"/>
        <w:jc w:val="left"/>
        <w:rPr>
          <w:rFonts w:ascii="宋体" w:hAnsi="宋体" w:cs="宋体" w:eastAsia="宋体" w:hint="default"/>
          <w:sz w:val="21"/>
          <w:szCs w:val="21"/>
        </w:rPr>
      </w:pPr>
      <w:r>
        <w:rPr>
          <w:rFonts w:ascii="Arial" w:hAnsi="Arial" w:cs="Arial" w:eastAsia="Arial" w:hint="default"/>
          <w:sz w:val="21"/>
          <w:szCs w:val="21"/>
        </w:rPr>
        <w:t>900MHz </w:t>
      </w:r>
      <w:r>
        <w:rPr>
          <w:rFonts w:ascii="宋体" w:hAnsi="宋体" w:cs="宋体" w:eastAsia="宋体" w:hint="default"/>
          <w:sz w:val="21"/>
          <w:szCs w:val="21"/>
        </w:rPr>
        <w:t>频段的 </w:t>
      </w:r>
      <w:r>
        <w:rPr>
          <w:rFonts w:ascii="Arial" w:hAnsi="Arial" w:cs="Arial" w:eastAsia="Arial" w:hint="default"/>
          <w:sz w:val="21"/>
          <w:szCs w:val="21"/>
        </w:rPr>
        <w:t>2x6MHz  </w:t>
      </w:r>
      <w:r>
        <w:rPr>
          <w:rFonts w:ascii="宋体" w:hAnsi="宋体" w:cs="宋体" w:eastAsia="宋体" w:hint="default"/>
          <w:sz w:val="21"/>
          <w:szCs w:val="21"/>
        </w:rPr>
        <w:t>频谱以及 </w:t>
      </w:r>
      <w:r>
        <w:rPr>
          <w:rFonts w:ascii="Arial" w:hAnsi="Arial" w:cs="Arial" w:eastAsia="Arial" w:hint="default"/>
          <w:sz w:val="21"/>
          <w:szCs w:val="21"/>
        </w:rPr>
        <w:t>1800MHz </w:t>
      </w:r>
      <w:r>
        <w:rPr>
          <w:rFonts w:ascii="宋体" w:hAnsi="宋体" w:cs="宋体" w:eastAsia="宋体" w:hint="default"/>
          <w:sz w:val="21"/>
          <w:szCs w:val="21"/>
        </w:rPr>
        <w:t>频段的 </w:t>
      </w:r>
      <w:r>
        <w:rPr>
          <w:rFonts w:ascii="Arial" w:hAnsi="Arial" w:cs="Arial" w:eastAsia="Arial" w:hint="default"/>
          <w:sz w:val="21"/>
          <w:szCs w:val="21"/>
        </w:rPr>
        <w:t>2x20MHz </w:t>
      </w:r>
      <w:r>
        <w:rPr>
          <w:rFonts w:ascii="宋体" w:hAnsi="宋体" w:cs="宋体" w:eastAsia="宋体" w:hint="default"/>
          <w:spacing w:val="-8"/>
          <w:sz w:val="21"/>
          <w:szCs w:val="21"/>
        </w:rPr>
        <w:t>频谱；</w:t>
      </w:r>
      <w:r>
        <w:rPr>
          <w:rFonts w:ascii="Arial" w:hAnsi="Arial" w:cs="Arial" w:eastAsia="Arial" w:hint="default"/>
          <w:spacing w:val="-8"/>
          <w:sz w:val="21"/>
          <w:szCs w:val="21"/>
        </w:rPr>
        <w:t>WCDMA</w:t>
      </w:r>
      <w:r>
        <w:rPr>
          <w:rFonts w:ascii="Arial" w:hAnsi="Arial" w:cs="Arial" w:eastAsia="Arial" w:hint="default"/>
          <w:spacing w:val="11"/>
          <w:sz w:val="21"/>
          <w:szCs w:val="21"/>
        </w:rPr>
        <w:t> </w:t>
      </w:r>
      <w:r>
        <w:rPr>
          <w:rFonts w:ascii="宋体" w:hAnsi="宋体" w:cs="宋体" w:eastAsia="宋体" w:hint="default"/>
          <w:sz w:val="21"/>
          <w:szCs w:val="21"/>
        </w:rPr>
        <w:t>网络使用</w:t>
      </w:r>
    </w:p>
    <w:p>
      <w:pPr>
        <w:spacing w:line="272" w:lineRule="exact" w:before="0"/>
        <w:ind w:left="565" w:right="204" w:firstLine="0"/>
        <w:jc w:val="left"/>
        <w:rPr>
          <w:rFonts w:ascii="宋体" w:hAnsi="宋体" w:cs="宋体" w:eastAsia="宋体" w:hint="default"/>
          <w:sz w:val="21"/>
          <w:szCs w:val="21"/>
        </w:rPr>
      </w:pPr>
      <w:r>
        <w:rPr>
          <w:rFonts w:ascii="Arial" w:hAnsi="Arial" w:cs="Arial" w:eastAsia="Arial" w:hint="default"/>
          <w:sz w:val="21"/>
          <w:szCs w:val="21"/>
        </w:rPr>
        <w:t>2100MHz</w:t>
      </w:r>
      <w:r>
        <w:rPr>
          <w:rFonts w:ascii="Arial" w:hAnsi="Arial" w:cs="Arial" w:eastAsia="Arial" w:hint="default"/>
          <w:spacing w:val="-6"/>
          <w:sz w:val="21"/>
          <w:szCs w:val="21"/>
        </w:rPr>
        <w:t> </w:t>
      </w:r>
      <w:r>
        <w:rPr>
          <w:rFonts w:ascii="宋体" w:hAnsi="宋体" w:cs="宋体" w:eastAsia="宋体" w:hint="default"/>
          <w:sz w:val="21"/>
          <w:szCs w:val="21"/>
        </w:rPr>
        <w:t>频段的</w:t>
      </w:r>
      <w:r>
        <w:rPr>
          <w:rFonts w:ascii="宋体" w:hAnsi="宋体" w:cs="宋体" w:eastAsia="宋体" w:hint="default"/>
          <w:spacing w:val="-53"/>
          <w:sz w:val="21"/>
          <w:szCs w:val="21"/>
        </w:rPr>
        <w:t> </w:t>
      </w:r>
      <w:r>
        <w:rPr>
          <w:rFonts w:ascii="Arial" w:hAnsi="Arial" w:cs="Arial" w:eastAsia="Arial" w:hint="default"/>
          <w:sz w:val="21"/>
          <w:szCs w:val="21"/>
        </w:rPr>
        <w:t>2x15MHz</w:t>
      </w:r>
      <w:r>
        <w:rPr>
          <w:rFonts w:ascii="Arial" w:hAnsi="Arial" w:cs="Arial" w:eastAsia="Arial" w:hint="default"/>
          <w:spacing w:val="-7"/>
          <w:sz w:val="21"/>
          <w:szCs w:val="21"/>
        </w:rPr>
        <w:t> </w:t>
      </w:r>
      <w:r>
        <w:rPr>
          <w:rFonts w:ascii="宋体" w:hAnsi="宋体" w:cs="宋体" w:eastAsia="宋体" w:hint="default"/>
          <w:spacing w:val="-3"/>
          <w:sz w:val="21"/>
          <w:szCs w:val="21"/>
        </w:rPr>
        <w:t>频谱；</w:t>
      </w:r>
      <w:r>
        <w:rPr>
          <w:rFonts w:ascii="Arial" w:hAnsi="Arial" w:cs="Arial" w:eastAsia="Arial" w:hint="default"/>
          <w:spacing w:val="-3"/>
          <w:sz w:val="21"/>
          <w:szCs w:val="21"/>
        </w:rPr>
        <w:t>TD-LTE</w:t>
      </w:r>
      <w:r>
        <w:rPr>
          <w:rFonts w:ascii="Arial" w:hAnsi="Arial" w:cs="Arial" w:eastAsia="Arial" w:hint="default"/>
          <w:spacing w:val="-6"/>
          <w:sz w:val="21"/>
          <w:szCs w:val="21"/>
        </w:rPr>
        <w:t> </w:t>
      </w:r>
      <w:r>
        <w:rPr>
          <w:rFonts w:ascii="宋体" w:hAnsi="宋体" w:cs="宋体" w:eastAsia="宋体" w:hint="default"/>
          <w:sz w:val="21"/>
          <w:szCs w:val="21"/>
        </w:rPr>
        <w:t>网络使用</w:t>
      </w:r>
      <w:r>
        <w:rPr>
          <w:rFonts w:ascii="宋体" w:hAnsi="宋体" w:cs="宋体" w:eastAsia="宋体" w:hint="default"/>
          <w:spacing w:val="-53"/>
          <w:sz w:val="21"/>
          <w:szCs w:val="21"/>
        </w:rPr>
        <w:t> </w:t>
      </w:r>
      <w:r>
        <w:rPr>
          <w:rFonts w:ascii="Arial" w:hAnsi="Arial" w:cs="Arial" w:eastAsia="Arial" w:hint="default"/>
          <w:sz w:val="21"/>
          <w:szCs w:val="21"/>
        </w:rPr>
        <w:t>2300MHz</w:t>
      </w:r>
      <w:r>
        <w:rPr>
          <w:rFonts w:ascii="Arial" w:hAnsi="Arial" w:cs="Arial" w:eastAsia="Arial" w:hint="default"/>
          <w:spacing w:val="-5"/>
          <w:sz w:val="21"/>
          <w:szCs w:val="21"/>
        </w:rPr>
        <w:t> </w:t>
      </w:r>
      <w:r>
        <w:rPr>
          <w:rFonts w:ascii="宋体" w:hAnsi="宋体" w:cs="宋体" w:eastAsia="宋体" w:hint="default"/>
          <w:sz w:val="21"/>
          <w:szCs w:val="21"/>
        </w:rPr>
        <w:t>频段的</w:t>
      </w:r>
      <w:r>
        <w:rPr>
          <w:rFonts w:ascii="宋体" w:hAnsi="宋体" w:cs="宋体" w:eastAsia="宋体" w:hint="default"/>
          <w:spacing w:val="-53"/>
          <w:sz w:val="21"/>
          <w:szCs w:val="21"/>
        </w:rPr>
        <w:t> </w:t>
      </w:r>
      <w:r>
        <w:rPr>
          <w:rFonts w:ascii="Arial" w:hAnsi="Arial" w:cs="Arial" w:eastAsia="Arial" w:hint="default"/>
          <w:sz w:val="21"/>
          <w:szCs w:val="21"/>
        </w:rPr>
        <w:t>20MHz</w:t>
      </w:r>
      <w:r>
        <w:rPr>
          <w:rFonts w:ascii="Arial" w:hAnsi="Arial" w:cs="Arial" w:eastAsia="Arial" w:hint="default"/>
          <w:spacing w:val="-6"/>
          <w:sz w:val="21"/>
          <w:szCs w:val="21"/>
        </w:rPr>
        <w:t> </w:t>
      </w:r>
      <w:r>
        <w:rPr>
          <w:rFonts w:ascii="宋体" w:hAnsi="宋体" w:cs="宋体" w:eastAsia="宋体" w:hint="default"/>
          <w:sz w:val="21"/>
          <w:szCs w:val="21"/>
        </w:rPr>
        <w:t>频谱和</w:t>
      </w:r>
    </w:p>
    <w:p>
      <w:pPr>
        <w:spacing w:line="282" w:lineRule="exact" w:before="0"/>
        <w:ind w:left="565" w:right="204" w:firstLine="0"/>
        <w:jc w:val="left"/>
        <w:rPr>
          <w:rFonts w:ascii="宋体" w:hAnsi="宋体" w:cs="宋体" w:eastAsia="宋体" w:hint="default"/>
          <w:sz w:val="21"/>
          <w:szCs w:val="21"/>
        </w:rPr>
      </w:pPr>
      <w:r>
        <w:rPr>
          <w:rFonts w:ascii="Arial" w:hAnsi="Arial" w:cs="Arial" w:eastAsia="Arial" w:hint="default"/>
          <w:sz w:val="21"/>
          <w:szCs w:val="21"/>
        </w:rPr>
        <w:t>2600MHz</w:t>
      </w:r>
      <w:r>
        <w:rPr>
          <w:rFonts w:ascii="Arial" w:hAnsi="Arial" w:cs="Arial" w:eastAsia="Arial" w:hint="default"/>
          <w:spacing w:val="-6"/>
          <w:sz w:val="21"/>
          <w:szCs w:val="21"/>
        </w:rPr>
        <w:t> </w:t>
      </w:r>
      <w:r>
        <w:rPr>
          <w:rFonts w:ascii="宋体" w:hAnsi="宋体" w:cs="宋体" w:eastAsia="宋体" w:hint="default"/>
          <w:sz w:val="21"/>
          <w:szCs w:val="21"/>
        </w:rPr>
        <w:t>频段的</w:t>
      </w:r>
      <w:r>
        <w:rPr>
          <w:rFonts w:ascii="宋体" w:hAnsi="宋体" w:cs="宋体" w:eastAsia="宋体" w:hint="default"/>
          <w:spacing w:val="-54"/>
          <w:sz w:val="21"/>
          <w:szCs w:val="21"/>
        </w:rPr>
        <w:t> </w:t>
      </w:r>
      <w:r>
        <w:rPr>
          <w:rFonts w:ascii="Arial" w:hAnsi="Arial" w:cs="Arial" w:eastAsia="Arial" w:hint="default"/>
          <w:sz w:val="21"/>
          <w:szCs w:val="21"/>
        </w:rPr>
        <w:t>20MHz</w:t>
      </w:r>
      <w:r>
        <w:rPr>
          <w:rFonts w:ascii="Arial" w:hAnsi="Arial" w:cs="Arial" w:eastAsia="Arial" w:hint="default"/>
          <w:spacing w:val="-6"/>
          <w:sz w:val="21"/>
          <w:szCs w:val="21"/>
        </w:rPr>
        <w:t> </w:t>
      </w:r>
      <w:r>
        <w:rPr>
          <w:rFonts w:ascii="宋体" w:hAnsi="宋体" w:cs="宋体" w:eastAsia="宋体" w:hint="default"/>
          <w:sz w:val="21"/>
          <w:szCs w:val="21"/>
        </w:rPr>
        <w:t>频谱。</w:t>
      </w:r>
    </w:p>
    <w:p>
      <w:pPr>
        <w:spacing w:line="240" w:lineRule="auto" w:before="1"/>
        <w:rPr>
          <w:rFonts w:ascii="宋体" w:hAnsi="宋体" w:cs="宋体" w:eastAsia="宋体" w:hint="default"/>
          <w:sz w:val="17"/>
          <w:szCs w:val="17"/>
        </w:rPr>
      </w:pPr>
    </w:p>
    <w:p>
      <w:pPr>
        <w:spacing w:line="280" w:lineRule="exact" w:before="0"/>
        <w:ind w:left="565" w:right="204" w:firstLine="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9"/>
          <w:sz w:val="21"/>
          <w:szCs w:val="21"/>
        </w:rPr>
        <w:t> </w:t>
      </w:r>
      <w:r>
        <w:rPr>
          <w:rFonts w:ascii="宋体" w:hAnsi="宋体" w:cs="宋体" w:eastAsia="宋体" w:hint="default"/>
          <w:sz w:val="21"/>
          <w:szCs w:val="21"/>
        </w:rPr>
        <w:t>年，公司积极打造面向未来的高速宽带网络，网络能力显著提升。截至</w:t>
      </w:r>
      <w:r>
        <w:rPr>
          <w:rFonts w:ascii="宋体" w:hAnsi="宋体" w:cs="宋体" w:eastAsia="宋体" w:hint="default"/>
          <w:spacing w:val="-56"/>
          <w:sz w:val="21"/>
          <w:szCs w:val="21"/>
        </w:rPr>
        <w:t> </w:t>
      </w:r>
      <w:r>
        <w:rPr>
          <w:rFonts w:ascii="Arial" w:hAnsi="Arial" w:cs="Arial" w:eastAsia="Arial" w:hint="default"/>
          <w:sz w:val="21"/>
          <w:szCs w:val="21"/>
        </w:rPr>
        <w:t>2014</w:t>
      </w:r>
      <w:r>
        <w:rPr>
          <w:rFonts w:ascii="Arial" w:hAnsi="Arial" w:cs="Arial" w:eastAsia="Arial" w:hint="default"/>
          <w:spacing w:val="-9"/>
          <w:sz w:val="21"/>
          <w:szCs w:val="21"/>
        </w:rPr>
        <w:t> </w:t>
      </w:r>
      <w:r>
        <w:rPr>
          <w:rFonts w:ascii="宋体" w:hAnsi="宋体" w:cs="宋体" w:eastAsia="宋体" w:hint="default"/>
          <w:sz w:val="21"/>
          <w:szCs w:val="21"/>
        </w:rPr>
        <w:t>年底，</w:t>
      </w:r>
    </w:p>
    <w:p>
      <w:pPr>
        <w:spacing w:line="272" w:lineRule="exact" w:before="0"/>
        <w:ind w:left="565" w:right="100" w:firstLine="0"/>
        <w:jc w:val="left"/>
        <w:rPr>
          <w:rFonts w:ascii="宋体" w:hAnsi="宋体" w:cs="宋体" w:eastAsia="宋体" w:hint="default"/>
          <w:sz w:val="21"/>
          <w:szCs w:val="21"/>
        </w:rPr>
      </w:pPr>
      <w:r>
        <w:rPr>
          <w:rFonts w:ascii="Arial" w:hAnsi="Arial" w:cs="Arial" w:eastAsia="Arial" w:hint="default"/>
          <w:sz w:val="21"/>
          <w:szCs w:val="21"/>
        </w:rPr>
        <w:t>3G </w:t>
      </w:r>
      <w:r>
        <w:rPr>
          <w:rFonts w:ascii="宋体" w:hAnsi="宋体" w:cs="宋体" w:eastAsia="宋体" w:hint="default"/>
          <w:spacing w:val="-3"/>
          <w:sz w:val="21"/>
          <w:szCs w:val="21"/>
        </w:rPr>
        <w:t>网络基本覆盖到全国乡镇及以上地区；</w:t>
      </w:r>
      <w:r>
        <w:rPr>
          <w:rFonts w:ascii="Arial" w:hAnsi="Arial" w:cs="Arial" w:eastAsia="Arial" w:hint="default"/>
          <w:spacing w:val="-3"/>
          <w:sz w:val="21"/>
          <w:szCs w:val="21"/>
        </w:rPr>
        <w:t>3G  </w:t>
      </w:r>
      <w:r>
        <w:rPr>
          <w:rFonts w:ascii="宋体" w:hAnsi="宋体" w:cs="宋体" w:eastAsia="宋体" w:hint="default"/>
          <w:sz w:val="21"/>
          <w:szCs w:val="21"/>
        </w:rPr>
        <w:t>基站全部升级到</w:t>
      </w:r>
      <w:r>
        <w:rPr>
          <w:rFonts w:ascii="宋体" w:hAnsi="宋体" w:cs="宋体" w:eastAsia="宋体" w:hint="default"/>
          <w:spacing w:val="-9"/>
          <w:sz w:val="21"/>
          <w:szCs w:val="21"/>
        </w:rPr>
        <w:t> </w:t>
      </w:r>
      <w:r>
        <w:rPr>
          <w:rFonts w:ascii="Arial" w:hAnsi="Arial" w:cs="Arial" w:eastAsia="Arial" w:hint="default"/>
          <w:spacing w:val="-4"/>
          <w:sz w:val="21"/>
          <w:szCs w:val="21"/>
        </w:rPr>
        <w:t>HSPA+</w:t>
      </w:r>
      <w:r>
        <w:rPr>
          <w:rFonts w:ascii="宋体" w:hAnsi="宋体" w:cs="宋体" w:eastAsia="宋体" w:hint="default"/>
          <w:spacing w:val="-4"/>
          <w:sz w:val="21"/>
          <w:szCs w:val="21"/>
        </w:rPr>
        <w:t>，下行峰值速率可达</w:t>
      </w:r>
    </w:p>
    <w:p>
      <w:pPr>
        <w:spacing w:line="232" w:lineRule="auto" w:before="0"/>
        <w:ind w:left="565" w:right="100" w:firstLine="0"/>
        <w:jc w:val="left"/>
        <w:rPr>
          <w:rFonts w:ascii="宋体" w:hAnsi="宋体" w:cs="宋体" w:eastAsia="宋体" w:hint="default"/>
          <w:sz w:val="21"/>
          <w:szCs w:val="21"/>
        </w:rPr>
      </w:pPr>
      <w:r>
        <w:rPr>
          <w:rFonts w:ascii="Arial" w:hAnsi="Arial" w:cs="Arial" w:eastAsia="Arial" w:hint="default"/>
          <w:spacing w:val="-6"/>
          <w:sz w:val="21"/>
          <w:szCs w:val="21"/>
        </w:rPr>
        <w:t>42Mbps</w:t>
      </w:r>
      <w:r>
        <w:rPr>
          <w:rFonts w:ascii="宋体" w:hAnsi="宋体" w:cs="宋体" w:eastAsia="宋体" w:hint="default"/>
          <w:spacing w:val="-6"/>
          <w:sz w:val="21"/>
          <w:szCs w:val="21"/>
        </w:rPr>
        <w:t>；在</w:t>
      </w:r>
      <w:r>
        <w:rPr>
          <w:rFonts w:ascii="宋体" w:hAnsi="宋体" w:cs="宋体" w:eastAsia="宋体" w:hint="default"/>
          <w:spacing w:val="-49"/>
          <w:sz w:val="21"/>
          <w:szCs w:val="21"/>
        </w:rPr>
        <w:t> </w:t>
      </w:r>
      <w:r>
        <w:rPr>
          <w:rFonts w:ascii="Arial" w:hAnsi="Arial" w:cs="Arial" w:eastAsia="Arial" w:hint="default"/>
          <w:sz w:val="21"/>
          <w:szCs w:val="21"/>
        </w:rPr>
        <w:t>295</w:t>
      </w:r>
      <w:r>
        <w:rPr>
          <w:rFonts w:ascii="Arial" w:hAnsi="Arial" w:cs="Arial" w:eastAsia="Arial" w:hint="default"/>
          <w:spacing w:val="-3"/>
          <w:sz w:val="21"/>
          <w:szCs w:val="21"/>
        </w:rPr>
        <w:t> </w:t>
      </w:r>
      <w:r>
        <w:rPr>
          <w:rFonts w:ascii="宋体" w:hAnsi="宋体" w:cs="宋体" w:eastAsia="宋体" w:hint="default"/>
          <w:sz w:val="21"/>
          <w:szCs w:val="21"/>
        </w:rPr>
        <w:t>个城市开通</w:t>
      </w:r>
      <w:r>
        <w:rPr>
          <w:rFonts w:ascii="宋体" w:hAnsi="宋体" w:cs="宋体" w:eastAsia="宋体" w:hint="default"/>
          <w:spacing w:val="-48"/>
          <w:sz w:val="21"/>
          <w:szCs w:val="21"/>
        </w:rPr>
        <w:t> </w:t>
      </w:r>
      <w:r>
        <w:rPr>
          <w:rFonts w:ascii="Arial" w:hAnsi="Arial" w:cs="Arial" w:eastAsia="Arial" w:hint="default"/>
          <w:sz w:val="21"/>
          <w:szCs w:val="21"/>
        </w:rPr>
        <w:t>4G</w:t>
      </w:r>
      <w:r>
        <w:rPr>
          <w:rFonts w:ascii="Arial" w:hAnsi="Arial" w:cs="Arial" w:eastAsia="Arial" w:hint="default"/>
          <w:spacing w:val="-5"/>
          <w:sz w:val="21"/>
          <w:szCs w:val="21"/>
        </w:rPr>
        <w:t> </w:t>
      </w:r>
      <w:r>
        <w:rPr>
          <w:rFonts w:ascii="宋体" w:hAnsi="宋体" w:cs="宋体" w:eastAsia="宋体" w:hint="default"/>
          <w:spacing w:val="-10"/>
          <w:sz w:val="21"/>
          <w:szCs w:val="21"/>
        </w:rPr>
        <w:t>网络，在</w:t>
      </w:r>
      <w:r>
        <w:rPr>
          <w:rFonts w:ascii="宋体" w:hAnsi="宋体" w:cs="宋体" w:eastAsia="宋体" w:hint="default"/>
          <w:spacing w:val="-50"/>
          <w:sz w:val="21"/>
          <w:szCs w:val="21"/>
        </w:rPr>
        <w:t> </w:t>
      </w:r>
      <w:r>
        <w:rPr>
          <w:rFonts w:ascii="Arial" w:hAnsi="Arial" w:cs="Arial" w:eastAsia="Arial" w:hint="default"/>
          <w:sz w:val="21"/>
          <w:szCs w:val="21"/>
        </w:rPr>
        <w:t>4G</w:t>
      </w:r>
      <w:r>
        <w:rPr>
          <w:rFonts w:ascii="Arial" w:hAnsi="Arial" w:cs="Arial" w:eastAsia="Arial" w:hint="default"/>
          <w:spacing w:val="-2"/>
          <w:sz w:val="21"/>
          <w:szCs w:val="21"/>
        </w:rPr>
        <w:t> </w:t>
      </w:r>
      <w:r>
        <w:rPr>
          <w:rFonts w:ascii="宋体" w:hAnsi="宋体" w:cs="宋体" w:eastAsia="宋体" w:hint="default"/>
          <w:spacing w:val="-4"/>
          <w:sz w:val="21"/>
          <w:szCs w:val="21"/>
        </w:rPr>
        <w:t>混合组网城市，网络峰值速率可达</w:t>
      </w:r>
      <w:r>
        <w:rPr>
          <w:rFonts w:ascii="宋体" w:hAnsi="宋体" w:cs="宋体" w:eastAsia="宋体" w:hint="default"/>
          <w:spacing w:val="-48"/>
          <w:sz w:val="21"/>
          <w:szCs w:val="21"/>
        </w:rPr>
        <w:t> </w:t>
      </w:r>
      <w:r>
        <w:rPr>
          <w:rFonts w:ascii="Arial" w:hAnsi="Arial" w:cs="Arial" w:eastAsia="Arial" w:hint="default"/>
          <w:sz w:val="21"/>
          <w:szCs w:val="21"/>
        </w:rPr>
        <w:t>150Mbps</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pacing w:val="-3"/>
          <w:sz w:val="21"/>
          <w:szCs w:val="21"/>
        </w:rPr>
        <w:t>继续保持网络速率领先优势。同时，公司以宽带中国战略的实施为契机，继续推进宽带光纤</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网建设，提升宽带网络竞争优势。</w:t>
      </w:r>
    </w:p>
    <w:p>
      <w:pPr>
        <w:spacing w:line="240" w:lineRule="auto" w:before="6"/>
        <w:rPr>
          <w:rFonts w:ascii="宋体" w:hAnsi="宋体" w:cs="宋体" w:eastAsia="宋体" w:hint="default"/>
          <w:sz w:val="20"/>
          <w:szCs w:val="20"/>
        </w:rPr>
      </w:pPr>
    </w:p>
    <w:p>
      <w:pPr>
        <w:spacing w:line="272" w:lineRule="exact" w:before="0"/>
        <w:ind w:left="565" w:right="204" w:firstLine="0"/>
        <w:jc w:val="left"/>
        <w:rPr>
          <w:rFonts w:ascii="宋体" w:hAnsi="宋体" w:cs="宋体" w:eastAsia="宋体" w:hint="default"/>
          <w:sz w:val="21"/>
          <w:szCs w:val="21"/>
        </w:rPr>
      </w:pPr>
      <w:r>
        <w:rPr>
          <w:rFonts w:ascii="宋体" w:hAnsi="宋体" w:cs="宋体" w:eastAsia="宋体" w:hint="default"/>
          <w:spacing w:val="-3"/>
          <w:sz w:val="21"/>
          <w:szCs w:val="21"/>
        </w:rPr>
        <w:t>公司完成了分组传送网络的规模建设，网络传输能力和业务承载能力显著增强，为数据业务</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的高速增长提供了保障。</w:t>
      </w:r>
    </w:p>
    <w:p>
      <w:pPr>
        <w:spacing w:line="240" w:lineRule="auto" w:before="7"/>
        <w:rPr>
          <w:rFonts w:ascii="宋体" w:hAnsi="宋体" w:cs="宋体" w:eastAsia="宋体" w:hint="default"/>
          <w:sz w:val="16"/>
          <w:szCs w:val="16"/>
        </w:rPr>
      </w:pPr>
    </w:p>
    <w:p>
      <w:pPr>
        <w:spacing w:before="0"/>
        <w:ind w:left="565" w:right="204" w:firstLine="0"/>
        <w:jc w:val="left"/>
        <w:rPr>
          <w:rFonts w:ascii="宋体" w:hAnsi="宋体" w:cs="宋体" w:eastAsia="宋体" w:hint="default"/>
          <w:sz w:val="21"/>
          <w:szCs w:val="21"/>
        </w:rPr>
      </w:pPr>
      <w:r>
        <w:rPr>
          <w:rFonts w:ascii="宋体" w:hAnsi="宋体" w:cs="宋体" w:eastAsia="宋体" w:hint="default"/>
          <w:sz w:val="21"/>
          <w:szCs w:val="21"/>
        </w:rPr>
        <w:t>公司分别于</w:t>
      </w:r>
      <w:r>
        <w:rPr>
          <w:rFonts w:ascii="宋体" w:hAnsi="宋体" w:cs="宋体" w:eastAsia="宋体" w:hint="default"/>
          <w:spacing w:val="-51"/>
          <w:sz w:val="21"/>
          <w:szCs w:val="21"/>
        </w:rPr>
        <w:t> </w:t>
      </w: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月和</w:t>
      </w:r>
      <w:r>
        <w:rPr>
          <w:rFonts w:ascii="宋体" w:hAnsi="宋体" w:cs="宋体" w:eastAsia="宋体" w:hint="default"/>
          <w:spacing w:val="-52"/>
          <w:sz w:val="21"/>
          <w:szCs w:val="21"/>
        </w:rPr>
        <w:t> </w:t>
      </w: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2</w:t>
      </w:r>
      <w:r>
        <w:rPr>
          <w:rFonts w:ascii="Arial" w:hAnsi="Arial" w:cs="Arial" w:eastAsia="Arial" w:hint="default"/>
          <w:spacing w:val="-7"/>
          <w:sz w:val="21"/>
          <w:szCs w:val="21"/>
        </w:rPr>
        <w:t> </w:t>
      </w:r>
      <w:r>
        <w:rPr>
          <w:rFonts w:ascii="宋体" w:hAnsi="宋体" w:cs="宋体" w:eastAsia="宋体" w:hint="default"/>
          <w:sz w:val="21"/>
          <w:szCs w:val="21"/>
        </w:rPr>
        <w:t>月获得</w:t>
      </w:r>
      <w:r>
        <w:rPr>
          <w:rFonts w:ascii="宋体" w:hAnsi="宋体" w:cs="宋体" w:eastAsia="宋体" w:hint="default"/>
          <w:spacing w:val="-52"/>
          <w:sz w:val="21"/>
          <w:szCs w:val="21"/>
        </w:rPr>
        <w:t> </w:t>
      </w:r>
      <w:r>
        <w:rPr>
          <w:rFonts w:ascii="Arial" w:hAnsi="Arial" w:cs="Arial" w:eastAsia="Arial" w:hint="default"/>
          <w:spacing w:val="-4"/>
          <w:sz w:val="21"/>
          <w:szCs w:val="21"/>
        </w:rPr>
        <w:t>TD-LTE</w:t>
      </w:r>
      <w:r>
        <w:rPr>
          <w:rFonts w:ascii="Arial" w:hAnsi="Arial" w:cs="Arial" w:eastAsia="Arial" w:hint="default"/>
          <w:spacing w:val="-6"/>
          <w:sz w:val="21"/>
          <w:szCs w:val="21"/>
        </w:rPr>
        <w:t> </w:t>
      </w:r>
      <w:r>
        <w:rPr>
          <w:rFonts w:ascii="宋体" w:hAnsi="宋体" w:cs="宋体" w:eastAsia="宋体" w:hint="default"/>
          <w:sz w:val="21"/>
          <w:szCs w:val="21"/>
        </w:rPr>
        <w:t>经营许可和</w:t>
      </w:r>
      <w:r>
        <w:rPr>
          <w:rFonts w:ascii="宋体" w:hAnsi="宋体" w:cs="宋体" w:eastAsia="宋体" w:hint="default"/>
          <w:spacing w:val="-54"/>
          <w:sz w:val="21"/>
          <w:szCs w:val="21"/>
        </w:rPr>
        <w:t> </w:t>
      </w:r>
      <w:r>
        <w:rPr>
          <w:rFonts w:ascii="Arial" w:hAnsi="Arial" w:cs="Arial" w:eastAsia="Arial" w:hint="default"/>
          <w:spacing w:val="-6"/>
          <w:sz w:val="21"/>
          <w:szCs w:val="21"/>
        </w:rPr>
        <w:t>LTE</w:t>
      </w:r>
      <w:r>
        <w:rPr>
          <w:rFonts w:ascii="Arial" w:hAnsi="Arial" w:cs="Arial" w:eastAsia="Arial" w:hint="default"/>
          <w:sz w:val="21"/>
          <w:szCs w:val="21"/>
        </w:rPr>
        <w:t> FDD</w:t>
      </w:r>
      <w:r>
        <w:rPr>
          <w:rFonts w:ascii="Arial" w:hAnsi="Arial" w:cs="Arial" w:eastAsia="Arial" w:hint="default"/>
          <w:spacing w:val="-6"/>
          <w:sz w:val="21"/>
          <w:szCs w:val="21"/>
        </w:rPr>
        <w:t> </w:t>
      </w:r>
      <w:r>
        <w:rPr>
          <w:rFonts w:ascii="宋体" w:hAnsi="宋体" w:cs="宋体" w:eastAsia="宋体" w:hint="default"/>
          <w:sz w:val="21"/>
          <w:szCs w:val="21"/>
        </w:rPr>
        <w:t>经营许可。</w:t>
      </w:r>
    </w:p>
    <w:p>
      <w:pPr>
        <w:spacing w:line="240" w:lineRule="auto" w:before="4"/>
        <w:rPr>
          <w:rFonts w:ascii="宋体" w:hAnsi="宋体" w:cs="宋体" w:eastAsia="宋体" w:hint="default"/>
          <w:sz w:val="17"/>
          <w:szCs w:val="17"/>
        </w:rPr>
      </w:pPr>
    </w:p>
    <w:p>
      <w:pPr>
        <w:spacing w:line="237" w:lineRule="auto" w:before="0"/>
        <w:ind w:left="565" w:right="208" w:firstLine="0"/>
        <w:jc w:val="both"/>
        <w:rPr>
          <w:rFonts w:ascii="宋体" w:hAnsi="宋体" w:cs="宋体" w:eastAsia="宋体" w:hint="default"/>
          <w:sz w:val="21"/>
          <w:szCs w:val="21"/>
        </w:rPr>
      </w:pPr>
      <w:r>
        <w:rPr>
          <w:rFonts w:ascii="宋体" w:hAnsi="宋体" w:cs="宋体" w:eastAsia="宋体" w:hint="default"/>
          <w:spacing w:val="-3"/>
          <w:sz w:val="21"/>
          <w:szCs w:val="21"/>
        </w:rPr>
        <w:t>中国联通坚持抢抓机遇，加快规模效益发展，坚持在发展中调整结构，加快创新转型和塑造</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3"/>
          <w:sz w:val="21"/>
          <w:szCs w:val="21"/>
        </w:rPr>
        <w:t>差异化竞争优势，坚持改革创新，加快推动重点领域的改革突破，核心竞争力得到增强，面</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向未来持续发展的基础越来越牢固。</w:t>
      </w:r>
    </w:p>
    <w:p>
      <w:pPr>
        <w:spacing w:line="240" w:lineRule="auto" w:before="4"/>
        <w:rPr>
          <w:rFonts w:ascii="宋体" w:hAnsi="宋体" w:cs="宋体" w:eastAsia="宋体" w:hint="default"/>
          <w:sz w:val="18"/>
          <w:szCs w:val="18"/>
        </w:rPr>
      </w:pPr>
    </w:p>
    <w:p>
      <w:pPr>
        <w:spacing w:before="0"/>
        <w:ind w:left="565" w:right="204" w:firstLine="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pacing w:val="-20"/>
          <w:sz w:val="21"/>
          <w:szCs w:val="21"/>
        </w:rPr>
        <w:t> </w:t>
      </w:r>
      <w:r>
        <w:rPr>
          <w:rFonts w:ascii="宋体" w:hAnsi="宋体" w:cs="宋体" w:eastAsia="宋体" w:hint="default"/>
          <w:sz w:val="21"/>
          <w:szCs w:val="21"/>
        </w:rPr>
        <w:t>业务结构加速调整，抗风险和可持续发展能力进一步增强。</w:t>
      </w:r>
    </w:p>
    <w:p>
      <w:pPr>
        <w:spacing w:line="240" w:lineRule="auto" w:before="1"/>
        <w:rPr>
          <w:rFonts w:ascii="宋体" w:hAnsi="宋体" w:cs="宋体" w:eastAsia="宋体" w:hint="default"/>
          <w:sz w:val="18"/>
          <w:szCs w:val="18"/>
        </w:rPr>
      </w:pPr>
    </w:p>
    <w:p>
      <w:pPr>
        <w:spacing w:line="228" w:lineRule="auto" w:before="0"/>
        <w:ind w:left="990" w:right="207" w:firstLine="0"/>
        <w:jc w:val="both"/>
        <w:rPr>
          <w:rFonts w:ascii="宋体" w:hAnsi="宋体" w:cs="宋体" w:eastAsia="宋体" w:hint="default"/>
          <w:sz w:val="21"/>
          <w:szCs w:val="21"/>
        </w:rPr>
      </w:pPr>
      <w:r>
        <w:rPr>
          <w:rFonts w:ascii="Arial" w:hAnsi="Arial" w:cs="Arial" w:eastAsia="Arial" w:hint="default"/>
          <w:sz w:val="21"/>
          <w:szCs w:val="21"/>
        </w:rPr>
        <w:t>4G</w:t>
      </w:r>
      <w:r>
        <w:rPr>
          <w:rFonts w:ascii="Arial" w:hAnsi="Arial" w:cs="Arial" w:eastAsia="Arial" w:hint="default"/>
          <w:spacing w:val="-9"/>
          <w:sz w:val="21"/>
          <w:szCs w:val="21"/>
        </w:rPr>
        <w:t> </w:t>
      </w:r>
      <w:r>
        <w:rPr>
          <w:rFonts w:ascii="宋体" w:hAnsi="宋体" w:cs="宋体" w:eastAsia="宋体" w:hint="default"/>
          <w:sz w:val="21"/>
          <w:szCs w:val="21"/>
        </w:rPr>
        <w:t>在</w:t>
      </w:r>
      <w:r>
        <w:rPr>
          <w:rFonts w:ascii="宋体" w:hAnsi="宋体" w:cs="宋体" w:eastAsia="宋体" w:hint="default"/>
          <w:spacing w:val="-55"/>
          <w:sz w:val="21"/>
          <w:szCs w:val="21"/>
        </w:rPr>
        <w:t> </w:t>
      </w:r>
      <w:r>
        <w:rPr>
          <w:rFonts w:ascii="Arial" w:hAnsi="Arial" w:cs="Arial" w:eastAsia="Arial" w:hint="default"/>
          <w:sz w:val="21"/>
          <w:szCs w:val="21"/>
        </w:rPr>
        <w:t>2014</w:t>
      </w:r>
      <w:r>
        <w:rPr>
          <w:rFonts w:ascii="Arial" w:hAnsi="Arial" w:cs="Arial" w:eastAsia="Arial" w:hint="default"/>
          <w:spacing w:val="-9"/>
          <w:sz w:val="21"/>
          <w:szCs w:val="21"/>
        </w:rPr>
        <w:t> </w:t>
      </w:r>
      <w:r>
        <w:rPr>
          <w:rFonts w:ascii="宋体" w:hAnsi="宋体" w:cs="宋体" w:eastAsia="宋体" w:hint="default"/>
          <w:sz w:val="21"/>
          <w:szCs w:val="21"/>
        </w:rPr>
        <w:t>年实现良好起步，移动宽带用户数达到</w:t>
      </w:r>
      <w:r>
        <w:rPr>
          <w:rFonts w:ascii="宋体" w:hAnsi="宋体" w:cs="宋体" w:eastAsia="宋体" w:hint="default"/>
          <w:spacing w:val="-57"/>
          <w:sz w:val="21"/>
          <w:szCs w:val="21"/>
        </w:rPr>
        <w:t> </w:t>
      </w:r>
      <w:r>
        <w:rPr>
          <w:rFonts w:ascii="Arial" w:hAnsi="Arial" w:cs="Arial" w:eastAsia="Arial" w:hint="default"/>
          <w:sz w:val="21"/>
          <w:szCs w:val="21"/>
        </w:rPr>
        <w:t>1.49</w:t>
      </w:r>
      <w:r>
        <w:rPr>
          <w:rFonts w:ascii="Arial" w:hAnsi="Arial" w:cs="Arial" w:eastAsia="Arial" w:hint="default"/>
          <w:spacing w:val="-7"/>
          <w:sz w:val="21"/>
          <w:szCs w:val="21"/>
        </w:rPr>
        <w:t> </w:t>
      </w:r>
      <w:r>
        <w:rPr>
          <w:rFonts w:ascii="宋体" w:hAnsi="宋体" w:cs="宋体" w:eastAsia="宋体" w:hint="default"/>
          <w:sz w:val="21"/>
          <w:szCs w:val="21"/>
        </w:rPr>
        <w:t>亿户，在移动用户中的渗透率</w:t>
      </w:r>
      <w:r>
        <w:rPr>
          <w:rFonts w:ascii="宋体" w:hAnsi="宋体" w:cs="宋体" w:eastAsia="宋体" w:hint="default"/>
          <w:w w:val="100"/>
          <w:sz w:val="21"/>
          <w:szCs w:val="21"/>
        </w:rPr>
        <w:t> </w:t>
      </w:r>
      <w:r>
        <w:rPr>
          <w:rFonts w:ascii="宋体" w:hAnsi="宋体" w:cs="宋体" w:eastAsia="宋体" w:hint="default"/>
          <w:sz w:val="21"/>
          <w:szCs w:val="21"/>
        </w:rPr>
        <w:t>达到</w:t>
      </w:r>
      <w:r>
        <w:rPr>
          <w:rFonts w:ascii="宋体" w:hAnsi="宋体" w:cs="宋体" w:eastAsia="宋体" w:hint="default"/>
          <w:spacing w:val="-37"/>
          <w:sz w:val="21"/>
          <w:szCs w:val="21"/>
        </w:rPr>
        <w:t> </w:t>
      </w:r>
      <w:r>
        <w:rPr>
          <w:rFonts w:ascii="Arial" w:hAnsi="Arial" w:cs="Arial" w:eastAsia="Arial" w:hint="default"/>
          <w:spacing w:val="-3"/>
          <w:sz w:val="21"/>
          <w:szCs w:val="21"/>
        </w:rPr>
        <w:t>50%</w:t>
      </w:r>
      <w:r>
        <w:rPr>
          <w:rFonts w:ascii="宋体" w:hAnsi="宋体" w:cs="宋体" w:eastAsia="宋体" w:hint="default"/>
          <w:spacing w:val="-3"/>
          <w:sz w:val="21"/>
          <w:szCs w:val="21"/>
        </w:rPr>
        <w:t>。持续推进宽带提速，开展固网专业体系化经营，</w:t>
      </w:r>
      <w:r>
        <w:rPr>
          <w:rFonts w:ascii="Arial" w:hAnsi="Arial" w:cs="Arial" w:eastAsia="Arial" w:hint="default"/>
          <w:spacing w:val="-3"/>
          <w:sz w:val="21"/>
          <w:szCs w:val="21"/>
        </w:rPr>
        <w:t>8M</w:t>
      </w:r>
      <w:r>
        <w:rPr>
          <w:rFonts w:ascii="Arial" w:hAnsi="Arial" w:cs="Arial" w:eastAsia="Arial" w:hint="default"/>
          <w:spacing w:val="9"/>
          <w:sz w:val="21"/>
          <w:szCs w:val="21"/>
        </w:rPr>
        <w:t> </w:t>
      </w:r>
      <w:r>
        <w:rPr>
          <w:rFonts w:ascii="宋体" w:hAnsi="宋体" w:cs="宋体" w:eastAsia="宋体" w:hint="default"/>
          <w:sz w:val="21"/>
          <w:szCs w:val="21"/>
        </w:rPr>
        <w:t>以上宽带用户占比超过</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Arial" w:hAnsi="Arial" w:cs="Arial" w:eastAsia="Arial" w:hint="default"/>
          <w:spacing w:val="-3"/>
          <w:sz w:val="21"/>
          <w:szCs w:val="21"/>
        </w:rPr>
        <w:t>30%</w:t>
      </w:r>
      <w:r>
        <w:rPr>
          <w:rFonts w:ascii="宋体" w:hAnsi="宋体" w:cs="宋体" w:eastAsia="宋体" w:hint="default"/>
          <w:spacing w:val="-3"/>
          <w:sz w:val="21"/>
          <w:szCs w:val="21"/>
        </w:rPr>
        <w:t>。流量成为用户主要消费内容和收入增长最重要的驱动力，以应用和服务为主要牵</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4"/>
          <w:sz w:val="21"/>
          <w:szCs w:val="21"/>
        </w:rPr>
        <w:t>引的客户获取效果正在显现。随着大数据、智能化、云计算、物联网迅猛发展，信息产</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业想象空间巨大，将成为未来发展的一片新蓝海。</w:t>
      </w:r>
    </w:p>
    <w:p>
      <w:pPr>
        <w:spacing w:line="240" w:lineRule="auto" w:before="5"/>
        <w:rPr>
          <w:rFonts w:ascii="宋体" w:hAnsi="宋体" w:cs="宋体" w:eastAsia="宋体" w:hint="default"/>
          <w:sz w:val="18"/>
          <w:szCs w:val="18"/>
        </w:rPr>
      </w:pPr>
    </w:p>
    <w:p>
      <w:pPr>
        <w:spacing w:before="0"/>
        <w:ind w:left="565" w:right="204" w:firstLine="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pacing w:val="-21"/>
          <w:sz w:val="21"/>
          <w:szCs w:val="21"/>
        </w:rPr>
        <w:t> </w:t>
      </w:r>
      <w:r>
        <w:rPr>
          <w:rFonts w:ascii="宋体" w:hAnsi="宋体" w:cs="宋体" w:eastAsia="宋体" w:hint="default"/>
          <w:sz w:val="21"/>
          <w:szCs w:val="21"/>
        </w:rPr>
        <w:t>经营发展模式切实转变，差异化经营优势进一步巩固。</w:t>
      </w:r>
    </w:p>
    <w:p>
      <w:pPr>
        <w:spacing w:line="240" w:lineRule="auto" w:before="4"/>
        <w:rPr>
          <w:rFonts w:ascii="宋体" w:hAnsi="宋体" w:cs="宋体" w:eastAsia="宋体" w:hint="default"/>
          <w:sz w:val="17"/>
          <w:szCs w:val="17"/>
        </w:rPr>
      </w:pPr>
    </w:p>
    <w:p>
      <w:pPr>
        <w:spacing w:line="237" w:lineRule="auto" w:before="0"/>
        <w:ind w:left="990" w:right="204" w:firstLine="0"/>
        <w:jc w:val="left"/>
        <w:rPr>
          <w:rFonts w:ascii="宋体" w:hAnsi="宋体" w:cs="宋体" w:eastAsia="宋体" w:hint="default"/>
          <w:sz w:val="21"/>
          <w:szCs w:val="21"/>
        </w:rPr>
      </w:pPr>
      <w:r>
        <w:rPr>
          <w:rFonts w:ascii="宋体" w:hAnsi="宋体" w:cs="宋体" w:eastAsia="宋体" w:hint="default"/>
          <w:spacing w:val="-3"/>
          <w:sz w:val="21"/>
          <w:szCs w:val="21"/>
        </w:rPr>
        <w:t>顺应“营改增”和销售费用压降的新要求，优化调整传统的运营模式，收入基础进一步</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夯实，成本管控持续加强，发展质量显著提升。建成支撑全国的垂直电商平台“沃易</w:t>
      </w:r>
      <w:r>
        <w:rPr>
          <w:rFonts w:ascii="宋体" w:hAnsi="宋体" w:cs="宋体" w:eastAsia="宋体" w:hint="default"/>
          <w:spacing w:val="-3"/>
          <w:w w:val="100"/>
          <w:sz w:val="21"/>
          <w:szCs w:val="21"/>
        </w:rPr>
        <w:t> </w:t>
      </w:r>
      <w:r>
        <w:rPr>
          <w:rFonts w:ascii="宋体" w:hAnsi="宋体" w:cs="宋体" w:eastAsia="宋体" w:hint="default"/>
          <w:spacing w:val="-4"/>
          <w:sz w:val="21"/>
          <w:szCs w:val="21"/>
        </w:rPr>
        <w:t>购”，为渠道合作伙伴提供终端、业务、金融等一揽子解决方案。建立线上线下一体化</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3"/>
          <w:sz w:val="21"/>
          <w:szCs w:val="21"/>
        </w:rPr>
        <w:t>运营体系，市场拓展能力、存量客户维系能力和基于大数据的精准营销服务能力明显增</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强。</w:t>
      </w:r>
    </w:p>
    <w:p>
      <w:pPr>
        <w:spacing w:line="240" w:lineRule="auto" w:before="4"/>
        <w:rPr>
          <w:rFonts w:ascii="宋体" w:hAnsi="宋体" w:cs="宋体" w:eastAsia="宋体" w:hint="default"/>
          <w:sz w:val="18"/>
          <w:szCs w:val="18"/>
        </w:rPr>
      </w:pPr>
    </w:p>
    <w:p>
      <w:pPr>
        <w:spacing w:before="0"/>
        <w:ind w:left="565" w:right="204" w:firstLine="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spacing w:val="-21"/>
          <w:sz w:val="21"/>
          <w:szCs w:val="21"/>
        </w:rPr>
        <w:t> </w:t>
      </w:r>
      <w:r>
        <w:rPr>
          <w:rFonts w:ascii="宋体" w:hAnsi="宋体" w:cs="宋体" w:eastAsia="宋体" w:hint="default"/>
          <w:sz w:val="21"/>
          <w:szCs w:val="21"/>
        </w:rPr>
        <w:t>精品网络加快建设，具备保障客户端到端体验的能力优势。</w:t>
      </w:r>
    </w:p>
    <w:p>
      <w:pPr>
        <w:spacing w:line="240" w:lineRule="auto" w:before="1"/>
        <w:rPr>
          <w:rFonts w:ascii="宋体" w:hAnsi="宋体" w:cs="宋体" w:eastAsia="宋体" w:hint="default"/>
          <w:sz w:val="18"/>
          <w:szCs w:val="18"/>
        </w:rPr>
      </w:pPr>
    </w:p>
    <w:p>
      <w:pPr>
        <w:spacing w:line="228" w:lineRule="auto" w:before="0"/>
        <w:ind w:left="990" w:right="208" w:firstLine="0"/>
        <w:jc w:val="both"/>
        <w:rPr>
          <w:rFonts w:ascii="宋体" w:hAnsi="宋体" w:cs="宋体" w:eastAsia="宋体" w:hint="default"/>
          <w:sz w:val="21"/>
          <w:szCs w:val="21"/>
        </w:rPr>
      </w:pPr>
      <w:r>
        <w:rPr>
          <w:rFonts w:ascii="宋体" w:hAnsi="宋体" w:cs="宋体" w:eastAsia="宋体" w:hint="default"/>
          <w:sz w:val="21"/>
          <w:szCs w:val="21"/>
        </w:rPr>
        <w:t>一方面，构建</w:t>
      </w:r>
      <w:r>
        <w:rPr>
          <w:rFonts w:ascii="宋体" w:hAnsi="宋体" w:cs="宋体" w:eastAsia="宋体" w:hint="default"/>
          <w:spacing w:val="-56"/>
          <w:sz w:val="21"/>
          <w:szCs w:val="21"/>
        </w:rPr>
        <w:t> </w:t>
      </w:r>
      <w:r>
        <w:rPr>
          <w:rFonts w:ascii="Arial" w:hAnsi="Arial" w:cs="Arial" w:eastAsia="Arial" w:hint="default"/>
          <w:spacing w:val="-4"/>
          <w:sz w:val="21"/>
          <w:szCs w:val="21"/>
        </w:rPr>
        <w:t>LTE+3G</w:t>
      </w:r>
      <w:r>
        <w:rPr>
          <w:rFonts w:ascii="Arial" w:hAnsi="Arial" w:cs="Arial" w:eastAsia="Arial" w:hint="default"/>
          <w:spacing w:val="-9"/>
          <w:sz w:val="21"/>
          <w:szCs w:val="21"/>
        </w:rPr>
        <w:t> </w:t>
      </w:r>
      <w:r>
        <w:rPr>
          <w:rFonts w:ascii="宋体" w:hAnsi="宋体" w:cs="宋体" w:eastAsia="宋体" w:hint="default"/>
          <w:sz w:val="21"/>
          <w:szCs w:val="21"/>
        </w:rPr>
        <w:t>协同领先的优势，</w:t>
      </w:r>
      <w:r>
        <w:rPr>
          <w:rFonts w:ascii="Arial" w:hAnsi="Arial" w:cs="Arial" w:eastAsia="Arial" w:hint="default"/>
          <w:sz w:val="21"/>
          <w:szCs w:val="21"/>
        </w:rPr>
        <w:t>3G</w:t>
      </w:r>
      <w:r>
        <w:rPr>
          <w:rFonts w:ascii="Arial" w:hAnsi="Arial" w:cs="Arial" w:eastAsia="Arial" w:hint="default"/>
          <w:spacing w:val="-12"/>
          <w:sz w:val="21"/>
          <w:szCs w:val="21"/>
        </w:rPr>
        <w:t> </w:t>
      </w:r>
      <w:r>
        <w:rPr>
          <w:rFonts w:ascii="宋体" w:hAnsi="宋体" w:cs="宋体" w:eastAsia="宋体" w:hint="default"/>
          <w:sz w:val="21"/>
          <w:szCs w:val="21"/>
        </w:rPr>
        <w:t>网络已形成用户口碑，正在着力建设峰值</w:t>
      </w:r>
      <w:r>
        <w:rPr>
          <w:rFonts w:ascii="宋体" w:hAnsi="宋体" w:cs="宋体" w:eastAsia="宋体" w:hint="default"/>
          <w:w w:val="100"/>
          <w:sz w:val="21"/>
          <w:szCs w:val="21"/>
        </w:rPr>
        <w:t> </w:t>
      </w:r>
      <w:r>
        <w:rPr>
          <w:rFonts w:ascii="宋体" w:hAnsi="宋体" w:cs="宋体" w:eastAsia="宋体" w:hint="default"/>
          <w:sz w:val="21"/>
          <w:szCs w:val="21"/>
        </w:rPr>
        <w:t>速率</w:t>
      </w:r>
      <w:r>
        <w:rPr>
          <w:rFonts w:ascii="宋体" w:hAnsi="宋体" w:cs="宋体" w:eastAsia="宋体" w:hint="default"/>
          <w:spacing w:val="-55"/>
          <w:sz w:val="21"/>
          <w:szCs w:val="21"/>
        </w:rPr>
        <w:t> </w:t>
      </w:r>
      <w:r>
        <w:rPr>
          <w:rFonts w:ascii="Arial" w:hAnsi="Arial" w:cs="Arial" w:eastAsia="Arial" w:hint="default"/>
          <w:sz w:val="21"/>
          <w:szCs w:val="21"/>
        </w:rPr>
        <w:t>100Mbps</w:t>
      </w:r>
      <w:r>
        <w:rPr>
          <w:rFonts w:ascii="Arial" w:hAnsi="Arial" w:cs="Arial" w:eastAsia="Arial" w:hint="default"/>
          <w:spacing w:val="-10"/>
          <w:sz w:val="21"/>
          <w:szCs w:val="21"/>
        </w:rPr>
        <w:t> </w:t>
      </w:r>
      <w:r>
        <w:rPr>
          <w:rFonts w:ascii="宋体" w:hAnsi="宋体" w:cs="宋体" w:eastAsia="宋体" w:hint="default"/>
          <w:sz w:val="21"/>
          <w:szCs w:val="21"/>
        </w:rPr>
        <w:t>和</w:t>
      </w:r>
      <w:r>
        <w:rPr>
          <w:rFonts w:ascii="宋体" w:hAnsi="宋体" w:cs="宋体" w:eastAsia="宋体" w:hint="default"/>
          <w:spacing w:val="-55"/>
          <w:sz w:val="21"/>
          <w:szCs w:val="21"/>
        </w:rPr>
        <w:t> </w:t>
      </w:r>
      <w:r>
        <w:rPr>
          <w:rFonts w:ascii="Arial" w:hAnsi="Arial" w:cs="Arial" w:eastAsia="Arial" w:hint="default"/>
          <w:sz w:val="21"/>
          <w:szCs w:val="21"/>
        </w:rPr>
        <w:t>150Mbps</w:t>
      </w:r>
      <w:r>
        <w:rPr>
          <w:rFonts w:ascii="Arial" w:hAnsi="Arial" w:cs="Arial" w:eastAsia="Arial" w:hint="default"/>
          <w:spacing w:val="-8"/>
          <w:sz w:val="21"/>
          <w:szCs w:val="21"/>
        </w:rPr>
        <w:t> </w:t>
      </w:r>
      <w:r>
        <w:rPr>
          <w:rFonts w:ascii="宋体" w:hAnsi="宋体" w:cs="宋体" w:eastAsia="宋体" w:hint="default"/>
          <w:sz w:val="21"/>
          <w:szCs w:val="21"/>
        </w:rPr>
        <w:t>的“双百兆”</w:t>
      </w:r>
      <w:r>
        <w:rPr>
          <w:rFonts w:ascii="Arial" w:hAnsi="Arial" w:cs="Arial" w:eastAsia="Arial" w:hint="default"/>
          <w:sz w:val="21"/>
          <w:szCs w:val="21"/>
        </w:rPr>
        <w:t>4G</w:t>
      </w:r>
      <w:r>
        <w:rPr>
          <w:rFonts w:ascii="Arial" w:hAnsi="Arial" w:cs="Arial" w:eastAsia="Arial" w:hint="default"/>
          <w:spacing w:val="-9"/>
          <w:sz w:val="21"/>
          <w:szCs w:val="21"/>
        </w:rPr>
        <w:t> </w:t>
      </w:r>
      <w:r>
        <w:rPr>
          <w:rFonts w:ascii="宋体" w:hAnsi="宋体" w:cs="宋体" w:eastAsia="宋体" w:hint="default"/>
          <w:sz w:val="21"/>
          <w:szCs w:val="21"/>
        </w:rPr>
        <w:t>网络，打造</w:t>
      </w:r>
      <w:r>
        <w:rPr>
          <w:rFonts w:ascii="宋体" w:hAnsi="宋体" w:cs="宋体" w:eastAsia="宋体" w:hint="default"/>
          <w:spacing w:val="-54"/>
          <w:sz w:val="21"/>
          <w:szCs w:val="21"/>
        </w:rPr>
        <w:t> </w:t>
      </w:r>
      <w:r>
        <w:rPr>
          <w:rFonts w:ascii="Arial" w:hAnsi="Arial" w:cs="Arial" w:eastAsia="Arial" w:hint="default"/>
          <w:sz w:val="21"/>
          <w:szCs w:val="21"/>
        </w:rPr>
        <w:t>4G</w:t>
      </w:r>
      <w:r>
        <w:rPr>
          <w:rFonts w:ascii="Arial" w:hAnsi="Arial" w:cs="Arial" w:eastAsia="Arial" w:hint="default"/>
          <w:spacing w:val="-9"/>
          <w:sz w:val="21"/>
          <w:szCs w:val="21"/>
        </w:rPr>
        <w:t> </w:t>
      </w:r>
      <w:r>
        <w:rPr>
          <w:rFonts w:ascii="宋体" w:hAnsi="宋体" w:cs="宋体" w:eastAsia="宋体" w:hint="default"/>
          <w:sz w:val="21"/>
          <w:szCs w:val="21"/>
        </w:rPr>
        <w:t>时代“上网更快、覆盖更</w:t>
      </w:r>
      <w:r>
        <w:rPr>
          <w:rFonts w:ascii="宋体" w:hAnsi="宋体" w:cs="宋体" w:eastAsia="宋体" w:hint="default"/>
          <w:w w:val="100"/>
          <w:sz w:val="21"/>
          <w:szCs w:val="21"/>
        </w:rPr>
        <w:t> </w:t>
      </w:r>
      <w:r>
        <w:rPr>
          <w:rFonts w:ascii="宋体" w:hAnsi="宋体" w:cs="宋体" w:eastAsia="宋体" w:hint="default"/>
          <w:spacing w:val="-2"/>
          <w:sz w:val="21"/>
          <w:szCs w:val="21"/>
        </w:rPr>
        <w:t>广、体验更好”的移动宽带领先基础。另一方面，建立移动宽带</w:t>
      </w:r>
      <w:r>
        <w:rPr>
          <w:rFonts w:ascii="Arial" w:hAnsi="Arial" w:cs="Arial" w:eastAsia="Arial" w:hint="default"/>
          <w:spacing w:val="-2"/>
          <w:sz w:val="21"/>
          <w:szCs w:val="21"/>
        </w:rPr>
        <w:t>+</w:t>
      </w:r>
      <w:r>
        <w:rPr>
          <w:rFonts w:ascii="宋体" w:hAnsi="宋体" w:cs="宋体" w:eastAsia="宋体" w:hint="default"/>
          <w:spacing w:val="-2"/>
          <w:sz w:val="21"/>
          <w:szCs w:val="21"/>
        </w:rPr>
        <w:t>固定宽带的网络能力</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3"/>
          <w:sz w:val="21"/>
          <w:szCs w:val="21"/>
        </w:rPr>
        <w:t>相对领先的优势，中国联通的移动宽带和固定宽带用户规模相对均衡，拥有丰富的宽带</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互联网基础资源，保证用户端到端的业务感知。</w:t>
      </w:r>
    </w:p>
    <w:p>
      <w:pPr>
        <w:spacing w:after="0" w:line="228" w:lineRule="auto"/>
        <w:jc w:val="both"/>
        <w:rPr>
          <w:rFonts w:ascii="宋体" w:hAnsi="宋体" w:cs="宋体" w:eastAsia="宋体" w:hint="default"/>
          <w:sz w:val="21"/>
          <w:szCs w:val="21"/>
        </w:rPr>
        <w:sectPr>
          <w:pgSz w:w="11910" w:h="16840"/>
          <w:pgMar w:header="880" w:footer="1194" w:top="1120" w:bottom="1380" w:left="1660" w:right="1120"/>
        </w:sectPr>
      </w:pPr>
    </w:p>
    <w:p>
      <w:pPr>
        <w:spacing w:line="240" w:lineRule="auto" w:before="11"/>
        <w:rPr>
          <w:rFonts w:ascii="宋体" w:hAnsi="宋体" w:cs="宋体" w:eastAsia="宋体" w:hint="default"/>
          <w:sz w:val="29"/>
          <w:szCs w:val="29"/>
        </w:rPr>
      </w:pPr>
    </w:p>
    <w:p>
      <w:pPr>
        <w:spacing w:before="36"/>
        <w:ind w:left="138" w:right="1922" w:firstLine="0"/>
        <w:jc w:val="left"/>
        <w:rPr>
          <w:rFonts w:ascii="宋体" w:hAnsi="宋体" w:cs="宋体" w:eastAsia="宋体" w:hint="default"/>
          <w:sz w:val="21"/>
          <w:szCs w:val="21"/>
        </w:rPr>
      </w:pPr>
      <w:r>
        <w:rPr>
          <w:rFonts w:ascii="宋体" w:hAnsi="宋体" w:cs="宋体" w:eastAsia="宋体" w:hint="default"/>
          <w:b/>
          <w:bCs/>
          <w:sz w:val="21"/>
          <w:szCs w:val="21"/>
        </w:rPr>
        <w:t>一、董事会关于公司报告期内经营情况的讨论与分析（续）</w:t>
      </w:r>
      <w:r>
        <w:rPr>
          <w:rFonts w:ascii="宋体" w:hAnsi="宋体" w:cs="宋体" w:eastAsia="宋体" w:hint="default"/>
          <w:sz w:val="21"/>
          <w:szCs w:val="21"/>
        </w:rPr>
      </w:r>
    </w:p>
    <w:p>
      <w:pPr>
        <w:spacing w:line="240" w:lineRule="auto" w:before="11"/>
        <w:rPr>
          <w:rFonts w:ascii="宋体" w:hAnsi="宋体" w:cs="宋体" w:eastAsia="宋体" w:hint="default"/>
          <w:b/>
          <w:bCs/>
          <w:sz w:val="24"/>
          <w:szCs w:val="24"/>
        </w:rPr>
      </w:pPr>
    </w:p>
    <w:p>
      <w:pPr>
        <w:spacing w:before="0"/>
        <w:ind w:left="138" w:right="1922"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四</w:t>
      </w:r>
      <w:r>
        <w:rPr>
          <w:rFonts w:ascii="Arial" w:hAnsi="Arial" w:cs="Arial" w:eastAsia="Arial" w:hint="default"/>
          <w:b/>
          <w:bCs/>
          <w:sz w:val="21"/>
          <w:szCs w:val="21"/>
        </w:rPr>
        <w:t>)</w:t>
      </w:r>
      <w:r>
        <w:rPr>
          <w:rFonts w:ascii="Arial" w:hAnsi="Arial" w:cs="Arial" w:eastAsia="Arial" w:hint="default"/>
          <w:b/>
          <w:bCs/>
          <w:spacing w:val="10"/>
          <w:sz w:val="21"/>
          <w:szCs w:val="21"/>
        </w:rPr>
        <w:t> </w:t>
      </w:r>
      <w:r>
        <w:rPr>
          <w:rFonts w:ascii="宋体" w:hAnsi="宋体" w:cs="宋体" w:eastAsia="宋体" w:hint="default"/>
          <w:b/>
          <w:bCs/>
          <w:sz w:val="21"/>
          <w:szCs w:val="21"/>
        </w:rPr>
        <w:t>核心竞争力分析（续）</w:t>
      </w:r>
      <w:r>
        <w:rPr>
          <w:rFonts w:ascii="宋体" w:hAnsi="宋体" w:cs="宋体" w:eastAsia="宋体" w:hint="default"/>
          <w:sz w:val="21"/>
          <w:szCs w:val="21"/>
        </w:rPr>
      </w:r>
    </w:p>
    <w:p>
      <w:pPr>
        <w:spacing w:line="240" w:lineRule="auto" w:before="4"/>
        <w:rPr>
          <w:rFonts w:ascii="宋体" w:hAnsi="宋体" w:cs="宋体" w:eastAsia="宋体" w:hint="default"/>
          <w:b/>
          <w:bCs/>
          <w:sz w:val="17"/>
          <w:szCs w:val="17"/>
        </w:rPr>
      </w:pPr>
    </w:p>
    <w:p>
      <w:pPr>
        <w:spacing w:before="0"/>
        <w:ind w:left="565" w:right="1922" w:firstLine="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w:t>
      </w:r>
      <w:r>
        <w:rPr>
          <w:rFonts w:ascii="宋体" w:hAnsi="宋体" w:cs="宋体" w:eastAsia="宋体" w:hint="default"/>
          <w:spacing w:val="-20"/>
          <w:sz w:val="21"/>
          <w:szCs w:val="21"/>
        </w:rPr>
        <w:t> </w:t>
      </w:r>
      <w:r>
        <w:rPr>
          <w:rFonts w:ascii="宋体" w:hAnsi="宋体" w:cs="宋体" w:eastAsia="宋体" w:hint="default"/>
          <w:sz w:val="21"/>
          <w:szCs w:val="21"/>
        </w:rPr>
        <w:t>重点改革深入推进，企业内生动力不断迸发。</w:t>
      </w:r>
    </w:p>
    <w:p>
      <w:pPr>
        <w:spacing w:line="232" w:lineRule="auto" w:before="176"/>
        <w:ind w:left="990" w:right="127" w:firstLine="0"/>
        <w:jc w:val="both"/>
        <w:rPr>
          <w:rFonts w:ascii="宋体" w:hAnsi="宋体" w:cs="宋体" w:eastAsia="宋体" w:hint="default"/>
          <w:sz w:val="21"/>
          <w:szCs w:val="21"/>
        </w:rPr>
      </w:pPr>
      <w:r>
        <w:rPr>
          <w:rFonts w:ascii="宋体" w:hAnsi="宋体" w:cs="宋体" w:eastAsia="宋体" w:hint="default"/>
          <w:spacing w:val="-4"/>
          <w:sz w:val="21"/>
          <w:szCs w:val="21"/>
        </w:rPr>
        <w:t>建立了具有差异化优势的集中运营体系，打造了以</w:t>
      </w:r>
      <w:r>
        <w:rPr>
          <w:rFonts w:ascii="宋体" w:hAnsi="宋体" w:cs="宋体" w:eastAsia="宋体" w:hint="default"/>
          <w:spacing w:val="-42"/>
          <w:sz w:val="21"/>
          <w:szCs w:val="21"/>
        </w:rPr>
        <w:t> </w:t>
      </w:r>
      <w:r>
        <w:rPr>
          <w:rFonts w:ascii="Arial" w:hAnsi="Arial" w:cs="Arial" w:eastAsia="Arial" w:hint="default"/>
          <w:sz w:val="21"/>
          <w:szCs w:val="21"/>
        </w:rPr>
        <w:t>cBSS</w:t>
      </w:r>
      <w:r>
        <w:rPr>
          <w:rFonts w:ascii="Arial" w:hAnsi="Arial" w:cs="Arial" w:eastAsia="Arial" w:hint="default"/>
          <w:spacing w:val="2"/>
          <w:sz w:val="21"/>
          <w:szCs w:val="21"/>
        </w:rPr>
        <w:t> </w:t>
      </w:r>
      <w:r>
        <w:rPr>
          <w:rFonts w:ascii="宋体" w:hAnsi="宋体" w:cs="宋体" w:eastAsia="宋体" w:hint="default"/>
          <w:sz w:val="21"/>
          <w:szCs w:val="21"/>
        </w:rPr>
        <w:t>系统和沃易购系统为核心的全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国统一集中运营平台，初步实现了总部直接面向一线的穿透式、扁平化业务运营。发挥</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市场在内部资源配置中的决定性作用，打破传统的多层级管理模式，在投资、营销、人</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3"/>
          <w:sz w:val="21"/>
          <w:szCs w:val="21"/>
        </w:rPr>
        <w:t>工成本等各类资源的分配使用上出台了一系列的改革措施，促进资源穿透下沉和动态配</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置，激发了基层队伍活力。同时，依托集团统一</w:t>
      </w:r>
      <w:r>
        <w:rPr>
          <w:rFonts w:ascii="宋体" w:hAnsi="宋体" w:cs="宋体" w:eastAsia="宋体" w:hint="default"/>
          <w:spacing w:val="-53"/>
          <w:sz w:val="21"/>
          <w:szCs w:val="21"/>
        </w:rPr>
        <w:t> </w:t>
      </w:r>
      <w:r>
        <w:rPr>
          <w:rFonts w:ascii="Arial" w:hAnsi="Arial" w:cs="Arial" w:eastAsia="Arial" w:hint="default"/>
          <w:sz w:val="21"/>
          <w:szCs w:val="21"/>
        </w:rPr>
        <w:t>IT</w:t>
      </w:r>
      <w:r>
        <w:rPr>
          <w:rFonts w:ascii="Arial" w:hAnsi="Arial" w:cs="Arial" w:eastAsia="Arial" w:hint="default"/>
          <w:spacing w:val="-9"/>
          <w:sz w:val="21"/>
          <w:szCs w:val="21"/>
        </w:rPr>
        <w:t> </w:t>
      </w:r>
      <w:r>
        <w:rPr>
          <w:rFonts w:ascii="宋体" w:hAnsi="宋体" w:cs="宋体" w:eastAsia="宋体" w:hint="default"/>
          <w:sz w:val="21"/>
          <w:szCs w:val="21"/>
        </w:rPr>
        <w:t>数据资源和内部商城，实现资源的</w:t>
      </w:r>
      <w:r>
        <w:rPr>
          <w:rFonts w:ascii="宋体" w:hAnsi="宋体" w:cs="宋体" w:eastAsia="宋体" w:hint="default"/>
          <w:w w:val="100"/>
          <w:sz w:val="21"/>
          <w:szCs w:val="21"/>
        </w:rPr>
        <w:t> </w:t>
      </w:r>
      <w:r>
        <w:rPr>
          <w:rFonts w:ascii="宋体" w:hAnsi="宋体" w:cs="宋体" w:eastAsia="宋体" w:hint="default"/>
          <w:sz w:val="21"/>
          <w:szCs w:val="21"/>
        </w:rPr>
        <w:t>透明管理和自动归集，运营效率不断提升。</w:t>
      </w:r>
    </w:p>
    <w:p>
      <w:pPr>
        <w:spacing w:line="240" w:lineRule="auto" w:before="5"/>
        <w:rPr>
          <w:rFonts w:ascii="宋体" w:hAnsi="宋体" w:cs="宋体" w:eastAsia="宋体" w:hint="default"/>
          <w:sz w:val="20"/>
          <w:szCs w:val="20"/>
        </w:rPr>
      </w:pPr>
    </w:p>
    <w:p>
      <w:pPr>
        <w:spacing w:before="0"/>
        <w:ind w:left="138" w:right="1922"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五</w:t>
      </w:r>
      <w:r>
        <w:rPr>
          <w:rFonts w:ascii="Arial" w:hAnsi="Arial" w:cs="Arial" w:eastAsia="Arial" w:hint="default"/>
          <w:b/>
          <w:bCs/>
          <w:sz w:val="21"/>
          <w:szCs w:val="21"/>
        </w:rPr>
        <w:t>)</w:t>
      </w:r>
      <w:r>
        <w:rPr>
          <w:rFonts w:ascii="Arial" w:hAnsi="Arial" w:cs="Arial" w:eastAsia="Arial" w:hint="default"/>
          <w:b/>
          <w:bCs/>
          <w:spacing w:val="19"/>
          <w:sz w:val="21"/>
          <w:szCs w:val="21"/>
        </w:rPr>
        <w:t> </w:t>
      </w:r>
      <w:r>
        <w:rPr>
          <w:rFonts w:ascii="宋体" w:hAnsi="宋体" w:cs="宋体" w:eastAsia="宋体" w:hint="default"/>
          <w:b/>
          <w:bCs/>
          <w:sz w:val="21"/>
          <w:szCs w:val="21"/>
        </w:rPr>
        <w:t>投资状况分析</w:t>
      </w:r>
      <w:r>
        <w:rPr>
          <w:rFonts w:ascii="宋体" w:hAnsi="宋体" w:cs="宋体" w:eastAsia="宋体" w:hint="default"/>
          <w:sz w:val="21"/>
          <w:szCs w:val="21"/>
        </w:rPr>
      </w:r>
    </w:p>
    <w:p>
      <w:pPr>
        <w:spacing w:line="240" w:lineRule="auto" w:before="4"/>
        <w:rPr>
          <w:rFonts w:ascii="宋体" w:hAnsi="宋体" w:cs="宋体" w:eastAsia="宋体" w:hint="default"/>
          <w:b/>
          <w:bCs/>
          <w:sz w:val="17"/>
          <w:szCs w:val="17"/>
        </w:rPr>
      </w:pPr>
    </w:p>
    <w:p>
      <w:pPr>
        <w:spacing w:line="286" w:lineRule="exact" w:before="0"/>
        <w:ind w:left="485" w:right="1922" w:firstLine="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对外股权投资总体分析</w:t>
      </w:r>
    </w:p>
    <w:p>
      <w:pPr>
        <w:spacing w:line="205" w:lineRule="exact" w:before="0"/>
        <w:ind w:left="565" w:right="1922" w:firstLine="0"/>
        <w:jc w:val="left"/>
        <w:rPr>
          <w:rFonts w:ascii="宋体" w:hAnsi="宋体" w:cs="宋体" w:eastAsia="宋体" w:hint="default"/>
          <w:sz w:val="16"/>
          <w:szCs w:val="16"/>
        </w:rPr>
      </w:pPr>
      <w:r>
        <w:rPr>
          <w:rFonts w:ascii="宋体" w:hAnsi="宋体" w:cs="宋体" w:eastAsia="宋体" w:hint="default"/>
          <w:w w:val="100"/>
          <w:sz w:val="16"/>
          <w:szCs w:val="16"/>
        </w:rPr>
        <w:t>、</w:t>
      </w:r>
    </w:p>
    <w:p>
      <w:pPr>
        <w:spacing w:line="270" w:lineRule="exact" w:before="0"/>
        <w:ind w:left="846" w:right="1922" w:firstLine="0"/>
        <w:jc w:val="left"/>
        <w:rPr>
          <w:rFonts w:ascii="宋体" w:hAnsi="宋体" w:cs="宋体" w:eastAsia="宋体" w:hint="default"/>
          <w:sz w:val="21"/>
          <w:szCs w:val="21"/>
        </w:rPr>
      </w:pPr>
      <w:r>
        <w:rPr>
          <w:rFonts w:ascii="Arial" w:hAnsi="Arial" w:cs="Arial" w:eastAsia="Arial" w:hint="default"/>
          <w:sz w:val="21"/>
          <w:szCs w:val="21"/>
        </w:rPr>
        <w:t>1.1 </w:t>
      </w:r>
      <w:r>
        <w:rPr>
          <w:rFonts w:ascii="Arial" w:hAnsi="Arial" w:cs="Arial" w:eastAsia="Arial" w:hint="default"/>
          <w:spacing w:val="15"/>
          <w:sz w:val="21"/>
          <w:szCs w:val="21"/>
        </w:rPr>
        <w:t> </w:t>
      </w:r>
      <w:r>
        <w:rPr>
          <w:rFonts w:ascii="宋体" w:hAnsi="宋体" w:cs="宋体" w:eastAsia="宋体" w:hint="default"/>
          <w:sz w:val="21"/>
          <w:szCs w:val="21"/>
        </w:rPr>
        <w:t>持有其他上市公司股权情况</w:t>
      </w:r>
    </w:p>
    <w:p>
      <w:pPr>
        <w:tabs>
          <w:tab w:pos="1259" w:val="left" w:leader="none"/>
        </w:tabs>
        <w:spacing w:line="266" w:lineRule="exact" w:before="0"/>
        <w:ind w:left="0" w:right="341"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tab/>
        <w:t>币种：人民币</w:t>
      </w:r>
    </w:p>
    <w:p>
      <w:pPr>
        <w:spacing w:line="240" w:lineRule="auto" w:before="7"/>
        <w:rPr>
          <w:rFonts w:ascii="宋体" w:hAnsi="宋体" w:cs="宋体" w:eastAsia="宋体" w:hint="default"/>
          <w:sz w:val="2"/>
          <w:szCs w:val="2"/>
        </w:rPr>
      </w:pPr>
    </w:p>
    <w:tbl>
      <w:tblPr>
        <w:tblW w:w="0" w:type="auto"/>
        <w:jc w:val="left"/>
        <w:tblInd w:w="1268" w:type="dxa"/>
        <w:tblLayout w:type="fixed"/>
        <w:tblCellMar>
          <w:top w:w="0" w:type="dxa"/>
          <w:left w:w="0" w:type="dxa"/>
          <w:bottom w:w="0" w:type="dxa"/>
          <w:right w:w="0" w:type="dxa"/>
        </w:tblCellMar>
        <w:tblLook w:val="01E0"/>
      </w:tblPr>
      <w:tblGrid>
        <w:gridCol w:w="881"/>
        <w:gridCol w:w="840"/>
        <w:gridCol w:w="840"/>
        <w:gridCol w:w="826"/>
        <w:gridCol w:w="854"/>
        <w:gridCol w:w="673"/>
        <w:gridCol w:w="852"/>
        <w:gridCol w:w="1150"/>
        <w:gridCol w:w="588"/>
      </w:tblGrid>
      <w:tr>
        <w:trPr>
          <w:trHeight w:val="593" w:hRule="exact"/>
        </w:trPr>
        <w:tc>
          <w:tcPr>
            <w:tcW w:w="88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b/>
                <w:bCs/>
                <w:sz w:val="15"/>
                <w:szCs w:val="15"/>
              </w:rPr>
              <w:t>证券代码</w:t>
            </w:r>
            <w:r>
              <w:rPr>
                <w:rFonts w:ascii="宋体" w:hAnsi="宋体" w:cs="宋体" w:eastAsia="宋体" w:hint="default"/>
                <w:sz w:val="15"/>
                <w:szCs w:val="15"/>
              </w:rPr>
            </w:r>
          </w:p>
        </w:tc>
        <w:tc>
          <w:tcPr>
            <w:tcW w:w="84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b/>
                <w:bCs/>
                <w:sz w:val="15"/>
                <w:szCs w:val="15"/>
              </w:rPr>
              <w:t>证券简称</w:t>
            </w:r>
            <w:r>
              <w:rPr>
                <w:rFonts w:ascii="宋体" w:hAnsi="宋体" w:cs="宋体" w:eastAsia="宋体" w:hint="default"/>
                <w:sz w:val="15"/>
                <w:szCs w:val="15"/>
              </w:rPr>
            </w:r>
          </w:p>
        </w:tc>
        <w:tc>
          <w:tcPr>
            <w:tcW w:w="84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74"/>
              <w:ind w:left="263" w:right="110" w:hanging="152"/>
              <w:jc w:val="left"/>
              <w:rPr>
                <w:rFonts w:ascii="宋体" w:hAnsi="宋体" w:cs="宋体" w:eastAsia="宋体" w:hint="default"/>
                <w:sz w:val="15"/>
                <w:szCs w:val="15"/>
              </w:rPr>
            </w:pPr>
            <w:r>
              <w:rPr>
                <w:rFonts w:ascii="宋体" w:hAnsi="宋体" w:cs="宋体" w:eastAsia="宋体" w:hint="default"/>
                <w:b/>
                <w:bCs/>
                <w:sz w:val="15"/>
                <w:szCs w:val="15"/>
              </w:rPr>
              <w:t>最初投资</w:t>
            </w:r>
            <w:r>
              <w:rPr>
                <w:rFonts w:ascii="宋体" w:hAnsi="宋体" w:cs="宋体" w:eastAsia="宋体" w:hint="default"/>
                <w:b/>
                <w:bCs/>
                <w:spacing w:val="-74"/>
                <w:sz w:val="15"/>
                <w:szCs w:val="15"/>
              </w:rPr>
              <w:t> </w:t>
            </w:r>
            <w:r>
              <w:rPr>
                <w:rFonts w:ascii="宋体" w:hAnsi="宋体" w:cs="宋体" w:eastAsia="宋体" w:hint="default"/>
                <w:b/>
                <w:bCs/>
                <w:sz w:val="15"/>
                <w:szCs w:val="15"/>
              </w:rPr>
              <w:t>成本</w:t>
            </w:r>
            <w:r>
              <w:rPr>
                <w:rFonts w:ascii="宋体" w:hAnsi="宋体" w:cs="宋体" w:eastAsia="宋体" w:hint="default"/>
                <w:sz w:val="15"/>
                <w:szCs w:val="15"/>
              </w:rPr>
            </w:r>
          </w:p>
        </w:tc>
        <w:tc>
          <w:tcPr>
            <w:tcW w:w="82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b/>
                <w:bCs/>
                <w:sz w:val="15"/>
                <w:szCs w:val="15"/>
              </w:rPr>
              <w:t>占该公司</w:t>
            </w:r>
            <w:r>
              <w:rPr>
                <w:rFonts w:ascii="宋体" w:hAnsi="宋体" w:cs="宋体" w:eastAsia="宋体" w:hint="default"/>
                <w:sz w:val="15"/>
                <w:szCs w:val="15"/>
              </w:rPr>
            </w:r>
          </w:p>
          <w:p>
            <w:pPr>
              <w:pStyle w:val="TableParagraph"/>
              <w:spacing w:line="194" w:lineRule="exact"/>
              <w:ind w:left="105" w:right="0"/>
              <w:jc w:val="left"/>
              <w:rPr>
                <w:rFonts w:ascii="宋体" w:hAnsi="宋体" w:cs="宋体" w:eastAsia="宋体" w:hint="default"/>
                <w:sz w:val="15"/>
                <w:szCs w:val="15"/>
              </w:rPr>
            </w:pPr>
            <w:r>
              <w:rPr>
                <w:rFonts w:ascii="宋体" w:hAnsi="宋体" w:cs="宋体" w:eastAsia="宋体" w:hint="default"/>
                <w:b/>
                <w:bCs/>
                <w:sz w:val="15"/>
                <w:szCs w:val="15"/>
              </w:rPr>
              <w:t>股权比例</w:t>
            </w:r>
            <w:r>
              <w:rPr>
                <w:rFonts w:ascii="宋体" w:hAnsi="宋体" w:cs="宋体" w:eastAsia="宋体" w:hint="default"/>
                <w:sz w:val="15"/>
                <w:szCs w:val="15"/>
              </w:rPr>
            </w:r>
          </w:p>
          <w:p>
            <w:pPr>
              <w:pStyle w:val="TableParagraph"/>
              <w:spacing w:line="206" w:lineRule="exact"/>
              <w:ind w:left="189"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Arial" w:hAnsi="Arial" w:cs="Arial" w:eastAsia="Arial"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85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74"/>
              <w:ind w:left="271" w:right="119" w:hanging="152"/>
              <w:jc w:val="left"/>
              <w:rPr>
                <w:rFonts w:ascii="宋体" w:hAnsi="宋体" w:cs="宋体" w:eastAsia="宋体" w:hint="default"/>
                <w:sz w:val="15"/>
                <w:szCs w:val="15"/>
              </w:rPr>
            </w:pPr>
            <w:r>
              <w:rPr>
                <w:rFonts w:ascii="宋体" w:hAnsi="宋体" w:cs="宋体" w:eastAsia="宋体" w:hint="default"/>
                <w:b/>
                <w:bCs/>
                <w:sz w:val="15"/>
                <w:szCs w:val="15"/>
              </w:rPr>
              <w:t>期末账面</w:t>
            </w:r>
            <w:r>
              <w:rPr>
                <w:rFonts w:ascii="宋体" w:hAnsi="宋体" w:cs="宋体" w:eastAsia="宋体" w:hint="default"/>
                <w:b/>
                <w:bCs/>
                <w:spacing w:val="-74"/>
                <w:sz w:val="15"/>
                <w:szCs w:val="15"/>
              </w:rPr>
              <w:t> </w:t>
            </w:r>
            <w:r>
              <w:rPr>
                <w:rFonts w:ascii="宋体" w:hAnsi="宋体" w:cs="宋体" w:eastAsia="宋体" w:hint="default"/>
                <w:b/>
                <w:bCs/>
                <w:sz w:val="15"/>
                <w:szCs w:val="15"/>
              </w:rPr>
              <w:t>价值</w:t>
            </w:r>
            <w:r>
              <w:rPr>
                <w:rFonts w:ascii="宋体" w:hAnsi="宋体" w:cs="宋体" w:eastAsia="宋体" w:hint="default"/>
                <w:sz w:val="15"/>
                <w:szCs w:val="15"/>
              </w:rPr>
            </w:r>
          </w:p>
        </w:tc>
        <w:tc>
          <w:tcPr>
            <w:tcW w:w="67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74"/>
              <w:ind w:left="179" w:right="101" w:hanging="75"/>
              <w:jc w:val="left"/>
              <w:rPr>
                <w:rFonts w:ascii="宋体" w:hAnsi="宋体" w:cs="宋体" w:eastAsia="宋体" w:hint="default"/>
                <w:sz w:val="15"/>
                <w:szCs w:val="15"/>
              </w:rPr>
            </w:pPr>
            <w:r>
              <w:rPr>
                <w:rFonts w:ascii="宋体" w:hAnsi="宋体" w:cs="宋体" w:eastAsia="宋体" w:hint="default"/>
                <w:b/>
                <w:bCs/>
                <w:sz w:val="15"/>
                <w:szCs w:val="15"/>
              </w:rPr>
              <w:t>报告期</w:t>
            </w:r>
            <w:r>
              <w:rPr>
                <w:rFonts w:ascii="宋体" w:hAnsi="宋体" w:cs="宋体" w:eastAsia="宋体" w:hint="default"/>
                <w:b/>
                <w:bCs/>
                <w:w w:val="100"/>
                <w:sz w:val="15"/>
                <w:szCs w:val="15"/>
              </w:rPr>
              <w:t> </w:t>
            </w:r>
            <w:r>
              <w:rPr>
                <w:rFonts w:ascii="宋体" w:hAnsi="宋体" w:cs="宋体" w:eastAsia="宋体" w:hint="default"/>
                <w:b/>
                <w:bCs/>
                <w:sz w:val="15"/>
                <w:szCs w:val="15"/>
              </w:rPr>
              <w:t>损益</w:t>
            </w:r>
            <w:r>
              <w:rPr>
                <w:rFonts w:ascii="宋体" w:hAnsi="宋体" w:cs="宋体" w:eastAsia="宋体" w:hint="default"/>
                <w:sz w:val="15"/>
                <w:szCs w:val="15"/>
              </w:rPr>
            </w:r>
          </w:p>
        </w:tc>
        <w:tc>
          <w:tcPr>
            <w:tcW w:w="8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171" w:lineRule="exact"/>
              <w:ind w:left="117" w:right="0"/>
              <w:jc w:val="left"/>
              <w:rPr>
                <w:rFonts w:ascii="宋体" w:hAnsi="宋体" w:cs="宋体" w:eastAsia="宋体" w:hint="default"/>
                <w:sz w:val="15"/>
                <w:szCs w:val="15"/>
              </w:rPr>
            </w:pPr>
            <w:r>
              <w:rPr>
                <w:rFonts w:ascii="宋体" w:hAnsi="宋体" w:cs="宋体" w:eastAsia="宋体" w:hint="default"/>
                <w:b/>
                <w:bCs/>
                <w:sz w:val="15"/>
                <w:szCs w:val="15"/>
              </w:rPr>
              <w:t>报告期所</w:t>
            </w:r>
            <w:r>
              <w:rPr>
                <w:rFonts w:ascii="宋体" w:hAnsi="宋体" w:cs="宋体" w:eastAsia="宋体" w:hint="default"/>
                <w:sz w:val="15"/>
                <w:szCs w:val="15"/>
              </w:rPr>
            </w:r>
          </w:p>
          <w:p>
            <w:pPr>
              <w:pStyle w:val="TableParagraph"/>
              <w:spacing w:line="240" w:lineRule="auto"/>
              <w:ind w:left="268" w:right="119" w:hanging="152"/>
              <w:jc w:val="left"/>
              <w:rPr>
                <w:rFonts w:ascii="宋体" w:hAnsi="宋体" w:cs="宋体" w:eastAsia="宋体" w:hint="default"/>
                <w:sz w:val="15"/>
                <w:szCs w:val="15"/>
              </w:rPr>
            </w:pPr>
            <w:r>
              <w:rPr>
                <w:rFonts w:ascii="宋体" w:hAnsi="宋体" w:cs="宋体" w:eastAsia="宋体" w:hint="default"/>
                <w:b/>
                <w:bCs/>
                <w:sz w:val="15"/>
                <w:szCs w:val="15"/>
              </w:rPr>
              <w:t>有者权益</w:t>
            </w:r>
            <w:r>
              <w:rPr>
                <w:rFonts w:ascii="宋体" w:hAnsi="宋体" w:cs="宋体" w:eastAsia="宋体" w:hint="default"/>
                <w:b/>
                <w:bCs/>
                <w:spacing w:val="-74"/>
                <w:sz w:val="15"/>
                <w:szCs w:val="15"/>
              </w:rPr>
              <w:t> </w:t>
            </w:r>
            <w:r>
              <w:rPr>
                <w:rFonts w:ascii="宋体" w:hAnsi="宋体" w:cs="宋体" w:eastAsia="宋体" w:hint="default"/>
                <w:b/>
                <w:bCs/>
                <w:sz w:val="15"/>
                <w:szCs w:val="15"/>
              </w:rPr>
              <w:t>变动</w:t>
            </w:r>
            <w:r>
              <w:rPr>
                <w:rFonts w:ascii="宋体" w:hAnsi="宋体" w:cs="宋体" w:eastAsia="宋体" w:hint="default"/>
                <w:sz w:val="15"/>
                <w:szCs w:val="15"/>
              </w:rPr>
            </w:r>
          </w:p>
        </w:tc>
        <w:tc>
          <w:tcPr>
            <w:tcW w:w="115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17" w:right="0"/>
              <w:jc w:val="left"/>
              <w:rPr>
                <w:rFonts w:ascii="宋体" w:hAnsi="宋体" w:cs="宋体" w:eastAsia="宋体" w:hint="default"/>
                <w:sz w:val="15"/>
                <w:szCs w:val="15"/>
              </w:rPr>
            </w:pPr>
            <w:r>
              <w:rPr>
                <w:rFonts w:ascii="宋体" w:hAnsi="宋体" w:cs="宋体" w:eastAsia="宋体" w:hint="default"/>
                <w:b/>
                <w:bCs/>
                <w:sz w:val="15"/>
                <w:szCs w:val="15"/>
              </w:rPr>
              <w:t>会计核算科目</w:t>
            </w:r>
            <w:r>
              <w:rPr>
                <w:rFonts w:ascii="宋体" w:hAnsi="宋体" w:cs="宋体" w:eastAsia="宋体" w:hint="default"/>
                <w:sz w:val="15"/>
                <w:szCs w:val="15"/>
              </w:rPr>
            </w:r>
          </w:p>
        </w:tc>
        <w:tc>
          <w:tcPr>
            <w:tcW w:w="58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74"/>
              <w:ind w:left="137" w:right="137"/>
              <w:jc w:val="left"/>
              <w:rPr>
                <w:rFonts w:ascii="宋体" w:hAnsi="宋体" w:cs="宋体" w:eastAsia="宋体" w:hint="default"/>
                <w:sz w:val="15"/>
                <w:szCs w:val="15"/>
              </w:rPr>
            </w:pPr>
            <w:r>
              <w:rPr>
                <w:rFonts w:ascii="宋体" w:hAnsi="宋体" w:cs="宋体" w:eastAsia="宋体" w:hint="default"/>
                <w:b/>
                <w:bCs/>
                <w:sz w:val="15"/>
                <w:szCs w:val="15"/>
              </w:rPr>
              <w:t>股份</w:t>
            </w:r>
            <w:r>
              <w:rPr>
                <w:rFonts w:ascii="宋体" w:hAnsi="宋体" w:cs="宋体" w:eastAsia="宋体" w:hint="default"/>
                <w:b/>
                <w:bCs/>
                <w:w w:val="100"/>
                <w:sz w:val="15"/>
                <w:szCs w:val="15"/>
              </w:rPr>
              <w:t> </w:t>
            </w:r>
            <w:r>
              <w:rPr>
                <w:rFonts w:ascii="宋体" w:hAnsi="宋体" w:cs="宋体" w:eastAsia="宋体" w:hint="default"/>
                <w:b/>
                <w:bCs/>
                <w:sz w:val="15"/>
                <w:szCs w:val="15"/>
              </w:rPr>
              <w:t>来源</w:t>
            </w:r>
            <w:r>
              <w:rPr>
                <w:rFonts w:ascii="宋体" w:hAnsi="宋体" w:cs="宋体" w:eastAsia="宋体" w:hint="default"/>
                <w:sz w:val="15"/>
                <w:szCs w:val="15"/>
              </w:rPr>
            </w:r>
          </w:p>
        </w:tc>
      </w:tr>
      <w:tr>
        <w:trPr>
          <w:trHeight w:val="401"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Arial" w:hAnsi="Arial" w:cs="Arial" w:eastAsia="Arial" w:hint="default"/>
                <w:sz w:val="15"/>
                <w:szCs w:val="15"/>
              </w:rPr>
            </w:pPr>
            <w:r>
              <w:rPr>
                <w:rFonts w:ascii="Arial"/>
                <w:sz w:val="15"/>
              </w:rPr>
              <w:t>601328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交通银行</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Arial" w:hAnsi="Arial" w:cs="Arial" w:eastAsia="Arial" w:hint="default"/>
                <w:sz w:val="15"/>
                <w:szCs w:val="15"/>
              </w:rPr>
            </w:pPr>
            <w:r>
              <w:rPr>
                <w:rFonts w:ascii="Arial"/>
                <w:spacing w:val="-1"/>
                <w:sz w:val="15"/>
              </w:rPr>
              <w:t>5,018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Arial" w:hAnsi="Arial" w:cs="Arial" w:eastAsia="Arial" w:hint="default"/>
                <w:sz w:val="15"/>
                <w:szCs w:val="15"/>
              </w:rPr>
            </w:pPr>
            <w:r>
              <w:rPr>
                <w:rFonts w:ascii="Arial"/>
                <w:sz w:val="15"/>
              </w:rPr>
              <w:t>0.03</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Arial" w:hAnsi="Arial" w:cs="Arial" w:eastAsia="Arial" w:hint="default"/>
                <w:sz w:val="15"/>
                <w:szCs w:val="15"/>
              </w:rPr>
            </w:pPr>
            <w:r>
              <w:rPr>
                <w:rFonts w:ascii="Arial"/>
                <w:spacing w:val="-1"/>
                <w:sz w:val="15"/>
              </w:rPr>
              <w:t>17,261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Arial" w:hAnsi="Arial" w:cs="Arial" w:eastAsia="Arial" w:hint="default"/>
                <w:sz w:val="15"/>
                <w:szCs w:val="15"/>
              </w:rPr>
            </w:pPr>
            <w:r>
              <w:rPr>
                <w:rFonts w:ascii="Arial"/>
                <w:spacing w:val="-1"/>
                <w:sz w:val="15"/>
              </w:rPr>
              <w:t>7,513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可供出售金融</w:t>
            </w: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资产</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7"/>
              <w:jc w:val="right"/>
              <w:rPr>
                <w:rFonts w:ascii="宋体" w:hAnsi="宋体" w:cs="宋体" w:eastAsia="宋体" w:hint="default"/>
                <w:sz w:val="15"/>
                <w:szCs w:val="15"/>
              </w:rPr>
            </w:pPr>
            <w:r>
              <w:rPr>
                <w:rFonts w:ascii="宋体" w:hAnsi="宋体" w:cs="宋体" w:eastAsia="宋体" w:hint="default"/>
                <w:sz w:val="15"/>
                <w:szCs w:val="15"/>
              </w:rPr>
              <w:t>购买</w:t>
            </w:r>
          </w:p>
        </w:tc>
      </w:tr>
      <w:tr>
        <w:trPr>
          <w:trHeight w:val="787"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right="0"/>
              <w:jc w:val="center"/>
              <w:rPr>
                <w:rFonts w:ascii="Arial" w:hAnsi="Arial" w:cs="Arial" w:eastAsia="Arial" w:hint="default"/>
                <w:sz w:val="15"/>
                <w:szCs w:val="15"/>
              </w:rPr>
            </w:pPr>
            <w:r>
              <w:rPr>
                <w:rFonts w:ascii="Arial"/>
                <w:sz w:val="15"/>
              </w:rPr>
              <w:t>HK</w:t>
            </w:r>
            <w:r>
              <w:rPr>
                <w:rFonts w:ascii="Arial"/>
                <w:spacing w:val="1"/>
                <w:sz w:val="15"/>
              </w:rPr>
              <w:t> </w:t>
            </w:r>
            <w:r>
              <w:rPr>
                <w:rFonts w:ascii="Arial"/>
                <w:sz w:val="15"/>
              </w:rPr>
              <w:t>06188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迪信通</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right="98"/>
              <w:jc w:val="right"/>
              <w:rPr>
                <w:rFonts w:ascii="Arial" w:hAnsi="Arial" w:cs="Arial" w:eastAsia="Arial" w:hint="default"/>
                <w:sz w:val="15"/>
                <w:szCs w:val="15"/>
              </w:rPr>
            </w:pPr>
            <w:r>
              <w:rPr>
                <w:rFonts w:ascii="Arial"/>
                <w:spacing w:val="-1"/>
                <w:sz w:val="15"/>
              </w:rPr>
              <w:t>2,018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right="98"/>
              <w:jc w:val="right"/>
              <w:rPr>
                <w:rFonts w:ascii="Arial" w:hAnsi="Arial" w:cs="Arial" w:eastAsia="Arial" w:hint="default"/>
                <w:sz w:val="15"/>
                <w:szCs w:val="15"/>
              </w:rPr>
            </w:pPr>
            <w:r>
              <w:rPr>
                <w:rFonts w:ascii="Arial"/>
                <w:sz w:val="15"/>
              </w:rPr>
              <w:t>1.44</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right="98"/>
              <w:jc w:val="right"/>
              <w:rPr>
                <w:rFonts w:ascii="Arial" w:hAnsi="Arial" w:cs="Arial" w:eastAsia="Arial" w:hint="default"/>
                <w:sz w:val="15"/>
                <w:szCs w:val="15"/>
              </w:rPr>
            </w:pPr>
            <w:r>
              <w:rPr>
                <w:rFonts w:ascii="Arial"/>
                <w:spacing w:val="-1"/>
                <w:sz w:val="15"/>
              </w:rPr>
              <w:t>1,287</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right="48"/>
              <w:jc w:val="right"/>
              <w:rPr>
                <w:rFonts w:ascii="Arial" w:hAnsi="Arial" w:cs="Arial" w:eastAsia="Arial" w:hint="default"/>
                <w:sz w:val="15"/>
                <w:szCs w:val="15"/>
              </w:rPr>
            </w:pPr>
            <w:r>
              <w:rPr>
                <w:rFonts w:ascii="Arial"/>
                <w:spacing w:val="-1"/>
                <w:sz w:val="15"/>
              </w:rPr>
              <w:t>(751)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right="101"/>
              <w:jc w:val="right"/>
              <w:rPr>
                <w:rFonts w:ascii="Arial" w:hAnsi="Arial" w:cs="Arial" w:eastAsia="Arial" w:hint="default"/>
                <w:sz w:val="15"/>
                <w:szCs w:val="15"/>
              </w:rPr>
            </w:pPr>
            <w:r>
              <w:rPr>
                <w:rFonts w:ascii="Arial"/>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pacing w:val="3"/>
                <w:sz w:val="15"/>
                <w:szCs w:val="15"/>
              </w:rPr>
              <w:t>以公允价值计</w:t>
            </w:r>
          </w:p>
          <w:p>
            <w:pPr>
              <w:pStyle w:val="TableParagraph"/>
              <w:spacing w:line="240" w:lineRule="auto"/>
              <w:ind w:left="103" w:right="101"/>
              <w:jc w:val="both"/>
              <w:rPr>
                <w:rFonts w:ascii="宋体" w:hAnsi="宋体" w:cs="宋体" w:eastAsia="宋体" w:hint="default"/>
                <w:sz w:val="15"/>
                <w:szCs w:val="15"/>
              </w:rPr>
            </w:pPr>
            <w:r>
              <w:rPr>
                <w:rFonts w:ascii="宋体" w:hAnsi="宋体" w:cs="宋体" w:eastAsia="宋体" w:hint="default"/>
                <w:spacing w:val="3"/>
                <w:sz w:val="15"/>
                <w:szCs w:val="15"/>
              </w:rPr>
              <w:t>量且其变动计</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pacing w:val="3"/>
                <w:sz w:val="15"/>
                <w:szCs w:val="15"/>
              </w:rPr>
              <w:t>入当期损益的</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z w:val="15"/>
                <w:szCs w:val="15"/>
              </w:rPr>
              <w:t>金融资产</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37"/>
              <w:jc w:val="right"/>
              <w:rPr>
                <w:rFonts w:ascii="宋体" w:hAnsi="宋体" w:cs="宋体" w:eastAsia="宋体" w:hint="default"/>
                <w:sz w:val="15"/>
                <w:szCs w:val="15"/>
              </w:rPr>
            </w:pPr>
            <w:r>
              <w:rPr>
                <w:rFonts w:ascii="宋体" w:hAnsi="宋体" w:cs="宋体" w:eastAsia="宋体" w:hint="default"/>
                <w:sz w:val="15"/>
                <w:szCs w:val="15"/>
              </w:rPr>
              <w:t>购买</w:t>
            </w:r>
          </w:p>
        </w:tc>
      </w:tr>
    </w:tbl>
    <w:p>
      <w:pPr>
        <w:spacing w:line="240" w:lineRule="auto" w:before="10"/>
        <w:rPr>
          <w:rFonts w:ascii="宋体" w:hAnsi="宋体" w:cs="宋体" w:eastAsia="宋体" w:hint="default"/>
          <w:sz w:val="8"/>
          <w:szCs w:val="8"/>
        </w:rPr>
      </w:pPr>
    </w:p>
    <w:p>
      <w:pPr>
        <w:spacing w:line="228" w:lineRule="auto" w:before="48"/>
        <w:ind w:left="1270" w:right="154" w:firstLine="0"/>
        <w:jc w:val="both"/>
        <w:rPr>
          <w:rFonts w:ascii="宋体" w:hAnsi="宋体" w:cs="宋体" w:eastAsia="宋体" w:hint="default"/>
          <w:sz w:val="21"/>
          <w:szCs w:val="21"/>
        </w:rPr>
      </w:pPr>
      <w:r>
        <w:rPr>
          <w:rFonts w:ascii="宋体" w:hAnsi="宋体" w:cs="宋体" w:eastAsia="宋体" w:hint="default"/>
          <w:sz w:val="21"/>
          <w:szCs w:val="21"/>
        </w:rPr>
        <w:t>本公司的子公司于报告期持有交通银行股份有限公司于上海证券交易所上市的</w:t>
      </w:r>
      <w:r>
        <w:rPr>
          <w:rFonts w:ascii="宋体" w:hAnsi="宋体" w:cs="宋体" w:eastAsia="宋体" w:hint="default"/>
          <w:spacing w:val="-53"/>
          <w:sz w:val="21"/>
          <w:szCs w:val="21"/>
        </w:rPr>
        <w:t> </w:t>
      </w:r>
      <w:r>
        <w:rPr>
          <w:rFonts w:ascii="Arial" w:hAnsi="Arial" w:cs="Arial" w:eastAsia="Arial" w:hint="default"/>
          <w:sz w:val="21"/>
          <w:szCs w:val="21"/>
        </w:rPr>
        <w:t>A</w:t>
      </w:r>
      <w:r>
        <w:rPr>
          <w:rFonts w:ascii="Arial" w:hAnsi="Arial" w:cs="Arial" w:eastAsia="Arial" w:hint="default"/>
          <w:spacing w:val="-9"/>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普通股股份约</w:t>
      </w:r>
      <w:r>
        <w:rPr>
          <w:rFonts w:ascii="宋体" w:hAnsi="宋体" w:cs="宋体" w:eastAsia="宋体" w:hint="default"/>
          <w:spacing w:val="-53"/>
          <w:sz w:val="21"/>
          <w:szCs w:val="21"/>
        </w:rPr>
        <w:t> </w:t>
      </w:r>
      <w:r>
        <w:rPr>
          <w:rFonts w:ascii="Arial" w:hAnsi="Arial" w:cs="Arial" w:eastAsia="Arial" w:hint="default"/>
          <w:sz w:val="21"/>
          <w:szCs w:val="21"/>
        </w:rPr>
        <w:t>2,538</w:t>
      </w:r>
      <w:r>
        <w:rPr>
          <w:rFonts w:ascii="Arial" w:hAnsi="Arial" w:cs="Arial" w:eastAsia="Arial" w:hint="default"/>
          <w:spacing w:val="-9"/>
          <w:sz w:val="21"/>
          <w:szCs w:val="21"/>
        </w:rPr>
        <w:t> </w:t>
      </w:r>
      <w:r>
        <w:rPr>
          <w:rFonts w:ascii="宋体" w:hAnsi="宋体" w:cs="宋体" w:eastAsia="宋体" w:hint="default"/>
          <w:sz w:val="21"/>
          <w:szCs w:val="21"/>
        </w:rPr>
        <w:t>万股，约占交通银行股份有限公司总股份的</w:t>
      </w:r>
      <w:r>
        <w:rPr>
          <w:rFonts w:ascii="宋体" w:hAnsi="宋体" w:cs="宋体" w:eastAsia="宋体" w:hint="default"/>
          <w:spacing w:val="-53"/>
          <w:sz w:val="21"/>
          <w:szCs w:val="21"/>
        </w:rPr>
        <w:t> </w:t>
      </w:r>
      <w:r>
        <w:rPr>
          <w:rFonts w:ascii="Arial" w:hAnsi="Arial" w:cs="Arial" w:eastAsia="Arial" w:hint="default"/>
          <w:sz w:val="21"/>
          <w:szCs w:val="21"/>
        </w:rPr>
        <w:t>0.03%</w:t>
      </w:r>
      <w:r>
        <w:rPr>
          <w:rFonts w:ascii="宋体" w:hAnsi="宋体" w:cs="宋体" w:eastAsia="宋体" w:hint="default"/>
          <w:sz w:val="21"/>
          <w:szCs w:val="21"/>
        </w:rPr>
        <w:t>；本公司的</w:t>
      </w:r>
      <w:r>
        <w:rPr>
          <w:rFonts w:ascii="宋体" w:hAnsi="宋体" w:cs="宋体" w:eastAsia="宋体" w:hint="default"/>
          <w:w w:val="100"/>
          <w:sz w:val="21"/>
          <w:szCs w:val="21"/>
        </w:rPr>
        <w:t> </w:t>
      </w:r>
      <w:r>
        <w:rPr>
          <w:rFonts w:ascii="宋体" w:hAnsi="宋体" w:cs="宋体" w:eastAsia="宋体" w:hint="default"/>
          <w:sz w:val="21"/>
          <w:szCs w:val="21"/>
        </w:rPr>
        <w:t>子公司于报告期持有的北京迪信通商贸股份有限公司于香港证券交易所上市的</w:t>
      </w:r>
      <w:r>
        <w:rPr>
          <w:rFonts w:ascii="宋体" w:hAnsi="宋体" w:cs="宋体" w:eastAsia="宋体" w:hint="default"/>
          <w:spacing w:val="-56"/>
          <w:sz w:val="21"/>
          <w:szCs w:val="21"/>
        </w:rPr>
        <w:t> </w:t>
      </w:r>
      <w:r>
        <w:rPr>
          <w:rFonts w:ascii="Arial" w:hAnsi="Arial" w:cs="Arial" w:eastAsia="Arial" w:hint="default"/>
          <w:sz w:val="21"/>
          <w:szCs w:val="21"/>
        </w:rPr>
        <w:t>H</w:t>
      </w:r>
      <w:r>
        <w:rPr>
          <w:rFonts w:ascii="Arial" w:hAnsi="Arial" w:cs="Arial" w:eastAsia="Arial" w:hint="default"/>
          <w:spacing w:val="-6"/>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普通股股份约</w:t>
      </w:r>
      <w:r>
        <w:rPr>
          <w:rFonts w:ascii="宋体" w:hAnsi="宋体" w:cs="宋体" w:eastAsia="宋体" w:hint="default"/>
          <w:spacing w:val="-54"/>
          <w:sz w:val="21"/>
          <w:szCs w:val="21"/>
        </w:rPr>
        <w:t> </w:t>
      </w:r>
      <w:r>
        <w:rPr>
          <w:rFonts w:ascii="Arial" w:hAnsi="Arial" w:cs="Arial" w:eastAsia="Arial" w:hint="default"/>
          <w:sz w:val="21"/>
          <w:szCs w:val="21"/>
        </w:rPr>
        <w:t>475</w:t>
      </w:r>
      <w:r>
        <w:rPr>
          <w:rFonts w:ascii="Arial" w:hAnsi="Arial" w:cs="Arial" w:eastAsia="Arial" w:hint="default"/>
          <w:spacing w:val="-9"/>
          <w:sz w:val="21"/>
          <w:szCs w:val="21"/>
        </w:rPr>
        <w:t> </w:t>
      </w:r>
      <w:r>
        <w:rPr>
          <w:rFonts w:ascii="宋体" w:hAnsi="宋体" w:cs="宋体" w:eastAsia="宋体" w:hint="default"/>
          <w:sz w:val="21"/>
          <w:szCs w:val="21"/>
        </w:rPr>
        <w:t>万股，约占北京迪信通商贸股份有限公司总股份的</w:t>
      </w:r>
      <w:r>
        <w:rPr>
          <w:rFonts w:ascii="宋体" w:hAnsi="宋体" w:cs="宋体" w:eastAsia="宋体" w:hint="default"/>
          <w:spacing w:val="-54"/>
          <w:sz w:val="21"/>
          <w:szCs w:val="21"/>
        </w:rPr>
        <w:t> </w:t>
      </w:r>
      <w:r>
        <w:rPr>
          <w:rFonts w:ascii="Arial" w:hAnsi="Arial" w:cs="Arial" w:eastAsia="Arial" w:hint="default"/>
          <w:sz w:val="21"/>
          <w:szCs w:val="21"/>
        </w:rPr>
        <w:t>1.44%</w:t>
      </w:r>
      <w:r>
        <w:rPr>
          <w:rFonts w:ascii="宋体" w:hAnsi="宋体" w:cs="宋体" w:eastAsia="宋体" w:hint="default"/>
          <w:sz w:val="21"/>
          <w:szCs w:val="21"/>
        </w:rPr>
        <w:t>；除上</w:t>
      </w:r>
      <w:r>
        <w:rPr>
          <w:rFonts w:ascii="宋体" w:hAnsi="宋体" w:cs="宋体" w:eastAsia="宋体" w:hint="default"/>
          <w:w w:val="100"/>
          <w:sz w:val="21"/>
          <w:szCs w:val="21"/>
        </w:rPr>
        <w:t> </w:t>
      </w:r>
      <w:r>
        <w:rPr>
          <w:rFonts w:ascii="宋体" w:hAnsi="宋体" w:cs="宋体" w:eastAsia="宋体" w:hint="default"/>
          <w:sz w:val="21"/>
          <w:szCs w:val="21"/>
        </w:rPr>
        <w:t>述子公司持有的交通银行股票外，本公司所属联通红筹公司持有的国外的西班牙电</w:t>
      </w:r>
      <w:r>
        <w:rPr>
          <w:rFonts w:ascii="宋体" w:hAnsi="宋体" w:cs="宋体" w:eastAsia="宋体" w:hint="default"/>
          <w:w w:val="100"/>
          <w:sz w:val="21"/>
          <w:szCs w:val="21"/>
        </w:rPr>
        <w:t> </w:t>
      </w:r>
      <w:r>
        <w:rPr>
          <w:rFonts w:ascii="宋体" w:hAnsi="宋体" w:cs="宋体" w:eastAsia="宋体" w:hint="default"/>
          <w:sz w:val="21"/>
          <w:szCs w:val="21"/>
        </w:rPr>
        <w:t>信普通股股份约</w:t>
      </w:r>
      <w:r>
        <w:rPr>
          <w:rFonts w:ascii="宋体" w:hAnsi="宋体" w:cs="宋体" w:eastAsia="宋体" w:hint="default"/>
          <w:spacing w:val="-54"/>
          <w:sz w:val="21"/>
          <w:szCs w:val="21"/>
        </w:rPr>
        <w:t> </w:t>
      </w:r>
      <w:r>
        <w:rPr>
          <w:rFonts w:ascii="Arial" w:hAnsi="Arial" w:cs="Arial" w:eastAsia="Arial" w:hint="default"/>
          <w:sz w:val="21"/>
          <w:szCs w:val="21"/>
        </w:rPr>
        <w:t>6,420</w:t>
      </w:r>
      <w:r>
        <w:rPr>
          <w:rFonts w:ascii="Arial" w:hAnsi="Arial" w:cs="Arial" w:eastAsia="Arial" w:hint="default"/>
          <w:spacing w:val="-8"/>
          <w:sz w:val="21"/>
          <w:szCs w:val="21"/>
        </w:rPr>
        <w:t> </w:t>
      </w:r>
      <w:r>
        <w:rPr>
          <w:rFonts w:ascii="宋体" w:hAnsi="宋体" w:cs="宋体" w:eastAsia="宋体" w:hint="default"/>
          <w:sz w:val="21"/>
          <w:szCs w:val="21"/>
        </w:rPr>
        <w:t>万股，约占西班牙电信总股份的</w:t>
      </w:r>
      <w:r>
        <w:rPr>
          <w:rFonts w:ascii="宋体" w:hAnsi="宋体" w:cs="宋体" w:eastAsia="宋体" w:hint="default"/>
          <w:spacing w:val="-54"/>
          <w:sz w:val="21"/>
          <w:szCs w:val="21"/>
        </w:rPr>
        <w:t> </w:t>
      </w:r>
      <w:r>
        <w:rPr>
          <w:rFonts w:ascii="Arial" w:hAnsi="Arial" w:cs="Arial" w:eastAsia="Arial" w:hint="default"/>
          <w:sz w:val="21"/>
          <w:szCs w:val="21"/>
        </w:rPr>
        <w:t>1.38%</w:t>
      </w:r>
      <w:r>
        <w:rPr>
          <w:rFonts w:ascii="宋体" w:hAnsi="宋体" w:cs="宋体" w:eastAsia="宋体" w:hint="default"/>
          <w:sz w:val="21"/>
          <w:szCs w:val="21"/>
        </w:rPr>
        <w:t>。</w:t>
      </w:r>
    </w:p>
    <w:p>
      <w:pPr>
        <w:spacing w:before="168"/>
        <w:ind w:left="846" w:right="1922" w:firstLine="0"/>
        <w:jc w:val="left"/>
        <w:rPr>
          <w:rFonts w:ascii="宋体" w:hAnsi="宋体" w:cs="宋体" w:eastAsia="宋体" w:hint="default"/>
          <w:sz w:val="21"/>
          <w:szCs w:val="21"/>
        </w:rPr>
      </w:pPr>
      <w:r>
        <w:rPr>
          <w:rFonts w:ascii="Arial" w:hAnsi="Arial" w:cs="Arial" w:eastAsia="Arial" w:hint="default"/>
          <w:sz w:val="21"/>
          <w:szCs w:val="21"/>
        </w:rPr>
        <w:t>1.2 </w:t>
      </w:r>
      <w:r>
        <w:rPr>
          <w:rFonts w:ascii="Arial" w:hAnsi="Arial" w:cs="Arial" w:eastAsia="Arial" w:hint="default"/>
          <w:spacing w:val="16"/>
          <w:sz w:val="21"/>
          <w:szCs w:val="21"/>
        </w:rPr>
        <w:t> </w:t>
      </w:r>
      <w:r>
        <w:rPr>
          <w:rFonts w:ascii="宋体" w:hAnsi="宋体" w:cs="宋体" w:eastAsia="宋体" w:hint="default"/>
          <w:sz w:val="21"/>
          <w:szCs w:val="21"/>
        </w:rPr>
        <w:t>持有非上市金融企业股权情况</w:t>
      </w:r>
    </w:p>
    <w:p>
      <w:pPr>
        <w:spacing w:line="240" w:lineRule="auto" w:before="5"/>
        <w:rPr>
          <w:rFonts w:ascii="宋体" w:hAnsi="宋体" w:cs="宋体" w:eastAsia="宋体" w:hint="default"/>
          <w:sz w:val="15"/>
          <w:szCs w:val="15"/>
        </w:rPr>
      </w:pPr>
    </w:p>
    <w:tbl>
      <w:tblPr>
        <w:tblW w:w="0" w:type="auto"/>
        <w:jc w:val="left"/>
        <w:tblInd w:w="1268" w:type="dxa"/>
        <w:tblLayout w:type="fixed"/>
        <w:tblCellMar>
          <w:top w:w="0" w:type="dxa"/>
          <w:left w:w="0" w:type="dxa"/>
          <w:bottom w:w="0" w:type="dxa"/>
          <w:right w:w="0" w:type="dxa"/>
        </w:tblCellMar>
        <w:tblLook w:val="01E0"/>
      </w:tblPr>
      <w:tblGrid>
        <w:gridCol w:w="713"/>
        <w:gridCol w:w="994"/>
        <w:gridCol w:w="898"/>
        <w:gridCol w:w="840"/>
        <w:gridCol w:w="979"/>
        <w:gridCol w:w="826"/>
        <w:gridCol w:w="866"/>
        <w:gridCol w:w="869"/>
        <w:gridCol w:w="528"/>
      </w:tblGrid>
      <w:tr>
        <w:trPr>
          <w:trHeight w:val="594" w:hRule="exact"/>
        </w:trPr>
        <w:tc>
          <w:tcPr>
            <w:tcW w:w="71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73"/>
              <w:ind w:left="122" w:right="125"/>
              <w:jc w:val="left"/>
              <w:rPr>
                <w:rFonts w:ascii="宋体" w:hAnsi="宋体" w:cs="宋体" w:eastAsia="宋体" w:hint="default"/>
                <w:sz w:val="15"/>
                <w:szCs w:val="15"/>
              </w:rPr>
            </w:pPr>
            <w:r>
              <w:rPr>
                <w:rFonts w:ascii="宋体" w:hAnsi="宋体" w:cs="宋体" w:eastAsia="宋体" w:hint="default"/>
                <w:b/>
                <w:bCs/>
                <w:sz w:val="15"/>
                <w:szCs w:val="15"/>
              </w:rPr>
              <w:t>所持对</w:t>
            </w:r>
            <w:r>
              <w:rPr>
                <w:rFonts w:ascii="宋体" w:hAnsi="宋体" w:cs="宋体" w:eastAsia="宋体" w:hint="default"/>
                <w:b/>
                <w:bCs/>
                <w:w w:val="100"/>
                <w:sz w:val="15"/>
                <w:szCs w:val="15"/>
              </w:rPr>
              <w:t> </w:t>
            </w:r>
            <w:r>
              <w:rPr>
                <w:rFonts w:ascii="宋体" w:hAnsi="宋体" w:cs="宋体" w:eastAsia="宋体" w:hint="default"/>
                <w:b/>
                <w:bCs/>
                <w:sz w:val="15"/>
                <w:szCs w:val="15"/>
              </w:rPr>
              <w:t>象名称</w:t>
            </w:r>
            <w:r>
              <w:rPr>
                <w:rFonts w:ascii="宋体" w:hAnsi="宋体" w:cs="宋体" w:eastAsia="宋体" w:hint="default"/>
                <w:sz w:val="15"/>
                <w:szCs w:val="15"/>
              </w:rPr>
            </w:r>
          </w:p>
        </w:tc>
        <w:tc>
          <w:tcPr>
            <w:tcW w:w="99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73"/>
              <w:ind w:left="189" w:right="110" w:hanging="75"/>
              <w:jc w:val="left"/>
              <w:rPr>
                <w:rFonts w:ascii="宋体" w:hAnsi="宋体" w:cs="宋体" w:eastAsia="宋体" w:hint="default"/>
                <w:sz w:val="15"/>
                <w:szCs w:val="15"/>
              </w:rPr>
            </w:pPr>
            <w:r>
              <w:rPr>
                <w:rFonts w:ascii="宋体" w:hAnsi="宋体" w:cs="宋体" w:eastAsia="宋体" w:hint="default"/>
                <w:b/>
                <w:bCs/>
                <w:sz w:val="15"/>
                <w:szCs w:val="15"/>
              </w:rPr>
              <w:t>最初投资金</w:t>
            </w:r>
            <w:r>
              <w:rPr>
                <w:rFonts w:ascii="宋体" w:hAnsi="宋体" w:cs="宋体" w:eastAsia="宋体" w:hint="default"/>
                <w:b/>
                <w:bCs/>
                <w:spacing w:val="-73"/>
                <w:sz w:val="15"/>
                <w:szCs w:val="15"/>
              </w:rPr>
              <w:t> </w:t>
            </w:r>
            <w:r>
              <w:rPr>
                <w:rFonts w:ascii="宋体" w:hAnsi="宋体" w:cs="宋体" w:eastAsia="宋体" w:hint="default"/>
                <w:b/>
                <w:bCs/>
                <w:sz w:val="15"/>
                <w:szCs w:val="15"/>
              </w:rPr>
              <w:t>额（元）</w:t>
            </w:r>
            <w:r>
              <w:rPr>
                <w:rFonts w:ascii="宋体" w:hAnsi="宋体" w:cs="宋体" w:eastAsia="宋体" w:hint="default"/>
                <w:sz w:val="15"/>
                <w:szCs w:val="15"/>
              </w:rPr>
            </w:r>
          </w:p>
        </w:tc>
        <w:tc>
          <w:tcPr>
            <w:tcW w:w="89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195" w:lineRule="exact" w:before="73"/>
              <w:ind w:left="141" w:right="0"/>
              <w:jc w:val="left"/>
              <w:rPr>
                <w:rFonts w:ascii="宋体" w:hAnsi="宋体" w:cs="宋体" w:eastAsia="宋体" w:hint="default"/>
                <w:sz w:val="15"/>
                <w:szCs w:val="15"/>
              </w:rPr>
            </w:pPr>
            <w:r>
              <w:rPr>
                <w:rFonts w:ascii="宋体" w:hAnsi="宋体" w:cs="宋体" w:eastAsia="宋体" w:hint="default"/>
                <w:b/>
                <w:bCs/>
                <w:sz w:val="15"/>
                <w:szCs w:val="15"/>
              </w:rPr>
              <w:t>持有数量</w:t>
            </w:r>
            <w:r>
              <w:rPr>
                <w:rFonts w:ascii="宋体" w:hAnsi="宋体" w:cs="宋体" w:eastAsia="宋体" w:hint="default"/>
                <w:sz w:val="15"/>
                <w:szCs w:val="15"/>
              </w:rPr>
            </w:r>
          </w:p>
          <w:p>
            <w:pPr>
              <w:pStyle w:val="TableParagraph"/>
              <w:spacing w:line="195" w:lineRule="exact"/>
              <w:ind w:left="216" w:right="0"/>
              <w:jc w:val="left"/>
              <w:rPr>
                <w:rFonts w:ascii="宋体" w:hAnsi="宋体" w:cs="宋体" w:eastAsia="宋体" w:hint="default"/>
                <w:sz w:val="15"/>
                <w:szCs w:val="15"/>
              </w:rPr>
            </w:pPr>
            <w:r>
              <w:rPr>
                <w:rFonts w:ascii="宋体" w:hAnsi="宋体" w:cs="宋体" w:eastAsia="宋体" w:hint="default"/>
                <w:b/>
                <w:bCs/>
                <w:sz w:val="15"/>
                <w:szCs w:val="15"/>
              </w:rPr>
              <w:t>（股）</w:t>
            </w:r>
            <w:r>
              <w:rPr>
                <w:rFonts w:ascii="宋体" w:hAnsi="宋体" w:cs="宋体" w:eastAsia="宋体" w:hint="default"/>
                <w:sz w:val="15"/>
                <w:szCs w:val="15"/>
              </w:rPr>
            </w:r>
          </w:p>
        </w:tc>
        <w:tc>
          <w:tcPr>
            <w:tcW w:w="84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173" w:lineRule="exact"/>
              <w:ind w:left="110" w:right="0"/>
              <w:jc w:val="left"/>
              <w:rPr>
                <w:rFonts w:ascii="宋体" w:hAnsi="宋体" w:cs="宋体" w:eastAsia="宋体" w:hint="default"/>
                <w:sz w:val="15"/>
                <w:szCs w:val="15"/>
              </w:rPr>
            </w:pPr>
            <w:r>
              <w:rPr>
                <w:rFonts w:ascii="宋体" w:hAnsi="宋体" w:cs="宋体" w:eastAsia="宋体" w:hint="default"/>
                <w:b/>
                <w:bCs/>
                <w:sz w:val="15"/>
                <w:szCs w:val="15"/>
              </w:rPr>
              <w:t>占该公司</w:t>
            </w:r>
            <w:r>
              <w:rPr>
                <w:rFonts w:ascii="宋体" w:hAnsi="宋体" w:cs="宋体" w:eastAsia="宋体" w:hint="default"/>
                <w:sz w:val="15"/>
                <w:szCs w:val="15"/>
              </w:rPr>
            </w:r>
          </w:p>
          <w:p>
            <w:pPr>
              <w:pStyle w:val="TableParagraph"/>
              <w:spacing w:line="194" w:lineRule="exact"/>
              <w:ind w:left="110" w:right="0"/>
              <w:jc w:val="left"/>
              <w:rPr>
                <w:rFonts w:ascii="宋体" w:hAnsi="宋体" w:cs="宋体" w:eastAsia="宋体" w:hint="default"/>
                <w:sz w:val="15"/>
                <w:szCs w:val="15"/>
              </w:rPr>
            </w:pPr>
            <w:r>
              <w:rPr>
                <w:rFonts w:ascii="宋体" w:hAnsi="宋体" w:cs="宋体" w:eastAsia="宋体" w:hint="default"/>
                <w:b/>
                <w:bCs/>
                <w:sz w:val="15"/>
                <w:szCs w:val="15"/>
              </w:rPr>
              <w:t>股权比例</w:t>
            </w:r>
            <w:r>
              <w:rPr>
                <w:rFonts w:ascii="宋体" w:hAnsi="宋体" w:cs="宋体" w:eastAsia="宋体" w:hint="default"/>
                <w:sz w:val="15"/>
                <w:szCs w:val="15"/>
              </w:rPr>
            </w:r>
          </w:p>
          <w:p>
            <w:pPr>
              <w:pStyle w:val="TableParagraph"/>
              <w:spacing w:line="206" w:lineRule="exact"/>
              <w:ind w:left="194"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Arial" w:hAnsi="Arial" w:cs="Arial" w:eastAsia="Arial"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9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73"/>
              <w:ind w:left="105" w:right="107" w:firstLine="74"/>
              <w:jc w:val="left"/>
              <w:rPr>
                <w:rFonts w:ascii="宋体" w:hAnsi="宋体" w:cs="宋体" w:eastAsia="宋体" w:hint="default"/>
                <w:sz w:val="15"/>
                <w:szCs w:val="15"/>
              </w:rPr>
            </w:pPr>
            <w:r>
              <w:rPr>
                <w:rFonts w:ascii="宋体" w:hAnsi="宋体" w:cs="宋体" w:eastAsia="宋体" w:hint="default"/>
                <w:b/>
                <w:bCs/>
                <w:sz w:val="15"/>
                <w:szCs w:val="15"/>
              </w:rPr>
              <w:t>期末账面</w:t>
            </w:r>
            <w:r>
              <w:rPr>
                <w:rFonts w:ascii="宋体" w:hAnsi="宋体" w:cs="宋体" w:eastAsia="宋体" w:hint="default"/>
                <w:b/>
                <w:bCs/>
                <w:w w:val="100"/>
                <w:sz w:val="15"/>
                <w:szCs w:val="15"/>
              </w:rPr>
              <w:t> </w:t>
            </w:r>
            <w:r>
              <w:rPr>
                <w:rFonts w:ascii="宋体" w:hAnsi="宋体" w:cs="宋体" w:eastAsia="宋体" w:hint="default"/>
                <w:b/>
                <w:bCs/>
                <w:sz w:val="15"/>
                <w:szCs w:val="15"/>
              </w:rPr>
              <w:t>价值（元）</w:t>
            </w:r>
            <w:r>
              <w:rPr>
                <w:rFonts w:ascii="宋体" w:hAnsi="宋体" w:cs="宋体" w:eastAsia="宋体" w:hint="default"/>
                <w:sz w:val="15"/>
                <w:szCs w:val="15"/>
              </w:rPr>
            </w:r>
          </w:p>
        </w:tc>
        <w:tc>
          <w:tcPr>
            <w:tcW w:w="82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73"/>
              <w:ind w:left="103" w:right="24" w:firstLine="79"/>
              <w:jc w:val="left"/>
              <w:rPr>
                <w:rFonts w:ascii="宋体" w:hAnsi="宋体" w:cs="宋体" w:eastAsia="宋体" w:hint="default"/>
                <w:sz w:val="15"/>
                <w:szCs w:val="15"/>
              </w:rPr>
            </w:pPr>
            <w:r>
              <w:rPr>
                <w:rFonts w:ascii="宋体" w:hAnsi="宋体" w:cs="宋体" w:eastAsia="宋体" w:hint="default"/>
                <w:b/>
                <w:bCs/>
                <w:sz w:val="15"/>
                <w:szCs w:val="15"/>
              </w:rPr>
              <w:t>报告期</w:t>
            </w:r>
            <w:r>
              <w:rPr>
                <w:rFonts w:ascii="宋体" w:hAnsi="宋体" w:cs="宋体" w:eastAsia="宋体" w:hint="default"/>
                <w:b/>
                <w:bCs/>
                <w:w w:val="100"/>
                <w:sz w:val="15"/>
                <w:szCs w:val="15"/>
              </w:rPr>
              <w:t> </w:t>
            </w:r>
            <w:r>
              <w:rPr>
                <w:rFonts w:ascii="宋体" w:hAnsi="宋体" w:cs="宋体" w:eastAsia="宋体" w:hint="default"/>
                <w:b/>
                <w:bCs/>
                <w:spacing w:val="-14"/>
                <w:w w:val="100"/>
                <w:sz w:val="15"/>
                <w:szCs w:val="15"/>
              </w:rPr>
              <w:t>损益（元）</w:t>
            </w:r>
            <w:r>
              <w:rPr>
                <w:rFonts w:ascii="宋体" w:hAnsi="宋体" w:cs="宋体" w:eastAsia="宋体" w:hint="default"/>
                <w:spacing w:val="-14"/>
                <w:w w:val="100"/>
                <w:sz w:val="15"/>
                <w:szCs w:val="15"/>
              </w:rPr>
            </w:r>
          </w:p>
        </w:tc>
        <w:tc>
          <w:tcPr>
            <w:tcW w:w="86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173" w:lineRule="exact"/>
              <w:ind w:left="124" w:right="0"/>
              <w:jc w:val="left"/>
              <w:rPr>
                <w:rFonts w:ascii="宋体" w:hAnsi="宋体" w:cs="宋体" w:eastAsia="宋体" w:hint="default"/>
                <w:sz w:val="15"/>
                <w:szCs w:val="15"/>
              </w:rPr>
            </w:pPr>
            <w:r>
              <w:rPr>
                <w:rFonts w:ascii="宋体" w:hAnsi="宋体" w:cs="宋体" w:eastAsia="宋体" w:hint="default"/>
                <w:b/>
                <w:bCs/>
                <w:sz w:val="15"/>
                <w:szCs w:val="15"/>
              </w:rPr>
              <w:t>报告期所</w:t>
            </w:r>
            <w:r>
              <w:rPr>
                <w:rFonts w:ascii="宋体" w:hAnsi="宋体" w:cs="宋体" w:eastAsia="宋体" w:hint="default"/>
                <w:sz w:val="15"/>
                <w:szCs w:val="15"/>
              </w:rPr>
            </w:r>
          </w:p>
          <w:p>
            <w:pPr>
              <w:pStyle w:val="TableParagraph"/>
              <w:spacing w:line="240" w:lineRule="auto"/>
              <w:ind w:left="100" w:right="24" w:firstLine="24"/>
              <w:jc w:val="left"/>
              <w:rPr>
                <w:rFonts w:ascii="宋体" w:hAnsi="宋体" w:cs="宋体" w:eastAsia="宋体" w:hint="default"/>
                <w:sz w:val="15"/>
                <w:szCs w:val="15"/>
              </w:rPr>
            </w:pPr>
            <w:r>
              <w:rPr>
                <w:rFonts w:ascii="宋体" w:hAnsi="宋体" w:cs="宋体" w:eastAsia="宋体" w:hint="default"/>
                <w:b/>
                <w:bCs/>
                <w:sz w:val="15"/>
                <w:szCs w:val="15"/>
              </w:rPr>
              <w:t>有者权益</w:t>
            </w:r>
            <w:r>
              <w:rPr>
                <w:rFonts w:ascii="宋体" w:hAnsi="宋体" w:cs="宋体" w:eastAsia="宋体" w:hint="default"/>
                <w:b/>
                <w:bCs/>
                <w:w w:val="100"/>
                <w:sz w:val="15"/>
                <w:szCs w:val="15"/>
              </w:rPr>
              <w:t> </w:t>
            </w:r>
            <w:r>
              <w:rPr>
                <w:rFonts w:ascii="宋体" w:hAnsi="宋体" w:cs="宋体" w:eastAsia="宋体" w:hint="default"/>
                <w:b/>
                <w:bCs/>
                <w:spacing w:val="-6"/>
                <w:sz w:val="15"/>
                <w:szCs w:val="15"/>
              </w:rPr>
              <w:t>变动（元）</w:t>
            </w:r>
            <w:r>
              <w:rPr>
                <w:rFonts w:ascii="宋体" w:hAnsi="宋体" w:cs="宋体" w:eastAsia="宋体" w:hint="default"/>
                <w:spacing w:val="-6"/>
                <w:sz w:val="15"/>
                <w:szCs w:val="15"/>
              </w:rPr>
            </w:r>
          </w:p>
        </w:tc>
        <w:tc>
          <w:tcPr>
            <w:tcW w:w="86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73"/>
              <w:ind w:left="278" w:right="125" w:hanging="152"/>
              <w:jc w:val="left"/>
              <w:rPr>
                <w:rFonts w:ascii="宋体" w:hAnsi="宋体" w:cs="宋体" w:eastAsia="宋体" w:hint="default"/>
                <w:sz w:val="15"/>
                <w:szCs w:val="15"/>
              </w:rPr>
            </w:pPr>
            <w:r>
              <w:rPr>
                <w:rFonts w:ascii="宋体" w:hAnsi="宋体" w:cs="宋体" w:eastAsia="宋体" w:hint="default"/>
                <w:b/>
                <w:bCs/>
                <w:sz w:val="15"/>
                <w:szCs w:val="15"/>
              </w:rPr>
              <w:t>会计核算</w:t>
            </w:r>
            <w:r>
              <w:rPr>
                <w:rFonts w:ascii="宋体" w:hAnsi="宋体" w:cs="宋体" w:eastAsia="宋体" w:hint="default"/>
                <w:b/>
                <w:bCs/>
                <w:spacing w:val="-74"/>
                <w:sz w:val="15"/>
                <w:szCs w:val="15"/>
              </w:rPr>
              <w:t> </w:t>
            </w:r>
            <w:r>
              <w:rPr>
                <w:rFonts w:ascii="宋体" w:hAnsi="宋体" w:cs="宋体" w:eastAsia="宋体" w:hint="default"/>
                <w:b/>
                <w:bCs/>
                <w:sz w:val="15"/>
                <w:szCs w:val="15"/>
              </w:rPr>
              <w:t>科目</w:t>
            </w:r>
            <w:r>
              <w:rPr>
                <w:rFonts w:ascii="宋体" w:hAnsi="宋体" w:cs="宋体" w:eastAsia="宋体" w:hint="default"/>
                <w:sz w:val="15"/>
                <w:szCs w:val="15"/>
              </w:rPr>
            </w:r>
          </w:p>
        </w:tc>
        <w:tc>
          <w:tcPr>
            <w:tcW w:w="52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73"/>
              <w:ind w:left="108" w:right="107"/>
              <w:jc w:val="left"/>
              <w:rPr>
                <w:rFonts w:ascii="宋体" w:hAnsi="宋体" w:cs="宋体" w:eastAsia="宋体" w:hint="default"/>
                <w:sz w:val="15"/>
                <w:szCs w:val="15"/>
              </w:rPr>
            </w:pPr>
            <w:r>
              <w:rPr>
                <w:rFonts w:ascii="宋体" w:hAnsi="宋体" w:cs="宋体" w:eastAsia="宋体" w:hint="default"/>
                <w:b/>
                <w:bCs/>
                <w:sz w:val="15"/>
                <w:szCs w:val="15"/>
              </w:rPr>
              <w:t>股份</w:t>
            </w:r>
            <w:r>
              <w:rPr>
                <w:rFonts w:ascii="宋体" w:hAnsi="宋体" w:cs="宋体" w:eastAsia="宋体" w:hint="default"/>
                <w:b/>
                <w:bCs/>
                <w:w w:val="100"/>
                <w:sz w:val="15"/>
                <w:szCs w:val="15"/>
              </w:rPr>
              <w:t> </w:t>
            </w:r>
            <w:r>
              <w:rPr>
                <w:rFonts w:ascii="宋体" w:hAnsi="宋体" w:cs="宋体" w:eastAsia="宋体" w:hint="default"/>
                <w:b/>
                <w:bCs/>
                <w:sz w:val="15"/>
                <w:szCs w:val="15"/>
              </w:rPr>
              <w:t>来源</w:t>
            </w:r>
            <w:r>
              <w:rPr>
                <w:rFonts w:ascii="宋体" w:hAnsi="宋体" w:cs="宋体" w:eastAsia="宋体" w:hint="default"/>
                <w:sz w:val="15"/>
                <w:szCs w:val="15"/>
              </w:rPr>
            </w:r>
          </w:p>
        </w:tc>
      </w:tr>
      <w:tr>
        <w:trPr>
          <w:trHeight w:val="39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广东发</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展银行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29" w:right="0"/>
              <w:jc w:val="left"/>
              <w:rPr>
                <w:rFonts w:ascii="Arial" w:hAnsi="Arial" w:cs="Arial" w:eastAsia="Arial" w:hint="default"/>
                <w:sz w:val="15"/>
                <w:szCs w:val="15"/>
              </w:rPr>
            </w:pPr>
            <w:r>
              <w:rPr>
                <w:rFonts w:ascii="Arial"/>
                <w:sz w:val="15"/>
              </w:rPr>
              <w:t>19,730,271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15" w:right="0"/>
              <w:jc w:val="left"/>
              <w:rPr>
                <w:rFonts w:ascii="Arial" w:hAnsi="Arial" w:cs="Arial" w:eastAsia="Arial" w:hint="default"/>
                <w:sz w:val="15"/>
                <w:szCs w:val="15"/>
              </w:rPr>
            </w:pPr>
            <w:r>
              <w:rPr>
                <w:rFonts w:ascii="Arial"/>
                <w:sz w:val="15"/>
              </w:rPr>
              <w:t>7,356,985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31" w:right="0"/>
              <w:jc w:val="left"/>
              <w:rPr>
                <w:rFonts w:ascii="Arial" w:hAnsi="Arial" w:cs="Arial" w:eastAsia="Arial" w:hint="default"/>
                <w:sz w:val="15"/>
                <w:szCs w:val="15"/>
              </w:rPr>
            </w:pPr>
            <w:r>
              <w:rPr>
                <w:rFonts w:ascii="Arial"/>
                <w:sz w:val="15"/>
              </w:rPr>
              <w:t>0.05</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12" w:right="0"/>
              <w:jc w:val="left"/>
              <w:rPr>
                <w:rFonts w:ascii="Arial" w:hAnsi="Arial" w:cs="Arial" w:eastAsia="Arial" w:hint="default"/>
                <w:sz w:val="15"/>
                <w:szCs w:val="15"/>
              </w:rPr>
            </w:pPr>
            <w:r>
              <w:rPr>
                <w:rFonts w:ascii="Arial"/>
                <w:sz w:val="15"/>
              </w:rPr>
              <w:t>19,730,271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Arial" w:hAnsi="Arial" w:cs="Arial" w:eastAsia="Arial" w:hint="default"/>
                <w:sz w:val="15"/>
                <w:szCs w:val="15"/>
              </w:rPr>
            </w:pPr>
            <w:r>
              <w:rPr>
                <w:rFonts w:ascii="Arial"/>
                <w:w w:val="100"/>
                <w:sz w:val="15"/>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Arial" w:hAnsi="Arial" w:cs="Arial" w:eastAsia="Arial" w:hint="default"/>
                <w:sz w:val="15"/>
                <w:szCs w:val="15"/>
              </w:rPr>
            </w:pPr>
            <w:r>
              <w:rPr>
                <w:rFonts w:ascii="Arial"/>
                <w:w w:val="100"/>
                <w:sz w:val="15"/>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9" w:right="0"/>
              <w:jc w:val="left"/>
              <w:rPr>
                <w:rFonts w:ascii="宋体" w:hAnsi="宋体" w:cs="宋体" w:eastAsia="宋体" w:hint="default"/>
                <w:sz w:val="15"/>
                <w:szCs w:val="15"/>
              </w:rPr>
            </w:pPr>
            <w:r>
              <w:rPr>
                <w:rFonts w:ascii="宋体" w:hAnsi="宋体" w:cs="宋体" w:eastAsia="宋体" w:hint="default"/>
                <w:sz w:val="15"/>
                <w:szCs w:val="15"/>
              </w:rPr>
              <w:t>可供出售</w:t>
            </w:r>
          </w:p>
          <w:p>
            <w:pPr>
              <w:pStyle w:val="TableParagraph"/>
              <w:spacing w:line="195" w:lineRule="exact"/>
              <w:ind w:left="129" w:right="0"/>
              <w:jc w:val="left"/>
              <w:rPr>
                <w:rFonts w:ascii="宋体" w:hAnsi="宋体" w:cs="宋体" w:eastAsia="宋体" w:hint="default"/>
                <w:sz w:val="15"/>
                <w:szCs w:val="15"/>
              </w:rPr>
            </w:pPr>
            <w:r>
              <w:rPr>
                <w:rFonts w:ascii="宋体" w:hAnsi="宋体" w:cs="宋体" w:eastAsia="宋体" w:hint="default"/>
                <w:sz w:val="15"/>
                <w:szCs w:val="15"/>
              </w:rPr>
              <w:t>金融资产</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8" w:right="0"/>
              <w:jc w:val="left"/>
              <w:rPr>
                <w:rFonts w:ascii="宋体" w:hAnsi="宋体" w:cs="宋体" w:eastAsia="宋体" w:hint="default"/>
                <w:sz w:val="15"/>
                <w:szCs w:val="15"/>
              </w:rPr>
            </w:pPr>
            <w:r>
              <w:rPr>
                <w:rFonts w:ascii="宋体" w:hAnsi="宋体" w:cs="宋体" w:eastAsia="宋体" w:hint="default"/>
                <w:sz w:val="15"/>
                <w:szCs w:val="15"/>
              </w:rPr>
              <w:t>购买</w:t>
            </w:r>
          </w:p>
        </w:tc>
      </w:tr>
    </w:tbl>
    <w:p>
      <w:pPr>
        <w:spacing w:line="240" w:lineRule="auto" w:before="10"/>
        <w:rPr>
          <w:rFonts w:ascii="宋体" w:hAnsi="宋体" w:cs="宋体" w:eastAsia="宋体" w:hint="default"/>
          <w:sz w:val="8"/>
          <w:szCs w:val="8"/>
        </w:rPr>
      </w:pPr>
    </w:p>
    <w:p>
      <w:pPr>
        <w:spacing w:before="36"/>
        <w:ind w:left="1270" w:right="143" w:firstLine="0"/>
        <w:jc w:val="left"/>
        <w:rPr>
          <w:rFonts w:ascii="宋体" w:hAnsi="宋体" w:cs="宋体" w:eastAsia="宋体" w:hint="default"/>
          <w:sz w:val="21"/>
          <w:szCs w:val="21"/>
        </w:rPr>
      </w:pPr>
      <w:r>
        <w:rPr>
          <w:rFonts w:ascii="宋体" w:hAnsi="宋体" w:cs="宋体" w:eastAsia="宋体" w:hint="default"/>
          <w:sz w:val="21"/>
          <w:szCs w:val="21"/>
        </w:rPr>
        <w:t>本公司所属子公司对广东发展银行不具有控制、共同控制或重大影响。</w:t>
      </w:r>
    </w:p>
    <w:p>
      <w:pPr>
        <w:spacing w:line="240" w:lineRule="auto" w:before="0"/>
        <w:rPr>
          <w:rFonts w:ascii="宋体" w:hAnsi="宋体" w:cs="宋体" w:eastAsia="宋体" w:hint="default"/>
          <w:sz w:val="16"/>
          <w:szCs w:val="16"/>
        </w:rPr>
      </w:pPr>
    </w:p>
    <w:p>
      <w:pPr>
        <w:spacing w:line="272" w:lineRule="exact" w:before="0"/>
        <w:ind w:left="1270" w:right="143" w:firstLine="0"/>
        <w:jc w:val="left"/>
        <w:rPr>
          <w:rFonts w:ascii="宋体" w:hAnsi="宋体" w:cs="宋体" w:eastAsia="宋体" w:hint="default"/>
          <w:sz w:val="21"/>
          <w:szCs w:val="21"/>
        </w:rPr>
      </w:pPr>
      <w:r>
        <w:rPr>
          <w:rFonts w:ascii="宋体" w:hAnsi="宋体" w:cs="宋体" w:eastAsia="宋体" w:hint="default"/>
          <w:spacing w:val="-2"/>
          <w:sz w:val="21"/>
          <w:szCs w:val="21"/>
        </w:rPr>
        <w:t>上述“报告期损益”及“报告期所有者权益变动”为本集团所持对上述公司的投资</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对本集团的影响。</w:t>
      </w:r>
    </w:p>
    <w:p>
      <w:pPr>
        <w:spacing w:before="158"/>
        <w:ind w:left="485" w:right="1922" w:firstLine="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pacing w:val="-36"/>
          <w:sz w:val="21"/>
          <w:szCs w:val="21"/>
        </w:rPr>
        <w:t> </w:t>
      </w:r>
      <w:r>
        <w:rPr>
          <w:rFonts w:ascii="宋体" w:hAnsi="宋体" w:cs="宋体" w:eastAsia="宋体" w:hint="default"/>
          <w:spacing w:val="-2"/>
          <w:sz w:val="21"/>
          <w:szCs w:val="21"/>
        </w:rPr>
        <w:t>非金融类公司委托理财及衍生品投资的情况</w:t>
      </w:r>
    </w:p>
    <w:p>
      <w:pPr>
        <w:spacing w:line="376" w:lineRule="auto" w:before="166"/>
        <w:ind w:left="1270" w:right="4802" w:hanging="425"/>
        <w:jc w:val="left"/>
        <w:rPr>
          <w:rFonts w:ascii="宋体" w:hAnsi="宋体" w:cs="宋体" w:eastAsia="宋体" w:hint="default"/>
          <w:sz w:val="21"/>
          <w:szCs w:val="21"/>
        </w:rPr>
      </w:pPr>
      <w:r>
        <w:rPr>
          <w:rFonts w:ascii="Arial" w:hAnsi="Arial" w:cs="Arial" w:eastAsia="Arial" w:hint="default"/>
          <w:sz w:val="21"/>
          <w:szCs w:val="21"/>
        </w:rPr>
        <w:t>2.1</w:t>
      </w:r>
      <w:r>
        <w:rPr>
          <w:rFonts w:ascii="Arial" w:hAnsi="Arial" w:cs="Arial" w:eastAsia="Arial" w:hint="default"/>
          <w:spacing w:val="15"/>
          <w:sz w:val="21"/>
          <w:szCs w:val="21"/>
        </w:rPr>
        <w:t> </w:t>
      </w:r>
      <w:r>
        <w:rPr>
          <w:rFonts w:ascii="宋体" w:hAnsi="宋体" w:cs="宋体" w:eastAsia="宋体" w:hint="default"/>
          <w:sz w:val="21"/>
          <w:szCs w:val="21"/>
        </w:rPr>
        <w:t>委托理财情况</w:t>
      </w:r>
      <w:r>
        <w:rPr>
          <w:rFonts w:ascii="宋体" w:hAnsi="宋体" w:cs="宋体" w:eastAsia="宋体" w:hint="default"/>
          <w:w w:val="100"/>
          <w:sz w:val="21"/>
          <w:szCs w:val="21"/>
        </w:rPr>
        <w:t> </w:t>
      </w:r>
      <w:r>
        <w:rPr>
          <w:rFonts w:ascii="宋体" w:hAnsi="宋体" w:cs="宋体" w:eastAsia="宋体" w:hint="default"/>
          <w:spacing w:val="-2"/>
          <w:sz w:val="21"/>
          <w:szCs w:val="21"/>
        </w:rPr>
        <w:t>本年度公司无委托理财事项。</w:t>
      </w:r>
    </w:p>
    <w:p>
      <w:pPr>
        <w:spacing w:line="376" w:lineRule="auto" w:before="61"/>
        <w:ind w:left="1270" w:right="4802" w:hanging="425"/>
        <w:jc w:val="left"/>
        <w:rPr>
          <w:rFonts w:ascii="宋体" w:hAnsi="宋体" w:cs="宋体" w:eastAsia="宋体" w:hint="default"/>
          <w:sz w:val="21"/>
          <w:szCs w:val="21"/>
        </w:rPr>
      </w:pPr>
      <w:r>
        <w:rPr>
          <w:rFonts w:ascii="Arial" w:hAnsi="Arial" w:cs="Arial" w:eastAsia="Arial" w:hint="default"/>
          <w:sz w:val="21"/>
          <w:szCs w:val="21"/>
        </w:rPr>
        <w:t>2.2</w:t>
      </w:r>
      <w:r>
        <w:rPr>
          <w:rFonts w:ascii="Arial" w:hAnsi="Arial" w:cs="Arial" w:eastAsia="Arial" w:hint="default"/>
          <w:spacing w:val="15"/>
          <w:sz w:val="21"/>
          <w:szCs w:val="21"/>
        </w:rPr>
        <w:t> </w:t>
      </w:r>
      <w:r>
        <w:rPr>
          <w:rFonts w:ascii="宋体" w:hAnsi="宋体" w:cs="宋体" w:eastAsia="宋体" w:hint="default"/>
          <w:sz w:val="21"/>
          <w:szCs w:val="21"/>
        </w:rPr>
        <w:t>委托贷款情况</w:t>
      </w:r>
      <w:r>
        <w:rPr>
          <w:rFonts w:ascii="宋体" w:hAnsi="宋体" w:cs="宋体" w:eastAsia="宋体" w:hint="default"/>
          <w:w w:val="100"/>
          <w:sz w:val="21"/>
          <w:szCs w:val="21"/>
        </w:rPr>
        <w:t> </w:t>
      </w:r>
      <w:r>
        <w:rPr>
          <w:rFonts w:ascii="宋体" w:hAnsi="宋体" w:cs="宋体" w:eastAsia="宋体" w:hint="default"/>
          <w:spacing w:val="-2"/>
          <w:sz w:val="21"/>
          <w:szCs w:val="21"/>
        </w:rPr>
        <w:t>本年度公司无委托贷款事项。</w:t>
      </w:r>
    </w:p>
    <w:p>
      <w:pPr>
        <w:spacing w:after="0" w:line="376" w:lineRule="auto"/>
        <w:jc w:val="left"/>
        <w:rPr>
          <w:rFonts w:ascii="宋体" w:hAnsi="宋体" w:cs="宋体" w:eastAsia="宋体" w:hint="default"/>
          <w:sz w:val="21"/>
          <w:szCs w:val="21"/>
        </w:rPr>
        <w:sectPr>
          <w:pgSz w:w="11910" w:h="16840"/>
          <w:pgMar w:header="880" w:footer="1194" w:top="1120" w:bottom="1380" w:left="1660" w:right="1200"/>
        </w:sectPr>
      </w:pPr>
    </w:p>
    <w:p>
      <w:pPr>
        <w:spacing w:line="240" w:lineRule="auto" w:before="11"/>
        <w:rPr>
          <w:rFonts w:ascii="宋体" w:hAnsi="宋体" w:cs="宋体" w:eastAsia="宋体" w:hint="default"/>
          <w:sz w:val="29"/>
          <w:szCs w:val="29"/>
        </w:rPr>
      </w:pPr>
    </w:p>
    <w:p>
      <w:pPr>
        <w:spacing w:before="36"/>
        <w:ind w:left="138" w:right="173" w:firstLine="0"/>
        <w:jc w:val="left"/>
        <w:rPr>
          <w:rFonts w:ascii="宋体" w:hAnsi="宋体" w:cs="宋体" w:eastAsia="宋体" w:hint="default"/>
          <w:sz w:val="21"/>
          <w:szCs w:val="21"/>
        </w:rPr>
      </w:pPr>
      <w:r>
        <w:rPr>
          <w:rFonts w:ascii="宋体" w:hAnsi="宋体" w:cs="宋体" w:eastAsia="宋体" w:hint="default"/>
          <w:b/>
          <w:bCs/>
          <w:sz w:val="21"/>
          <w:szCs w:val="21"/>
        </w:rPr>
        <w:t>一、董事会关于公司报告期内经营情况的讨论与分析（续）</w:t>
      </w:r>
      <w:r>
        <w:rPr>
          <w:rFonts w:ascii="宋体" w:hAnsi="宋体" w:cs="宋体" w:eastAsia="宋体" w:hint="default"/>
          <w:sz w:val="21"/>
          <w:szCs w:val="21"/>
        </w:rPr>
      </w:r>
    </w:p>
    <w:p>
      <w:pPr>
        <w:spacing w:line="240" w:lineRule="auto" w:before="11"/>
        <w:rPr>
          <w:rFonts w:ascii="宋体" w:hAnsi="宋体" w:cs="宋体" w:eastAsia="宋体" w:hint="default"/>
          <w:b/>
          <w:bCs/>
          <w:sz w:val="24"/>
          <w:szCs w:val="24"/>
        </w:rPr>
      </w:pPr>
    </w:p>
    <w:p>
      <w:pPr>
        <w:spacing w:before="0"/>
        <w:ind w:left="138" w:right="173"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五</w:t>
      </w:r>
      <w:r>
        <w:rPr>
          <w:rFonts w:ascii="Arial" w:hAnsi="Arial" w:cs="Arial" w:eastAsia="Arial" w:hint="default"/>
          <w:b/>
          <w:bCs/>
          <w:sz w:val="21"/>
          <w:szCs w:val="21"/>
        </w:rPr>
        <w:t>)</w:t>
      </w:r>
      <w:r>
        <w:rPr>
          <w:rFonts w:ascii="Arial" w:hAnsi="Arial" w:cs="Arial" w:eastAsia="Arial" w:hint="default"/>
          <w:b/>
          <w:bCs/>
          <w:spacing w:val="13"/>
          <w:sz w:val="21"/>
          <w:szCs w:val="21"/>
        </w:rPr>
        <w:t> </w:t>
      </w:r>
      <w:r>
        <w:rPr>
          <w:rFonts w:ascii="宋体" w:hAnsi="宋体" w:cs="宋体" w:eastAsia="宋体" w:hint="default"/>
          <w:b/>
          <w:bCs/>
          <w:sz w:val="21"/>
          <w:szCs w:val="21"/>
        </w:rPr>
        <w:t>投资状况分析（续）</w:t>
      </w:r>
      <w:r>
        <w:rPr>
          <w:rFonts w:ascii="宋体" w:hAnsi="宋体" w:cs="宋体" w:eastAsia="宋体" w:hint="default"/>
          <w:sz w:val="21"/>
          <w:szCs w:val="21"/>
        </w:rPr>
      </w:r>
    </w:p>
    <w:p>
      <w:pPr>
        <w:spacing w:line="240" w:lineRule="auto" w:before="2"/>
        <w:rPr>
          <w:rFonts w:ascii="宋体" w:hAnsi="宋体" w:cs="宋体" w:eastAsia="宋体" w:hint="default"/>
          <w:b/>
          <w:bCs/>
          <w:sz w:val="19"/>
          <w:szCs w:val="19"/>
        </w:rPr>
      </w:pPr>
    </w:p>
    <w:p>
      <w:pPr>
        <w:spacing w:before="0"/>
        <w:ind w:left="485" w:right="0" w:firstLine="0"/>
        <w:jc w:val="both"/>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spacing w:val="-72"/>
          <w:sz w:val="21"/>
          <w:szCs w:val="21"/>
        </w:rPr>
        <w:t> </w:t>
      </w:r>
      <w:r>
        <w:rPr>
          <w:rFonts w:ascii="宋体" w:hAnsi="宋体" w:cs="宋体" w:eastAsia="宋体" w:hint="default"/>
          <w:sz w:val="21"/>
          <w:szCs w:val="21"/>
        </w:rPr>
        <w:t>募集资金使用情况</w:t>
      </w:r>
    </w:p>
    <w:p>
      <w:pPr>
        <w:spacing w:line="379" w:lineRule="auto" w:before="166"/>
        <w:ind w:left="1270" w:right="173" w:hanging="425"/>
        <w:jc w:val="left"/>
        <w:rPr>
          <w:rFonts w:ascii="宋体" w:hAnsi="宋体" w:cs="宋体" w:eastAsia="宋体" w:hint="default"/>
          <w:sz w:val="21"/>
          <w:szCs w:val="21"/>
        </w:rPr>
      </w:pPr>
      <w:r>
        <w:rPr>
          <w:rFonts w:ascii="Arial" w:hAnsi="Arial" w:cs="Arial" w:eastAsia="Arial" w:hint="default"/>
          <w:sz w:val="21"/>
          <w:szCs w:val="21"/>
        </w:rPr>
        <w:t>3.1</w:t>
      </w:r>
      <w:r>
        <w:rPr>
          <w:rFonts w:ascii="Arial" w:hAnsi="Arial" w:cs="Arial" w:eastAsia="Arial" w:hint="default"/>
          <w:spacing w:val="15"/>
          <w:sz w:val="21"/>
          <w:szCs w:val="21"/>
        </w:rPr>
        <w:t> </w:t>
      </w:r>
      <w:r>
        <w:rPr>
          <w:rFonts w:ascii="宋体" w:hAnsi="宋体" w:cs="宋体" w:eastAsia="宋体" w:hint="default"/>
          <w:sz w:val="21"/>
          <w:szCs w:val="21"/>
        </w:rPr>
        <w:t>募集资金总体使用情况</w:t>
      </w:r>
      <w:r>
        <w:rPr>
          <w:rFonts w:ascii="宋体" w:hAnsi="宋体" w:cs="宋体" w:eastAsia="宋体" w:hint="default"/>
          <w:w w:val="100"/>
          <w:sz w:val="21"/>
          <w:szCs w:val="21"/>
        </w:rPr>
        <w:t> </w:t>
      </w:r>
      <w:r>
        <w:rPr>
          <w:rFonts w:ascii="宋体" w:hAnsi="宋体" w:cs="宋体" w:eastAsia="宋体" w:hint="default"/>
          <w:spacing w:val="-2"/>
          <w:sz w:val="21"/>
          <w:szCs w:val="21"/>
        </w:rPr>
        <w:t>报告期内，公司无募集资金或前期募集资金使用到本期的情况。</w:t>
      </w:r>
    </w:p>
    <w:p>
      <w:pPr>
        <w:spacing w:line="280" w:lineRule="exact" w:before="59"/>
        <w:ind w:left="846" w:right="173" w:firstLine="0"/>
        <w:jc w:val="left"/>
        <w:rPr>
          <w:rFonts w:ascii="宋体" w:hAnsi="宋体" w:cs="宋体" w:eastAsia="宋体" w:hint="default"/>
          <w:sz w:val="21"/>
          <w:szCs w:val="21"/>
        </w:rPr>
      </w:pPr>
      <w:r>
        <w:rPr>
          <w:rFonts w:ascii="Arial" w:hAnsi="Arial" w:cs="Arial" w:eastAsia="Arial" w:hint="default"/>
          <w:sz w:val="21"/>
          <w:szCs w:val="21"/>
        </w:rPr>
        <w:t>3.2 </w:t>
      </w:r>
      <w:r>
        <w:rPr>
          <w:rFonts w:ascii="Arial" w:hAnsi="Arial" w:cs="Arial" w:eastAsia="Arial" w:hint="default"/>
          <w:spacing w:val="15"/>
          <w:sz w:val="21"/>
          <w:szCs w:val="21"/>
        </w:rPr>
        <w:t> </w:t>
      </w:r>
      <w:r>
        <w:rPr>
          <w:rFonts w:ascii="宋体" w:hAnsi="宋体" w:cs="宋体" w:eastAsia="宋体" w:hint="default"/>
          <w:sz w:val="21"/>
          <w:szCs w:val="21"/>
        </w:rPr>
        <w:t>募集资金承诺项目情况</w:t>
      </w:r>
    </w:p>
    <w:p>
      <w:pPr>
        <w:spacing w:line="280" w:lineRule="exact" w:before="0"/>
        <w:ind w:left="1253" w:right="7047" w:firstLine="0"/>
        <w:jc w:val="center"/>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不适用</w:t>
      </w:r>
    </w:p>
    <w:p>
      <w:pPr>
        <w:spacing w:line="282" w:lineRule="exact" w:before="166"/>
        <w:ind w:left="846" w:right="173" w:firstLine="0"/>
        <w:jc w:val="left"/>
        <w:rPr>
          <w:rFonts w:ascii="宋体" w:hAnsi="宋体" w:cs="宋体" w:eastAsia="宋体" w:hint="default"/>
          <w:sz w:val="21"/>
          <w:szCs w:val="21"/>
        </w:rPr>
      </w:pPr>
      <w:r>
        <w:rPr>
          <w:rFonts w:ascii="Arial" w:hAnsi="Arial" w:cs="Arial" w:eastAsia="Arial" w:hint="default"/>
          <w:sz w:val="21"/>
          <w:szCs w:val="21"/>
        </w:rPr>
        <w:t>3.3 </w:t>
      </w:r>
      <w:r>
        <w:rPr>
          <w:rFonts w:ascii="Arial" w:hAnsi="Arial" w:cs="Arial" w:eastAsia="Arial" w:hint="default"/>
          <w:spacing w:val="15"/>
          <w:sz w:val="21"/>
          <w:szCs w:val="21"/>
        </w:rPr>
        <w:t> </w:t>
      </w:r>
      <w:r>
        <w:rPr>
          <w:rFonts w:ascii="宋体" w:hAnsi="宋体" w:cs="宋体" w:eastAsia="宋体" w:hint="default"/>
          <w:sz w:val="21"/>
          <w:szCs w:val="21"/>
        </w:rPr>
        <w:t>募集资金变更项目情况</w:t>
      </w:r>
    </w:p>
    <w:p>
      <w:pPr>
        <w:spacing w:line="282" w:lineRule="exact" w:before="0"/>
        <w:ind w:left="1253" w:right="7047" w:firstLine="0"/>
        <w:jc w:val="center"/>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不适用</w:t>
      </w:r>
    </w:p>
    <w:p>
      <w:pPr>
        <w:spacing w:before="166"/>
        <w:ind w:left="485" w:right="0" w:firstLine="0"/>
        <w:jc w:val="both"/>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主要子公司、参股公司分析</w:t>
      </w:r>
    </w:p>
    <w:p>
      <w:pPr>
        <w:spacing w:before="166"/>
        <w:ind w:left="846" w:right="173" w:firstLine="0"/>
        <w:jc w:val="left"/>
        <w:rPr>
          <w:rFonts w:ascii="宋体" w:hAnsi="宋体" w:cs="宋体" w:eastAsia="宋体" w:hint="default"/>
          <w:sz w:val="21"/>
          <w:szCs w:val="21"/>
        </w:rPr>
      </w:pPr>
      <w:r>
        <w:rPr>
          <w:rFonts w:ascii="宋体" w:hAnsi="宋体" w:cs="宋体" w:eastAsia="宋体" w:hint="default"/>
          <w:spacing w:val="-2"/>
          <w:sz w:val="21"/>
          <w:szCs w:val="21"/>
        </w:rPr>
        <w:t>公司主要子公司为联通运营公司，详见本章“董事会关于公司报告期内经营情况的讨论</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与分析”。</w:t>
      </w:r>
    </w:p>
    <w:p>
      <w:pPr>
        <w:spacing w:line="240" w:lineRule="auto" w:before="11"/>
        <w:rPr>
          <w:rFonts w:ascii="宋体" w:hAnsi="宋体" w:cs="宋体" w:eastAsia="宋体" w:hint="default"/>
          <w:sz w:val="13"/>
          <w:szCs w:val="13"/>
        </w:rPr>
      </w:pPr>
    </w:p>
    <w:p>
      <w:pPr>
        <w:spacing w:before="0"/>
        <w:ind w:left="846" w:right="173" w:firstLine="0"/>
        <w:jc w:val="left"/>
        <w:rPr>
          <w:rFonts w:ascii="宋体" w:hAnsi="宋体" w:cs="宋体" w:eastAsia="宋体" w:hint="default"/>
          <w:sz w:val="21"/>
          <w:szCs w:val="21"/>
        </w:rPr>
      </w:pPr>
      <w:r>
        <w:rPr>
          <w:rFonts w:ascii="宋体" w:hAnsi="宋体" w:cs="宋体" w:eastAsia="宋体" w:hint="default"/>
          <w:sz w:val="21"/>
          <w:szCs w:val="21"/>
        </w:rPr>
        <w:t>公司主要参股公司为西班牙电信及中国铁塔股份有限公司。</w:t>
      </w:r>
    </w:p>
    <w:p>
      <w:pPr>
        <w:spacing w:line="240" w:lineRule="auto" w:before="11"/>
        <w:rPr>
          <w:rFonts w:ascii="宋体" w:hAnsi="宋体" w:cs="宋体" w:eastAsia="宋体" w:hint="default"/>
          <w:sz w:val="13"/>
          <w:szCs w:val="13"/>
        </w:rPr>
      </w:pPr>
    </w:p>
    <w:p>
      <w:pPr>
        <w:spacing w:line="280" w:lineRule="exact" w:before="0"/>
        <w:ind w:left="846" w:right="0" w:firstLine="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44"/>
          <w:sz w:val="21"/>
          <w:szCs w:val="21"/>
        </w:rPr>
        <w:t> </w:t>
      </w:r>
      <w:r>
        <w:rPr>
          <w:rFonts w:ascii="宋体" w:hAnsi="宋体" w:cs="宋体" w:eastAsia="宋体" w:hint="default"/>
          <w:spacing w:val="-2"/>
          <w:sz w:val="21"/>
          <w:szCs w:val="21"/>
        </w:rPr>
        <w:t>年度，本公司所属子公司联通红筹公司收到西班牙电信宣布派发的现金股利人民币</w:t>
      </w:r>
    </w:p>
    <w:p>
      <w:pPr>
        <w:spacing w:line="280" w:lineRule="exact" w:before="0"/>
        <w:ind w:left="846" w:right="173" w:firstLine="0"/>
        <w:jc w:val="left"/>
        <w:rPr>
          <w:rFonts w:ascii="宋体" w:hAnsi="宋体" w:cs="宋体" w:eastAsia="宋体" w:hint="default"/>
          <w:sz w:val="21"/>
          <w:szCs w:val="21"/>
        </w:rPr>
      </w:pPr>
      <w:r>
        <w:rPr>
          <w:rFonts w:ascii="Arial" w:hAnsi="Arial" w:cs="Arial" w:eastAsia="Arial" w:hint="default"/>
          <w:sz w:val="21"/>
          <w:szCs w:val="21"/>
        </w:rPr>
        <w:t>3.85</w:t>
      </w:r>
      <w:r>
        <w:rPr>
          <w:rFonts w:ascii="Arial" w:hAnsi="Arial" w:cs="Arial" w:eastAsia="Arial" w:hint="default"/>
          <w:spacing w:val="-5"/>
          <w:sz w:val="21"/>
          <w:szCs w:val="21"/>
        </w:rPr>
        <w:t> </w:t>
      </w:r>
      <w:r>
        <w:rPr>
          <w:rFonts w:ascii="宋体" w:hAnsi="宋体" w:cs="宋体" w:eastAsia="宋体" w:hint="default"/>
          <w:sz w:val="21"/>
          <w:szCs w:val="21"/>
        </w:rPr>
        <w:t>亿元。</w:t>
      </w:r>
    </w:p>
    <w:p>
      <w:pPr>
        <w:spacing w:before="166"/>
        <w:ind w:left="846" w:right="173" w:firstLine="0"/>
        <w:jc w:val="left"/>
        <w:rPr>
          <w:rFonts w:ascii="宋体" w:hAnsi="宋体" w:cs="宋体" w:eastAsia="宋体" w:hint="default"/>
          <w:sz w:val="21"/>
          <w:szCs w:val="21"/>
        </w:rPr>
      </w:pPr>
      <w:r>
        <w:rPr>
          <w:rFonts w:ascii="Arial" w:hAnsi="Arial" w:cs="Arial" w:eastAsia="Arial" w:hint="default"/>
          <w:sz w:val="21"/>
          <w:szCs w:val="21"/>
        </w:rPr>
        <w:t>2014  </w:t>
      </w:r>
      <w:r>
        <w:rPr>
          <w:rFonts w:ascii="宋体" w:hAnsi="宋体" w:cs="宋体" w:eastAsia="宋体" w:hint="default"/>
          <w:spacing w:val="-2"/>
          <w:sz w:val="21"/>
          <w:szCs w:val="21"/>
        </w:rPr>
        <w:t>年度铁塔公司尚处于初始运营阶段，尚未形成重要经营成果，且净利润为负。</w:t>
      </w:r>
    </w:p>
    <w:p>
      <w:pPr>
        <w:spacing w:before="168"/>
        <w:ind w:left="485" w:right="0" w:firstLine="0"/>
        <w:jc w:val="both"/>
        <w:rPr>
          <w:rFonts w:ascii="宋体" w:hAnsi="宋体" w:cs="宋体" w:eastAsia="宋体" w:hint="default"/>
          <w:sz w:val="21"/>
          <w:szCs w:val="21"/>
        </w:rPr>
      </w:pPr>
      <w:r>
        <w:rPr>
          <w:rFonts w:ascii="Arial" w:hAnsi="Arial" w:cs="Arial" w:eastAsia="Arial" w:hint="default"/>
          <w:sz w:val="21"/>
          <w:szCs w:val="21"/>
        </w:rPr>
        <w:t>5</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非募集资金项目情况</w:t>
      </w:r>
    </w:p>
    <w:p>
      <w:pPr>
        <w:spacing w:line="280" w:lineRule="exact" w:before="166"/>
        <w:ind w:left="846" w:right="0" w:firstLine="0"/>
        <w:jc w:val="left"/>
        <w:rPr>
          <w:rFonts w:ascii="宋体" w:hAnsi="宋体" w:cs="宋体" w:eastAsia="宋体" w:hint="default"/>
          <w:sz w:val="21"/>
          <w:szCs w:val="21"/>
        </w:rPr>
      </w:pPr>
      <w:r>
        <w:rPr>
          <w:rFonts w:ascii="Arial" w:hAnsi="Arial" w:cs="Arial" w:eastAsia="Arial" w:hint="default"/>
          <w:sz w:val="21"/>
          <w:szCs w:val="21"/>
        </w:rPr>
        <w:t>2014 </w:t>
      </w:r>
      <w:r>
        <w:rPr>
          <w:rFonts w:ascii="宋体" w:hAnsi="宋体" w:cs="宋体" w:eastAsia="宋体" w:hint="default"/>
          <w:sz w:val="21"/>
          <w:szCs w:val="21"/>
        </w:rPr>
        <w:t>年公司各项资本开支合计 </w:t>
      </w:r>
      <w:r>
        <w:rPr>
          <w:rFonts w:ascii="Arial" w:hAnsi="Arial" w:cs="Arial" w:eastAsia="Arial" w:hint="default"/>
          <w:sz w:val="21"/>
          <w:szCs w:val="21"/>
        </w:rPr>
        <w:t>848.8</w:t>
      </w:r>
      <w:r>
        <w:rPr>
          <w:rFonts w:ascii="Arial" w:hAnsi="Arial" w:cs="Arial" w:eastAsia="Arial" w:hint="default"/>
          <w:spacing w:val="-27"/>
          <w:sz w:val="21"/>
          <w:szCs w:val="21"/>
        </w:rPr>
        <w:t> </w:t>
      </w:r>
      <w:r>
        <w:rPr>
          <w:rFonts w:ascii="宋体" w:hAnsi="宋体" w:cs="宋体" w:eastAsia="宋体" w:hint="default"/>
          <w:spacing w:val="-3"/>
          <w:sz w:val="21"/>
          <w:szCs w:val="21"/>
        </w:rPr>
        <w:t>亿元，主要用于移动网络、宽带及数据、基础设施</w:t>
      </w:r>
    </w:p>
    <w:p>
      <w:pPr>
        <w:spacing w:line="272" w:lineRule="exact" w:before="0"/>
        <w:ind w:left="846" w:right="173" w:firstLine="0"/>
        <w:jc w:val="left"/>
        <w:rPr>
          <w:rFonts w:ascii="宋体" w:hAnsi="宋体" w:cs="宋体" w:eastAsia="宋体" w:hint="default"/>
          <w:sz w:val="21"/>
          <w:szCs w:val="21"/>
        </w:rPr>
      </w:pPr>
      <w:r>
        <w:rPr>
          <w:rFonts w:ascii="宋体" w:hAnsi="宋体" w:cs="宋体" w:eastAsia="宋体" w:hint="default"/>
          <w:sz w:val="21"/>
          <w:szCs w:val="21"/>
        </w:rPr>
        <w:t>及传送网建设等方面。其中，移动网络资本开支为</w:t>
      </w:r>
      <w:r>
        <w:rPr>
          <w:rFonts w:ascii="宋体" w:hAnsi="宋体" w:cs="宋体" w:eastAsia="宋体" w:hint="default"/>
          <w:spacing w:val="-55"/>
          <w:sz w:val="21"/>
          <w:szCs w:val="21"/>
        </w:rPr>
        <w:t> </w:t>
      </w:r>
      <w:r>
        <w:rPr>
          <w:rFonts w:ascii="Arial" w:hAnsi="Arial" w:cs="Arial" w:eastAsia="Arial" w:hint="default"/>
          <w:sz w:val="21"/>
          <w:szCs w:val="21"/>
        </w:rPr>
        <w:t>369.5</w:t>
      </w:r>
      <w:r>
        <w:rPr>
          <w:rFonts w:ascii="Arial" w:hAnsi="Arial" w:cs="Arial" w:eastAsia="Arial" w:hint="default"/>
          <w:spacing w:val="-8"/>
          <w:sz w:val="21"/>
          <w:szCs w:val="21"/>
        </w:rPr>
        <w:t> </w:t>
      </w:r>
      <w:r>
        <w:rPr>
          <w:rFonts w:ascii="宋体" w:hAnsi="宋体" w:cs="宋体" w:eastAsia="宋体" w:hint="default"/>
          <w:sz w:val="21"/>
          <w:szCs w:val="21"/>
        </w:rPr>
        <w:t>亿元，宽带及数据业务资本开</w:t>
      </w:r>
    </w:p>
    <w:p>
      <w:pPr>
        <w:spacing w:line="427" w:lineRule="auto" w:before="0"/>
        <w:ind w:left="138" w:right="2556" w:firstLine="707"/>
        <w:jc w:val="left"/>
        <w:rPr>
          <w:rFonts w:ascii="宋体" w:hAnsi="宋体" w:cs="宋体" w:eastAsia="宋体" w:hint="default"/>
          <w:sz w:val="21"/>
          <w:szCs w:val="21"/>
        </w:rPr>
      </w:pPr>
      <w:r>
        <w:rPr>
          <w:rFonts w:ascii="宋体" w:hAnsi="宋体" w:cs="宋体" w:eastAsia="宋体" w:hint="default"/>
          <w:sz w:val="21"/>
          <w:szCs w:val="21"/>
        </w:rPr>
        <w:t>支为</w:t>
      </w:r>
      <w:r>
        <w:rPr>
          <w:rFonts w:ascii="宋体" w:hAnsi="宋体" w:cs="宋体" w:eastAsia="宋体" w:hint="default"/>
          <w:spacing w:val="-54"/>
          <w:sz w:val="21"/>
          <w:szCs w:val="21"/>
        </w:rPr>
        <w:t> </w:t>
      </w:r>
      <w:r>
        <w:rPr>
          <w:rFonts w:ascii="Arial" w:hAnsi="Arial" w:cs="Arial" w:eastAsia="Arial" w:hint="default"/>
          <w:sz w:val="21"/>
          <w:szCs w:val="21"/>
        </w:rPr>
        <w:t>190.0</w:t>
      </w:r>
      <w:r>
        <w:rPr>
          <w:rFonts w:ascii="Arial" w:hAnsi="Arial" w:cs="Arial" w:eastAsia="Arial" w:hint="default"/>
          <w:spacing w:val="-8"/>
          <w:sz w:val="21"/>
          <w:szCs w:val="21"/>
        </w:rPr>
        <w:t> </w:t>
      </w:r>
      <w:r>
        <w:rPr>
          <w:rFonts w:ascii="宋体" w:hAnsi="宋体" w:cs="宋体" w:eastAsia="宋体" w:hint="default"/>
          <w:sz w:val="21"/>
          <w:szCs w:val="21"/>
        </w:rPr>
        <w:t>亿元，基础设施及传送网资本开支为</w:t>
      </w:r>
      <w:r>
        <w:rPr>
          <w:rFonts w:ascii="宋体" w:hAnsi="宋体" w:cs="宋体" w:eastAsia="宋体" w:hint="default"/>
          <w:spacing w:val="-54"/>
          <w:sz w:val="21"/>
          <w:szCs w:val="21"/>
        </w:rPr>
        <w:t> </w:t>
      </w:r>
      <w:r>
        <w:rPr>
          <w:rFonts w:ascii="Arial" w:hAnsi="Arial" w:cs="Arial" w:eastAsia="Arial" w:hint="default"/>
          <w:sz w:val="21"/>
          <w:szCs w:val="21"/>
        </w:rPr>
        <w:t>229.2</w:t>
      </w:r>
      <w:r>
        <w:rPr>
          <w:rFonts w:ascii="Arial" w:hAnsi="Arial" w:cs="Arial" w:eastAsia="Arial" w:hint="default"/>
          <w:spacing w:val="-7"/>
          <w:sz w:val="21"/>
          <w:szCs w:val="21"/>
        </w:rPr>
        <w:t> </w:t>
      </w:r>
      <w:r>
        <w:rPr>
          <w:rFonts w:ascii="宋体" w:hAnsi="宋体" w:cs="宋体" w:eastAsia="宋体" w:hint="default"/>
          <w:sz w:val="21"/>
          <w:szCs w:val="21"/>
        </w:rPr>
        <w:t>亿元。</w:t>
      </w:r>
      <w:r>
        <w:rPr>
          <w:rFonts w:ascii="宋体" w:hAnsi="宋体" w:cs="宋体" w:eastAsia="宋体" w:hint="default"/>
          <w:w w:val="100"/>
          <w:sz w:val="21"/>
          <w:szCs w:val="21"/>
        </w:rPr>
        <w:t> </w:t>
      </w:r>
      <w:r>
        <w:rPr>
          <w:rFonts w:ascii="宋体" w:hAnsi="宋体" w:cs="宋体" w:eastAsia="宋体" w:hint="default"/>
          <w:b/>
          <w:bCs/>
          <w:sz w:val="21"/>
          <w:szCs w:val="21"/>
        </w:rPr>
        <w:t>二、董事会关于公司未来发展的讨论与分析</w:t>
      </w:r>
      <w:r>
        <w:rPr>
          <w:rFonts w:ascii="宋体" w:hAnsi="宋体" w:cs="宋体" w:eastAsia="宋体" w:hint="default"/>
          <w:sz w:val="21"/>
          <w:szCs w:val="21"/>
        </w:rPr>
      </w:r>
    </w:p>
    <w:p>
      <w:pPr>
        <w:spacing w:before="161"/>
        <w:ind w:left="138" w:right="173"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一</w:t>
      </w:r>
      <w:r>
        <w:rPr>
          <w:rFonts w:ascii="Arial" w:hAnsi="Arial" w:cs="Arial" w:eastAsia="Arial" w:hint="default"/>
          <w:b/>
          <w:bCs/>
          <w:sz w:val="21"/>
          <w:szCs w:val="21"/>
        </w:rPr>
        <w:t>)</w:t>
      </w:r>
      <w:r>
        <w:rPr>
          <w:rFonts w:ascii="Arial" w:hAnsi="Arial" w:cs="Arial" w:eastAsia="Arial" w:hint="default"/>
          <w:b/>
          <w:bCs/>
          <w:spacing w:val="11"/>
          <w:sz w:val="21"/>
          <w:szCs w:val="21"/>
        </w:rPr>
        <w:t> </w:t>
      </w:r>
      <w:r>
        <w:rPr>
          <w:rFonts w:ascii="宋体" w:hAnsi="宋体" w:cs="宋体" w:eastAsia="宋体" w:hint="default"/>
          <w:b/>
          <w:bCs/>
          <w:sz w:val="21"/>
          <w:szCs w:val="21"/>
        </w:rPr>
        <w:t>行业竞争格局和发展趋势</w:t>
      </w:r>
      <w:r>
        <w:rPr>
          <w:rFonts w:ascii="宋体" w:hAnsi="宋体" w:cs="宋体" w:eastAsia="宋体" w:hint="default"/>
          <w:sz w:val="21"/>
          <w:szCs w:val="21"/>
        </w:rPr>
      </w:r>
    </w:p>
    <w:p>
      <w:pPr>
        <w:spacing w:line="240" w:lineRule="auto" w:before="6"/>
        <w:rPr>
          <w:rFonts w:ascii="宋体" w:hAnsi="宋体" w:cs="宋体" w:eastAsia="宋体" w:hint="default"/>
          <w:b/>
          <w:bCs/>
          <w:sz w:val="17"/>
          <w:szCs w:val="17"/>
        </w:rPr>
      </w:pPr>
    </w:p>
    <w:p>
      <w:pPr>
        <w:spacing w:line="237" w:lineRule="auto" w:before="0"/>
        <w:ind w:left="565" w:right="113" w:firstLine="0"/>
        <w:jc w:val="both"/>
        <w:rPr>
          <w:rFonts w:ascii="宋体" w:hAnsi="宋体" w:cs="宋体" w:eastAsia="宋体" w:hint="default"/>
          <w:sz w:val="21"/>
          <w:szCs w:val="21"/>
        </w:rPr>
      </w:pPr>
      <w:r>
        <w:rPr>
          <w:rFonts w:ascii="宋体" w:hAnsi="宋体" w:cs="宋体" w:eastAsia="宋体" w:hint="default"/>
          <w:spacing w:val="-3"/>
          <w:sz w:val="21"/>
          <w:szCs w:val="21"/>
        </w:rPr>
        <w:t>公司将主要面临行业内其他运营商的竞争。伴随着我国经济发展进入新常态，政府大力推动</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3"/>
          <w:sz w:val="21"/>
          <w:szCs w:val="21"/>
        </w:rPr>
        <w:t>产业结构调整和消费升级，必将强化战略性新兴产业和信息服务业的支撑作用，信息消费领</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3"/>
          <w:sz w:val="21"/>
          <w:szCs w:val="21"/>
        </w:rPr>
        <w:t>域增长潜力巨大；但同时也看到，随着行业饱和度进一步提高，增存量经营并重成为运营商</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的必然选择。中国联通经过融合重组六年来的快速发展，中国联通整体实力有了较大提升，</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3"/>
          <w:sz w:val="21"/>
          <w:szCs w:val="21"/>
        </w:rPr>
        <w:t>将加速推动语音与流量业务的结构调整，不断探索面向家庭客户、行业应用以及农村市场信</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息消费与数字化服务应用的新增潜力，为公司长期可持续发展寻求新的市场机会。</w:t>
      </w:r>
    </w:p>
    <w:p>
      <w:pPr>
        <w:spacing w:line="240" w:lineRule="auto" w:before="6"/>
        <w:rPr>
          <w:rFonts w:ascii="宋体" w:hAnsi="宋体" w:cs="宋体" w:eastAsia="宋体" w:hint="default"/>
          <w:sz w:val="18"/>
          <w:szCs w:val="18"/>
        </w:rPr>
      </w:pPr>
    </w:p>
    <w:p>
      <w:pPr>
        <w:spacing w:before="0"/>
        <w:ind w:left="138" w:right="173"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二</w:t>
      </w:r>
      <w:r>
        <w:rPr>
          <w:rFonts w:ascii="Arial" w:hAnsi="Arial" w:cs="Arial" w:eastAsia="Arial" w:hint="default"/>
          <w:b/>
          <w:bCs/>
          <w:sz w:val="21"/>
          <w:szCs w:val="21"/>
        </w:rPr>
        <w:t>)</w:t>
      </w:r>
      <w:r>
        <w:rPr>
          <w:rFonts w:ascii="Arial" w:hAnsi="Arial" w:cs="Arial" w:eastAsia="Arial" w:hint="default"/>
          <w:b/>
          <w:bCs/>
          <w:spacing w:val="12"/>
          <w:sz w:val="21"/>
          <w:szCs w:val="21"/>
        </w:rPr>
        <w:t> </w:t>
      </w:r>
      <w:r>
        <w:rPr>
          <w:rFonts w:ascii="宋体" w:hAnsi="宋体" w:cs="宋体" w:eastAsia="宋体" w:hint="default"/>
          <w:b/>
          <w:bCs/>
          <w:sz w:val="21"/>
          <w:szCs w:val="21"/>
        </w:rPr>
        <w:t>公司发展战略</w:t>
      </w:r>
      <w:r>
        <w:rPr>
          <w:rFonts w:ascii="宋体" w:hAnsi="宋体" w:cs="宋体" w:eastAsia="宋体" w:hint="default"/>
          <w:sz w:val="21"/>
          <w:szCs w:val="21"/>
        </w:rPr>
      </w:r>
    </w:p>
    <w:p>
      <w:pPr>
        <w:spacing w:line="240" w:lineRule="auto" w:before="11"/>
        <w:rPr>
          <w:rFonts w:ascii="宋体" w:hAnsi="宋体" w:cs="宋体" w:eastAsia="宋体" w:hint="default"/>
          <w:b/>
          <w:bCs/>
          <w:sz w:val="17"/>
          <w:szCs w:val="17"/>
        </w:rPr>
      </w:pPr>
    </w:p>
    <w:p>
      <w:pPr>
        <w:spacing w:line="235" w:lineRule="auto" w:before="0"/>
        <w:ind w:left="565" w:right="148" w:firstLine="0"/>
        <w:jc w:val="both"/>
        <w:rPr>
          <w:rFonts w:ascii="宋体" w:hAnsi="宋体" w:cs="宋体" w:eastAsia="宋体" w:hint="default"/>
          <w:sz w:val="21"/>
          <w:szCs w:val="21"/>
        </w:rPr>
      </w:pPr>
      <w:r>
        <w:rPr>
          <w:rFonts w:ascii="宋体" w:hAnsi="宋体" w:cs="宋体" w:eastAsia="宋体" w:hint="default"/>
          <w:sz w:val="21"/>
          <w:szCs w:val="21"/>
        </w:rPr>
        <w:t>全面落实“移动宽带领先与一体化创新”战略。适应</w:t>
      </w:r>
      <w:r>
        <w:rPr>
          <w:rFonts w:ascii="宋体" w:hAnsi="宋体" w:cs="宋体" w:eastAsia="宋体" w:hint="default"/>
          <w:spacing w:val="-55"/>
          <w:sz w:val="21"/>
          <w:szCs w:val="21"/>
        </w:rPr>
        <w:t> </w:t>
      </w:r>
      <w:r>
        <w:rPr>
          <w:rFonts w:ascii="Arial" w:hAnsi="Arial" w:cs="Arial" w:eastAsia="Arial" w:hint="default"/>
          <w:sz w:val="21"/>
          <w:szCs w:val="21"/>
        </w:rPr>
        <w:t>4G</w:t>
      </w:r>
      <w:r>
        <w:rPr>
          <w:rFonts w:ascii="Arial" w:hAnsi="Arial" w:cs="Arial" w:eastAsia="Arial" w:hint="default"/>
          <w:spacing w:val="-12"/>
          <w:sz w:val="21"/>
          <w:szCs w:val="21"/>
        </w:rPr>
        <w:t> </w:t>
      </w:r>
      <w:r>
        <w:rPr>
          <w:rFonts w:ascii="宋体" w:hAnsi="宋体" w:cs="宋体" w:eastAsia="宋体" w:hint="default"/>
          <w:sz w:val="21"/>
          <w:szCs w:val="21"/>
        </w:rPr>
        <w:t>时代市场竞争新变化的客观实际，</w:t>
      </w:r>
      <w:r>
        <w:rPr>
          <w:rFonts w:ascii="宋体" w:hAnsi="宋体" w:cs="宋体" w:eastAsia="宋体" w:hint="default"/>
          <w:w w:val="100"/>
          <w:sz w:val="21"/>
          <w:szCs w:val="21"/>
        </w:rPr>
        <w:t> </w:t>
      </w:r>
      <w:r>
        <w:rPr>
          <w:rFonts w:ascii="宋体" w:hAnsi="宋体" w:cs="宋体" w:eastAsia="宋体" w:hint="default"/>
          <w:spacing w:val="-3"/>
          <w:sz w:val="21"/>
          <w:szCs w:val="21"/>
        </w:rPr>
        <w:t>全面落实“移动宽带领先与一体化创新”战略，继续充分发挥网络、客户、品牌、产业链及</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3"/>
          <w:sz w:val="21"/>
          <w:szCs w:val="21"/>
        </w:rPr>
        <w:t>宽带互联网优势，确保网络领先、业务领先、服务领先，推进一体化创新并构筑新的差异化</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3"/>
          <w:sz w:val="21"/>
          <w:szCs w:val="21"/>
        </w:rPr>
        <w:t>优势，创新经营，提升管理，在网络能力、业务质量和服务品质上加快形成企业新的核心竞</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争力，不断提高企业的市场地位。</w:t>
      </w:r>
    </w:p>
    <w:p>
      <w:pPr>
        <w:spacing w:after="0" w:line="235" w:lineRule="auto"/>
        <w:jc w:val="both"/>
        <w:rPr>
          <w:rFonts w:ascii="宋体" w:hAnsi="宋体" w:cs="宋体" w:eastAsia="宋体" w:hint="default"/>
          <w:sz w:val="21"/>
          <w:szCs w:val="21"/>
        </w:rPr>
        <w:sectPr>
          <w:pgSz w:w="11910" w:h="16840"/>
          <w:pgMar w:header="880" w:footer="1194" w:top="1120" w:bottom="1380" w:left="1660" w:right="1160"/>
        </w:sectPr>
      </w:pPr>
    </w:p>
    <w:p>
      <w:pPr>
        <w:spacing w:line="240" w:lineRule="auto" w:before="11"/>
        <w:rPr>
          <w:rFonts w:ascii="宋体" w:hAnsi="宋体" w:cs="宋体" w:eastAsia="宋体" w:hint="default"/>
          <w:sz w:val="29"/>
          <w:szCs w:val="29"/>
        </w:rPr>
      </w:pPr>
    </w:p>
    <w:p>
      <w:pPr>
        <w:spacing w:before="36"/>
        <w:ind w:left="138" w:right="204" w:firstLine="0"/>
        <w:jc w:val="left"/>
        <w:rPr>
          <w:rFonts w:ascii="宋体" w:hAnsi="宋体" w:cs="宋体" w:eastAsia="宋体" w:hint="default"/>
          <w:sz w:val="21"/>
          <w:szCs w:val="21"/>
        </w:rPr>
      </w:pPr>
      <w:r>
        <w:rPr>
          <w:rFonts w:ascii="宋体" w:hAnsi="宋体" w:cs="宋体" w:eastAsia="宋体" w:hint="default"/>
          <w:b/>
          <w:bCs/>
          <w:sz w:val="21"/>
          <w:szCs w:val="21"/>
        </w:rPr>
        <w:t>二、董事会关于公司未来发展的讨论与分析（续）</w:t>
      </w:r>
      <w:r>
        <w:rPr>
          <w:rFonts w:ascii="宋体" w:hAnsi="宋体" w:cs="宋体" w:eastAsia="宋体" w:hint="default"/>
          <w:sz w:val="21"/>
          <w:szCs w:val="21"/>
        </w:rPr>
      </w:r>
    </w:p>
    <w:p>
      <w:pPr>
        <w:spacing w:line="240" w:lineRule="auto" w:before="11"/>
        <w:rPr>
          <w:rFonts w:ascii="宋体" w:hAnsi="宋体" w:cs="宋体" w:eastAsia="宋体" w:hint="default"/>
          <w:b/>
          <w:bCs/>
          <w:sz w:val="29"/>
          <w:szCs w:val="29"/>
        </w:rPr>
      </w:pPr>
    </w:p>
    <w:p>
      <w:pPr>
        <w:spacing w:before="0"/>
        <w:ind w:left="138" w:right="204"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三</w:t>
      </w:r>
      <w:r>
        <w:rPr>
          <w:rFonts w:ascii="Arial" w:hAnsi="Arial" w:cs="Arial" w:eastAsia="Arial" w:hint="default"/>
          <w:b/>
          <w:bCs/>
          <w:sz w:val="21"/>
          <w:szCs w:val="21"/>
        </w:rPr>
        <w:t>)</w:t>
      </w:r>
      <w:r>
        <w:rPr>
          <w:rFonts w:ascii="Arial" w:hAnsi="Arial" w:cs="Arial" w:eastAsia="Arial" w:hint="default"/>
          <w:b/>
          <w:bCs/>
          <w:spacing w:val="11"/>
          <w:sz w:val="21"/>
          <w:szCs w:val="21"/>
        </w:rPr>
        <w:t> </w:t>
      </w:r>
      <w:r>
        <w:rPr>
          <w:rFonts w:ascii="宋体" w:hAnsi="宋体" w:cs="宋体" w:eastAsia="宋体" w:hint="default"/>
          <w:b/>
          <w:bCs/>
          <w:sz w:val="21"/>
          <w:szCs w:val="21"/>
        </w:rPr>
        <w:t>经营计划</w:t>
      </w:r>
      <w:r>
        <w:rPr>
          <w:rFonts w:ascii="宋体" w:hAnsi="宋体" w:cs="宋体" w:eastAsia="宋体" w:hint="default"/>
          <w:sz w:val="21"/>
          <w:szCs w:val="21"/>
        </w:rPr>
      </w:r>
    </w:p>
    <w:p>
      <w:pPr>
        <w:spacing w:line="240" w:lineRule="auto" w:before="11"/>
        <w:rPr>
          <w:rFonts w:ascii="宋体" w:hAnsi="宋体" w:cs="宋体" w:eastAsia="宋体" w:hint="default"/>
          <w:b/>
          <w:bCs/>
          <w:sz w:val="22"/>
          <w:szCs w:val="22"/>
        </w:rPr>
      </w:pPr>
    </w:p>
    <w:p>
      <w:pPr>
        <w:spacing w:line="225" w:lineRule="auto" w:before="0"/>
        <w:ind w:left="565" w:right="207" w:firstLine="0"/>
        <w:jc w:val="both"/>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10"/>
          <w:sz w:val="21"/>
          <w:szCs w:val="21"/>
        </w:rPr>
        <w:t> </w:t>
      </w:r>
      <w:r>
        <w:rPr>
          <w:rFonts w:ascii="宋体" w:hAnsi="宋体" w:cs="宋体" w:eastAsia="宋体" w:hint="default"/>
          <w:sz w:val="21"/>
          <w:szCs w:val="21"/>
        </w:rPr>
        <w:t>年，公司将努力实现市场份额持续提升。围绕实现年度发展目标，公司将加强集中统</w:t>
      </w:r>
      <w:r>
        <w:rPr>
          <w:rFonts w:ascii="宋体" w:hAnsi="宋体" w:cs="宋体" w:eastAsia="宋体" w:hint="default"/>
          <w:w w:val="100"/>
          <w:sz w:val="21"/>
          <w:szCs w:val="21"/>
        </w:rPr>
        <w:t> </w:t>
      </w:r>
      <w:r>
        <w:rPr>
          <w:rFonts w:ascii="宋体" w:hAnsi="宋体" w:cs="宋体" w:eastAsia="宋体" w:hint="default"/>
          <w:sz w:val="21"/>
          <w:szCs w:val="21"/>
        </w:rPr>
        <w:t>一运营战略的落地实施，坚持移动宽带领先及一体化创新战略，以</w:t>
      </w:r>
      <w:r>
        <w:rPr>
          <w:rFonts w:ascii="宋体" w:hAnsi="宋体" w:cs="宋体" w:eastAsia="宋体" w:hint="default"/>
          <w:spacing w:val="-53"/>
          <w:sz w:val="21"/>
          <w:szCs w:val="21"/>
        </w:rPr>
        <w:t> </w:t>
      </w:r>
      <w:r>
        <w:rPr>
          <w:rFonts w:ascii="Arial" w:hAnsi="Arial" w:cs="Arial" w:eastAsia="Arial" w:hint="default"/>
          <w:sz w:val="21"/>
          <w:szCs w:val="21"/>
        </w:rPr>
        <w:t>4G</w:t>
      </w:r>
      <w:r>
        <w:rPr>
          <w:rFonts w:ascii="Arial" w:hAnsi="Arial" w:cs="Arial" w:eastAsia="Arial" w:hint="default"/>
          <w:spacing w:val="-6"/>
          <w:sz w:val="21"/>
          <w:szCs w:val="21"/>
        </w:rPr>
        <w:t> </w:t>
      </w:r>
      <w:r>
        <w:rPr>
          <w:rFonts w:ascii="宋体" w:hAnsi="宋体" w:cs="宋体" w:eastAsia="宋体" w:hint="default"/>
          <w:spacing w:val="-3"/>
          <w:sz w:val="21"/>
          <w:szCs w:val="21"/>
        </w:rPr>
        <w:t>发展为引领，加速实</w:t>
      </w:r>
      <w:r>
        <w:rPr>
          <w:rFonts w:ascii="宋体" w:hAnsi="宋体" w:cs="宋体" w:eastAsia="宋体" w:hint="default"/>
          <w:w w:val="100"/>
          <w:sz w:val="21"/>
          <w:szCs w:val="21"/>
        </w:rPr>
        <w:t> </w:t>
      </w:r>
      <w:r>
        <w:rPr>
          <w:rFonts w:ascii="宋体" w:hAnsi="宋体" w:cs="宋体" w:eastAsia="宋体" w:hint="default"/>
          <w:sz w:val="21"/>
          <w:szCs w:val="21"/>
        </w:rPr>
        <w:t>现营销模式转型，驱动收入增长。</w:t>
      </w:r>
    </w:p>
    <w:p>
      <w:pPr>
        <w:spacing w:line="240" w:lineRule="auto" w:before="2"/>
        <w:rPr>
          <w:rFonts w:ascii="宋体" w:hAnsi="宋体" w:cs="宋体" w:eastAsia="宋体" w:hint="default"/>
          <w:sz w:val="23"/>
          <w:szCs w:val="23"/>
        </w:rPr>
      </w:pPr>
    </w:p>
    <w:p>
      <w:pPr>
        <w:spacing w:before="0"/>
        <w:ind w:left="138" w:right="204"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四</w:t>
      </w:r>
      <w:r>
        <w:rPr>
          <w:rFonts w:ascii="Arial" w:hAnsi="Arial" w:cs="Arial" w:eastAsia="Arial" w:hint="default"/>
          <w:b/>
          <w:bCs/>
          <w:sz w:val="21"/>
          <w:szCs w:val="21"/>
        </w:rPr>
        <w:t>)</w:t>
      </w:r>
      <w:r>
        <w:rPr>
          <w:rFonts w:ascii="Arial" w:hAnsi="Arial" w:cs="Arial" w:eastAsia="Arial" w:hint="default"/>
          <w:b/>
          <w:bCs/>
          <w:spacing w:val="7"/>
          <w:sz w:val="21"/>
          <w:szCs w:val="21"/>
        </w:rPr>
        <w:t> </w:t>
      </w:r>
      <w:r>
        <w:rPr>
          <w:rFonts w:ascii="宋体" w:hAnsi="宋体" w:cs="宋体" w:eastAsia="宋体" w:hint="default"/>
          <w:b/>
          <w:bCs/>
          <w:sz w:val="21"/>
          <w:szCs w:val="21"/>
        </w:rPr>
        <w:t>因维持当前业务并完成在建投资项目公司所需的资金需求</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spacing w:line="272" w:lineRule="exact" w:before="0"/>
        <w:ind w:left="565" w:right="208" w:firstLine="0"/>
        <w:jc w:val="both"/>
        <w:rPr>
          <w:rFonts w:ascii="宋体" w:hAnsi="宋体" w:cs="宋体" w:eastAsia="宋体" w:hint="default"/>
          <w:sz w:val="21"/>
          <w:szCs w:val="21"/>
        </w:rPr>
      </w:pPr>
      <w:r>
        <w:rPr>
          <w:rFonts w:ascii="宋体" w:hAnsi="宋体" w:cs="宋体" w:eastAsia="宋体" w:hint="default"/>
          <w:spacing w:val="-3"/>
          <w:sz w:val="21"/>
          <w:szCs w:val="21"/>
        </w:rPr>
        <w:t>考虑到公司经营活动净现金流入保持稳定以及良好的信贷记录，我们相信公司应有足够的运</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营资金满足生产经营需要。</w:t>
      </w:r>
    </w:p>
    <w:p>
      <w:pPr>
        <w:spacing w:line="240" w:lineRule="auto" w:before="13"/>
        <w:rPr>
          <w:rFonts w:ascii="宋体" w:hAnsi="宋体" w:cs="宋体" w:eastAsia="宋体" w:hint="default"/>
          <w:sz w:val="20"/>
          <w:szCs w:val="20"/>
        </w:rPr>
      </w:pPr>
    </w:p>
    <w:p>
      <w:pPr>
        <w:spacing w:before="0"/>
        <w:ind w:left="138" w:right="204"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五</w:t>
      </w:r>
      <w:r>
        <w:rPr>
          <w:rFonts w:ascii="Arial" w:hAnsi="Arial" w:cs="Arial" w:eastAsia="Arial" w:hint="default"/>
          <w:b/>
          <w:bCs/>
          <w:sz w:val="21"/>
          <w:szCs w:val="21"/>
        </w:rPr>
        <w:t>)</w:t>
      </w:r>
      <w:r>
        <w:rPr>
          <w:rFonts w:ascii="Arial" w:hAnsi="Arial" w:cs="Arial" w:eastAsia="Arial" w:hint="default"/>
          <w:b/>
          <w:bCs/>
          <w:spacing w:val="12"/>
          <w:sz w:val="21"/>
          <w:szCs w:val="21"/>
        </w:rPr>
        <w:t> </w:t>
      </w:r>
      <w:r>
        <w:rPr>
          <w:rFonts w:ascii="宋体" w:hAnsi="宋体" w:cs="宋体" w:eastAsia="宋体" w:hint="default"/>
          <w:b/>
          <w:bCs/>
          <w:sz w:val="21"/>
          <w:szCs w:val="21"/>
        </w:rPr>
        <w:t>可能面对的风险</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p>
      <w:pPr>
        <w:spacing w:before="0"/>
        <w:ind w:left="485" w:right="0" w:firstLine="0"/>
        <w:jc w:val="both"/>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行业竞争加剧的风险</w:t>
      </w:r>
    </w:p>
    <w:p>
      <w:pPr>
        <w:spacing w:line="240" w:lineRule="auto" w:before="9"/>
        <w:rPr>
          <w:rFonts w:ascii="宋体" w:hAnsi="宋体" w:cs="宋体" w:eastAsia="宋体" w:hint="default"/>
          <w:sz w:val="17"/>
          <w:szCs w:val="17"/>
        </w:rPr>
      </w:pPr>
    </w:p>
    <w:p>
      <w:pPr>
        <w:spacing w:line="232" w:lineRule="auto" w:before="0"/>
        <w:ind w:left="846" w:right="100" w:firstLine="0"/>
        <w:jc w:val="left"/>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14"/>
          <w:sz w:val="21"/>
          <w:szCs w:val="21"/>
        </w:rPr>
        <w:t> </w:t>
      </w:r>
      <w:r>
        <w:rPr>
          <w:rFonts w:ascii="宋体" w:hAnsi="宋体" w:cs="宋体" w:eastAsia="宋体" w:hint="default"/>
          <w:sz w:val="21"/>
          <w:szCs w:val="21"/>
        </w:rPr>
        <w:t>年，公司将主要面临行业内其他运营商的竞争。同时，电信行业的增量市场已经渐</w:t>
      </w:r>
      <w:r>
        <w:rPr>
          <w:rFonts w:ascii="宋体" w:hAnsi="宋体" w:cs="宋体" w:eastAsia="宋体" w:hint="default"/>
          <w:w w:val="100"/>
          <w:sz w:val="21"/>
          <w:szCs w:val="21"/>
        </w:rPr>
        <w:t> </w:t>
      </w:r>
      <w:r>
        <w:rPr>
          <w:rFonts w:ascii="宋体" w:hAnsi="宋体" w:cs="宋体" w:eastAsia="宋体" w:hint="default"/>
          <w:sz w:val="21"/>
          <w:szCs w:val="21"/>
        </w:rPr>
        <w:t>渐趋于饱和，中国联通在</w:t>
      </w:r>
      <w:r>
        <w:rPr>
          <w:rFonts w:ascii="宋体" w:hAnsi="宋体" w:cs="宋体" w:eastAsia="宋体" w:hint="default"/>
          <w:spacing w:val="-56"/>
          <w:sz w:val="21"/>
          <w:szCs w:val="21"/>
        </w:rPr>
        <w:t> </w:t>
      </w:r>
      <w:r>
        <w:rPr>
          <w:rFonts w:ascii="Arial" w:hAnsi="Arial" w:cs="Arial" w:eastAsia="Arial" w:hint="default"/>
          <w:sz w:val="21"/>
          <w:szCs w:val="21"/>
        </w:rPr>
        <w:t>3G</w:t>
      </w:r>
      <w:r>
        <w:rPr>
          <w:rFonts w:ascii="Arial" w:hAnsi="Arial" w:cs="Arial" w:eastAsia="Arial" w:hint="default"/>
          <w:spacing w:val="-8"/>
          <w:sz w:val="21"/>
          <w:szCs w:val="21"/>
        </w:rPr>
        <w:t> </w:t>
      </w:r>
      <w:r>
        <w:rPr>
          <w:rFonts w:ascii="宋体" w:hAnsi="宋体" w:cs="宋体" w:eastAsia="宋体" w:hint="default"/>
          <w:sz w:val="21"/>
          <w:szCs w:val="21"/>
        </w:rPr>
        <w:t>时代的领先优势削弱，</w:t>
      </w:r>
      <w:r>
        <w:rPr>
          <w:rFonts w:ascii="Arial" w:hAnsi="Arial" w:cs="Arial" w:eastAsia="Arial" w:hint="default"/>
          <w:sz w:val="21"/>
          <w:szCs w:val="21"/>
        </w:rPr>
        <w:t>OTT</w:t>
      </w:r>
      <w:r>
        <w:rPr>
          <w:rFonts w:ascii="Arial" w:hAnsi="Arial" w:cs="Arial" w:eastAsia="Arial" w:hint="default"/>
          <w:spacing w:val="-8"/>
          <w:sz w:val="21"/>
          <w:szCs w:val="21"/>
        </w:rPr>
        <w:t> </w:t>
      </w:r>
      <w:r>
        <w:rPr>
          <w:rFonts w:ascii="宋体" w:hAnsi="宋体" w:cs="宋体" w:eastAsia="宋体" w:hint="default"/>
          <w:sz w:val="21"/>
          <w:szCs w:val="21"/>
        </w:rPr>
        <w:t>业务异质替代、驻地网宽带接</w:t>
      </w:r>
      <w:r>
        <w:rPr>
          <w:rFonts w:ascii="宋体" w:hAnsi="宋体" w:cs="宋体" w:eastAsia="宋体" w:hint="default"/>
          <w:w w:val="100"/>
          <w:sz w:val="21"/>
          <w:szCs w:val="21"/>
        </w:rPr>
        <w:t> </w:t>
      </w:r>
      <w:r>
        <w:rPr>
          <w:rFonts w:ascii="宋体" w:hAnsi="宋体" w:cs="宋体" w:eastAsia="宋体" w:hint="default"/>
          <w:sz w:val="21"/>
          <w:szCs w:val="21"/>
        </w:rPr>
        <w:t>入市场开放、铁塔公司正式运营等，都对公司经营带来了新的影响，同时也带来新的市</w:t>
      </w:r>
      <w:r>
        <w:rPr>
          <w:rFonts w:ascii="宋体" w:hAnsi="宋体" w:cs="宋体" w:eastAsia="宋体" w:hint="default"/>
          <w:w w:val="100"/>
          <w:sz w:val="21"/>
          <w:szCs w:val="21"/>
        </w:rPr>
        <w:t> </w:t>
      </w:r>
      <w:r>
        <w:rPr>
          <w:rFonts w:ascii="宋体" w:hAnsi="宋体" w:cs="宋体" w:eastAsia="宋体" w:hint="default"/>
          <w:sz w:val="21"/>
          <w:szCs w:val="21"/>
        </w:rPr>
        <w:t>场机会。公司将积极应对新的变化给自身带来的深刻影响，优化结构，面向市场有效配</w:t>
      </w:r>
      <w:r>
        <w:rPr>
          <w:rFonts w:ascii="宋体" w:hAnsi="宋体" w:cs="宋体" w:eastAsia="宋体" w:hint="default"/>
          <w:w w:val="100"/>
          <w:sz w:val="21"/>
          <w:szCs w:val="21"/>
        </w:rPr>
        <w:t> </w:t>
      </w:r>
      <w:r>
        <w:rPr>
          <w:rFonts w:ascii="宋体" w:hAnsi="宋体" w:cs="宋体" w:eastAsia="宋体" w:hint="default"/>
          <w:sz w:val="21"/>
          <w:szCs w:val="21"/>
        </w:rPr>
        <w:t>置资源，努力实现公司收入可持续增长。同时，随着实名制的严格实施，一方面公司将</w:t>
      </w:r>
      <w:r>
        <w:rPr>
          <w:rFonts w:ascii="宋体" w:hAnsi="宋体" w:cs="宋体" w:eastAsia="宋体" w:hint="default"/>
          <w:w w:val="100"/>
          <w:sz w:val="21"/>
          <w:szCs w:val="21"/>
        </w:rPr>
        <w:t> </w:t>
      </w:r>
      <w:r>
        <w:rPr>
          <w:rFonts w:ascii="宋体" w:hAnsi="宋体" w:cs="宋体" w:eastAsia="宋体" w:hint="default"/>
          <w:sz w:val="21"/>
          <w:szCs w:val="21"/>
        </w:rPr>
        <w:t>聚焦发展质量，驱动发展模式从数量型经营向精细化、效益型经营转型，另一方面，公</w:t>
      </w:r>
      <w:r>
        <w:rPr>
          <w:rFonts w:ascii="宋体" w:hAnsi="宋体" w:cs="宋体" w:eastAsia="宋体" w:hint="default"/>
          <w:w w:val="100"/>
          <w:sz w:val="21"/>
          <w:szCs w:val="21"/>
        </w:rPr>
        <w:t> </w:t>
      </w:r>
      <w:r>
        <w:rPr>
          <w:rFonts w:ascii="宋体" w:hAnsi="宋体" w:cs="宋体" w:eastAsia="宋体" w:hint="default"/>
          <w:spacing w:val="-2"/>
          <w:sz w:val="21"/>
          <w:szCs w:val="21"/>
        </w:rPr>
        <w:t>司将严格管理非实名卡用户和无效用户，短期会带来阵痛，但长期有利于持续健康发展。</w:t>
      </w:r>
    </w:p>
    <w:p>
      <w:pPr>
        <w:spacing w:line="240" w:lineRule="auto" w:before="5"/>
        <w:rPr>
          <w:rFonts w:ascii="宋体" w:hAnsi="宋体" w:cs="宋体" w:eastAsia="宋体" w:hint="default"/>
          <w:sz w:val="18"/>
          <w:szCs w:val="18"/>
        </w:rPr>
      </w:pPr>
    </w:p>
    <w:p>
      <w:pPr>
        <w:spacing w:before="0"/>
        <w:ind w:left="485" w:right="0" w:firstLine="0"/>
        <w:jc w:val="both"/>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pacing w:val="-72"/>
          <w:sz w:val="21"/>
          <w:szCs w:val="21"/>
        </w:rPr>
        <w:t> </w:t>
      </w:r>
      <w:r>
        <w:rPr>
          <w:rFonts w:ascii="宋体" w:hAnsi="宋体" w:cs="宋体" w:eastAsia="宋体" w:hint="default"/>
          <w:sz w:val="21"/>
          <w:szCs w:val="21"/>
        </w:rPr>
        <w:t>监管政策变化风险</w:t>
      </w:r>
    </w:p>
    <w:p>
      <w:pPr>
        <w:spacing w:line="240" w:lineRule="auto" w:before="6"/>
        <w:rPr>
          <w:rFonts w:ascii="宋体" w:hAnsi="宋体" w:cs="宋体" w:eastAsia="宋体" w:hint="default"/>
          <w:sz w:val="17"/>
          <w:szCs w:val="17"/>
        </w:rPr>
      </w:pPr>
    </w:p>
    <w:p>
      <w:pPr>
        <w:spacing w:line="235" w:lineRule="auto" w:before="0"/>
        <w:ind w:left="846" w:right="100" w:firstLine="0"/>
        <w:jc w:val="left"/>
        <w:rPr>
          <w:rFonts w:ascii="宋体" w:hAnsi="宋体" w:cs="宋体" w:eastAsia="宋体" w:hint="default"/>
          <w:sz w:val="21"/>
          <w:szCs w:val="21"/>
        </w:rPr>
      </w:pPr>
      <w:r>
        <w:rPr>
          <w:rFonts w:ascii="宋体" w:hAnsi="宋体" w:cs="宋体" w:eastAsia="宋体" w:hint="default"/>
          <w:sz w:val="21"/>
          <w:szCs w:val="21"/>
        </w:rPr>
        <w:t>近期中国政府已正式向中国联通和中国电信颁发“</w:t>
      </w:r>
      <w:r>
        <w:rPr>
          <w:rFonts w:ascii="Arial" w:hAnsi="Arial" w:cs="Arial" w:eastAsia="Arial" w:hint="default"/>
          <w:sz w:val="21"/>
          <w:szCs w:val="21"/>
        </w:rPr>
        <w:t>LTE</w:t>
      </w:r>
      <w:r>
        <w:rPr>
          <w:rFonts w:ascii="Arial" w:hAnsi="Arial" w:cs="Arial" w:eastAsia="Arial" w:hint="default"/>
          <w:spacing w:val="-2"/>
          <w:sz w:val="21"/>
          <w:szCs w:val="21"/>
        </w:rPr>
        <w:t> </w:t>
      </w:r>
      <w:r>
        <w:rPr>
          <w:rFonts w:ascii="Arial" w:hAnsi="Arial" w:cs="Arial" w:eastAsia="Arial" w:hint="default"/>
          <w:sz w:val="21"/>
          <w:szCs w:val="21"/>
        </w:rPr>
        <w:t>FDD</w:t>
      </w:r>
      <w:r>
        <w:rPr>
          <w:rFonts w:ascii="宋体" w:hAnsi="宋体" w:cs="宋体" w:eastAsia="宋体" w:hint="default"/>
          <w:sz w:val="21"/>
          <w:szCs w:val="21"/>
        </w:rPr>
        <w:t>”经营许可，并继续推进电</w:t>
      </w:r>
      <w:r>
        <w:rPr>
          <w:rFonts w:ascii="宋体" w:hAnsi="宋体" w:cs="宋体" w:eastAsia="宋体" w:hint="default"/>
          <w:w w:val="100"/>
          <w:sz w:val="21"/>
          <w:szCs w:val="21"/>
        </w:rPr>
        <w:t> </w:t>
      </w:r>
      <w:r>
        <w:rPr>
          <w:rFonts w:ascii="宋体" w:hAnsi="宋体" w:cs="宋体" w:eastAsia="宋体" w:hint="default"/>
          <w:sz w:val="21"/>
          <w:szCs w:val="21"/>
        </w:rPr>
        <w:t>信业向民营资本开放、“三网融合”、扩大携号转网试验、用户实名制等政策。这些监</w:t>
      </w:r>
      <w:r>
        <w:rPr>
          <w:rFonts w:ascii="宋体" w:hAnsi="宋体" w:cs="宋体" w:eastAsia="宋体" w:hint="default"/>
          <w:w w:val="100"/>
          <w:sz w:val="21"/>
          <w:szCs w:val="21"/>
        </w:rPr>
        <w:t> </w:t>
      </w:r>
      <w:r>
        <w:rPr>
          <w:rFonts w:ascii="宋体" w:hAnsi="宋体" w:cs="宋体" w:eastAsia="宋体" w:hint="default"/>
          <w:spacing w:val="-2"/>
          <w:sz w:val="21"/>
          <w:szCs w:val="21"/>
        </w:rPr>
        <w:t>管政策在给公司带来新的发展机遇的同时，也带来挑战。未来监管政策如有进一步调整，</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可能会给公司经营带来新的挑战和影响。</w:t>
      </w:r>
    </w:p>
    <w:p>
      <w:pPr>
        <w:spacing w:line="240" w:lineRule="auto" w:before="4"/>
        <w:rPr>
          <w:rFonts w:ascii="宋体" w:hAnsi="宋体" w:cs="宋体" w:eastAsia="宋体" w:hint="default"/>
          <w:sz w:val="18"/>
          <w:szCs w:val="18"/>
        </w:rPr>
      </w:pPr>
    </w:p>
    <w:p>
      <w:pPr>
        <w:spacing w:before="0"/>
        <w:ind w:left="485" w:right="0" w:firstLine="0"/>
        <w:jc w:val="both"/>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技术升级风险</w:t>
      </w:r>
    </w:p>
    <w:p>
      <w:pPr>
        <w:spacing w:line="240" w:lineRule="auto" w:before="4"/>
        <w:rPr>
          <w:rFonts w:ascii="宋体" w:hAnsi="宋体" w:cs="宋体" w:eastAsia="宋体" w:hint="default"/>
          <w:sz w:val="17"/>
          <w:szCs w:val="17"/>
        </w:rPr>
      </w:pPr>
    </w:p>
    <w:p>
      <w:pPr>
        <w:spacing w:line="237" w:lineRule="auto" w:before="0"/>
        <w:ind w:left="846" w:right="289" w:firstLine="0"/>
        <w:jc w:val="both"/>
        <w:rPr>
          <w:rFonts w:ascii="宋体" w:hAnsi="宋体" w:cs="宋体" w:eastAsia="宋体" w:hint="default"/>
          <w:sz w:val="21"/>
          <w:szCs w:val="21"/>
        </w:rPr>
      </w:pPr>
      <w:r>
        <w:rPr>
          <w:rFonts w:ascii="宋体" w:hAnsi="宋体" w:cs="宋体" w:eastAsia="宋体" w:hint="default"/>
          <w:spacing w:val="-2"/>
          <w:sz w:val="21"/>
          <w:szCs w:val="21"/>
        </w:rPr>
        <w:t>全球的电信运营商都面临所提供的技术与服务多样、复杂以及快速变化的挑战。公司需</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要不断跟进技术演进，升级网络，提升服务水平，以适应这些变化。公司将积极参与世</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界主流国际标准组织工作，深入开展新技术与新业务的研究与试验，持续提高技术创新</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能力，合理规划建设网络，保持竞争实力。</w:t>
      </w:r>
    </w:p>
    <w:p>
      <w:pPr>
        <w:spacing w:line="240" w:lineRule="auto" w:before="4"/>
        <w:rPr>
          <w:rFonts w:ascii="宋体" w:hAnsi="宋体" w:cs="宋体" w:eastAsia="宋体" w:hint="default"/>
          <w:sz w:val="18"/>
          <w:szCs w:val="18"/>
        </w:rPr>
      </w:pPr>
    </w:p>
    <w:p>
      <w:pPr>
        <w:spacing w:before="0"/>
        <w:ind w:left="485" w:right="0" w:firstLine="0"/>
        <w:jc w:val="both"/>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w:t>
      </w:r>
      <w:r>
        <w:rPr>
          <w:rFonts w:ascii="宋体" w:hAnsi="宋体" w:cs="宋体" w:eastAsia="宋体" w:hint="default"/>
          <w:spacing w:val="-70"/>
          <w:sz w:val="21"/>
          <w:szCs w:val="21"/>
        </w:rPr>
        <w:t> </w:t>
      </w:r>
      <w:r>
        <w:rPr>
          <w:rFonts w:ascii="宋体" w:hAnsi="宋体" w:cs="宋体" w:eastAsia="宋体" w:hint="default"/>
          <w:sz w:val="21"/>
          <w:szCs w:val="21"/>
        </w:rPr>
        <w:t>利率和汇率风险</w:t>
      </w:r>
    </w:p>
    <w:p>
      <w:pPr>
        <w:spacing w:line="240" w:lineRule="auto" w:before="4"/>
        <w:rPr>
          <w:rFonts w:ascii="宋体" w:hAnsi="宋体" w:cs="宋体" w:eastAsia="宋体" w:hint="default"/>
          <w:sz w:val="17"/>
          <w:szCs w:val="17"/>
        </w:rPr>
      </w:pPr>
    </w:p>
    <w:p>
      <w:pPr>
        <w:spacing w:line="237" w:lineRule="auto" w:before="0"/>
        <w:ind w:left="846" w:right="289" w:firstLine="0"/>
        <w:jc w:val="both"/>
        <w:rPr>
          <w:rFonts w:ascii="宋体" w:hAnsi="宋体" w:cs="宋体" w:eastAsia="宋体" w:hint="default"/>
          <w:sz w:val="21"/>
          <w:szCs w:val="21"/>
        </w:rPr>
      </w:pPr>
      <w:r>
        <w:rPr>
          <w:rFonts w:ascii="宋体" w:hAnsi="宋体" w:cs="宋体" w:eastAsia="宋体" w:hint="default"/>
          <w:spacing w:val="-2"/>
          <w:sz w:val="21"/>
          <w:szCs w:val="21"/>
        </w:rPr>
        <w:t>本公司持有以外币计价的资产及负债，人民币汇率变动可能会对本公司的利润产生一定</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的影响；同时，利率上升可能使公司带息债务的利息支出上升。公司将持续关注汇率及</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利率市场变化，通过合理调整债务结构，加强资金管理，降低汇率及利率风险。</w:t>
      </w:r>
    </w:p>
    <w:p>
      <w:pPr>
        <w:spacing w:after="0" w:line="237" w:lineRule="auto"/>
        <w:jc w:val="both"/>
        <w:rPr>
          <w:rFonts w:ascii="宋体" w:hAnsi="宋体" w:cs="宋体" w:eastAsia="宋体" w:hint="default"/>
          <w:sz w:val="21"/>
          <w:szCs w:val="21"/>
        </w:rPr>
        <w:sectPr>
          <w:pgSz w:w="11910" w:h="16840"/>
          <w:pgMar w:header="880" w:footer="1194" w:top="1120" w:bottom="1380" w:left="1660" w:right="1120"/>
        </w:sectPr>
      </w:pPr>
    </w:p>
    <w:p>
      <w:pPr>
        <w:spacing w:line="240" w:lineRule="auto" w:before="11"/>
        <w:rPr>
          <w:rFonts w:ascii="宋体" w:hAnsi="宋体" w:cs="宋体" w:eastAsia="宋体" w:hint="default"/>
          <w:sz w:val="29"/>
          <w:szCs w:val="29"/>
        </w:rPr>
      </w:pPr>
    </w:p>
    <w:p>
      <w:pPr>
        <w:spacing w:before="36"/>
        <w:ind w:left="218" w:right="228" w:firstLine="0"/>
        <w:jc w:val="left"/>
        <w:rPr>
          <w:rFonts w:ascii="宋体" w:hAnsi="宋体" w:cs="宋体" w:eastAsia="宋体" w:hint="default"/>
          <w:sz w:val="21"/>
          <w:szCs w:val="21"/>
        </w:rPr>
      </w:pPr>
      <w:r>
        <w:rPr>
          <w:rFonts w:ascii="宋体" w:hAnsi="宋体" w:cs="宋体" w:eastAsia="宋体" w:hint="default"/>
          <w:b/>
          <w:bCs/>
          <w:sz w:val="21"/>
          <w:szCs w:val="21"/>
        </w:rPr>
        <w:t>三、董事会对会计师事务所“非标准审计报告”的说明</w:t>
      </w:r>
      <w:r>
        <w:rPr>
          <w:rFonts w:ascii="宋体" w:hAnsi="宋体" w:cs="宋体" w:eastAsia="宋体" w:hint="default"/>
          <w:sz w:val="21"/>
          <w:szCs w:val="21"/>
        </w:rPr>
      </w:r>
    </w:p>
    <w:p>
      <w:pPr>
        <w:spacing w:line="240" w:lineRule="auto" w:before="11"/>
        <w:rPr>
          <w:rFonts w:ascii="宋体" w:hAnsi="宋体" w:cs="宋体" w:eastAsia="宋体" w:hint="default"/>
          <w:b/>
          <w:bCs/>
          <w:sz w:val="26"/>
          <w:szCs w:val="26"/>
        </w:rPr>
      </w:pPr>
    </w:p>
    <w:p>
      <w:pPr>
        <w:spacing w:before="0"/>
        <w:ind w:left="218" w:right="228"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一</w:t>
      </w:r>
      <w:r>
        <w:rPr>
          <w:rFonts w:ascii="Arial" w:hAnsi="Arial" w:cs="Arial" w:eastAsia="Arial" w:hint="default"/>
          <w:b/>
          <w:bCs/>
          <w:sz w:val="21"/>
          <w:szCs w:val="21"/>
        </w:rPr>
        <w:t>)</w:t>
      </w:r>
      <w:r>
        <w:rPr>
          <w:rFonts w:ascii="Arial" w:hAnsi="Arial" w:cs="Arial" w:eastAsia="Arial" w:hint="default"/>
          <w:b/>
          <w:bCs/>
          <w:spacing w:val="8"/>
          <w:sz w:val="21"/>
          <w:szCs w:val="21"/>
        </w:rPr>
        <w:t> </w:t>
      </w:r>
      <w:r>
        <w:rPr>
          <w:rFonts w:ascii="宋体" w:hAnsi="宋体" w:cs="宋体" w:eastAsia="宋体" w:hint="default"/>
          <w:b/>
          <w:bCs/>
          <w:sz w:val="21"/>
          <w:szCs w:val="21"/>
        </w:rPr>
        <w:t>董事会、监事会对会计师事务所“非标准审计报告”的说明</w:t>
      </w:r>
      <w:r>
        <w:rPr>
          <w:rFonts w:ascii="宋体" w:hAnsi="宋体" w:cs="宋体" w:eastAsia="宋体" w:hint="default"/>
          <w:sz w:val="21"/>
          <w:szCs w:val="21"/>
        </w:rPr>
      </w:r>
    </w:p>
    <w:p>
      <w:pPr>
        <w:spacing w:before="44"/>
        <w:ind w:left="645" w:right="0" w:firstLine="0"/>
        <w:jc w:val="both"/>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不适用</w:t>
      </w:r>
    </w:p>
    <w:p>
      <w:pPr>
        <w:spacing w:line="240" w:lineRule="auto" w:before="12"/>
        <w:rPr>
          <w:rFonts w:ascii="宋体" w:hAnsi="宋体" w:cs="宋体" w:eastAsia="宋体" w:hint="default"/>
          <w:sz w:val="18"/>
          <w:szCs w:val="18"/>
        </w:rPr>
      </w:pPr>
    </w:p>
    <w:p>
      <w:pPr>
        <w:spacing w:before="0"/>
        <w:ind w:left="218" w:right="228"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二</w:t>
      </w:r>
      <w:r>
        <w:rPr>
          <w:rFonts w:ascii="Arial" w:hAnsi="Arial" w:cs="Arial" w:eastAsia="Arial" w:hint="default"/>
          <w:b/>
          <w:bCs/>
          <w:sz w:val="21"/>
          <w:szCs w:val="21"/>
        </w:rPr>
        <w:t>)</w:t>
      </w:r>
      <w:r>
        <w:rPr>
          <w:rFonts w:ascii="Arial" w:hAnsi="Arial" w:cs="Arial" w:eastAsia="Arial" w:hint="default"/>
          <w:b/>
          <w:bCs/>
          <w:spacing w:val="9"/>
          <w:sz w:val="21"/>
          <w:szCs w:val="21"/>
        </w:rPr>
        <w:t> </w:t>
      </w:r>
      <w:r>
        <w:rPr>
          <w:rFonts w:ascii="宋体" w:hAnsi="宋体" w:cs="宋体" w:eastAsia="宋体" w:hint="default"/>
          <w:b/>
          <w:bCs/>
          <w:sz w:val="21"/>
          <w:szCs w:val="21"/>
        </w:rPr>
        <w:t>董事会对会计政策、会计估计或核算方法变更的原因和影响的分析说明</w:t>
      </w:r>
      <w:r>
        <w:rPr>
          <w:rFonts w:ascii="宋体" w:hAnsi="宋体" w:cs="宋体" w:eastAsia="宋体" w:hint="default"/>
          <w:sz w:val="21"/>
          <w:szCs w:val="21"/>
        </w:rPr>
      </w:r>
    </w:p>
    <w:p>
      <w:pPr>
        <w:spacing w:before="44"/>
        <w:ind w:left="645" w:right="0" w:firstLine="0"/>
        <w:jc w:val="both"/>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不适用</w:t>
      </w:r>
    </w:p>
    <w:p>
      <w:pPr>
        <w:spacing w:line="240" w:lineRule="auto" w:before="9"/>
        <w:rPr>
          <w:rFonts w:ascii="宋体" w:hAnsi="宋体" w:cs="宋体" w:eastAsia="宋体" w:hint="default"/>
          <w:sz w:val="21"/>
          <w:szCs w:val="21"/>
        </w:rPr>
      </w:pPr>
    </w:p>
    <w:p>
      <w:pPr>
        <w:spacing w:before="0"/>
        <w:ind w:left="218" w:right="228"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三</w:t>
      </w:r>
      <w:r>
        <w:rPr>
          <w:rFonts w:ascii="Arial" w:hAnsi="Arial" w:cs="Arial" w:eastAsia="Arial" w:hint="default"/>
          <w:b/>
          <w:bCs/>
          <w:sz w:val="21"/>
          <w:szCs w:val="21"/>
        </w:rPr>
        <w:t>)</w:t>
      </w:r>
      <w:r>
        <w:rPr>
          <w:rFonts w:ascii="Arial" w:hAnsi="Arial" w:cs="Arial" w:eastAsia="Arial" w:hint="default"/>
          <w:b/>
          <w:bCs/>
          <w:spacing w:val="6"/>
          <w:sz w:val="21"/>
          <w:szCs w:val="21"/>
        </w:rPr>
        <w:t> </w:t>
      </w:r>
      <w:r>
        <w:rPr>
          <w:rFonts w:ascii="宋体" w:hAnsi="宋体" w:cs="宋体" w:eastAsia="宋体" w:hint="default"/>
          <w:b/>
          <w:bCs/>
          <w:sz w:val="21"/>
          <w:szCs w:val="21"/>
        </w:rPr>
        <w:t>董事会对重要前期差错更正的原因及影响的分析说明</w:t>
      </w:r>
      <w:r>
        <w:rPr>
          <w:rFonts w:ascii="宋体" w:hAnsi="宋体" w:cs="宋体" w:eastAsia="宋体" w:hint="default"/>
          <w:sz w:val="21"/>
          <w:szCs w:val="21"/>
        </w:rPr>
      </w:r>
    </w:p>
    <w:p>
      <w:pPr>
        <w:spacing w:line="446" w:lineRule="auto" w:before="41"/>
        <w:ind w:left="218" w:right="5615" w:firstLine="427"/>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四、利润分配或资本公积金转增预案</w:t>
      </w:r>
      <w:r>
        <w:rPr>
          <w:rFonts w:ascii="宋体" w:hAnsi="宋体" w:cs="宋体" w:eastAsia="宋体" w:hint="default"/>
          <w:sz w:val="21"/>
          <w:szCs w:val="21"/>
        </w:rPr>
      </w:r>
    </w:p>
    <w:p>
      <w:pPr>
        <w:spacing w:before="145"/>
        <w:ind w:left="218" w:right="228"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一</w:t>
      </w:r>
      <w:r>
        <w:rPr>
          <w:rFonts w:ascii="Arial" w:hAnsi="Arial" w:cs="Arial" w:eastAsia="Arial" w:hint="default"/>
          <w:b/>
          <w:bCs/>
          <w:sz w:val="21"/>
          <w:szCs w:val="21"/>
        </w:rPr>
        <w:t>)</w:t>
      </w:r>
      <w:r>
        <w:rPr>
          <w:rFonts w:ascii="Arial" w:hAnsi="Arial" w:cs="Arial" w:eastAsia="Arial" w:hint="default"/>
          <w:b/>
          <w:bCs/>
          <w:spacing w:val="10"/>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sz w:val="21"/>
          <w:szCs w:val="21"/>
        </w:rPr>
      </w:r>
    </w:p>
    <w:p>
      <w:pPr>
        <w:spacing w:line="240" w:lineRule="auto" w:before="9"/>
        <w:rPr>
          <w:rFonts w:ascii="宋体" w:hAnsi="宋体" w:cs="宋体" w:eastAsia="宋体" w:hint="default"/>
          <w:b/>
          <w:bCs/>
          <w:sz w:val="19"/>
          <w:szCs w:val="19"/>
        </w:rPr>
      </w:pPr>
    </w:p>
    <w:p>
      <w:pPr>
        <w:spacing w:line="232" w:lineRule="auto" w:before="0"/>
        <w:ind w:left="645" w:right="227" w:firstLine="0"/>
        <w:jc w:val="both"/>
        <w:rPr>
          <w:rFonts w:ascii="宋体" w:hAnsi="宋体" w:cs="宋体" w:eastAsia="宋体" w:hint="default"/>
          <w:sz w:val="21"/>
          <w:szCs w:val="21"/>
        </w:rPr>
      </w:pPr>
      <w:r>
        <w:rPr>
          <w:rFonts w:ascii="宋体" w:hAnsi="宋体" w:cs="宋体" w:eastAsia="宋体" w:hint="default"/>
          <w:spacing w:val="-6"/>
          <w:sz w:val="21"/>
          <w:szCs w:val="21"/>
        </w:rPr>
        <w:t>根据本公司《公司章程》第 </w:t>
      </w:r>
      <w:r>
        <w:rPr>
          <w:rFonts w:ascii="Arial" w:hAnsi="Arial" w:cs="Arial" w:eastAsia="Arial" w:hint="default"/>
          <w:sz w:val="21"/>
          <w:szCs w:val="21"/>
        </w:rPr>
        <w:t>157 </w:t>
      </w:r>
      <w:r>
        <w:rPr>
          <w:rFonts w:ascii="宋体" w:hAnsi="宋体" w:cs="宋体" w:eastAsia="宋体" w:hint="default"/>
          <w:spacing w:val="-4"/>
          <w:sz w:val="21"/>
          <w:szCs w:val="21"/>
        </w:rPr>
        <w:t>条的规定，“本公司应当将自联通红筹公司分红所得的现金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在扣除日常现金开支、税费及法律法规规定应当提取的各项基金后以现金方式全额分配给股</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东。”</w:t>
      </w:r>
    </w:p>
    <w:p>
      <w:pPr>
        <w:spacing w:line="240" w:lineRule="auto" w:before="10"/>
        <w:rPr>
          <w:rFonts w:ascii="宋体" w:hAnsi="宋体" w:cs="宋体" w:eastAsia="宋体" w:hint="default"/>
          <w:sz w:val="15"/>
          <w:szCs w:val="15"/>
        </w:rPr>
      </w:pPr>
    </w:p>
    <w:p>
      <w:pPr>
        <w:spacing w:line="237" w:lineRule="auto" w:before="0"/>
        <w:ind w:left="645" w:right="228" w:firstLine="0"/>
        <w:jc w:val="both"/>
        <w:rPr>
          <w:rFonts w:ascii="宋体" w:hAnsi="宋体" w:cs="宋体" w:eastAsia="宋体" w:hint="default"/>
          <w:sz w:val="21"/>
          <w:szCs w:val="21"/>
        </w:rPr>
      </w:pPr>
      <w:r>
        <w:rPr>
          <w:rFonts w:ascii="宋体" w:hAnsi="宋体" w:cs="宋体" w:eastAsia="宋体" w:hint="default"/>
          <w:spacing w:val="-3"/>
          <w:sz w:val="21"/>
          <w:szCs w:val="21"/>
        </w:rPr>
        <w:t>公司股东（包括少数股东）目前通过股东投票的渗透机制，参与联通红筹公司的股利分配决</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3"/>
          <w:sz w:val="21"/>
          <w:szCs w:val="21"/>
        </w:rPr>
        <w:t>策。公司每年均严格按照上述公司的股利分配政策，将每年获得的联通红筹公司派发的现金</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3"/>
          <w:sz w:val="21"/>
          <w:szCs w:val="21"/>
        </w:rPr>
        <w:t>股利在扣除本公司自身的日常现金开支、税费及按《公司法》应当提取的法定盈余公积后全</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部分配给公司股东。</w:t>
      </w:r>
    </w:p>
    <w:p>
      <w:pPr>
        <w:spacing w:line="240" w:lineRule="auto" w:before="7"/>
        <w:rPr>
          <w:rFonts w:ascii="宋体" w:hAnsi="宋体" w:cs="宋体" w:eastAsia="宋体" w:hint="default"/>
          <w:sz w:val="15"/>
          <w:szCs w:val="15"/>
        </w:rPr>
      </w:pPr>
    </w:p>
    <w:p>
      <w:pPr>
        <w:spacing w:line="282" w:lineRule="exact" w:before="0"/>
        <w:ind w:left="645" w:right="0" w:firstLine="0"/>
        <w:jc w:val="both"/>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50"/>
          <w:sz w:val="21"/>
          <w:szCs w:val="21"/>
        </w:rPr>
        <w:t> </w:t>
      </w:r>
      <w:r>
        <w:rPr>
          <w:rFonts w:ascii="Arial" w:hAnsi="Arial" w:cs="Arial" w:eastAsia="Arial" w:hint="default"/>
          <w:sz w:val="21"/>
          <w:szCs w:val="21"/>
        </w:rPr>
        <w:t>2013</w:t>
      </w:r>
      <w:r>
        <w:rPr>
          <w:rFonts w:ascii="Arial" w:hAnsi="Arial" w:cs="Arial" w:eastAsia="Arial" w:hint="default"/>
          <w:spacing w:val="-4"/>
          <w:sz w:val="21"/>
          <w:szCs w:val="21"/>
        </w:rPr>
        <w:t> </w:t>
      </w:r>
      <w:r>
        <w:rPr>
          <w:rFonts w:ascii="宋体" w:hAnsi="宋体" w:cs="宋体" w:eastAsia="宋体" w:hint="default"/>
          <w:spacing w:val="-6"/>
          <w:sz w:val="21"/>
          <w:szCs w:val="21"/>
        </w:rPr>
        <w:t>年度利润分配方案为：按本公司</w:t>
      </w:r>
      <w:r>
        <w:rPr>
          <w:rFonts w:ascii="宋体" w:hAnsi="宋体" w:cs="宋体" w:eastAsia="宋体" w:hint="default"/>
          <w:spacing w:val="-50"/>
          <w:sz w:val="21"/>
          <w:szCs w:val="21"/>
        </w:rPr>
        <w:t> </w:t>
      </w:r>
      <w:r>
        <w:rPr>
          <w:rFonts w:ascii="Arial" w:hAnsi="Arial" w:cs="Arial" w:eastAsia="Arial" w:hint="default"/>
          <w:sz w:val="21"/>
          <w:szCs w:val="21"/>
        </w:rPr>
        <w:t>2013</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Arial" w:hAnsi="Arial" w:cs="Arial" w:eastAsia="Arial" w:hint="default"/>
          <w:sz w:val="21"/>
          <w:szCs w:val="21"/>
        </w:rPr>
        <w:t>31</w:t>
      </w:r>
      <w:r>
        <w:rPr>
          <w:rFonts w:ascii="Arial" w:hAnsi="Arial" w:cs="Arial" w:eastAsia="Arial" w:hint="default"/>
          <w:spacing w:val="-2"/>
          <w:sz w:val="21"/>
          <w:szCs w:val="21"/>
        </w:rPr>
        <w:t> </w:t>
      </w:r>
      <w:r>
        <w:rPr>
          <w:rFonts w:ascii="宋体" w:hAnsi="宋体" w:cs="宋体" w:eastAsia="宋体" w:hint="default"/>
          <w:sz w:val="21"/>
          <w:szCs w:val="21"/>
        </w:rPr>
        <w:t>日总股本</w:t>
      </w:r>
      <w:r>
        <w:rPr>
          <w:rFonts w:ascii="宋体" w:hAnsi="宋体" w:cs="宋体" w:eastAsia="宋体" w:hint="default"/>
          <w:spacing w:val="-50"/>
          <w:sz w:val="21"/>
          <w:szCs w:val="21"/>
        </w:rPr>
        <w:t> </w:t>
      </w:r>
      <w:r>
        <w:rPr>
          <w:rFonts w:ascii="Arial" w:hAnsi="Arial" w:cs="Arial" w:eastAsia="Arial" w:hint="default"/>
          <w:sz w:val="21"/>
          <w:szCs w:val="21"/>
        </w:rPr>
        <w:t>211.97</w:t>
      </w:r>
      <w:r>
        <w:rPr>
          <w:rFonts w:ascii="Arial" w:hAnsi="Arial" w:cs="Arial" w:eastAsia="Arial" w:hint="default"/>
          <w:spacing w:val="-3"/>
          <w:sz w:val="21"/>
          <w:szCs w:val="21"/>
        </w:rPr>
        <w:t> </w:t>
      </w:r>
      <w:r>
        <w:rPr>
          <w:rFonts w:ascii="宋体" w:hAnsi="宋体" w:cs="宋体" w:eastAsia="宋体" w:hint="default"/>
          <w:spacing w:val="-12"/>
          <w:sz w:val="21"/>
          <w:szCs w:val="21"/>
        </w:rPr>
        <w:t>亿股计，每</w:t>
      </w:r>
    </w:p>
    <w:p>
      <w:pPr>
        <w:spacing w:line="273" w:lineRule="exact" w:before="0"/>
        <w:ind w:left="645" w:right="0" w:firstLine="0"/>
        <w:jc w:val="both"/>
        <w:rPr>
          <w:rFonts w:ascii="宋体" w:hAnsi="宋体" w:cs="宋体" w:eastAsia="宋体" w:hint="default"/>
          <w:sz w:val="21"/>
          <w:szCs w:val="21"/>
        </w:rPr>
      </w:pP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股派发现金股息</w:t>
      </w:r>
      <w:r>
        <w:rPr>
          <w:rFonts w:ascii="宋体" w:hAnsi="宋体" w:cs="宋体" w:eastAsia="宋体" w:hint="default"/>
          <w:spacing w:val="-56"/>
          <w:sz w:val="21"/>
          <w:szCs w:val="21"/>
        </w:rPr>
        <w:t> </w:t>
      </w:r>
      <w:r>
        <w:rPr>
          <w:rFonts w:ascii="Arial" w:hAnsi="Arial" w:cs="Arial" w:eastAsia="Arial" w:hint="default"/>
          <w:sz w:val="21"/>
          <w:szCs w:val="21"/>
        </w:rPr>
        <w:t>0.534</w:t>
      </w:r>
      <w:r>
        <w:rPr>
          <w:rFonts w:ascii="Arial" w:hAnsi="Arial" w:cs="Arial" w:eastAsia="Arial" w:hint="default"/>
          <w:spacing w:val="-9"/>
          <w:sz w:val="21"/>
          <w:szCs w:val="21"/>
        </w:rPr>
        <w:t> </w:t>
      </w:r>
      <w:r>
        <w:rPr>
          <w:rFonts w:ascii="宋体" w:hAnsi="宋体" w:cs="宋体" w:eastAsia="宋体" w:hint="default"/>
          <w:sz w:val="21"/>
          <w:szCs w:val="21"/>
        </w:rPr>
        <w:t>元（含税），共计派发现金红利约</w:t>
      </w:r>
      <w:r>
        <w:rPr>
          <w:rFonts w:ascii="宋体" w:hAnsi="宋体" w:cs="宋体" w:eastAsia="宋体" w:hint="default"/>
          <w:spacing w:val="-53"/>
          <w:sz w:val="21"/>
          <w:szCs w:val="21"/>
        </w:rPr>
        <w:t> </w:t>
      </w:r>
      <w:r>
        <w:rPr>
          <w:rFonts w:ascii="Arial" w:hAnsi="Arial" w:cs="Arial" w:eastAsia="Arial" w:hint="default"/>
          <w:sz w:val="21"/>
          <w:szCs w:val="21"/>
        </w:rPr>
        <w:t>11.32</w:t>
      </w:r>
      <w:r>
        <w:rPr>
          <w:rFonts w:ascii="Arial" w:hAnsi="Arial" w:cs="Arial" w:eastAsia="Arial" w:hint="default"/>
          <w:spacing w:val="-9"/>
          <w:sz w:val="21"/>
          <w:szCs w:val="21"/>
        </w:rPr>
        <w:t> </w:t>
      </w:r>
      <w:r>
        <w:rPr>
          <w:rFonts w:ascii="宋体" w:hAnsi="宋体" w:cs="宋体" w:eastAsia="宋体" w:hint="default"/>
          <w:sz w:val="21"/>
          <w:szCs w:val="21"/>
        </w:rPr>
        <w:t>亿元（含税）。该利润</w:t>
      </w:r>
    </w:p>
    <w:p>
      <w:pPr>
        <w:spacing w:line="274" w:lineRule="exact" w:before="16"/>
        <w:ind w:left="645" w:right="230" w:firstLine="0"/>
        <w:jc w:val="both"/>
        <w:rPr>
          <w:rFonts w:ascii="宋体" w:hAnsi="宋体" w:cs="宋体" w:eastAsia="宋体" w:hint="default"/>
          <w:sz w:val="21"/>
          <w:szCs w:val="21"/>
        </w:rPr>
      </w:pPr>
      <w:r>
        <w:rPr>
          <w:rFonts w:ascii="宋体" w:hAnsi="宋体" w:cs="宋体" w:eastAsia="宋体" w:hint="default"/>
          <w:sz w:val="21"/>
          <w:szCs w:val="21"/>
        </w:rPr>
        <w:t>分配方案经</w:t>
      </w:r>
      <w:r>
        <w:rPr>
          <w:rFonts w:ascii="宋体" w:hAnsi="宋体" w:cs="宋体" w:eastAsia="宋体" w:hint="default"/>
          <w:spacing w:val="-53"/>
          <w:sz w:val="21"/>
          <w:szCs w:val="21"/>
        </w:rPr>
        <w:t> </w:t>
      </w:r>
      <w:r>
        <w:rPr>
          <w:rFonts w:ascii="Arial" w:hAnsi="Arial" w:cs="Arial" w:eastAsia="Arial" w:hint="default"/>
          <w:sz w:val="21"/>
          <w:szCs w:val="21"/>
        </w:rPr>
        <w:t>2014</w:t>
      </w:r>
      <w:r>
        <w:rPr>
          <w:rFonts w:ascii="Arial" w:hAnsi="Arial" w:cs="Arial" w:eastAsia="Arial"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日召开的本公司股东大会审议通过后，于</w:t>
      </w:r>
      <w:r>
        <w:rPr>
          <w:rFonts w:ascii="宋体" w:hAnsi="宋体" w:cs="宋体" w:eastAsia="宋体" w:hint="default"/>
          <w:spacing w:val="-53"/>
          <w:sz w:val="21"/>
          <w:szCs w:val="21"/>
        </w:rPr>
        <w:t> </w:t>
      </w:r>
      <w:r>
        <w:rPr>
          <w:rFonts w:ascii="Arial" w:hAnsi="Arial" w:cs="Arial" w:eastAsia="Arial" w:hint="default"/>
          <w:sz w:val="21"/>
          <w:szCs w:val="21"/>
        </w:rPr>
        <w:t>2014</w:t>
      </w:r>
      <w:r>
        <w:rPr>
          <w:rFonts w:ascii="Arial" w:hAnsi="Arial" w:cs="Arial" w:eastAsia="Arial"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30</w:t>
      </w:r>
      <w:r>
        <w:rPr>
          <w:rFonts w:ascii="Arial" w:hAnsi="Arial" w:cs="Arial" w:eastAsia="Arial" w:hint="default"/>
          <w:spacing w:val="-9"/>
          <w:sz w:val="21"/>
          <w:szCs w:val="21"/>
        </w:rPr>
        <w:t> </w:t>
      </w:r>
      <w:r>
        <w:rPr>
          <w:rFonts w:ascii="宋体" w:hAnsi="宋体" w:cs="宋体" w:eastAsia="宋体" w:hint="default"/>
          <w:spacing w:val="-3"/>
          <w:sz w:val="21"/>
          <w:szCs w:val="21"/>
        </w:rPr>
        <w:t>日实</w:t>
      </w:r>
      <w:r>
        <w:rPr>
          <w:rFonts w:ascii="宋体" w:hAnsi="宋体" w:cs="宋体" w:eastAsia="宋体" w:hint="default"/>
          <w:spacing w:val="-3"/>
          <w:w w:val="100"/>
          <w:sz w:val="21"/>
          <w:szCs w:val="21"/>
        </w:rPr>
        <w:t> </w:t>
      </w:r>
      <w:r>
        <w:rPr>
          <w:rFonts w:ascii="宋体" w:hAnsi="宋体" w:cs="宋体" w:eastAsia="宋体" w:hint="default"/>
          <w:sz w:val="21"/>
          <w:szCs w:val="21"/>
        </w:rPr>
        <w:t>施。</w:t>
      </w:r>
    </w:p>
    <w:p>
      <w:pPr>
        <w:spacing w:line="240" w:lineRule="auto" w:before="6"/>
        <w:rPr>
          <w:rFonts w:ascii="宋体" w:hAnsi="宋体" w:cs="宋体" w:eastAsia="宋体" w:hint="default"/>
          <w:sz w:val="20"/>
          <w:szCs w:val="20"/>
        </w:rPr>
      </w:pPr>
    </w:p>
    <w:p>
      <w:pPr>
        <w:spacing w:line="272" w:lineRule="exact" w:before="0"/>
        <w:ind w:left="645" w:right="228" w:hanging="428"/>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二</w:t>
      </w:r>
      <w:r>
        <w:rPr>
          <w:rFonts w:ascii="Arial" w:hAnsi="Arial" w:cs="Arial" w:eastAsia="Arial" w:hint="default"/>
          <w:b/>
          <w:bCs/>
          <w:sz w:val="21"/>
          <w:szCs w:val="21"/>
        </w:rPr>
        <w:t>)</w:t>
      </w:r>
      <w:r>
        <w:rPr>
          <w:rFonts w:ascii="Arial" w:hAnsi="Arial" w:cs="Arial" w:eastAsia="Arial" w:hint="default"/>
          <w:b/>
          <w:bCs/>
          <w:spacing w:val="39"/>
          <w:sz w:val="21"/>
          <w:szCs w:val="21"/>
        </w:rPr>
        <w:t> </w:t>
      </w:r>
      <w:r>
        <w:rPr>
          <w:rFonts w:ascii="宋体" w:hAnsi="宋体" w:cs="宋体" w:eastAsia="宋体" w:hint="default"/>
          <w:b/>
          <w:bCs/>
          <w:spacing w:val="-3"/>
          <w:sz w:val="21"/>
          <w:szCs w:val="21"/>
        </w:rPr>
        <w:t>报告期内盈利且母公司未分配利润为正，但未提出现金红利分配预案的，公司应当详细披露</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b/>
          <w:bCs/>
          <w:sz w:val="21"/>
          <w:szCs w:val="21"/>
        </w:rPr>
        <w:t>原因以及未分配利润的用途和使用计划</w:t>
      </w:r>
      <w:r>
        <w:rPr>
          <w:rFonts w:ascii="宋体" w:hAnsi="宋体" w:cs="宋体" w:eastAsia="宋体" w:hint="default"/>
          <w:sz w:val="21"/>
          <w:szCs w:val="21"/>
        </w:rPr>
      </w:r>
    </w:p>
    <w:p>
      <w:pPr>
        <w:spacing w:before="31"/>
        <w:ind w:left="645" w:right="0" w:firstLine="0"/>
        <w:jc w:val="both"/>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不适用</w:t>
      </w:r>
    </w:p>
    <w:p>
      <w:pPr>
        <w:spacing w:line="240" w:lineRule="auto" w:before="2"/>
        <w:rPr>
          <w:rFonts w:ascii="宋体" w:hAnsi="宋体" w:cs="宋体" w:eastAsia="宋体" w:hint="default"/>
          <w:sz w:val="19"/>
          <w:szCs w:val="19"/>
        </w:rPr>
      </w:pPr>
    </w:p>
    <w:p>
      <w:pPr>
        <w:spacing w:before="0"/>
        <w:ind w:left="218" w:right="228"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三</w:t>
      </w:r>
      <w:r>
        <w:rPr>
          <w:rFonts w:ascii="Arial" w:hAnsi="Arial" w:cs="Arial" w:eastAsia="Arial" w:hint="default"/>
          <w:b/>
          <w:bCs/>
          <w:sz w:val="21"/>
          <w:szCs w:val="21"/>
        </w:rPr>
        <w:t>)</w:t>
      </w:r>
      <w:r>
        <w:rPr>
          <w:rFonts w:ascii="Arial" w:hAnsi="Arial" w:cs="Arial" w:eastAsia="Arial" w:hint="default"/>
          <w:b/>
          <w:bCs/>
          <w:spacing w:val="5"/>
          <w:sz w:val="21"/>
          <w:szCs w:val="21"/>
        </w:rPr>
        <w:t> </w:t>
      </w:r>
      <w:r>
        <w:rPr>
          <w:rFonts w:ascii="宋体" w:hAnsi="宋体" w:cs="宋体" w:eastAsia="宋体" w:hint="default"/>
          <w:b/>
          <w:bCs/>
          <w:sz w:val="21"/>
          <w:szCs w:val="21"/>
        </w:rPr>
        <w:t>公司近三年（含报告期）的利润分配方案或预案、资本公积金转增股本方案或预案</w:t>
      </w:r>
      <w:r>
        <w:rPr>
          <w:rFonts w:ascii="宋体" w:hAnsi="宋体" w:cs="宋体" w:eastAsia="宋体" w:hint="default"/>
          <w:sz w:val="21"/>
          <w:szCs w:val="21"/>
        </w:rPr>
      </w:r>
    </w:p>
    <w:p>
      <w:pPr>
        <w:tabs>
          <w:tab w:pos="1048" w:val="left" w:leader="none"/>
        </w:tabs>
        <w:spacing w:before="44"/>
        <w:ind w:left="0" w:right="230"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14"/>
        <w:gridCol w:w="1102"/>
        <w:gridCol w:w="1178"/>
        <w:gridCol w:w="1054"/>
        <w:gridCol w:w="1519"/>
        <w:gridCol w:w="1633"/>
        <w:gridCol w:w="1589"/>
      </w:tblGrid>
      <w:tr>
        <w:trPr>
          <w:trHeight w:val="944" w:hRule="exact"/>
        </w:trPr>
        <w:tc>
          <w:tcPr>
            <w:tcW w:w="91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71" w:right="266"/>
              <w:jc w:val="left"/>
              <w:rPr>
                <w:rFonts w:ascii="宋体" w:hAnsi="宋体" w:cs="宋体" w:eastAsia="宋体" w:hint="default"/>
                <w:sz w:val="18"/>
                <w:szCs w:val="18"/>
              </w:rPr>
            </w:pPr>
            <w:r>
              <w:rPr>
                <w:rFonts w:ascii="宋体" w:hAnsi="宋体" w:cs="宋体" w:eastAsia="宋体" w:hint="default"/>
                <w:b/>
                <w:bCs/>
                <w:sz w:val="18"/>
                <w:szCs w:val="18"/>
              </w:rPr>
              <w:t>分红</w:t>
            </w:r>
            <w:r>
              <w:rPr>
                <w:rFonts w:ascii="宋体" w:hAnsi="宋体" w:cs="宋体" w:eastAsia="宋体" w:hint="default"/>
                <w:b/>
                <w:bCs/>
                <w:spacing w:val="-89"/>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10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2" w:lineRule="exact" w:before="112"/>
              <w:ind w:left="129" w:right="128"/>
              <w:jc w:val="center"/>
              <w:rPr>
                <w:rFonts w:ascii="宋体" w:hAnsi="宋体" w:cs="宋体" w:eastAsia="宋体" w:hint="default"/>
                <w:sz w:val="18"/>
                <w:szCs w:val="18"/>
              </w:rPr>
            </w:pPr>
            <w:r>
              <w:rPr>
                <w:rFonts w:ascii="宋体" w:hAnsi="宋体" w:cs="宋体" w:eastAsia="宋体" w:hint="default"/>
                <w:b/>
                <w:bCs/>
                <w:sz w:val="18"/>
                <w:szCs w:val="18"/>
              </w:rPr>
              <w:t>每</w:t>
            </w:r>
            <w:r>
              <w:rPr>
                <w:rFonts w:ascii="宋体" w:hAnsi="宋体" w:cs="宋体" w:eastAsia="宋体" w:hint="default"/>
                <w:b/>
                <w:bCs/>
                <w:spacing w:val="-45"/>
                <w:sz w:val="18"/>
                <w:szCs w:val="18"/>
              </w:rPr>
              <w:t> </w:t>
            </w:r>
            <w:r>
              <w:rPr>
                <w:rFonts w:ascii="Arial" w:hAnsi="Arial" w:cs="Arial" w:eastAsia="Arial" w:hint="default"/>
                <w:b/>
                <w:bCs/>
                <w:sz w:val="18"/>
                <w:szCs w:val="18"/>
              </w:rPr>
              <w:t>10</w:t>
            </w:r>
            <w:r>
              <w:rPr>
                <w:rFonts w:ascii="Arial" w:hAnsi="Arial" w:cs="Arial" w:eastAsia="Arial" w:hint="default"/>
                <w:b/>
                <w:bCs/>
                <w:spacing w:val="-6"/>
                <w:sz w:val="18"/>
                <w:szCs w:val="18"/>
              </w:rPr>
              <w:t> </w:t>
            </w:r>
            <w:r>
              <w:rPr>
                <w:rFonts w:ascii="宋体" w:hAnsi="宋体" w:cs="宋体" w:eastAsia="宋体" w:hint="default"/>
                <w:b/>
                <w:bCs/>
                <w:sz w:val="18"/>
                <w:szCs w:val="18"/>
              </w:rPr>
              <w:t>股送</w:t>
            </w:r>
            <w:r>
              <w:rPr>
                <w:rFonts w:ascii="宋体" w:hAnsi="宋体" w:cs="宋体" w:eastAsia="宋体" w:hint="default"/>
                <w:b/>
                <w:bCs/>
                <w:w w:val="99"/>
                <w:sz w:val="18"/>
                <w:szCs w:val="18"/>
              </w:rPr>
              <w:t> </w:t>
            </w:r>
            <w:r>
              <w:rPr>
                <w:rFonts w:ascii="宋体" w:hAnsi="宋体" w:cs="宋体" w:eastAsia="宋体" w:hint="default"/>
                <w:b/>
                <w:bCs/>
                <w:sz w:val="18"/>
                <w:szCs w:val="18"/>
              </w:rPr>
              <w:t>红股数</w:t>
            </w:r>
            <w:r>
              <w:rPr>
                <w:rFonts w:ascii="宋体" w:hAnsi="宋体" w:cs="宋体" w:eastAsia="宋体" w:hint="default"/>
                <w:sz w:val="18"/>
                <w:szCs w:val="18"/>
              </w:rPr>
            </w:r>
          </w:p>
          <w:p>
            <w:pPr>
              <w:pStyle w:val="TableParagraph"/>
              <w:spacing w:line="212" w:lineRule="exact"/>
              <w:ind w:right="1"/>
              <w:jc w:val="center"/>
              <w:rPr>
                <w:rFonts w:ascii="宋体" w:hAnsi="宋体" w:cs="宋体" w:eastAsia="宋体" w:hint="default"/>
                <w:sz w:val="18"/>
                <w:szCs w:val="18"/>
              </w:rPr>
            </w:pPr>
            <w:r>
              <w:rPr>
                <w:rFonts w:ascii="宋体" w:hAnsi="宋体" w:cs="宋体" w:eastAsia="宋体" w:hint="default"/>
                <w:b/>
                <w:bCs/>
                <w:sz w:val="18"/>
                <w:szCs w:val="18"/>
              </w:rPr>
              <w:t>（股）</w:t>
            </w:r>
            <w:r>
              <w:rPr>
                <w:rFonts w:ascii="宋体" w:hAnsi="宋体" w:cs="宋体" w:eastAsia="宋体" w:hint="default"/>
                <w:sz w:val="18"/>
                <w:szCs w:val="18"/>
              </w:rPr>
            </w:r>
          </w:p>
        </w:tc>
        <w:tc>
          <w:tcPr>
            <w:tcW w:w="117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2" w:lineRule="exact" w:before="112"/>
              <w:ind w:left="100" w:right="98" w:hanging="5"/>
              <w:jc w:val="center"/>
              <w:rPr>
                <w:rFonts w:ascii="宋体" w:hAnsi="宋体" w:cs="宋体" w:eastAsia="宋体" w:hint="default"/>
                <w:sz w:val="18"/>
                <w:szCs w:val="18"/>
              </w:rPr>
            </w:pPr>
            <w:r>
              <w:rPr>
                <w:rFonts w:ascii="宋体" w:hAnsi="宋体" w:cs="宋体" w:eastAsia="宋体" w:hint="default"/>
                <w:b/>
                <w:bCs/>
                <w:sz w:val="18"/>
                <w:szCs w:val="18"/>
              </w:rPr>
              <w:t>每</w:t>
            </w:r>
            <w:r>
              <w:rPr>
                <w:rFonts w:ascii="宋体" w:hAnsi="宋体" w:cs="宋体" w:eastAsia="宋体" w:hint="default"/>
                <w:b/>
                <w:bCs/>
                <w:spacing w:val="-45"/>
                <w:sz w:val="18"/>
                <w:szCs w:val="18"/>
              </w:rPr>
              <w:t> </w:t>
            </w:r>
            <w:r>
              <w:rPr>
                <w:rFonts w:ascii="Arial" w:hAnsi="Arial" w:cs="Arial" w:eastAsia="Arial" w:hint="default"/>
                <w:b/>
                <w:bCs/>
                <w:sz w:val="18"/>
                <w:szCs w:val="18"/>
              </w:rPr>
              <w:t>10</w:t>
            </w:r>
            <w:r>
              <w:rPr>
                <w:rFonts w:ascii="Arial" w:hAnsi="Arial" w:cs="Arial" w:eastAsia="Arial" w:hint="default"/>
                <w:b/>
                <w:bCs/>
                <w:spacing w:val="-6"/>
                <w:sz w:val="18"/>
                <w:szCs w:val="18"/>
              </w:rPr>
              <w:t> </w:t>
            </w:r>
            <w:r>
              <w:rPr>
                <w:rFonts w:ascii="宋体" w:hAnsi="宋体" w:cs="宋体" w:eastAsia="宋体" w:hint="default"/>
                <w:b/>
                <w:bCs/>
                <w:sz w:val="18"/>
                <w:szCs w:val="18"/>
              </w:rPr>
              <w:t>股派</w:t>
            </w:r>
            <w:r>
              <w:rPr>
                <w:rFonts w:ascii="宋体" w:hAnsi="宋体" w:cs="宋体" w:eastAsia="宋体" w:hint="default"/>
                <w:b/>
                <w:bCs/>
                <w:w w:val="99"/>
                <w:sz w:val="18"/>
                <w:szCs w:val="18"/>
              </w:rPr>
              <w:t> </w:t>
            </w:r>
            <w:r>
              <w:rPr>
                <w:rFonts w:ascii="宋体" w:hAnsi="宋体" w:cs="宋体" w:eastAsia="宋体" w:hint="default"/>
                <w:b/>
                <w:bCs/>
                <w:spacing w:val="-30"/>
                <w:w w:val="99"/>
                <w:sz w:val="18"/>
                <w:szCs w:val="18"/>
              </w:rPr>
              <w:t>息数</w:t>
            </w:r>
            <w:r>
              <w:rPr>
                <w:rFonts w:ascii="Arial" w:hAnsi="Arial" w:cs="Arial" w:eastAsia="Arial" w:hint="default"/>
                <w:b/>
                <w:bCs/>
                <w:spacing w:val="-30"/>
                <w:w w:val="99"/>
                <w:sz w:val="18"/>
                <w:szCs w:val="18"/>
              </w:rPr>
              <w:t>(</w:t>
            </w:r>
            <w:r>
              <w:rPr>
                <w:rFonts w:ascii="宋体" w:hAnsi="宋体" w:cs="宋体" w:eastAsia="宋体" w:hint="default"/>
                <w:b/>
                <w:bCs/>
                <w:spacing w:val="-30"/>
                <w:w w:val="99"/>
                <w:sz w:val="18"/>
                <w:szCs w:val="18"/>
              </w:rPr>
              <w:t>元（</w:t>
            </w:r>
            <w:r>
              <w:rPr>
                <w:rFonts w:ascii="Arial" w:hAnsi="Arial" w:cs="Arial" w:eastAsia="Arial" w:hint="default"/>
                <w:b/>
                <w:bCs/>
                <w:spacing w:val="-30"/>
                <w:w w:val="99"/>
                <w:sz w:val="18"/>
                <w:szCs w:val="18"/>
              </w:rPr>
              <w:t>)</w:t>
            </w:r>
            <w:r>
              <w:rPr>
                <w:rFonts w:ascii="Arial" w:hAnsi="Arial" w:cs="Arial" w:eastAsia="Arial" w:hint="default"/>
                <w:b/>
                <w:bCs/>
                <w:spacing w:val="22"/>
                <w:w w:val="99"/>
                <w:sz w:val="18"/>
                <w:szCs w:val="18"/>
              </w:rPr>
              <w:t> </w:t>
            </w:r>
            <w:r>
              <w:rPr>
                <w:rFonts w:ascii="宋体" w:hAnsi="宋体" w:cs="宋体" w:eastAsia="宋体" w:hint="default"/>
                <w:b/>
                <w:bCs/>
                <w:spacing w:val="2"/>
                <w:w w:val="99"/>
                <w:sz w:val="18"/>
                <w:szCs w:val="18"/>
              </w:rPr>
              <w:t>含 </w:t>
            </w:r>
            <w:r>
              <w:rPr>
                <w:rFonts w:ascii="宋体" w:hAnsi="宋体" w:cs="宋体" w:eastAsia="宋体" w:hint="default"/>
                <w:b/>
                <w:bCs/>
                <w:sz w:val="18"/>
                <w:szCs w:val="18"/>
              </w:rPr>
              <w:t>税）</w:t>
            </w:r>
            <w:r>
              <w:rPr>
                <w:rFonts w:ascii="宋体" w:hAnsi="宋体" w:cs="宋体" w:eastAsia="宋体" w:hint="default"/>
                <w:sz w:val="18"/>
                <w:szCs w:val="18"/>
              </w:rPr>
            </w:r>
          </w:p>
        </w:tc>
        <w:tc>
          <w:tcPr>
            <w:tcW w:w="105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37" w:firstLine="2"/>
              <w:jc w:val="left"/>
              <w:rPr>
                <w:rFonts w:ascii="宋体" w:hAnsi="宋体" w:cs="宋体" w:eastAsia="宋体" w:hint="default"/>
                <w:sz w:val="18"/>
                <w:szCs w:val="18"/>
              </w:rPr>
            </w:pPr>
            <w:r>
              <w:rPr>
                <w:rFonts w:ascii="宋体" w:hAnsi="宋体" w:cs="宋体" w:eastAsia="宋体" w:hint="default"/>
                <w:b/>
                <w:bCs/>
                <w:sz w:val="18"/>
                <w:szCs w:val="18"/>
              </w:rPr>
              <w:t>每</w:t>
            </w:r>
            <w:r>
              <w:rPr>
                <w:rFonts w:ascii="宋体" w:hAnsi="宋体" w:cs="宋体" w:eastAsia="宋体" w:hint="default"/>
                <w:b/>
                <w:bCs/>
                <w:spacing w:val="-45"/>
                <w:sz w:val="18"/>
                <w:szCs w:val="18"/>
              </w:rPr>
              <w:t> </w:t>
            </w:r>
            <w:r>
              <w:rPr>
                <w:rFonts w:ascii="Arial" w:hAnsi="Arial" w:cs="Arial" w:eastAsia="Arial" w:hint="default"/>
                <w:b/>
                <w:bCs/>
                <w:sz w:val="18"/>
                <w:szCs w:val="18"/>
              </w:rPr>
              <w:t>10</w:t>
            </w:r>
            <w:r>
              <w:rPr>
                <w:rFonts w:ascii="Arial" w:hAnsi="Arial" w:cs="Arial" w:eastAsia="Arial" w:hint="default"/>
                <w:b/>
                <w:bCs/>
                <w:spacing w:val="-6"/>
                <w:sz w:val="18"/>
                <w:szCs w:val="18"/>
              </w:rPr>
              <w:t> </w:t>
            </w:r>
            <w:r>
              <w:rPr>
                <w:rFonts w:ascii="宋体" w:hAnsi="宋体" w:cs="宋体" w:eastAsia="宋体" w:hint="default"/>
                <w:b/>
                <w:bCs/>
                <w:sz w:val="18"/>
                <w:szCs w:val="18"/>
              </w:rPr>
              <w:t>股转</w:t>
            </w:r>
            <w:r>
              <w:rPr>
                <w:rFonts w:ascii="宋体" w:hAnsi="宋体" w:cs="宋体" w:eastAsia="宋体" w:hint="default"/>
                <w:b/>
                <w:bCs/>
                <w:w w:val="99"/>
                <w:sz w:val="18"/>
                <w:szCs w:val="18"/>
              </w:rPr>
              <w:t> </w:t>
            </w:r>
            <w:r>
              <w:rPr>
                <w:rFonts w:ascii="宋体" w:hAnsi="宋体" w:cs="宋体" w:eastAsia="宋体" w:hint="default"/>
                <w:b/>
                <w:bCs/>
                <w:sz w:val="18"/>
                <w:szCs w:val="18"/>
              </w:rPr>
              <w:t>增数（股）</w:t>
            </w:r>
            <w:r>
              <w:rPr>
                <w:rFonts w:ascii="宋体" w:hAnsi="宋体" w:cs="宋体" w:eastAsia="宋体" w:hint="default"/>
                <w:sz w:val="18"/>
                <w:szCs w:val="18"/>
              </w:rPr>
            </w:r>
          </w:p>
        </w:tc>
        <w:tc>
          <w:tcPr>
            <w:tcW w:w="151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现金分红的数额</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（含税）</w:t>
            </w:r>
            <w:r>
              <w:rPr>
                <w:rFonts w:ascii="宋体" w:hAnsi="宋体" w:cs="宋体" w:eastAsia="宋体" w:hint="default"/>
                <w:sz w:val="18"/>
                <w:szCs w:val="18"/>
              </w:rPr>
            </w:r>
          </w:p>
        </w:tc>
        <w:tc>
          <w:tcPr>
            <w:tcW w:w="163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分红年度合并报</w:t>
            </w:r>
            <w:r>
              <w:rPr>
                <w:rFonts w:ascii="宋体" w:hAnsi="宋体" w:cs="宋体" w:eastAsia="宋体" w:hint="default"/>
                <w:sz w:val="18"/>
                <w:szCs w:val="18"/>
              </w:rPr>
            </w:r>
          </w:p>
          <w:p>
            <w:pPr>
              <w:pStyle w:val="TableParagraph"/>
              <w:spacing w:line="237" w:lineRule="auto" w:before="2"/>
              <w:ind w:left="177" w:right="179"/>
              <w:jc w:val="center"/>
              <w:rPr>
                <w:rFonts w:ascii="宋体" w:hAnsi="宋体" w:cs="宋体" w:eastAsia="宋体" w:hint="default"/>
                <w:sz w:val="18"/>
                <w:szCs w:val="18"/>
              </w:rPr>
            </w:pPr>
            <w:r>
              <w:rPr>
                <w:rFonts w:ascii="宋体" w:hAnsi="宋体" w:cs="宋体" w:eastAsia="宋体" w:hint="default"/>
                <w:b/>
                <w:bCs/>
                <w:sz w:val="18"/>
                <w:szCs w:val="18"/>
              </w:rPr>
              <w:t>表中归属于上市</w:t>
            </w:r>
            <w:r>
              <w:rPr>
                <w:rFonts w:ascii="宋体" w:hAnsi="宋体" w:cs="宋体" w:eastAsia="宋体" w:hint="default"/>
                <w:b/>
                <w:bCs/>
                <w:w w:val="99"/>
                <w:sz w:val="18"/>
                <w:szCs w:val="18"/>
              </w:rPr>
              <w:t> </w:t>
            </w:r>
            <w:r>
              <w:rPr>
                <w:rFonts w:ascii="宋体" w:hAnsi="宋体" w:cs="宋体" w:eastAsia="宋体" w:hint="default"/>
                <w:b/>
                <w:bCs/>
                <w:sz w:val="18"/>
                <w:szCs w:val="18"/>
              </w:rPr>
              <w:t>公司股东的净利</w:t>
            </w:r>
            <w:r>
              <w:rPr>
                <w:rFonts w:ascii="宋体" w:hAnsi="宋体" w:cs="宋体" w:eastAsia="宋体" w:hint="default"/>
                <w:b/>
                <w:bCs/>
                <w:w w:val="99"/>
                <w:sz w:val="18"/>
                <w:szCs w:val="18"/>
              </w:rPr>
              <w:t> </w:t>
            </w:r>
            <w:r>
              <w:rPr>
                <w:rFonts w:ascii="宋体" w:hAnsi="宋体" w:cs="宋体" w:eastAsia="宋体" w:hint="default"/>
                <w:b/>
                <w:bCs/>
                <w:sz w:val="18"/>
                <w:szCs w:val="18"/>
              </w:rPr>
              <w:t>润</w:t>
            </w:r>
            <w:r>
              <w:rPr>
                <w:rFonts w:ascii="宋体" w:hAnsi="宋体" w:cs="宋体" w:eastAsia="宋体" w:hint="default"/>
                <w:sz w:val="18"/>
                <w:szCs w:val="18"/>
              </w:rPr>
            </w:r>
          </w:p>
        </w:tc>
        <w:tc>
          <w:tcPr>
            <w:tcW w:w="158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right="6"/>
              <w:jc w:val="center"/>
              <w:rPr>
                <w:rFonts w:ascii="宋体" w:hAnsi="宋体" w:cs="宋体" w:eastAsia="宋体" w:hint="default"/>
                <w:sz w:val="18"/>
                <w:szCs w:val="18"/>
              </w:rPr>
            </w:pPr>
            <w:r>
              <w:rPr>
                <w:rFonts w:ascii="宋体" w:hAnsi="宋体" w:cs="宋体" w:eastAsia="宋体" w:hint="default"/>
                <w:b/>
                <w:bCs/>
                <w:sz w:val="18"/>
                <w:szCs w:val="18"/>
              </w:rPr>
              <w:t>占合并报表中归</w:t>
            </w:r>
            <w:r>
              <w:rPr>
                <w:rFonts w:ascii="宋体" w:hAnsi="宋体" w:cs="宋体" w:eastAsia="宋体" w:hint="default"/>
                <w:sz w:val="18"/>
                <w:szCs w:val="18"/>
              </w:rPr>
            </w:r>
          </w:p>
          <w:p>
            <w:pPr>
              <w:pStyle w:val="TableParagraph"/>
              <w:spacing w:line="237" w:lineRule="auto" w:before="2"/>
              <w:ind w:left="153" w:right="159"/>
              <w:jc w:val="center"/>
              <w:rPr>
                <w:rFonts w:ascii="Arial" w:hAnsi="Arial" w:cs="Arial" w:eastAsia="Arial" w:hint="default"/>
                <w:sz w:val="18"/>
                <w:szCs w:val="18"/>
              </w:rPr>
            </w:pPr>
            <w:r>
              <w:rPr>
                <w:rFonts w:ascii="宋体" w:hAnsi="宋体" w:cs="宋体" w:eastAsia="宋体" w:hint="default"/>
                <w:b/>
                <w:bCs/>
                <w:sz w:val="18"/>
                <w:szCs w:val="18"/>
              </w:rPr>
              <w:t>属于上市公司股</w:t>
            </w:r>
            <w:r>
              <w:rPr>
                <w:rFonts w:ascii="宋体" w:hAnsi="宋体" w:cs="宋体" w:eastAsia="宋体" w:hint="default"/>
                <w:b/>
                <w:bCs/>
                <w:w w:val="99"/>
                <w:sz w:val="18"/>
                <w:szCs w:val="18"/>
              </w:rPr>
              <w:t> </w:t>
            </w:r>
            <w:r>
              <w:rPr>
                <w:rFonts w:ascii="宋体" w:hAnsi="宋体" w:cs="宋体" w:eastAsia="宋体" w:hint="default"/>
                <w:b/>
                <w:bCs/>
                <w:sz w:val="18"/>
                <w:szCs w:val="18"/>
              </w:rPr>
              <w:t>东的净利润的比</w:t>
            </w:r>
            <w:r>
              <w:rPr>
                <w:rFonts w:ascii="宋体" w:hAnsi="宋体" w:cs="宋体" w:eastAsia="宋体" w:hint="default"/>
                <w:b/>
                <w:bCs/>
                <w:w w:val="99"/>
                <w:sz w:val="18"/>
                <w:szCs w:val="18"/>
              </w:rPr>
              <w:t> </w:t>
            </w:r>
            <w:r>
              <w:rPr>
                <w:rFonts w:ascii="宋体" w:hAnsi="宋体" w:cs="宋体" w:eastAsia="宋体" w:hint="default"/>
                <w:b/>
                <w:bCs/>
                <w:sz w:val="18"/>
                <w:szCs w:val="18"/>
              </w:rPr>
              <w:t>率</w:t>
            </w:r>
            <w:r>
              <w:rPr>
                <w:rFonts w:ascii="Arial" w:hAnsi="Arial" w:cs="Arial" w:eastAsia="Arial" w:hint="default"/>
                <w:b/>
                <w:bCs/>
                <w:sz w:val="18"/>
                <w:szCs w:val="18"/>
              </w:rPr>
              <w:t>(%)</w:t>
            </w:r>
            <w:r>
              <w:rPr>
                <w:rFonts w:ascii="Arial" w:hAnsi="Arial" w:cs="Arial" w:eastAsia="Arial" w:hint="default"/>
                <w:sz w:val="18"/>
                <w:szCs w:val="18"/>
              </w:rPr>
            </w:r>
          </w:p>
        </w:tc>
      </w:tr>
      <w:tr>
        <w:trPr>
          <w:trHeight w:val="245" w:hRule="exact"/>
        </w:trPr>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Arial" w:hAnsi="Arial" w:cs="Arial" w:eastAsia="Arial" w:hint="default"/>
                <w:sz w:val="18"/>
                <w:szCs w:val="18"/>
              </w:rPr>
            </w:pPr>
            <w:r>
              <w:rPr>
                <w:rFonts w:ascii="Arial"/>
                <w:w w:val="99"/>
                <w:sz w:val="18"/>
              </w:rPr>
              <w:t>-</w:t>
            </w:r>
            <w:r>
              <w:rPr>
                <w:rFonts w:ascii="Arial"/>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Arial" w:hAnsi="Arial" w:cs="Arial" w:eastAsia="Arial" w:hint="default"/>
                <w:sz w:val="18"/>
                <w:szCs w:val="18"/>
              </w:rPr>
            </w:pPr>
            <w:r>
              <w:rPr>
                <w:rFonts w:ascii="Arial"/>
                <w:w w:val="95"/>
                <w:sz w:val="18"/>
              </w:rPr>
              <w:t>0.673</w:t>
            </w:r>
            <w:r>
              <w:rPr>
                <w:rFonts w:ascii="Arial"/>
                <w:sz w:val="18"/>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Arial" w:hAnsi="Arial" w:cs="Arial" w:eastAsia="Arial" w:hint="default"/>
                <w:sz w:val="18"/>
                <w:szCs w:val="18"/>
              </w:rPr>
            </w:pPr>
            <w:r>
              <w:rPr>
                <w:rFonts w:ascii="Arial"/>
                <w:w w:val="99"/>
                <w:sz w:val="18"/>
              </w:rPr>
              <w:t>-</w:t>
            </w:r>
            <w:r>
              <w:rPr>
                <w:rFonts w:ascii="Arial"/>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Arial" w:hAnsi="Arial" w:cs="Arial" w:eastAsia="Arial" w:hint="default"/>
                <w:sz w:val="18"/>
                <w:szCs w:val="18"/>
              </w:rPr>
            </w:pPr>
            <w:r>
              <w:rPr>
                <w:rFonts w:ascii="Arial"/>
                <w:spacing w:val="-1"/>
                <w:sz w:val="18"/>
              </w:rPr>
              <w:t>1,426,530,937</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Arial" w:hAnsi="Arial" w:cs="Arial" w:eastAsia="Arial" w:hint="default"/>
                <w:sz w:val="18"/>
                <w:szCs w:val="18"/>
              </w:rPr>
            </w:pPr>
            <w:r>
              <w:rPr>
                <w:rFonts w:ascii="Arial"/>
                <w:spacing w:val="-1"/>
                <w:sz w:val="18"/>
              </w:rPr>
              <w:t>3,981,738,536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Arial" w:hAnsi="Arial" w:cs="Arial" w:eastAsia="Arial" w:hint="default"/>
                <w:sz w:val="18"/>
                <w:szCs w:val="18"/>
              </w:rPr>
            </w:pPr>
            <w:r>
              <w:rPr>
                <w:rFonts w:ascii="Arial"/>
                <w:w w:val="95"/>
                <w:sz w:val="18"/>
              </w:rPr>
              <w:t>35.83</w:t>
            </w:r>
            <w:r>
              <w:rPr>
                <w:rFonts w:ascii="Arial"/>
                <w:sz w:val="18"/>
              </w:rPr>
            </w:r>
          </w:p>
        </w:tc>
      </w:tr>
      <w:tr>
        <w:trPr>
          <w:trHeight w:val="242" w:hRule="exact"/>
        </w:trPr>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w:t>
            </w:r>
            <w:r>
              <w:rPr>
                <w:rFonts w:ascii="Arial"/>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0.534</w:t>
            </w:r>
            <w:r>
              <w:rPr>
                <w:rFonts w:ascii="Arial"/>
                <w:sz w:val="18"/>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color w:val="333399"/>
                <w:w w:val="99"/>
                <w:sz w:val="18"/>
              </w:rPr>
              <w:t>-</w:t>
            </w:r>
            <w:r>
              <w:rPr>
                <w:rFonts w:ascii="Arial"/>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Arial" w:hAnsi="Arial" w:cs="Arial" w:eastAsia="Arial" w:hint="default"/>
                <w:sz w:val="18"/>
                <w:szCs w:val="18"/>
              </w:rPr>
            </w:pPr>
            <w:r>
              <w:rPr>
                <w:rFonts w:ascii="Arial"/>
                <w:spacing w:val="-1"/>
                <w:sz w:val="18"/>
              </w:rPr>
              <w:t>1,131,898,248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Arial" w:hAnsi="Arial" w:cs="Arial" w:eastAsia="Arial" w:hint="default"/>
                <w:sz w:val="18"/>
                <w:szCs w:val="18"/>
              </w:rPr>
            </w:pPr>
            <w:r>
              <w:rPr>
                <w:rFonts w:ascii="Arial"/>
                <w:spacing w:val="-1"/>
                <w:sz w:val="18"/>
              </w:rPr>
              <w:t>3,442,853,809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Arial" w:hAnsi="Arial" w:cs="Arial" w:eastAsia="Arial" w:hint="default"/>
                <w:sz w:val="18"/>
                <w:szCs w:val="18"/>
              </w:rPr>
            </w:pPr>
            <w:r>
              <w:rPr>
                <w:rFonts w:ascii="Arial"/>
                <w:w w:val="95"/>
                <w:sz w:val="18"/>
              </w:rPr>
              <w:t>32.88</w:t>
            </w:r>
            <w:r>
              <w:rPr>
                <w:rFonts w:ascii="Arial"/>
                <w:sz w:val="18"/>
              </w:rPr>
            </w:r>
          </w:p>
        </w:tc>
      </w:tr>
      <w:tr>
        <w:trPr>
          <w:trHeight w:val="245" w:hRule="exact"/>
        </w:trPr>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w:t>
            </w:r>
            <w:r>
              <w:rPr>
                <w:rFonts w:ascii="Arial"/>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0.399</w:t>
            </w:r>
            <w:r>
              <w:rPr>
                <w:rFonts w:ascii="Arial"/>
                <w:sz w:val="18"/>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color w:val="333399"/>
                <w:w w:val="99"/>
                <w:sz w:val="18"/>
              </w:rPr>
              <w:t>-</w:t>
            </w:r>
            <w:r>
              <w:rPr>
                <w:rFonts w:ascii="Arial"/>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spacing w:val="-1"/>
                <w:sz w:val="18"/>
              </w:rPr>
              <w:t>845,744,196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Arial" w:hAnsi="Arial" w:cs="Arial" w:eastAsia="Arial" w:hint="default"/>
                <w:sz w:val="18"/>
                <w:szCs w:val="18"/>
              </w:rPr>
            </w:pPr>
            <w:r>
              <w:rPr>
                <w:rFonts w:ascii="Arial"/>
                <w:spacing w:val="-1"/>
                <w:sz w:val="18"/>
              </w:rPr>
              <w:t>2,368,106,789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Arial" w:hAnsi="Arial" w:cs="Arial" w:eastAsia="Arial" w:hint="default"/>
                <w:sz w:val="18"/>
                <w:szCs w:val="18"/>
              </w:rPr>
            </w:pPr>
            <w:r>
              <w:rPr>
                <w:rFonts w:ascii="Arial"/>
                <w:w w:val="95"/>
                <w:sz w:val="18"/>
              </w:rPr>
              <w:t>35.71</w:t>
            </w:r>
            <w:r>
              <w:rPr>
                <w:rFonts w:ascii="Arial"/>
                <w:sz w:val="18"/>
              </w:rPr>
            </w:r>
          </w:p>
        </w:tc>
      </w:tr>
    </w:tbl>
    <w:p>
      <w:pPr>
        <w:spacing w:line="240" w:lineRule="auto" w:before="13"/>
        <w:rPr>
          <w:rFonts w:ascii="宋体" w:hAnsi="宋体" w:cs="宋体" w:eastAsia="宋体" w:hint="default"/>
          <w:sz w:val="14"/>
          <w:szCs w:val="14"/>
        </w:rPr>
      </w:pPr>
    </w:p>
    <w:p>
      <w:pPr>
        <w:spacing w:before="36"/>
        <w:ind w:left="218" w:right="228" w:firstLine="0"/>
        <w:jc w:val="left"/>
        <w:rPr>
          <w:rFonts w:ascii="宋体" w:hAnsi="宋体" w:cs="宋体" w:eastAsia="宋体" w:hint="default"/>
          <w:sz w:val="21"/>
          <w:szCs w:val="21"/>
        </w:rPr>
      </w:pPr>
      <w:r>
        <w:rPr>
          <w:rFonts w:ascii="宋体" w:hAnsi="宋体" w:cs="宋体" w:eastAsia="宋体" w:hint="default"/>
          <w:b/>
          <w:bCs/>
          <w:sz w:val="21"/>
          <w:szCs w:val="21"/>
        </w:rPr>
        <w:t>五、积极履行社会责任的工作情况</w:t>
      </w:r>
      <w:r>
        <w:rPr>
          <w:rFonts w:ascii="宋体" w:hAnsi="宋体" w:cs="宋体" w:eastAsia="宋体" w:hint="default"/>
          <w:sz w:val="21"/>
          <w:szCs w:val="21"/>
        </w:rPr>
      </w:r>
    </w:p>
    <w:p>
      <w:pPr>
        <w:spacing w:line="240" w:lineRule="auto" w:before="11"/>
        <w:rPr>
          <w:rFonts w:ascii="宋体" w:hAnsi="宋体" w:cs="宋体" w:eastAsia="宋体" w:hint="default"/>
          <w:b/>
          <w:bCs/>
          <w:sz w:val="24"/>
          <w:szCs w:val="24"/>
        </w:rPr>
      </w:pPr>
    </w:p>
    <w:p>
      <w:pPr>
        <w:spacing w:before="0"/>
        <w:ind w:left="218" w:right="228"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一</w:t>
      </w:r>
      <w:r>
        <w:rPr>
          <w:rFonts w:ascii="Arial" w:hAnsi="Arial" w:cs="Arial" w:eastAsia="Arial" w:hint="default"/>
          <w:b/>
          <w:bCs/>
          <w:sz w:val="21"/>
          <w:szCs w:val="21"/>
        </w:rPr>
        <w:t>)</w:t>
      </w:r>
      <w:r>
        <w:rPr>
          <w:rFonts w:ascii="Arial" w:hAnsi="Arial" w:cs="Arial" w:eastAsia="Arial" w:hint="default"/>
          <w:b/>
          <w:bCs/>
          <w:spacing w:val="13"/>
          <w:sz w:val="21"/>
          <w:szCs w:val="21"/>
        </w:rPr>
        <w:t> </w:t>
      </w:r>
      <w:r>
        <w:rPr>
          <w:rFonts w:ascii="宋体" w:hAnsi="宋体" w:cs="宋体" w:eastAsia="宋体" w:hint="default"/>
          <w:b/>
          <w:bCs/>
          <w:sz w:val="21"/>
          <w:szCs w:val="21"/>
        </w:rPr>
        <w:t>社会责任工作情况</w:t>
      </w:r>
      <w:r>
        <w:rPr>
          <w:rFonts w:ascii="宋体" w:hAnsi="宋体" w:cs="宋体" w:eastAsia="宋体" w:hint="default"/>
          <w:sz w:val="21"/>
          <w:szCs w:val="21"/>
        </w:rPr>
      </w:r>
    </w:p>
    <w:p>
      <w:pPr>
        <w:spacing w:line="240" w:lineRule="auto" w:before="3"/>
        <w:rPr>
          <w:rFonts w:ascii="宋体" w:hAnsi="宋体" w:cs="宋体" w:eastAsia="宋体" w:hint="default"/>
          <w:b/>
          <w:bCs/>
          <w:sz w:val="21"/>
          <w:szCs w:val="21"/>
        </w:rPr>
      </w:pPr>
    </w:p>
    <w:p>
      <w:pPr>
        <w:spacing w:line="272" w:lineRule="exact" w:before="0"/>
        <w:ind w:left="645" w:right="232" w:firstLine="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年度社会责任报告详见</w:t>
      </w:r>
      <w:r>
        <w:rPr>
          <w:rFonts w:ascii="宋体" w:hAnsi="宋体" w:cs="宋体" w:eastAsia="宋体" w:hint="default"/>
          <w:spacing w:val="-53"/>
          <w:sz w:val="21"/>
          <w:szCs w:val="21"/>
        </w:rPr>
        <w:t> </w:t>
      </w:r>
      <w:r>
        <w:rPr>
          <w:rFonts w:ascii="Arial" w:hAnsi="Arial" w:cs="Arial" w:eastAsia="Arial" w:hint="default"/>
          <w:sz w:val="21"/>
          <w:szCs w:val="21"/>
        </w:rPr>
        <w:t>2015</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4</w:t>
      </w:r>
      <w:r>
        <w:rPr>
          <w:rFonts w:ascii="Arial" w:hAnsi="Arial" w:cs="Arial" w:eastAsia="Arial" w:hint="default"/>
          <w:spacing w:val="-9"/>
          <w:sz w:val="21"/>
          <w:szCs w:val="21"/>
        </w:rPr>
        <w:t> </w:t>
      </w:r>
      <w:r>
        <w:rPr>
          <w:rFonts w:ascii="宋体" w:hAnsi="宋体" w:cs="宋体" w:eastAsia="宋体" w:hint="default"/>
          <w:sz w:val="21"/>
          <w:szCs w:val="21"/>
        </w:rPr>
        <w:t>日上海证券交易所</w:t>
      </w:r>
      <w:r>
        <w:rPr>
          <w:rFonts w:ascii="Arial" w:hAnsi="Arial" w:cs="Arial" w:eastAsia="Arial" w:hint="default"/>
          <w:sz w:val="21"/>
          <w:szCs w:val="21"/>
        </w:rPr>
        <w:t>(www.sse.com.cn)</w:t>
      </w:r>
      <w:r>
        <w:rPr>
          <w:rFonts w:ascii="宋体" w:hAnsi="宋体" w:cs="宋体" w:eastAsia="宋体" w:hint="default"/>
          <w:sz w:val="21"/>
          <w:szCs w:val="21"/>
        </w:rPr>
        <w:t>和公</w:t>
      </w:r>
      <w:r>
        <w:rPr>
          <w:rFonts w:ascii="宋体" w:hAnsi="宋体" w:cs="宋体" w:eastAsia="宋体" w:hint="default"/>
          <w:w w:val="100"/>
          <w:sz w:val="21"/>
          <w:szCs w:val="21"/>
        </w:rPr>
        <w:t> </w:t>
      </w:r>
      <w:r>
        <w:rPr>
          <w:rFonts w:ascii="宋体" w:hAnsi="宋体" w:cs="宋体" w:eastAsia="宋体" w:hint="default"/>
          <w:sz w:val="21"/>
          <w:szCs w:val="21"/>
        </w:rPr>
        <w:t>司网站（</w:t>
      </w:r>
      <w:hyperlink r:id="rId12">
        <w:r>
          <w:rPr>
            <w:rFonts w:ascii="Arial" w:hAnsi="Arial" w:cs="Arial" w:eastAsia="Arial" w:hint="default"/>
            <w:sz w:val="21"/>
            <w:szCs w:val="21"/>
          </w:rPr>
          <w:t>www.chinaunicom-a.com</w:t>
        </w:r>
      </w:hyperlink>
      <w:r>
        <w:rPr>
          <w:rFonts w:ascii="宋体" w:hAnsi="宋体" w:cs="宋体" w:eastAsia="宋体" w:hint="default"/>
          <w:sz w:val="21"/>
          <w:szCs w:val="21"/>
        </w:rPr>
        <w:t>）披露的相关报告。</w:t>
      </w:r>
    </w:p>
    <w:p>
      <w:pPr>
        <w:spacing w:after="0" w:line="272" w:lineRule="exact"/>
        <w:jc w:val="left"/>
        <w:rPr>
          <w:rFonts w:ascii="宋体" w:hAnsi="宋体" w:cs="宋体" w:eastAsia="宋体" w:hint="default"/>
          <w:sz w:val="21"/>
          <w:szCs w:val="21"/>
        </w:rPr>
        <w:sectPr>
          <w:pgSz w:w="11910" w:h="16840"/>
          <w:pgMar w:header="880" w:footer="1194" w:top="1120" w:bottom="1380" w:left="1580" w:right="1100"/>
        </w:sectPr>
      </w:pPr>
    </w:p>
    <w:p>
      <w:pPr>
        <w:spacing w:line="240" w:lineRule="auto" w:before="0"/>
        <w:rPr>
          <w:rFonts w:ascii="宋体" w:hAnsi="宋体" w:cs="宋体" w:eastAsia="宋体" w:hint="default"/>
          <w:sz w:val="20"/>
          <w:szCs w:val="20"/>
        </w:rPr>
      </w:pPr>
    </w:p>
    <w:p>
      <w:pPr>
        <w:pStyle w:val="Heading1"/>
        <w:tabs>
          <w:tab w:pos="1260" w:val="left" w:leader="none"/>
        </w:tabs>
        <w:spacing w:line="240" w:lineRule="auto"/>
        <w:ind w:right="0"/>
        <w:jc w:val="center"/>
        <w:rPr>
          <w:b w:val="0"/>
          <w:bCs w:val="0"/>
        </w:rPr>
      </w:pPr>
      <w:bookmarkStart w:name="_TOC_250006"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spacing w:line="501" w:lineRule="auto" w:before="0"/>
        <w:ind w:left="138" w:right="1922" w:firstLine="0"/>
        <w:jc w:val="left"/>
        <w:rPr>
          <w:rFonts w:ascii="宋体" w:hAnsi="宋体" w:cs="宋体" w:eastAsia="宋体" w:hint="default"/>
          <w:sz w:val="21"/>
          <w:szCs w:val="21"/>
        </w:rPr>
      </w:pPr>
      <w:r>
        <w:rPr>
          <w:rFonts w:ascii="宋体" w:hAnsi="宋体" w:cs="宋体" w:eastAsia="宋体" w:hint="default"/>
          <w:b/>
          <w:bCs/>
          <w:sz w:val="21"/>
          <w:szCs w:val="21"/>
        </w:rPr>
        <w:t>一、重大诉讼、仲裁和媒体普遍质疑的事项</w:t>
      </w:r>
      <w:r>
        <w:rPr>
          <w:rFonts w:ascii="宋体" w:hAnsi="宋体" w:cs="宋体" w:eastAsia="宋体" w:hint="default"/>
          <w:b/>
          <w:bCs/>
          <w:w w:val="100"/>
          <w:sz w:val="21"/>
          <w:szCs w:val="21"/>
        </w:rPr>
        <w:t> </w:t>
      </w:r>
      <w:r>
        <w:rPr>
          <w:rFonts w:ascii="宋体" w:hAnsi="宋体" w:cs="宋体" w:eastAsia="宋体" w:hint="default"/>
          <w:spacing w:val="-2"/>
          <w:sz w:val="21"/>
          <w:szCs w:val="21"/>
        </w:rPr>
        <w:t>本年度公司无重大诉讼、仲裁和媒体普遍质疑的事项。</w:t>
      </w:r>
    </w:p>
    <w:p>
      <w:pPr>
        <w:spacing w:before="72"/>
        <w:ind w:left="138" w:right="1922" w:firstLine="0"/>
        <w:jc w:val="left"/>
        <w:rPr>
          <w:rFonts w:ascii="宋体" w:hAnsi="宋体" w:cs="宋体" w:eastAsia="宋体" w:hint="default"/>
          <w:sz w:val="21"/>
          <w:szCs w:val="21"/>
        </w:rPr>
      </w:pPr>
      <w:r>
        <w:rPr>
          <w:rFonts w:ascii="宋体" w:hAnsi="宋体" w:cs="宋体" w:eastAsia="宋体" w:hint="default"/>
          <w:b/>
          <w:bCs/>
          <w:sz w:val="21"/>
          <w:szCs w:val="21"/>
        </w:rPr>
        <w:t>二、报告期内资金被占用情况及清欠进展情况</w:t>
      </w:r>
      <w:r>
        <w:rPr>
          <w:rFonts w:ascii="宋体" w:hAnsi="宋体" w:cs="宋体" w:eastAsia="宋体" w:hint="default"/>
          <w:sz w:val="21"/>
          <w:szCs w:val="21"/>
        </w:rPr>
      </w:r>
    </w:p>
    <w:p>
      <w:pPr>
        <w:spacing w:line="475" w:lineRule="auto" w:before="56"/>
        <w:ind w:left="138" w:right="6780" w:firstLine="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不适用</w:t>
      </w:r>
      <w:r>
        <w:rPr>
          <w:rFonts w:ascii="宋体" w:hAnsi="宋体" w:cs="宋体" w:eastAsia="宋体" w:hint="default"/>
          <w:spacing w:val="-102"/>
          <w:sz w:val="21"/>
          <w:szCs w:val="21"/>
        </w:rPr>
        <w:t> </w:t>
      </w:r>
      <w:r>
        <w:rPr>
          <w:rFonts w:ascii="宋体" w:hAnsi="宋体" w:cs="宋体" w:eastAsia="宋体" w:hint="default"/>
          <w:b/>
          <w:bCs/>
          <w:sz w:val="21"/>
          <w:szCs w:val="21"/>
        </w:rPr>
        <w:t>三、破产重组相关事项</w:t>
      </w:r>
      <w:r>
        <w:rPr>
          <w:rFonts w:ascii="宋体" w:hAnsi="宋体" w:cs="宋体" w:eastAsia="宋体" w:hint="default"/>
          <w:sz w:val="21"/>
          <w:szCs w:val="21"/>
        </w:rPr>
      </w:r>
    </w:p>
    <w:p>
      <w:pPr>
        <w:spacing w:before="93"/>
        <w:ind w:left="138" w:right="1922" w:firstLine="0"/>
        <w:jc w:val="left"/>
        <w:rPr>
          <w:rFonts w:ascii="宋体" w:hAnsi="宋体" w:cs="宋体" w:eastAsia="宋体" w:hint="default"/>
          <w:sz w:val="21"/>
          <w:szCs w:val="21"/>
        </w:rPr>
      </w:pPr>
      <w:r>
        <w:rPr>
          <w:rFonts w:ascii="宋体" w:hAnsi="宋体" w:cs="宋体" w:eastAsia="宋体" w:hint="default"/>
          <w:sz w:val="21"/>
          <w:szCs w:val="21"/>
        </w:rPr>
        <w:t>本年度公司无破产重组相关事项。</w:t>
      </w:r>
    </w:p>
    <w:p>
      <w:pPr>
        <w:spacing w:line="240" w:lineRule="auto" w:before="12"/>
        <w:rPr>
          <w:rFonts w:ascii="宋体" w:hAnsi="宋体" w:cs="宋体" w:eastAsia="宋体" w:hint="default"/>
          <w:sz w:val="22"/>
          <w:szCs w:val="22"/>
        </w:rPr>
      </w:pPr>
    </w:p>
    <w:p>
      <w:pPr>
        <w:spacing w:before="0"/>
        <w:ind w:left="138" w:right="1922" w:firstLine="0"/>
        <w:jc w:val="left"/>
        <w:rPr>
          <w:rFonts w:ascii="宋体" w:hAnsi="宋体" w:cs="宋体" w:eastAsia="宋体" w:hint="default"/>
          <w:sz w:val="21"/>
          <w:szCs w:val="21"/>
        </w:rPr>
      </w:pPr>
      <w:r>
        <w:rPr>
          <w:rFonts w:ascii="宋体" w:hAnsi="宋体" w:cs="宋体" w:eastAsia="宋体" w:hint="default"/>
          <w:b/>
          <w:bCs/>
          <w:sz w:val="21"/>
          <w:szCs w:val="21"/>
        </w:rPr>
        <w:t>四、资产交易、企业合并事项</w:t>
      </w:r>
      <w:r>
        <w:rPr>
          <w:rFonts w:ascii="宋体" w:hAnsi="宋体" w:cs="宋体" w:eastAsia="宋体" w:hint="default"/>
          <w:sz w:val="21"/>
          <w:szCs w:val="21"/>
        </w:rPr>
      </w:r>
    </w:p>
    <w:p>
      <w:pPr>
        <w:spacing w:before="58"/>
        <w:ind w:left="138" w:right="1922" w:firstLine="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不适用</w:t>
      </w:r>
    </w:p>
    <w:p>
      <w:pPr>
        <w:spacing w:line="240" w:lineRule="auto" w:before="9"/>
        <w:rPr>
          <w:rFonts w:ascii="宋体" w:hAnsi="宋体" w:cs="宋体" w:eastAsia="宋体" w:hint="default"/>
          <w:sz w:val="21"/>
          <w:szCs w:val="21"/>
        </w:rPr>
      </w:pPr>
    </w:p>
    <w:p>
      <w:pPr>
        <w:spacing w:before="0"/>
        <w:ind w:left="138" w:right="1922" w:firstLine="0"/>
        <w:jc w:val="left"/>
        <w:rPr>
          <w:rFonts w:ascii="宋体" w:hAnsi="宋体" w:cs="宋体" w:eastAsia="宋体" w:hint="default"/>
          <w:sz w:val="21"/>
          <w:szCs w:val="21"/>
        </w:rPr>
      </w:pPr>
      <w:r>
        <w:rPr>
          <w:rFonts w:ascii="宋体" w:hAnsi="宋体" w:cs="宋体" w:eastAsia="宋体" w:hint="default"/>
          <w:b/>
          <w:bCs/>
          <w:sz w:val="21"/>
          <w:szCs w:val="21"/>
        </w:rPr>
        <w:t>五、公司股权激励情况及其影响</w:t>
      </w:r>
      <w:r>
        <w:rPr>
          <w:rFonts w:ascii="宋体" w:hAnsi="宋体" w:cs="宋体" w:eastAsia="宋体" w:hint="default"/>
          <w:sz w:val="21"/>
          <w:szCs w:val="21"/>
        </w:rPr>
      </w:r>
    </w:p>
    <w:p>
      <w:pPr>
        <w:spacing w:line="424" w:lineRule="auto" w:before="56"/>
        <w:ind w:left="138" w:right="4855" w:firstLine="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不适用</w:t>
      </w:r>
      <w:r>
        <w:rPr>
          <w:rFonts w:ascii="宋体" w:hAnsi="宋体" w:cs="宋体" w:eastAsia="宋体" w:hint="default"/>
          <w:spacing w:val="-102"/>
          <w:sz w:val="21"/>
          <w:szCs w:val="21"/>
        </w:rPr>
        <w:t> </w:t>
      </w:r>
      <w:r>
        <w:rPr>
          <w:rFonts w:ascii="宋体" w:hAnsi="宋体" w:cs="宋体" w:eastAsia="宋体" w:hint="default"/>
          <w:spacing w:val="-2"/>
          <w:sz w:val="21"/>
          <w:szCs w:val="21"/>
        </w:rPr>
        <w:t>本公司并未实施任何股权激励计划。</w:t>
      </w:r>
    </w:p>
    <w:p>
      <w:pPr>
        <w:spacing w:line="230" w:lineRule="auto" w:before="89"/>
        <w:ind w:left="138" w:right="143" w:firstLine="0"/>
        <w:jc w:val="left"/>
        <w:rPr>
          <w:rFonts w:ascii="宋体" w:hAnsi="宋体" w:cs="宋体" w:eastAsia="宋体" w:hint="default"/>
          <w:sz w:val="21"/>
          <w:szCs w:val="21"/>
        </w:rPr>
      </w:pPr>
      <w:r>
        <w:rPr>
          <w:rFonts w:ascii="宋体" w:hAnsi="宋体" w:cs="宋体" w:eastAsia="宋体" w:hint="default"/>
          <w:sz w:val="21"/>
          <w:szCs w:val="21"/>
        </w:rPr>
        <w:t>本公司子公司联通红筹公司于</w:t>
      </w:r>
      <w:r>
        <w:rPr>
          <w:rFonts w:ascii="宋体" w:hAnsi="宋体" w:cs="宋体" w:eastAsia="宋体" w:hint="default"/>
          <w:spacing w:val="-53"/>
          <w:sz w:val="21"/>
          <w:szCs w:val="21"/>
        </w:rPr>
        <w:t> </w:t>
      </w:r>
      <w:r>
        <w:rPr>
          <w:rFonts w:ascii="Arial" w:hAnsi="Arial" w:cs="Arial" w:eastAsia="Arial" w:hint="default"/>
          <w:sz w:val="21"/>
          <w:szCs w:val="21"/>
        </w:rPr>
        <w:t>2014</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4</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16</w:t>
      </w:r>
      <w:r>
        <w:rPr>
          <w:rFonts w:ascii="Arial" w:hAnsi="Arial" w:cs="Arial" w:eastAsia="Arial" w:hint="default"/>
          <w:spacing w:val="-8"/>
          <w:sz w:val="21"/>
          <w:szCs w:val="21"/>
        </w:rPr>
        <w:t> </w:t>
      </w:r>
      <w:r>
        <w:rPr>
          <w:rFonts w:ascii="宋体" w:hAnsi="宋体" w:cs="宋体" w:eastAsia="宋体" w:hint="default"/>
          <w:sz w:val="21"/>
          <w:szCs w:val="21"/>
        </w:rPr>
        <w:t>日采纳了一份股份期权计划，旨在向符合资格的</w:t>
      </w:r>
      <w:r>
        <w:rPr>
          <w:rFonts w:ascii="宋体" w:hAnsi="宋体" w:cs="宋体" w:eastAsia="宋体" w:hint="default"/>
          <w:w w:val="100"/>
          <w:sz w:val="21"/>
          <w:szCs w:val="21"/>
        </w:rPr>
        <w:t> </w:t>
      </w:r>
      <w:r>
        <w:rPr>
          <w:rFonts w:ascii="宋体" w:hAnsi="宋体" w:cs="宋体" w:eastAsia="宋体" w:hint="default"/>
          <w:spacing w:val="-3"/>
          <w:sz w:val="21"/>
          <w:szCs w:val="21"/>
        </w:rPr>
        <w:t>联通红筹公司及其附属子公司的员工授予股份期权；自采纳二零一四股份期权计划后，公司并未</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
          <w:sz w:val="21"/>
          <w:szCs w:val="21"/>
        </w:rPr>
        <w:t>实际授出任何股份期权。具体参见联通红筹公司网站</w:t>
      </w:r>
      <w:r>
        <w:rPr>
          <w:rFonts w:ascii="Arial" w:hAnsi="Arial" w:cs="Arial" w:eastAsia="Arial" w:hint="default"/>
          <w:spacing w:val="-3"/>
          <w:sz w:val="21"/>
          <w:szCs w:val="21"/>
        </w:rPr>
        <w:t>(www.chinaunicom.com.hk)</w:t>
      </w:r>
      <w:r>
        <w:rPr>
          <w:rFonts w:ascii="宋体" w:hAnsi="宋体" w:cs="宋体" w:eastAsia="宋体" w:hint="default"/>
          <w:spacing w:val="-3"/>
          <w:sz w:val="21"/>
          <w:szCs w:val="21"/>
        </w:rPr>
        <w:t>所载公告。本集</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团预计此等股份期权不会对本集团产生重大影响。</w:t>
      </w:r>
    </w:p>
    <w:p>
      <w:pPr>
        <w:spacing w:line="240" w:lineRule="auto" w:before="12"/>
        <w:rPr>
          <w:rFonts w:ascii="宋体" w:hAnsi="宋体" w:cs="宋体" w:eastAsia="宋体" w:hint="default"/>
          <w:sz w:val="22"/>
          <w:szCs w:val="22"/>
        </w:rPr>
      </w:pPr>
    </w:p>
    <w:p>
      <w:pPr>
        <w:spacing w:line="501" w:lineRule="auto" w:before="0"/>
        <w:ind w:left="138" w:right="4802" w:firstLine="0"/>
        <w:jc w:val="left"/>
        <w:rPr>
          <w:rFonts w:ascii="宋体" w:hAnsi="宋体" w:cs="宋体" w:eastAsia="宋体" w:hint="default"/>
          <w:sz w:val="21"/>
          <w:szCs w:val="21"/>
        </w:rPr>
      </w:pPr>
      <w:r>
        <w:rPr>
          <w:rFonts w:ascii="宋体" w:hAnsi="宋体" w:cs="宋体" w:eastAsia="宋体" w:hint="default"/>
          <w:b/>
          <w:bCs/>
          <w:sz w:val="21"/>
          <w:szCs w:val="21"/>
        </w:rPr>
        <w:t>六、重大关联交易</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本年度公司无重大关联交易。</w:t>
      </w:r>
    </w:p>
    <w:p>
      <w:pPr>
        <w:spacing w:line="501" w:lineRule="auto" w:before="10"/>
        <w:ind w:left="138" w:right="1922" w:firstLine="0"/>
        <w:jc w:val="left"/>
        <w:rPr>
          <w:rFonts w:ascii="宋体" w:hAnsi="宋体" w:cs="宋体" w:eastAsia="宋体" w:hint="default"/>
          <w:sz w:val="21"/>
          <w:szCs w:val="21"/>
        </w:rPr>
      </w:pPr>
      <w:r>
        <w:rPr>
          <w:rFonts w:ascii="宋体" w:hAnsi="宋体" w:cs="宋体" w:eastAsia="宋体" w:hint="default"/>
          <w:spacing w:val="-2"/>
          <w:sz w:val="21"/>
          <w:szCs w:val="21"/>
        </w:rPr>
        <w:t>其他本年度公司关联交易事项请参见财务报告附注十。</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b/>
          <w:bCs/>
          <w:sz w:val="21"/>
          <w:szCs w:val="21"/>
        </w:rPr>
        <w:t>七、重大合同履行情况</w:t>
      </w:r>
      <w:r>
        <w:rPr>
          <w:rFonts w:ascii="宋体" w:hAnsi="宋体" w:cs="宋体" w:eastAsia="宋体" w:hint="default"/>
          <w:sz w:val="21"/>
          <w:szCs w:val="21"/>
        </w:rPr>
      </w:r>
    </w:p>
    <w:p>
      <w:pPr>
        <w:spacing w:before="161"/>
        <w:ind w:left="138" w:right="1922"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一</w:t>
      </w:r>
      <w:r>
        <w:rPr>
          <w:rFonts w:ascii="Arial" w:hAnsi="Arial" w:cs="Arial" w:eastAsia="Arial" w:hint="default"/>
          <w:b/>
          <w:bCs/>
          <w:sz w:val="21"/>
          <w:szCs w:val="21"/>
        </w:rPr>
        <w:t>)</w:t>
      </w:r>
      <w:r>
        <w:rPr>
          <w:rFonts w:ascii="Arial" w:hAnsi="Arial" w:cs="Arial" w:eastAsia="Arial" w:hint="default"/>
          <w:b/>
          <w:bCs/>
          <w:spacing w:val="10"/>
          <w:sz w:val="21"/>
          <w:szCs w:val="21"/>
        </w:rPr>
        <w:t> </w:t>
      </w:r>
      <w:r>
        <w:rPr>
          <w:rFonts w:ascii="宋体" w:hAnsi="宋体" w:cs="宋体" w:eastAsia="宋体" w:hint="default"/>
          <w:b/>
          <w:bCs/>
          <w:sz w:val="21"/>
          <w:szCs w:val="21"/>
        </w:rPr>
        <w:t>托管、承包、租赁事项</w:t>
      </w:r>
      <w:r>
        <w:rPr>
          <w:rFonts w:ascii="宋体" w:hAnsi="宋体" w:cs="宋体" w:eastAsia="宋体" w:hint="default"/>
          <w:sz w:val="21"/>
          <w:szCs w:val="21"/>
        </w:rPr>
      </w:r>
    </w:p>
    <w:p>
      <w:pPr>
        <w:spacing w:before="44"/>
        <w:ind w:left="565" w:right="1922" w:firstLine="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不适用</w:t>
      </w:r>
    </w:p>
    <w:p>
      <w:pPr>
        <w:spacing w:line="240" w:lineRule="auto" w:before="10"/>
        <w:rPr>
          <w:rFonts w:ascii="宋体" w:hAnsi="宋体" w:cs="宋体" w:eastAsia="宋体" w:hint="default"/>
          <w:sz w:val="21"/>
          <w:szCs w:val="21"/>
        </w:rPr>
      </w:pPr>
    </w:p>
    <w:p>
      <w:pPr>
        <w:spacing w:before="0"/>
        <w:ind w:left="138" w:right="1922"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二</w:t>
      </w:r>
      <w:r>
        <w:rPr>
          <w:rFonts w:ascii="Arial" w:hAnsi="Arial" w:cs="Arial" w:eastAsia="Arial" w:hint="default"/>
          <w:b/>
          <w:bCs/>
          <w:sz w:val="21"/>
          <w:szCs w:val="21"/>
        </w:rPr>
        <w:t>)</w:t>
      </w:r>
      <w:r>
        <w:rPr>
          <w:rFonts w:ascii="Arial" w:hAnsi="Arial" w:cs="Arial" w:eastAsia="Arial" w:hint="default"/>
          <w:b/>
          <w:bCs/>
          <w:spacing w:val="11"/>
          <w:sz w:val="21"/>
          <w:szCs w:val="21"/>
        </w:rPr>
        <w:t> </w:t>
      </w:r>
      <w:r>
        <w:rPr>
          <w:rFonts w:ascii="宋体" w:hAnsi="宋体" w:cs="宋体" w:eastAsia="宋体" w:hint="default"/>
          <w:b/>
          <w:bCs/>
          <w:sz w:val="21"/>
          <w:szCs w:val="21"/>
        </w:rPr>
        <w:t>担保情况</w:t>
      </w:r>
      <w:r>
        <w:rPr>
          <w:rFonts w:ascii="宋体" w:hAnsi="宋体" w:cs="宋体" w:eastAsia="宋体" w:hint="default"/>
          <w:sz w:val="21"/>
          <w:szCs w:val="21"/>
        </w:rPr>
      </w:r>
    </w:p>
    <w:p>
      <w:pPr>
        <w:spacing w:before="41"/>
        <w:ind w:left="565" w:right="1922" w:firstLine="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不适用</w:t>
      </w:r>
    </w:p>
    <w:p>
      <w:pPr>
        <w:spacing w:line="240" w:lineRule="auto" w:before="9"/>
        <w:rPr>
          <w:rFonts w:ascii="宋体" w:hAnsi="宋体" w:cs="宋体" w:eastAsia="宋体" w:hint="default"/>
          <w:sz w:val="21"/>
          <w:szCs w:val="21"/>
        </w:rPr>
      </w:pPr>
    </w:p>
    <w:p>
      <w:pPr>
        <w:spacing w:line="477" w:lineRule="auto" w:before="0"/>
        <w:ind w:left="565" w:right="4802" w:hanging="428"/>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三</w:t>
      </w:r>
      <w:r>
        <w:rPr>
          <w:rFonts w:ascii="Arial" w:hAnsi="Arial" w:cs="Arial" w:eastAsia="Arial" w:hint="default"/>
          <w:b/>
          <w:bCs/>
          <w:sz w:val="21"/>
          <w:szCs w:val="21"/>
        </w:rPr>
        <w:t>) </w:t>
      </w:r>
      <w:r>
        <w:rPr>
          <w:rFonts w:ascii="宋体" w:hAnsi="宋体" w:cs="宋体" w:eastAsia="宋体" w:hint="default"/>
          <w:b/>
          <w:bCs/>
          <w:sz w:val="21"/>
          <w:szCs w:val="21"/>
        </w:rPr>
        <w:t>其他重大合同</w:t>
      </w:r>
      <w:r>
        <w:rPr>
          <w:rFonts w:ascii="宋体" w:hAnsi="宋体" w:cs="宋体" w:eastAsia="宋体" w:hint="default"/>
          <w:b/>
          <w:bCs/>
          <w:spacing w:val="-94"/>
          <w:sz w:val="21"/>
          <w:szCs w:val="21"/>
        </w:rPr>
        <w:t> </w:t>
      </w:r>
      <w:r>
        <w:rPr>
          <w:rFonts w:ascii="宋体" w:hAnsi="宋体" w:cs="宋体" w:eastAsia="宋体" w:hint="default"/>
          <w:spacing w:val="-2"/>
          <w:sz w:val="21"/>
          <w:szCs w:val="21"/>
        </w:rPr>
        <w:t>本年度公司无其他重大合同。</w:t>
      </w:r>
    </w:p>
    <w:p>
      <w:pPr>
        <w:spacing w:after="0" w:line="477" w:lineRule="auto"/>
        <w:jc w:val="left"/>
        <w:rPr>
          <w:rFonts w:ascii="宋体" w:hAnsi="宋体" w:cs="宋体" w:eastAsia="宋体" w:hint="default"/>
          <w:sz w:val="21"/>
          <w:szCs w:val="21"/>
        </w:rPr>
        <w:sectPr>
          <w:pgSz w:w="11910" w:h="16840"/>
          <w:pgMar w:header="880" w:footer="1194" w:top="1120" w:bottom="1380" w:left="1660" w:right="1200"/>
        </w:sectPr>
      </w:pPr>
    </w:p>
    <w:p>
      <w:pPr>
        <w:spacing w:line="240" w:lineRule="auto" w:before="11"/>
        <w:rPr>
          <w:rFonts w:ascii="宋体" w:hAnsi="宋体" w:cs="宋体" w:eastAsia="宋体" w:hint="default"/>
          <w:sz w:val="29"/>
          <w:szCs w:val="29"/>
        </w:rPr>
      </w:pPr>
    </w:p>
    <w:p>
      <w:pPr>
        <w:spacing w:before="36"/>
        <w:ind w:left="138" w:right="259" w:firstLine="0"/>
        <w:jc w:val="left"/>
        <w:rPr>
          <w:rFonts w:ascii="宋体" w:hAnsi="宋体" w:cs="宋体" w:eastAsia="宋体" w:hint="default"/>
          <w:sz w:val="21"/>
          <w:szCs w:val="21"/>
        </w:rPr>
      </w:pPr>
      <w:r>
        <w:rPr>
          <w:rFonts w:ascii="宋体" w:hAnsi="宋体" w:cs="宋体" w:eastAsia="宋体" w:hint="default"/>
          <w:b/>
          <w:bCs/>
          <w:sz w:val="21"/>
          <w:szCs w:val="21"/>
        </w:rPr>
        <w:t>八、承诺事项履行情况</w:t>
      </w:r>
      <w:r>
        <w:rPr>
          <w:rFonts w:ascii="宋体" w:hAnsi="宋体" w:cs="宋体" w:eastAsia="宋体" w:hint="default"/>
          <w:sz w:val="21"/>
          <w:szCs w:val="21"/>
        </w:rPr>
      </w:r>
    </w:p>
    <w:p>
      <w:pPr>
        <w:spacing w:before="58"/>
        <w:ind w:left="138" w:right="259" w:firstLine="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适用</w:t>
      </w:r>
    </w:p>
    <w:p>
      <w:pPr>
        <w:spacing w:line="240" w:lineRule="auto" w:before="11"/>
        <w:rPr>
          <w:rFonts w:ascii="宋体" w:hAnsi="宋体" w:cs="宋体" w:eastAsia="宋体" w:hint="default"/>
          <w:sz w:val="23"/>
          <w:szCs w:val="23"/>
        </w:rPr>
      </w:pPr>
    </w:p>
    <w:p>
      <w:pPr>
        <w:spacing w:line="272" w:lineRule="exact" w:before="0"/>
        <w:ind w:left="565" w:right="259" w:hanging="428"/>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一</w:t>
      </w:r>
      <w:r>
        <w:rPr>
          <w:rFonts w:ascii="Arial" w:hAnsi="Arial" w:cs="Arial" w:eastAsia="Arial" w:hint="default"/>
          <w:b/>
          <w:bCs/>
          <w:sz w:val="21"/>
          <w:szCs w:val="21"/>
        </w:rPr>
        <w:t>) </w:t>
      </w:r>
      <w:r>
        <w:rPr>
          <w:rFonts w:ascii="宋体" w:hAnsi="宋体" w:cs="宋体" w:eastAsia="宋体" w:hint="default"/>
          <w:b/>
          <w:bCs/>
          <w:sz w:val="21"/>
          <w:szCs w:val="21"/>
        </w:rPr>
        <w:t>上市公司、持股</w:t>
      </w:r>
      <w:r>
        <w:rPr>
          <w:rFonts w:ascii="宋体" w:hAnsi="宋体" w:cs="宋体" w:eastAsia="宋体" w:hint="default"/>
          <w:b/>
          <w:bCs/>
          <w:spacing w:val="-60"/>
          <w:sz w:val="21"/>
          <w:szCs w:val="21"/>
        </w:rPr>
        <w:t> </w:t>
      </w:r>
      <w:r>
        <w:rPr>
          <w:rFonts w:ascii="Arial" w:hAnsi="Arial" w:cs="Arial" w:eastAsia="Arial" w:hint="default"/>
          <w:b/>
          <w:bCs/>
          <w:sz w:val="21"/>
          <w:szCs w:val="21"/>
        </w:rPr>
        <w:t>5%</w:t>
      </w:r>
      <w:r>
        <w:rPr>
          <w:rFonts w:ascii="宋体" w:hAnsi="宋体" w:cs="宋体" w:eastAsia="宋体" w:hint="default"/>
          <w:b/>
          <w:bCs/>
          <w:sz w:val="21"/>
          <w:szCs w:val="21"/>
        </w:rPr>
        <w:t>以上的股东、控股股东及实际控制人在报告期内或持续到报告期内的承</w:t>
      </w:r>
      <w:r>
        <w:rPr>
          <w:rFonts w:ascii="宋体" w:hAnsi="宋体" w:cs="宋体" w:eastAsia="宋体" w:hint="default"/>
          <w:b/>
          <w:bCs/>
          <w:w w:val="100"/>
          <w:sz w:val="21"/>
          <w:szCs w:val="21"/>
        </w:rPr>
        <w:t> </w:t>
      </w:r>
      <w:r>
        <w:rPr>
          <w:rFonts w:ascii="宋体" w:hAnsi="宋体" w:cs="宋体" w:eastAsia="宋体" w:hint="default"/>
          <w:b/>
          <w:bCs/>
          <w:sz w:val="21"/>
          <w:szCs w:val="21"/>
        </w:rPr>
        <w:t>诺事项</w:t>
      </w:r>
      <w:r>
        <w:rPr>
          <w:rFonts w:ascii="宋体" w:hAnsi="宋体" w:cs="宋体" w:eastAsia="宋体" w:hint="default"/>
          <w:sz w:val="21"/>
          <w:szCs w:val="21"/>
        </w:rPr>
      </w:r>
    </w:p>
    <w:p>
      <w:pPr>
        <w:spacing w:line="240" w:lineRule="auto" w:before="0"/>
        <w:rPr>
          <w:rFonts w:ascii="宋体" w:hAnsi="宋体" w:cs="宋体" w:eastAsia="宋体" w:hint="default"/>
          <w:b/>
          <w:bCs/>
          <w:sz w:val="26"/>
          <w:szCs w:val="26"/>
        </w:rPr>
      </w:pPr>
    </w:p>
    <w:tbl>
      <w:tblPr>
        <w:tblW w:w="0" w:type="auto"/>
        <w:jc w:val="left"/>
        <w:tblInd w:w="560" w:type="dxa"/>
        <w:tblLayout w:type="fixed"/>
        <w:tblCellMar>
          <w:top w:w="0" w:type="dxa"/>
          <w:left w:w="0" w:type="dxa"/>
          <w:bottom w:w="0" w:type="dxa"/>
          <w:right w:w="0" w:type="dxa"/>
        </w:tblCellMar>
        <w:tblLook w:val="01E0"/>
      </w:tblPr>
      <w:tblGrid>
        <w:gridCol w:w="658"/>
        <w:gridCol w:w="761"/>
        <w:gridCol w:w="583"/>
        <w:gridCol w:w="2583"/>
        <w:gridCol w:w="1057"/>
        <w:gridCol w:w="545"/>
        <w:gridCol w:w="629"/>
        <w:gridCol w:w="912"/>
        <w:gridCol w:w="778"/>
      </w:tblGrid>
      <w:tr>
        <w:trPr>
          <w:trHeight w:val="1048" w:hRule="exact"/>
        </w:trPr>
        <w:tc>
          <w:tcPr>
            <w:tcW w:w="65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60" w:right="163"/>
              <w:jc w:val="left"/>
              <w:rPr>
                <w:rFonts w:ascii="宋体" w:hAnsi="宋体" w:cs="宋体" w:eastAsia="宋体" w:hint="default"/>
                <w:sz w:val="16"/>
                <w:szCs w:val="16"/>
              </w:rPr>
            </w:pPr>
            <w:r>
              <w:rPr>
                <w:rFonts w:ascii="宋体" w:hAnsi="宋体" w:cs="宋体" w:eastAsia="宋体" w:hint="default"/>
                <w:b/>
                <w:bCs/>
                <w:sz w:val="16"/>
                <w:szCs w:val="16"/>
              </w:rPr>
              <w:t>承诺</w:t>
            </w:r>
            <w:r>
              <w:rPr>
                <w:rFonts w:ascii="宋体" w:hAnsi="宋体" w:cs="宋体" w:eastAsia="宋体" w:hint="default"/>
                <w:b/>
                <w:bCs/>
                <w:w w:val="100"/>
                <w:sz w:val="16"/>
                <w:szCs w:val="16"/>
              </w:rPr>
              <w:t> </w:t>
            </w:r>
            <w:r>
              <w:rPr>
                <w:rFonts w:ascii="宋体" w:hAnsi="宋体" w:cs="宋体" w:eastAsia="宋体" w:hint="default"/>
                <w:b/>
                <w:bCs/>
                <w:sz w:val="16"/>
                <w:szCs w:val="16"/>
              </w:rPr>
              <w:t>背景</w:t>
            </w:r>
            <w:r>
              <w:rPr>
                <w:rFonts w:ascii="宋体" w:hAnsi="宋体" w:cs="宋体" w:eastAsia="宋体" w:hint="default"/>
                <w:sz w:val="16"/>
                <w:szCs w:val="16"/>
              </w:rPr>
            </w:r>
          </w:p>
        </w:tc>
        <w:tc>
          <w:tcPr>
            <w:tcW w:w="76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1" w:right="218"/>
              <w:jc w:val="left"/>
              <w:rPr>
                <w:rFonts w:ascii="宋体" w:hAnsi="宋体" w:cs="宋体" w:eastAsia="宋体" w:hint="default"/>
                <w:sz w:val="16"/>
                <w:szCs w:val="16"/>
              </w:rPr>
            </w:pPr>
            <w:r>
              <w:rPr>
                <w:rFonts w:ascii="宋体" w:hAnsi="宋体" w:cs="宋体" w:eastAsia="宋体" w:hint="default"/>
                <w:b/>
                <w:bCs/>
                <w:sz w:val="16"/>
                <w:szCs w:val="16"/>
              </w:rPr>
              <w:t>承诺</w:t>
            </w:r>
            <w:r>
              <w:rPr>
                <w:rFonts w:ascii="宋体" w:hAnsi="宋体" w:cs="宋体" w:eastAsia="宋体" w:hint="default"/>
                <w:b/>
                <w:bCs/>
                <w:w w:val="100"/>
                <w:sz w:val="16"/>
                <w:szCs w:val="16"/>
              </w:rPr>
              <w:t> </w:t>
            </w:r>
            <w:r>
              <w:rPr>
                <w:rFonts w:ascii="宋体" w:hAnsi="宋体" w:cs="宋体" w:eastAsia="宋体" w:hint="default"/>
                <w:b/>
                <w:bCs/>
                <w:sz w:val="16"/>
                <w:szCs w:val="16"/>
              </w:rPr>
              <w:t>类型</w:t>
            </w:r>
            <w:r>
              <w:rPr>
                <w:rFonts w:ascii="宋体" w:hAnsi="宋体" w:cs="宋体" w:eastAsia="宋体" w:hint="default"/>
                <w:sz w:val="16"/>
                <w:szCs w:val="16"/>
              </w:rPr>
            </w:r>
          </w:p>
        </w:tc>
        <w:tc>
          <w:tcPr>
            <w:tcW w:w="58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06" w:right="125" w:hanging="82"/>
              <w:jc w:val="left"/>
              <w:rPr>
                <w:rFonts w:ascii="宋体" w:hAnsi="宋体" w:cs="宋体" w:eastAsia="宋体" w:hint="default"/>
                <w:sz w:val="16"/>
                <w:szCs w:val="16"/>
              </w:rPr>
            </w:pPr>
            <w:r>
              <w:rPr>
                <w:rFonts w:ascii="宋体" w:hAnsi="宋体" w:cs="宋体" w:eastAsia="宋体" w:hint="default"/>
                <w:b/>
                <w:bCs/>
                <w:sz w:val="16"/>
                <w:szCs w:val="16"/>
              </w:rPr>
              <w:t>承诺</w:t>
            </w:r>
            <w:r>
              <w:rPr>
                <w:rFonts w:ascii="宋体" w:hAnsi="宋体" w:cs="宋体" w:eastAsia="宋体" w:hint="default"/>
                <w:b/>
                <w:bCs/>
                <w:w w:val="100"/>
                <w:sz w:val="16"/>
                <w:szCs w:val="16"/>
              </w:rPr>
              <w:t> </w:t>
            </w:r>
            <w:r>
              <w:rPr>
                <w:rFonts w:ascii="宋体" w:hAnsi="宋体" w:cs="宋体" w:eastAsia="宋体" w:hint="default"/>
                <w:b/>
                <w:bCs/>
                <w:sz w:val="16"/>
                <w:szCs w:val="16"/>
              </w:rPr>
              <w:t>方</w:t>
            </w:r>
            <w:r>
              <w:rPr>
                <w:rFonts w:ascii="宋体" w:hAnsi="宋体" w:cs="宋体" w:eastAsia="宋体" w:hint="default"/>
                <w:sz w:val="16"/>
                <w:szCs w:val="16"/>
              </w:rPr>
            </w:r>
          </w:p>
        </w:tc>
        <w:tc>
          <w:tcPr>
            <w:tcW w:w="258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123" w:right="1126"/>
              <w:jc w:val="center"/>
              <w:rPr>
                <w:rFonts w:ascii="宋体" w:hAnsi="宋体" w:cs="宋体" w:eastAsia="宋体" w:hint="default"/>
                <w:sz w:val="16"/>
                <w:szCs w:val="16"/>
              </w:rPr>
            </w:pPr>
            <w:r>
              <w:rPr>
                <w:rFonts w:ascii="宋体" w:hAnsi="宋体" w:cs="宋体" w:eastAsia="宋体" w:hint="default"/>
                <w:b/>
                <w:bCs/>
                <w:sz w:val="16"/>
                <w:szCs w:val="16"/>
              </w:rPr>
              <w:t>承诺</w:t>
            </w:r>
            <w:r>
              <w:rPr>
                <w:rFonts w:ascii="宋体" w:hAnsi="宋体" w:cs="宋体" w:eastAsia="宋体" w:hint="default"/>
                <w:b/>
                <w:bCs/>
                <w:w w:val="100"/>
                <w:sz w:val="16"/>
                <w:szCs w:val="16"/>
              </w:rPr>
              <w:t> </w:t>
            </w:r>
            <w:r>
              <w:rPr>
                <w:rFonts w:ascii="宋体" w:hAnsi="宋体" w:cs="宋体" w:eastAsia="宋体" w:hint="default"/>
                <w:b/>
                <w:bCs/>
                <w:sz w:val="16"/>
                <w:szCs w:val="16"/>
              </w:rPr>
              <w:t>内容</w:t>
            </w:r>
            <w:r>
              <w:rPr>
                <w:rFonts w:ascii="宋体" w:hAnsi="宋体" w:cs="宋体" w:eastAsia="宋体" w:hint="default"/>
                <w:sz w:val="16"/>
                <w:szCs w:val="16"/>
              </w:rPr>
            </w:r>
          </w:p>
        </w:tc>
        <w:tc>
          <w:tcPr>
            <w:tcW w:w="105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362" w:right="122" w:hanging="243"/>
              <w:jc w:val="left"/>
              <w:rPr>
                <w:rFonts w:ascii="宋体" w:hAnsi="宋体" w:cs="宋体" w:eastAsia="宋体" w:hint="default"/>
                <w:sz w:val="16"/>
                <w:szCs w:val="16"/>
              </w:rPr>
            </w:pPr>
            <w:r>
              <w:rPr>
                <w:rFonts w:ascii="宋体" w:hAnsi="宋体" w:cs="宋体" w:eastAsia="宋体" w:hint="default"/>
                <w:b/>
                <w:bCs/>
                <w:sz w:val="16"/>
                <w:szCs w:val="16"/>
              </w:rPr>
              <w:t>承诺时间及</w:t>
            </w:r>
            <w:r>
              <w:rPr>
                <w:rFonts w:ascii="宋体" w:hAnsi="宋体" w:cs="宋体" w:eastAsia="宋体" w:hint="default"/>
                <w:b/>
                <w:bCs/>
                <w:w w:val="100"/>
                <w:sz w:val="16"/>
                <w:szCs w:val="16"/>
              </w:rPr>
              <w:t> </w:t>
            </w:r>
            <w:r>
              <w:rPr>
                <w:rFonts w:ascii="宋体" w:hAnsi="宋体" w:cs="宋体" w:eastAsia="宋体" w:hint="default"/>
                <w:b/>
                <w:bCs/>
                <w:sz w:val="16"/>
                <w:szCs w:val="16"/>
              </w:rPr>
              <w:t>期限</w:t>
            </w:r>
            <w:r>
              <w:rPr>
                <w:rFonts w:ascii="宋体" w:hAnsi="宋体" w:cs="宋体" w:eastAsia="宋体" w:hint="default"/>
                <w:sz w:val="16"/>
                <w:szCs w:val="16"/>
              </w:rPr>
            </w:r>
          </w:p>
        </w:tc>
        <w:tc>
          <w:tcPr>
            <w:tcW w:w="54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7" w:lineRule="auto" w:before="80"/>
              <w:ind w:left="105" w:right="107"/>
              <w:jc w:val="both"/>
              <w:rPr>
                <w:rFonts w:ascii="宋体" w:hAnsi="宋体" w:cs="宋体" w:eastAsia="宋体" w:hint="default"/>
                <w:sz w:val="16"/>
                <w:szCs w:val="16"/>
              </w:rPr>
            </w:pPr>
            <w:r>
              <w:rPr>
                <w:rFonts w:ascii="宋体" w:hAnsi="宋体" w:cs="宋体" w:eastAsia="宋体" w:hint="default"/>
                <w:b/>
                <w:bCs/>
                <w:sz w:val="16"/>
                <w:szCs w:val="16"/>
              </w:rPr>
              <w:t>是否</w:t>
            </w:r>
            <w:r>
              <w:rPr>
                <w:rFonts w:ascii="宋体" w:hAnsi="宋体" w:cs="宋体" w:eastAsia="宋体" w:hint="default"/>
                <w:b/>
                <w:bCs/>
                <w:w w:val="100"/>
                <w:sz w:val="16"/>
                <w:szCs w:val="16"/>
              </w:rPr>
              <w:t> </w:t>
            </w:r>
            <w:r>
              <w:rPr>
                <w:rFonts w:ascii="宋体" w:hAnsi="宋体" w:cs="宋体" w:eastAsia="宋体" w:hint="default"/>
                <w:b/>
                <w:bCs/>
                <w:sz w:val="16"/>
                <w:szCs w:val="16"/>
              </w:rPr>
              <w:t>有履</w:t>
            </w:r>
            <w:r>
              <w:rPr>
                <w:rFonts w:ascii="宋体" w:hAnsi="宋体" w:cs="宋体" w:eastAsia="宋体" w:hint="default"/>
                <w:b/>
                <w:bCs/>
                <w:w w:val="100"/>
                <w:sz w:val="16"/>
                <w:szCs w:val="16"/>
              </w:rPr>
              <w:t> </w:t>
            </w:r>
            <w:r>
              <w:rPr>
                <w:rFonts w:ascii="宋体" w:hAnsi="宋体" w:cs="宋体" w:eastAsia="宋体" w:hint="default"/>
                <w:b/>
                <w:bCs/>
                <w:sz w:val="16"/>
                <w:szCs w:val="16"/>
              </w:rPr>
              <w:t>行期</w:t>
            </w:r>
            <w:r>
              <w:rPr>
                <w:rFonts w:ascii="宋体" w:hAnsi="宋体" w:cs="宋体" w:eastAsia="宋体" w:hint="default"/>
                <w:b/>
                <w:bCs/>
                <w:w w:val="100"/>
                <w:sz w:val="16"/>
                <w:szCs w:val="16"/>
              </w:rPr>
              <w:t> </w:t>
            </w:r>
            <w:r>
              <w:rPr>
                <w:rFonts w:ascii="宋体" w:hAnsi="宋体" w:cs="宋体" w:eastAsia="宋体" w:hint="default"/>
                <w:b/>
                <w:bCs/>
                <w:sz w:val="16"/>
                <w:szCs w:val="16"/>
              </w:rPr>
              <w:t>限</w:t>
            </w:r>
            <w:r>
              <w:rPr>
                <w:rFonts w:ascii="宋体" w:hAnsi="宋体" w:cs="宋体" w:eastAsia="宋体" w:hint="default"/>
                <w:sz w:val="16"/>
                <w:szCs w:val="16"/>
              </w:rPr>
            </w:r>
          </w:p>
        </w:tc>
        <w:tc>
          <w:tcPr>
            <w:tcW w:w="62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7" w:lineRule="auto" w:before="80"/>
              <w:ind w:left="148" w:right="146"/>
              <w:jc w:val="both"/>
              <w:rPr>
                <w:rFonts w:ascii="宋体" w:hAnsi="宋体" w:cs="宋体" w:eastAsia="宋体" w:hint="default"/>
                <w:sz w:val="16"/>
                <w:szCs w:val="16"/>
              </w:rPr>
            </w:pPr>
            <w:r>
              <w:rPr>
                <w:rFonts w:ascii="宋体" w:hAnsi="宋体" w:cs="宋体" w:eastAsia="宋体" w:hint="default"/>
                <w:b/>
                <w:bCs/>
                <w:sz w:val="16"/>
                <w:szCs w:val="16"/>
              </w:rPr>
              <w:t>是否</w:t>
            </w:r>
            <w:r>
              <w:rPr>
                <w:rFonts w:ascii="宋体" w:hAnsi="宋体" w:cs="宋体" w:eastAsia="宋体" w:hint="default"/>
                <w:b/>
                <w:bCs/>
                <w:w w:val="100"/>
                <w:sz w:val="16"/>
                <w:szCs w:val="16"/>
              </w:rPr>
              <w:t> </w:t>
            </w:r>
            <w:r>
              <w:rPr>
                <w:rFonts w:ascii="宋体" w:hAnsi="宋体" w:cs="宋体" w:eastAsia="宋体" w:hint="default"/>
                <w:b/>
                <w:bCs/>
                <w:sz w:val="16"/>
                <w:szCs w:val="16"/>
              </w:rPr>
              <w:t>及时</w:t>
            </w:r>
            <w:r>
              <w:rPr>
                <w:rFonts w:ascii="宋体" w:hAnsi="宋体" w:cs="宋体" w:eastAsia="宋体" w:hint="default"/>
                <w:b/>
                <w:bCs/>
                <w:w w:val="100"/>
                <w:sz w:val="16"/>
                <w:szCs w:val="16"/>
              </w:rPr>
              <w:t> </w:t>
            </w:r>
            <w:r>
              <w:rPr>
                <w:rFonts w:ascii="宋体" w:hAnsi="宋体" w:cs="宋体" w:eastAsia="宋体" w:hint="default"/>
                <w:b/>
                <w:bCs/>
                <w:sz w:val="16"/>
                <w:szCs w:val="16"/>
              </w:rPr>
              <w:t>严格</w:t>
            </w:r>
            <w:r>
              <w:rPr>
                <w:rFonts w:ascii="宋体" w:hAnsi="宋体" w:cs="宋体" w:eastAsia="宋体" w:hint="default"/>
                <w:b/>
                <w:bCs/>
                <w:w w:val="100"/>
                <w:sz w:val="16"/>
                <w:szCs w:val="16"/>
              </w:rPr>
              <w:t> </w:t>
            </w:r>
            <w:r>
              <w:rPr>
                <w:rFonts w:ascii="宋体" w:hAnsi="宋体" w:cs="宋体" w:eastAsia="宋体" w:hint="default"/>
                <w:b/>
                <w:bCs/>
                <w:sz w:val="16"/>
                <w:szCs w:val="16"/>
              </w:rPr>
              <w:t>履行</w:t>
            </w:r>
            <w:r>
              <w:rPr>
                <w:rFonts w:ascii="宋体" w:hAnsi="宋体" w:cs="宋体" w:eastAsia="宋体" w:hint="default"/>
                <w:sz w:val="16"/>
                <w:szCs w:val="16"/>
              </w:rPr>
            </w:r>
          </w:p>
        </w:tc>
        <w:tc>
          <w:tcPr>
            <w:tcW w:w="9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183" w:lineRule="exact"/>
              <w:ind w:left="129" w:right="0"/>
              <w:jc w:val="both"/>
              <w:rPr>
                <w:rFonts w:ascii="宋体" w:hAnsi="宋体" w:cs="宋体" w:eastAsia="宋体" w:hint="default"/>
                <w:sz w:val="16"/>
                <w:szCs w:val="16"/>
              </w:rPr>
            </w:pPr>
            <w:r>
              <w:rPr>
                <w:rFonts w:ascii="宋体" w:hAnsi="宋体" w:cs="宋体" w:eastAsia="宋体" w:hint="default"/>
                <w:b/>
                <w:bCs/>
                <w:sz w:val="16"/>
                <w:szCs w:val="16"/>
              </w:rPr>
              <w:t>如未能及</w:t>
            </w:r>
            <w:r>
              <w:rPr>
                <w:rFonts w:ascii="宋体" w:hAnsi="宋体" w:cs="宋体" w:eastAsia="宋体" w:hint="default"/>
                <w:sz w:val="16"/>
                <w:szCs w:val="16"/>
              </w:rPr>
            </w:r>
          </w:p>
          <w:p>
            <w:pPr>
              <w:pStyle w:val="TableParagraph"/>
              <w:spacing w:line="237" w:lineRule="auto"/>
              <w:ind w:left="129" w:right="129"/>
              <w:jc w:val="both"/>
              <w:rPr>
                <w:rFonts w:ascii="宋体" w:hAnsi="宋体" w:cs="宋体" w:eastAsia="宋体" w:hint="default"/>
                <w:sz w:val="16"/>
                <w:szCs w:val="16"/>
              </w:rPr>
            </w:pPr>
            <w:r>
              <w:rPr>
                <w:rFonts w:ascii="宋体" w:hAnsi="宋体" w:cs="宋体" w:eastAsia="宋体" w:hint="default"/>
                <w:b/>
                <w:bCs/>
                <w:sz w:val="16"/>
                <w:szCs w:val="16"/>
              </w:rPr>
              <w:t>时履行应</w:t>
            </w:r>
            <w:r>
              <w:rPr>
                <w:rFonts w:ascii="宋体" w:hAnsi="宋体" w:cs="宋体" w:eastAsia="宋体" w:hint="default"/>
                <w:b/>
                <w:bCs/>
                <w:w w:val="100"/>
                <w:sz w:val="16"/>
                <w:szCs w:val="16"/>
              </w:rPr>
              <w:t> </w:t>
            </w:r>
            <w:r>
              <w:rPr>
                <w:rFonts w:ascii="宋体" w:hAnsi="宋体" w:cs="宋体" w:eastAsia="宋体" w:hint="default"/>
                <w:b/>
                <w:bCs/>
                <w:sz w:val="16"/>
                <w:szCs w:val="16"/>
              </w:rPr>
              <w:t>说明未完</w:t>
            </w:r>
            <w:r>
              <w:rPr>
                <w:rFonts w:ascii="宋体" w:hAnsi="宋体" w:cs="宋体" w:eastAsia="宋体" w:hint="default"/>
                <w:b/>
                <w:bCs/>
                <w:w w:val="100"/>
                <w:sz w:val="16"/>
                <w:szCs w:val="16"/>
              </w:rPr>
              <w:t> </w:t>
            </w:r>
            <w:r>
              <w:rPr>
                <w:rFonts w:ascii="宋体" w:hAnsi="宋体" w:cs="宋体" w:eastAsia="宋体" w:hint="default"/>
                <w:b/>
                <w:bCs/>
                <w:sz w:val="16"/>
                <w:szCs w:val="16"/>
              </w:rPr>
              <w:t>成履行的</w:t>
            </w:r>
            <w:r>
              <w:rPr>
                <w:rFonts w:ascii="宋体" w:hAnsi="宋体" w:cs="宋体" w:eastAsia="宋体" w:hint="default"/>
                <w:b/>
                <w:bCs/>
                <w:w w:val="100"/>
                <w:sz w:val="16"/>
                <w:szCs w:val="16"/>
              </w:rPr>
              <w:t> </w:t>
            </w:r>
            <w:r>
              <w:rPr>
                <w:rFonts w:ascii="宋体" w:hAnsi="宋体" w:cs="宋体" w:eastAsia="宋体" w:hint="default"/>
                <w:b/>
                <w:bCs/>
                <w:sz w:val="16"/>
                <w:szCs w:val="16"/>
              </w:rPr>
              <w:t>具体原因</w:t>
            </w:r>
            <w:r>
              <w:rPr>
                <w:rFonts w:ascii="宋体" w:hAnsi="宋体" w:cs="宋体" w:eastAsia="宋体" w:hint="default"/>
                <w:sz w:val="16"/>
                <w:szCs w:val="16"/>
              </w:rPr>
            </w:r>
          </w:p>
        </w:tc>
        <w:tc>
          <w:tcPr>
            <w:tcW w:w="77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183" w:lineRule="exact"/>
              <w:ind w:left="141" w:right="0"/>
              <w:jc w:val="both"/>
              <w:rPr>
                <w:rFonts w:ascii="宋体" w:hAnsi="宋体" w:cs="宋体" w:eastAsia="宋体" w:hint="default"/>
                <w:sz w:val="16"/>
                <w:szCs w:val="16"/>
              </w:rPr>
            </w:pPr>
            <w:r>
              <w:rPr>
                <w:rFonts w:ascii="宋体" w:hAnsi="宋体" w:cs="宋体" w:eastAsia="宋体" w:hint="default"/>
                <w:b/>
                <w:bCs/>
                <w:sz w:val="16"/>
                <w:szCs w:val="16"/>
              </w:rPr>
              <w:t>如未能</w:t>
            </w:r>
            <w:r>
              <w:rPr>
                <w:rFonts w:ascii="宋体" w:hAnsi="宋体" w:cs="宋体" w:eastAsia="宋体" w:hint="default"/>
                <w:sz w:val="16"/>
                <w:szCs w:val="16"/>
              </w:rPr>
            </w:r>
          </w:p>
          <w:p>
            <w:pPr>
              <w:pStyle w:val="TableParagraph"/>
              <w:spacing w:line="237" w:lineRule="auto"/>
              <w:ind w:left="141" w:right="143"/>
              <w:jc w:val="both"/>
              <w:rPr>
                <w:rFonts w:ascii="宋体" w:hAnsi="宋体" w:cs="宋体" w:eastAsia="宋体" w:hint="default"/>
                <w:sz w:val="16"/>
                <w:szCs w:val="16"/>
              </w:rPr>
            </w:pPr>
            <w:r>
              <w:rPr>
                <w:rFonts w:ascii="宋体" w:hAnsi="宋体" w:cs="宋体" w:eastAsia="宋体" w:hint="default"/>
                <w:b/>
                <w:bCs/>
                <w:sz w:val="16"/>
                <w:szCs w:val="16"/>
              </w:rPr>
              <w:t>及时履</w:t>
            </w:r>
            <w:r>
              <w:rPr>
                <w:rFonts w:ascii="宋体" w:hAnsi="宋体" w:cs="宋体" w:eastAsia="宋体" w:hint="default"/>
                <w:b/>
                <w:bCs/>
                <w:w w:val="100"/>
                <w:sz w:val="16"/>
                <w:szCs w:val="16"/>
              </w:rPr>
              <w:t> </w:t>
            </w:r>
            <w:r>
              <w:rPr>
                <w:rFonts w:ascii="宋体" w:hAnsi="宋体" w:cs="宋体" w:eastAsia="宋体" w:hint="default"/>
                <w:b/>
                <w:bCs/>
                <w:sz w:val="16"/>
                <w:szCs w:val="16"/>
              </w:rPr>
              <w:t>行应说</w:t>
            </w:r>
            <w:r>
              <w:rPr>
                <w:rFonts w:ascii="宋体" w:hAnsi="宋体" w:cs="宋体" w:eastAsia="宋体" w:hint="default"/>
                <w:b/>
                <w:bCs/>
                <w:w w:val="100"/>
                <w:sz w:val="16"/>
                <w:szCs w:val="16"/>
              </w:rPr>
              <w:t> </w:t>
            </w:r>
            <w:r>
              <w:rPr>
                <w:rFonts w:ascii="宋体" w:hAnsi="宋体" w:cs="宋体" w:eastAsia="宋体" w:hint="default"/>
                <w:b/>
                <w:bCs/>
                <w:sz w:val="16"/>
                <w:szCs w:val="16"/>
              </w:rPr>
              <w:t>明下一</w:t>
            </w:r>
            <w:r>
              <w:rPr>
                <w:rFonts w:ascii="宋体" w:hAnsi="宋体" w:cs="宋体" w:eastAsia="宋体" w:hint="default"/>
                <w:b/>
                <w:bCs/>
                <w:w w:val="100"/>
                <w:sz w:val="16"/>
                <w:szCs w:val="16"/>
              </w:rPr>
              <w:t> </w:t>
            </w:r>
            <w:r>
              <w:rPr>
                <w:rFonts w:ascii="宋体" w:hAnsi="宋体" w:cs="宋体" w:eastAsia="宋体" w:hint="default"/>
                <w:b/>
                <w:bCs/>
                <w:sz w:val="16"/>
                <w:szCs w:val="16"/>
              </w:rPr>
              <w:t>步计划</w:t>
            </w:r>
            <w:r>
              <w:rPr>
                <w:rFonts w:ascii="宋体" w:hAnsi="宋体" w:cs="宋体" w:eastAsia="宋体" w:hint="default"/>
                <w:sz w:val="16"/>
                <w:szCs w:val="16"/>
              </w:rPr>
            </w:r>
          </w:p>
        </w:tc>
      </w:tr>
      <w:tr>
        <w:trPr>
          <w:trHeight w:val="3953"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0" w:right="0"/>
              <w:jc w:val="left"/>
              <w:rPr>
                <w:rFonts w:ascii="宋体" w:hAnsi="宋体" w:cs="宋体" w:eastAsia="宋体" w:hint="default"/>
                <w:sz w:val="16"/>
                <w:szCs w:val="16"/>
              </w:rPr>
            </w:pPr>
            <w:r>
              <w:rPr>
                <w:rFonts w:ascii="宋体" w:hAnsi="宋体" w:cs="宋体" w:eastAsia="宋体" w:hint="default"/>
                <w:sz w:val="16"/>
                <w:szCs w:val="16"/>
              </w:rPr>
              <w:t>其他</w:t>
            </w:r>
          </w:p>
          <w:p>
            <w:pPr>
              <w:pStyle w:val="TableParagraph"/>
              <w:spacing w:line="208" w:lineRule="exact"/>
              <w:ind w:left="100" w:right="0"/>
              <w:jc w:val="left"/>
              <w:rPr>
                <w:rFonts w:ascii="宋体" w:hAnsi="宋体" w:cs="宋体" w:eastAsia="宋体" w:hint="default"/>
                <w:sz w:val="16"/>
                <w:szCs w:val="16"/>
              </w:rPr>
            </w:pPr>
            <w:r>
              <w:rPr>
                <w:rFonts w:ascii="宋体" w:hAnsi="宋体" w:cs="宋体" w:eastAsia="宋体" w:hint="default"/>
                <w:sz w:val="16"/>
                <w:szCs w:val="16"/>
              </w:rPr>
              <w:t>承诺</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pacing w:val="23"/>
                <w:sz w:val="16"/>
                <w:szCs w:val="16"/>
              </w:rPr>
              <w:t>联通</w:t>
            </w:r>
            <w:r>
              <w:rPr>
                <w:rFonts w:ascii="宋体" w:hAnsi="宋体" w:cs="宋体" w:eastAsia="宋体" w:hint="default"/>
                <w:spacing w:val="-32"/>
                <w:sz w:val="16"/>
                <w:szCs w:val="16"/>
              </w:rPr>
              <w:t> </w:t>
            </w:r>
            <w:r>
              <w:rPr>
                <w:rFonts w:ascii="宋体" w:hAnsi="宋体" w:cs="宋体" w:eastAsia="宋体" w:hint="default"/>
                <w:sz w:val="16"/>
                <w:szCs w:val="16"/>
              </w:rPr>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集团</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00" w:right="0"/>
              <w:jc w:val="both"/>
              <w:rPr>
                <w:rFonts w:ascii="宋体" w:hAnsi="宋体" w:cs="宋体" w:eastAsia="宋体" w:hint="default"/>
                <w:sz w:val="16"/>
                <w:szCs w:val="16"/>
              </w:rPr>
            </w:pPr>
            <w:r>
              <w:rPr>
                <w:rFonts w:ascii="宋体" w:hAnsi="宋体" w:cs="宋体" w:eastAsia="宋体" w:hint="default"/>
                <w:sz w:val="16"/>
                <w:szCs w:val="16"/>
              </w:rPr>
              <w:t>根据公司</w:t>
            </w:r>
            <w:r>
              <w:rPr>
                <w:rFonts w:ascii="宋体" w:hAnsi="宋体" w:cs="宋体" w:eastAsia="宋体" w:hint="default"/>
                <w:spacing w:val="-41"/>
                <w:sz w:val="16"/>
                <w:szCs w:val="16"/>
              </w:rPr>
              <w:t> </w:t>
            </w:r>
            <w:r>
              <w:rPr>
                <w:rFonts w:ascii="Arial" w:hAnsi="Arial" w:cs="Arial" w:eastAsia="Arial" w:hint="default"/>
                <w:sz w:val="16"/>
                <w:szCs w:val="16"/>
              </w:rPr>
              <w:t>2014</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Arial" w:hAnsi="Arial" w:cs="Arial" w:eastAsia="Arial" w:hint="default"/>
                <w:sz w:val="16"/>
                <w:szCs w:val="16"/>
              </w:rPr>
              <w:t>5</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Arial" w:hAnsi="Arial" w:cs="Arial" w:eastAsia="Arial" w:hint="default"/>
                <w:sz w:val="16"/>
                <w:szCs w:val="16"/>
              </w:rPr>
              <w:t>6</w:t>
            </w:r>
            <w:r>
              <w:rPr>
                <w:rFonts w:ascii="Arial" w:hAnsi="Arial" w:cs="Arial" w:eastAsia="Arial" w:hint="default"/>
                <w:spacing w:val="-6"/>
                <w:sz w:val="16"/>
                <w:szCs w:val="16"/>
              </w:rPr>
              <w:t> </w:t>
            </w:r>
            <w:r>
              <w:rPr>
                <w:rFonts w:ascii="宋体" w:hAnsi="宋体" w:cs="宋体" w:eastAsia="宋体" w:hint="default"/>
                <w:sz w:val="16"/>
                <w:szCs w:val="16"/>
              </w:rPr>
              <w:t>日发布的</w:t>
            </w:r>
          </w:p>
          <w:p>
            <w:pPr>
              <w:pStyle w:val="TableParagraph"/>
              <w:spacing w:line="232" w:lineRule="auto"/>
              <w:ind w:left="100" w:right="67"/>
              <w:jc w:val="both"/>
              <w:rPr>
                <w:rFonts w:ascii="Arial" w:hAnsi="Arial" w:cs="Arial" w:eastAsia="Arial" w:hint="default"/>
                <w:sz w:val="16"/>
                <w:szCs w:val="16"/>
              </w:rPr>
            </w:pPr>
            <w:r>
              <w:rPr>
                <w:rFonts w:ascii="宋体" w:hAnsi="宋体" w:cs="宋体" w:eastAsia="宋体" w:hint="default"/>
                <w:spacing w:val="7"/>
                <w:sz w:val="16"/>
                <w:szCs w:val="16"/>
              </w:rPr>
              <w:t>《关于控股股东增持计划实施完</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pacing w:val="-15"/>
                <w:w w:val="100"/>
                <w:sz w:val="16"/>
                <w:szCs w:val="16"/>
              </w:rPr>
              <w:t>毕的公告》（编号：临</w:t>
            </w:r>
            <w:r>
              <w:rPr>
                <w:rFonts w:ascii="宋体" w:hAnsi="宋体" w:cs="宋体" w:eastAsia="宋体" w:hint="default"/>
                <w:spacing w:val="-34"/>
                <w:w w:val="100"/>
                <w:sz w:val="16"/>
                <w:szCs w:val="16"/>
              </w:rPr>
              <w:t> </w:t>
            </w:r>
            <w:r>
              <w:rPr>
                <w:rFonts w:ascii="Arial" w:hAnsi="Arial" w:cs="Arial" w:eastAsia="Arial" w:hint="default"/>
                <w:spacing w:val="-11"/>
                <w:w w:val="100"/>
                <w:sz w:val="16"/>
                <w:szCs w:val="16"/>
              </w:rPr>
              <w:t>2014-019</w:t>
            </w:r>
            <w:r>
              <w:rPr>
                <w:rFonts w:ascii="宋体" w:hAnsi="宋体" w:cs="宋体" w:eastAsia="宋体" w:hint="default"/>
                <w:spacing w:val="-11"/>
                <w:w w:val="100"/>
                <w:sz w:val="16"/>
                <w:szCs w:val="16"/>
              </w:rPr>
              <w:t>），</w:t>
            </w:r>
            <w:r>
              <w:rPr>
                <w:rFonts w:ascii="宋体" w:hAnsi="宋体" w:cs="宋体" w:eastAsia="宋体" w:hint="default"/>
                <w:spacing w:val="-78"/>
                <w:w w:val="100"/>
                <w:sz w:val="16"/>
                <w:szCs w:val="16"/>
              </w:rPr>
              <w:t> </w:t>
            </w:r>
            <w:r>
              <w:rPr>
                <w:rFonts w:ascii="宋体" w:hAnsi="宋体" w:cs="宋体" w:eastAsia="宋体" w:hint="default"/>
                <w:sz w:val="16"/>
                <w:szCs w:val="16"/>
              </w:rPr>
              <w:t>自</w:t>
            </w:r>
            <w:r>
              <w:rPr>
                <w:rFonts w:ascii="宋体" w:hAnsi="宋体" w:cs="宋体" w:eastAsia="宋体" w:hint="default"/>
                <w:spacing w:val="-32"/>
                <w:sz w:val="16"/>
                <w:szCs w:val="16"/>
              </w:rPr>
              <w:t> </w:t>
            </w:r>
            <w:r>
              <w:rPr>
                <w:rFonts w:ascii="Arial" w:hAnsi="Arial" w:cs="Arial" w:eastAsia="Arial" w:hint="default"/>
                <w:sz w:val="16"/>
                <w:szCs w:val="16"/>
              </w:rPr>
              <w:t>2013</w:t>
            </w:r>
            <w:r>
              <w:rPr>
                <w:rFonts w:ascii="Arial" w:hAnsi="Arial" w:cs="Arial" w:eastAsia="Arial" w:hint="default"/>
                <w:spacing w:val="2"/>
                <w:sz w:val="16"/>
                <w:szCs w:val="16"/>
              </w:rPr>
              <w:t> </w:t>
            </w:r>
            <w:r>
              <w:rPr>
                <w:rFonts w:ascii="宋体" w:hAnsi="宋体" w:cs="宋体" w:eastAsia="宋体" w:hint="default"/>
                <w:sz w:val="16"/>
                <w:szCs w:val="16"/>
              </w:rPr>
              <w:t>年</w:t>
            </w:r>
            <w:r>
              <w:rPr>
                <w:rFonts w:ascii="宋体" w:hAnsi="宋体" w:cs="宋体" w:eastAsia="宋体" w:hint="default"/>
                <w:spacing w:val="-32"/>
                <w:sz w:val="16"/>
                <w:szCs w:val="16"/>
              </w:rPr>
              <w:t> </w:t>
            </w:r>
            <w:r>
              <w:rPr>
                <w:rFonts w:ascii="Arial" w:hAnsi="Arial" w:cs="Arial" w:eastAsia="Arial" w:hint="default"/>
                <w:sz w:val="16"/>
                <w:szCs w:val="16"/>
              </w:rPr>
              <w:t>5</w:t>
            </w:r>
            <w:r>
              <w:rPr>
                <w:rFonts w:ascii="Arial" w:hAnsi="Arial" w:cs="Arial" w:eastAsia="Arial" w:hint="default"/>
                <w:spacing w:val="2"/>
                <w:sz w:val="16"/>
                <w:szCs w:val="16"/>
              </w:rPr>
              <w:t> </w:t>
            </w:r>
            <w:r>
              <w:rPr>
                <w:rFonts w:ascii="宋体" w:hAnsi="宋体" w:cs="宋体" w:eastAsia="宋体" w:hint="default"/>
                <w:sz w:val="16"/>
                <w:szCs w:val="16"/>
              </w:rPr>
              <w:t>月</w:t>
            </w:r>
            <w:r>
              <w:rPr>
                <w:rFonts w:ascii="宋体" w:hAnsi="宋体" w:cs="宋体" w:eastAsia="宋体" w:hint="default"/>
                <w:spacing w:val="-32"/>
                <w:sz w:val="16"/>
                <w:szCs w:val="16"/>
              </w:rPr>
              <w:t> </w:t>
            </w:r>
            <w:r>
              <w:rPr>
                <w:rFonts w:ascii="Arial" w:hAnsi="Arial" w:cs="Arial" w:eastAsia="Arial" w:hint="default"/>
                <w:sz w:val="16"/>
                <w:szCs w:val="16"/>
              </w:rPr>
              <w:t>3 </w:t>
            </w:r>
            <w:r>
              <w:rPr>
                <w:rFonts w:ascii="宋体" w:hAnsi="宋体" w:cs="宋体" w:eastAsia="宋体" w:hint="default"/>
                <w:sz w:val="16"/>
                <w:szCs w:val="16"/>
              </w:rPr>
              <w:t>日至</w:t>
            </w:r>
            <w:r>
              <w:rPr>
                <w:rFonts w:ascii="宋体" w:hAnsi="宋体" w:cs="宋体" w:eastAsia="宋体" w:hint="default"/>
                <w:spacing w:val="-32"/>
                <w:sz w:val="16"/>
                <w:szCs w:val="16"/>
              </w:rPr>
              <w:t> </w:t>
            </w:r>
            <w:r>
              <w:rPr>
                <w:rFonts w:ascii="Arial" w:hAnsi="Arial" w:cs="Arial" w:eastAsia="Arial" w:hint="default"/>
                <w:sz w:val="16"/>
                <w:szCs w:val="16"/>
              </w:rPr>
              <w:t>2014</w:t>
            </w:r>
            <w:r>
              <w:rPr>
                <w:rFonts w:ascii="Arial" w:hAnsi="Arial" w:cs="Arial" w:eastAsia="Arial" w:hint="default"/>
                <w:spacing w:val="2"/>
                <w:sz w:val="16"/>
                <w:szCs w:val="16"/>
              </w:rPr>
              <w:t> </w:t>
            </w:r>
            <w:r>
              <w:rPr>
                <w:rFonts w:ascii="宋体" w:hAnsi="宋体" w:cs="宋体" w:eastAsia="宋体" w:hint="default"/>
                <w:sz w:val="16"/>
                <w:szCs w:val="16"/>
              </w:rPr>
              <w:t>年</w:t>
            </w:r>
            <w:r>
              <w:rPr>
                <w:rFonts w:ascii="宋体" w:hAnsi="宋体" w:cs="宋体" w:eastAsia="宋体" w:hint="default"/>
                <w:spacing w:val="-32"/>
                <w:sz w:val="16"/>
                <w:szCs w:val="16"/>
              </w:rPr>
              <w:t> </w:t>
            </w:r>
            <w:r>
              <w:rPr>
                <w:rFonts w:ascii="Arial" w:hAnsi="Arial" w:cs="Arial" w:eastAsia="Arial" w:hint="default"/>
                <w:sz w:val="16"/>
                <w:szCs w:val="16"/>
              </w:rPr>
              <w:t>5</w:t>
            </w:r>
          </w:p>
          <w:p>
            <w:pPr>
              <w:pStyle w:val="TableParagraph"/>
              <w:spacing w:line="232" w:lineRule="auto"/>
              <w:ind w:left="100" w:right="99"/>
              <w:jc w:val="both"/>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31"/>
                <w:sz w:val="16"/>
                <w:szCs w:val="16"/>
              </w:rPr>
              <w:t> </w:t>
            </w:r>
            <w:r>
              <w:rPr>
                <w:rFonts w:ascii="Arial" w:hAnsi="Arial" w:cs="Arial" w:eastAsia="Arial" w:hint="default"/>
                <w:sz w:val="16"/>
                <w:szCs w:val="16"/>
              </w:rPr>
              <w:t>5</w:t>
            </w:r>
            <w:r>
              <w:rPr>
                <w:rFonts w:ascii="Arial" w:hAnsi="Arial" w:cs="Arial" w:eastAsia="Arial" w:hint="default"/>
                <w:spacing w:val="4"/>
                <w:sz w:val="16"/>
                <w:szCs w:val="16"/>
              </w:rPr>
              <w:t> </w:t>
            </w:r>
            <w:r>
              <w:rPr>
                <w:rFonts w:ascii="宋体" w:hAnsi="宋体" w:cs="宋体" w:eastAsia="宋体" w:hint="default"/>
                <w:spacing w:val="-5"/>
                <w:sz w:val="16"/>
                <w:szCs w:val="16"/>
              </w:rPr>
              <w:t>日，联通集团通过上海证券交</w:t>
            </w:r>
            <w:r>
              <w:rPr>
                <w:rFonts w:ascii="宋体" w:hAnsi="宋体" w:cs="宋体" w:eastAsia="宋体" w:hint="default"/>
                <w:spacing w:val="-76"/>
                <w:sz w:val="16"/>
                <w:szCs w:val="16"/>
              </w:rPr>
              <w:t> </w:t>
            </w:r>
            <w:r>
              <w:rPr>
                <w:rFonts w:ascii="宋体" w:hAnsi="宋体" w:cs="宋体" w:eastAsia="宋体" w:hint="default"/>
                <w:spacing w:val="-76"/>
                <w:sz w:val="16"/>
                <w:szCs w:val="16"/>
              </w:rPr>
            </w:r>
            <w:r>
              <w:rPr>
                <w:rFonts w:ascii="宋体" w:hAnsi="宋体" w:cs="宋体" w:eastAsia="宋体" w:hint="default"/>
                <w:spacing w:val="7"/>
                <w:sz w:val="16"/>
                <w:szCs w:val="16"/>
              </w:rPr>
              <w:t>易所交易系统累计增持本公司股</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z w:val="16"/>
                <w:szCs w:val="16"/>
              </w:rPr>
              <w:t>份</w:t>
            </w:r>
            <w:r>
              <w:rPr>
                <w:rFonts w:ascii="宋体" w:hAnsi="宋体" w:cs="宋体" w:eastAsia="宋体" w:hint="default"/>
                <w:spacing w:val="-38"/>
                <w:sz w:val="16"/>
                <w:szCs w:val="16"/>
              </w:rPr>
              <w:t> </w:t>
            </w:r>
            <w:r>
              <w:rPr>
                <w:rFonts w:ascii="Arial" w:hAnsi="Arial" w:cs="Arial" w:eastAsia="Arial" w:hint="default"/>
                <w:sz w:val="16"/>
                <w:szCs w:val="16"/>
              </w:rPr>
              <w:t>184,518,024</w:t>
            </w:r>
            <w:r>
              <w:rPr>
                <w:rFonts w:ascii="Arial" w:hAnsi="Arial" w:cs="Arial" w:eastAsia="Arial" w:hint="default"/>
                <w:spacing w:val="-5"/>
                <w:sz w:val="16"/>
                <w:szCs w:val="16"/>
              </w:rPr>
              <w:t> </w:t>
            </w:r>
            <w:r>
              <w:rPr>
                <w:rFonts w:ascii="宋体" w:hAnsi="宋体" w:cs="宋体" w:eastAsia="宋体" w:hint="default"/>
                <w:spacing w:val="-6"/>
                <w:sz w:val="16"/>
                <w:szCs w:val="16"/>
              </w:rPr>
              <w:t>股，占公司已发行</w:t>
            </w:r>
          </w:p>
          <w:p>
            <w:pPr>
              <w:pStyle w:val="TableParagraph"/>
              <w:spacing w:line="201" w:lineRule="exact"/>
              <w:ind w:left="100" w:right="0"/>
              <w:jc w:val="both"/>
              <w:rPr>
                <w:rFonts w:ascii="Arial" w:hAnsi="Arial" w:cs="Arial" w:eastAsia="Arial" w:hint="default"/>
                <w:sz w:val="16"/>
                <w:szCs w:val="16"/>
              </w:rPr>
            </w:pPr>
            <w:r>
              <w:rPr>
                <w:rFonts w:ascii="宋体" w:hAnsi="宋体" w:cs="宋体" w:eastAsia="宋体" w:hint="default"/>
                <w:sz w:val="16"/>
                <w:szCs w:val="16"/>
              </w:rPr>
              <w:t>总股本的</w:t>
            </w:r>
            <w:r>
              <w:rPr>
                <w:rFonts w:ascii="宋体" w:hAnsi="宋体" w:cs="宋体" w:eastAsia="宋体" w:hint="default"/>
                <w:spacing w:val="-33"/>
                <w:sz w:val="16"/>
                <w:szCs w:val="16"/>
              </w:rPr>
              <w:t> </w:t>
            </w:r>
            <w:r>
              <w:rPr>
                <w:rFonts w:ascii="Arial" w:hAnsi="Arial" w:cs="Arial" w:eastAsia="Arial" w:hint="default"/>
                <w:sz w:val="16"/>
                <w:szCs w:val="16"/>
              </w:rPr>
              <w:t>0.87%</w:t>
            </w:r>
            <w:r>
              <w:rPr>
                <w:rFonts w:ascii="宋体" w:hAnsi="宋体" w:cs="宋体" w:eastAsia="宋体" w:hint="default"/>
                <w:sz w:val="16"/>
                <w:szCs w:val="16"/>
              </w:rPr>
              <w:t>。且于</w:t>
            </w:r>
            <w:r>
              <w:rPr>
                <w:rFonts w:ascii="宋体" w:hAnsi="宋体" w:cs="宋体" w:eastAsia="宋体" w:hint="default"/>
                <w:spacing w:val="-33"/>
                <w:sz w:val="16"/>
                <w:szCs w:val="16"/>
              </w:rPr>
              <w:t> </w:t>
            </w:r>
            <w:r>
              <w:rPr>
                <w:rFonts w:ascii="Arial" w:hAnsi="Arial" w:cs="Arial" w:eastAsia="Arial" w:hint="default"/>
                <w:sz w:val="16"/>
                <w:szCs w:val="16"/>
              </w:rPr>
              <w:t>2014</w:t>
            </w:r>
            <w:r>
              <w:rPr>
                <w:rFonts w:ascii="Arial" w:hAnsi="Arial" w:cs="Arial" w:eastAsia="Arial"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33"/>
                <w:sz w:val="16"/>
                <w:szCs w:val="16"/>
              </w:rPr>
              <w:t> </w:t>
            </w:r>
            <w:r>
              <w:rPr>
                <w:rFonts w:ascii="Arial" w:hAnsi="Arial" w:cs="Arial" w:eastAsia="Arial" w:hint="default"/>
                <w:sz w:val="16"/>
                <w:szCs w:val="16"/>
              </w:rPr>
              <w:t>5</w:t>
            </w:r>
          </w:p>
          <w:p>
            <w:pPr>
              <w:pStyle w:val="TableParagraph"/>
              <w:spacing w:line="235" w:lineRule="auto"/>
              <w:ind w:left="100" w:right="99"/>
              <w:jc w:val="both"/>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31"/>
                <w:sz w:val="16"/>
                <w:szCs w:val="16"/>
              </w:rPr>
              <w:t> </w:t>
            </w:r>
            <w:r>
              <w:rPr>
                <w:rFonts w:ascii="Arial" w:hAnsi="Arial" w:cs="Arial" w:eastAsia="Arial" w:hint="default"/>
                <w:sz w:val="16"/>
                <w:szCs w:val="16"/>
              </w:rPr>
              <w:t>5</w:t>
            </w:r>
            <w:r>
              <w:rPr>
                <w:rFonts w:ascii="Arial" w:hAnsi="Arial" w:cs="Arial" w:eastAsia="Arial" w:hint="default"/>
                <w:spacing w:val="4"/>
                <w:sz w:val="16"/>
                <w:szCs w:val="16"/>
              </w:rPr>
              <w:t> </w:t>
            </w:r>
            <w:r>
              <w:rPr>
                <w:rFonts w:ascii="宋体" w:hAnsi="宋体" w:cs="宋体" w:eastAsia="宋体" w:hint="default"/>
                <w:spacing w:val="-5"/>
                <w:sz w:val="16"/>
                <w:szCs w:val="16"/>
              </w:rPr>
              <w:t>日，联通集团增持本公司计划</w:t>
            </w:r>
            <w:r>
              <w:rPr>
                <w:rFonts w:ascii="宋体" w:hAnsi="宋体" w:cs="宋体" w:eastAsia="宋体" w:hint="default"/>
                <w:spacing w:val="-76"/>
                <w:sz w:val="16"/>
                <w:szCs w:val="16"/>
              </w:rPr>
              <w:t> </w:t>
            </w:r>
            <w:r>
              <w:rPr>
                <w:rFonts w:ascii="宋体" w:hAnsi="宋体" w:cs="宋体" w:eastAsia="宋体" w:hint="default"/>
                <w:spacing w:val="-76"/>
                <w:sz w:val="16"/>
                <w:szCs w:val="16"/>
              </w:rPr>
            </w:r>
            <w:r>
              <w:rPr>
                <w:rFonts w:ascii="宋体" w:hAnsi="宋体" w:cs="宋体" w:eastAsia="宋体" w:hint="default"/>
                <w:spacing w:val="-3"/>
                <w:sz w:val="16"/>
                <w:szCs w:val="16"/>
              </w:rPr>
              <w:t>已经实施完毕。在上述增持期间联</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pacing w:val="-13"/>
                <w:w w:val="100"/>
                <w:sz w:val="16"/>
                <w:szCs w:val="16"/>
              </w:rPr>
              <w:t>通集团不存在违反《证券法》、《上</w:t>
            </w:r>
            <w:r>
              <w:rPr>
                <w:rFonts w:ascii="宋体" w:hAnsi="宋体" w:cs="宋体" w:eastAsia="宋体" w:hint="default"/>
                <w:spacing w:val="-78"/>
                <w:w w:val="100"/>
                <w:sz w:val="16"/>
                <w:szCs w:val="16"/>
              </w:rPr>
              <w:t> </w:t>
            </w:r>
            <w:r>
              <w:rPr>
                <w:rFonts w:ascii="宋体" w:hAnsi="宋体" w:cs="宋体" w:eastAsia="宋体" w:hint="default"/>
                <w:spacing w:val="-78"/>
                <w:w w:val="100"/>
                <w:sz w:val="16"/>
                <w:szCs w:val="16"/>
              </w:rPr>
            </w:r>
            <w:r>
              <w:rPr>
                <w:rFonts w:ascii="宋体" w:hAnsi="宋体" w:cs="宋体" w:eastAsia="宋体" w:hint="default"/>
                <w:spacing w:val="-3"/>
                <w:sz w:val="16"/>
                <w:szCs w:val="16"/>
              </w:rPr>
              <w:t>市公司收购管理办法》、《上海证</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pacing w:val="7"/>
                <w:sz w:val="16"/>
                <w:szCs w:val="16"/>
              </w:rPr>
              <w:t>券交易所上市公司股东及其一致</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pacing w:val="4"/>
                <w:sz w:val="16"/>
                <w:szCs w:val="16"/>
              </w:rPr>
              <w:t>行动人增持股份行为指引（</w:t>
            </w:r>
            <w:r>
              <w:rPr>
                <w:rFonts w:ascii="Arial" w:hAnsi="Arial" w:cs="Arial" w:eastAsia="Arial" w:hint="default"/>
                <w:spacing w:val="4"/>
                <w:sz w:val="16"/>
                <w:szCs w:val="16"/>
              </w:rPr>
              <w:t>2012</w:t>
            </w:r>
            <w:r>
              <w:rPr>
                <w:rFonts w:ascii="Arial" w:hAnsi="Arial" w:cs="Arial" w:eastAsia="Arial" w:hint="default"/>
                <w:spacing w:val="-21"/>
                <w:sz w:val="16"/>
                <w:szCs w:val="16"/>
              </w:rPr>
              <w:t> </w:t>
            </w:r>
            <w:r>
              <w:rPr>
                <w:rFonts w:ascii="宋体" w:hAnsi="宋体" w:cs="宋体" w:eastAsia="宋体" w:hint="default"/>
                <w:spacing w:val="-4"/>
                <w:sz w:val="16"/>
                <w:szCs w:val="16"/>
              </w:rPr>
              <w:t>年修订）》的行为，按照承诺，在</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pacing w:val="7"/>
                <w:sz w:val="16"/>
                <w:szCs w:val="16"/>
              </w:rPr>
              <w:t>增持计划实施期间及法定期限联</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pacing w:val="7"/>
                <w:sz w:val="16"/>
                <w:szCs w:val="16"/>
              </w:rPr>
              <w:t>通集团未减持所持有的本公司股</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z w:val="16"/>
                <w:szCs w:val="16"/>
              </w:rPr>
              <w:t>份。</w:t>
            </w:r>
          </w:p>
          <w:p>
            <w:pPr>
              <w:pStyle w:val="TableParagraph"/>
              <w:spacing w:line="207" w:lineRule="exact"/>
              <w:ind w:left="100" w:right="0"/>
              <w:jc w:val="both"/>
              <w:rPr>
                <w:rFonts w:ascii="宋体" w:hAnsi="宋体" w:cs="宋体" w:eastAsia="宋体" w:hint="default"/>
                <w:sz w:val="16"/>
                <w:szCs w:val="16"/>
              </w:rPr>
            </w:pPr>
            <w:r>
              <w:rPr>
                <w:rFonts w:ascii="宋体" w:hAnsi="宋体" w:cs="宋体" w:eastAsia="宋体" w:hint="default"/>
                <w:sz w:val="16"/>
                <w:szCs w:val="16"/>
              </w:rPr>
              <w:t>该项承诺得以履行。</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承诺时间：</w:t>
            </w:r>
          </w:p>
          <w:p>
            <w:pPr>
              <w:pStyle w:val="TableParagraph"/>
              <w:spacing w:line="213" w:lineRule="exact"/>
              <w:ind w:left="103" w:right="0"/>
              <w:jc w:val="left"/>
              <w:rPr>
                <w:rFonts w:ascii="宋体" w:hAnsi="宋体" w:cs="宋体" w:eastAsia="宋体" w:hint="default"/>
                <w:sz w:val="16"/>
                <w:szCs w:val="16"/>
              </w:rPr>
            </w:pPr>
            <w:r>
              <w:rPr>
                <w:rFonts w:ascii="Arial" w:hAnsi="Arial" w:cs="Arial" w:eastAsia="Arial" w:hint="default"/>
                <w:sz w:val="16"/>
                <w:szCs w:val="16"/>
              </w:rPr>
              <w:t>2013</w:t>
            </w:r>
            <w:r>
              <w:rPr>
                <w:rFonts w:ascii="Arial" w:hAnsi="Arial" w:cs="Arial" w:eastAsia="Arial" w:hint="default"/>
                <w:spacing w:val="-22"/>
                <w:sz w:val="16"/>
                <w:szCs w:val="16"/>
              </w:rPr>
              <w:t> </w:t>
            </w:r>
            <w:r>
              <w:rPr>
                <w:rFonts w:ascii="宋体" w:hAnsi="宋体" w:cs="宋体" w:eastAsia="宋体" w:hint="default"/>
                <w:sz w:val="16"/>
                <w:szCs w:val="16"/>
              </w:rPr>
              <w:t>年</w:t>
            </w:r>
            <w:r>
              <w:rPr>
                <w:rFonts w:ascii="宋体" w:hAnsi="宋体" w:cs="宋体" w:eastAsia="宋体" w:hint="default"/>
                <w:spacing w:val="-56"/>
                <w:sz w:val="16"/>
                <w:szCs w:val="16"/>
              </w:rPr>
              <w:t> </w:t>
            </w:r>
            <w:r>
              <w:rPr>
                <w:rFonts w:ascii="Arial" w:hAnsi="Arial" w:cs="Arial" w:eastAsia="Arial" w:hint="default"/>
                <w:sz w:val="16"/>
                <w:szCs w:val="16"/>
              </w:rPr>
              <w:t>5</w:t>
            </w:r>
            <w:r>
              <w:rPr>
                <w:rFonts w:ascii="Arial" w:hAnsi="Arial" w:cs="Arial" w:eastAsia="Arial" w:hint="default"/>
                <w:spacing w:val="-22"/>
                <w:sz w:val="16"/>
                <w:szCs w:val="16"/>
              </w:rPr>
              <w:t> </w:t>
            </w:r>
            <w:r>
              <w:rPr>
                <w:rFonts w:ascii="宋体" w:hAnsi="宋体" w:cs="宋体" w:eastAsia="宋体" w:hint="default"/>
                <w:sz w:val="16"/>
                <w:szCs w:val="16"/>
              </w:rPr>
              <w:t>月</w:t>
            </w:r>
          </w:p>
          <w:p>
            <w:pPr>
              <w:pStyle w:val="TableParagraph"/>
              <w:spacing w:line="215" w:lineRule="exact"/>
              <w:ind w:left="103" w:right="0"/>
              <w:jc w:val="left"/>
              <w:rPr>
                <w:rFonts w:ascii="宋体" w:hAnsi="宋体" w:cs="宋体" w:eastAsia="宋体" w:hint="default"/>
                <w:sz w:val="16"/>
                <w:szCs w:val="16"/>
              </w:rPr>
            </w:pPr>
            <w:r>
              <w:rPr>
                <w:rFonts w:ascii="Arial" w:hAnsi="Arial" w:cs="Arial" w:eastAsia="Arial" w:hint="default"/>
                <w:sz w:val="16"/>
                <w:szCs w:val="16"/>
              </w:rPr>
              <w:t>3</w:t>
            </w:r>
            <w:r>
              <w:rPr>
                <w:rFonts w:ascii="Arial" w:hAnsi="Arial" w:cs="Arial" w:eastAsia="Arial" w:hint="default"/>
                <w:spacing w:val="-4"/>
                <w:sz w:val="16"/>
                <w:szCs w:val="16"/>
              </w:rPr>
              <w:t> </w:t>
            </w:r>
            <w:r>
              <w:rPr>
                <w:rFonts w:ascii="宋体" w:hAnsi="宋体" w:cs="宋体" w:eastAsia="宋体" w:hint="default"/>
                <w:sz w:val="16"/>
                <w:szCs w:val="16"/>
              </w:rPr>
              <w:t>日</w:t>
            </w: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pacing w:val="8"/>
                <w:sz w:val="16"/>
                <w:szCs w:val="16"/>
              </w:rPr>
              <w:t>承诺期间：</w:t>
            </w:r>
            <w:r>
              <w:rPr>
                <w:rFonts w:ascii="宋体" w:hAnsi="宋体" w:cs="宋体" w:eastAsia="宋体" w:hint="default"/>
                <w:sz w:val="16"/>
                <w:szCs w:val="16"/>
              </w:rPr>
            </w:r>
          </w:p>
          <w:p>
            <w:pPr>
              <w:pStyle w:val="TableParagraph"/>
              <w:spacing w:line="213" w:lineRule="exact"/>
              <w:ind w:left="103"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2"/>
                <w:sz w:val="16"/>
                <w:szCs w:val="16"/>
              </w:rPr>
              <w:t> </w:t>
            </w:r>
            <w:r>
              <w:rPr>
                <w:rFonts w:ascii="宋体" w:hAnsi="宋体" w:cs="宋体" w:eastAsia="宋体" w:hint="default"/>
                <w:spacing w:val="-5"/>
                <w:sz w:val="16"/>
                <w:szCs w:val="16"/>
              </w:rPr>
              <w:t>个月（至</w:t>
            </w:r>
          </w:p>
          <w:p>
            <w:pPr>
              <w:pStyle w:val="TableParagraph"/>
              <w:spacing w:line="206" w:lineRule="exact"/>
              <w:ind w:left="103" w:right="0"/>
              <w:jc w:val="lef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22"/>
                <w:sz w:val="16"/>
                <w:szCs w:val="16"/>
              </w:rPr>
              <w:t> </w:t>
            </w:r>
            <w:r>
              <w:rPr>
                <w:rFonts w:ascii="宋体" w:hAnsi="宋体" w:cs="宋体" w:eastAsia="宋体" w:hint="default"/>
                <w:sz w:val="16"/>
                <w:szCs w:val="16"/>
              </w:rPr>
              <w:t>年</w:t>
            </w:r>
            <w:r>
              <w:rPr>
                <w:rFonts w:ascii="宋体" w:hAnsi="宋体" w:cs="宋体" w:eastAsia="宋体" w:hint="default"/>
                <w:spacing w:val="-56"/>
                <w:sz w:val="16"/>
                <w:szCs w:val="16"/>
              </w:rPr>
              <w:t> </w:t>
            </w:r>
            <w:r>
              <w:rPr>
                <w:rFonts w:ascii="Arial" w:hAnsi="Arial" w:cs="Arial" w:eastAsia="Arial" w:hint="default"/>
                <w:sz w:val="16"/>
                <w:szCs w:val="16"/>
              </w:rPr>
              <w:t>5</w:t>
            </w:r>
            <w:r>
              <w:rPr>
                <w:rFonts w:ascii="Arial" w:hAnsi="Arial" w:cs="Arial" w:eastAsia="Arial" w:hint="default"/>
                <w:spacing w:val="-22"/>
                <w:sz w:val="16"/>
                <w:szCs w:val="16"/>
              </w:rPr>
              <w:t> </w:t>
            </w:r>
            <w:r>
              <w:rPr>
                <w:rFonts w:ascii="宋体" w:hAnsi="宋体" w:cs="宋体" w:eastAsia="宋体" w:hint="default"/>
                <w:sz w:val="16"/>
                <w:szCs w:val="16"/>
              </w:rPr>
              <w:t>月</w:t>
            </w:r>
          </w:p>
          <w:p>
            <w:pPr>
              <w:pStyle w:val="TableParagraph"/>
              <w:spacing w:line="214" w:lineRule="exact"/>
              <w:ind w:left="103" w:right="0"/>
              <w:jc w:val="left"/>
              <w:rPr>
                <w:rFonts w:ascii="宋体" w:hAnsi="宋体" w:cs="宋体" w:eastAsia="宋体" w:hint="default"/>
                <w:sz w:val="16"/>
                <w:szCs w:val="16"/>
              </w:rPr>
            </w:pPr>
            <w:r>
              <w:rPr>
                <w:rFonts w:ascii="Arial" w:hAnsi="Arial" w:cs="Arial" w:eastAsia="Arial" w:hint="default"/>
                <w:sz w:val="16"/>
                <w:szCs w:val="16"/>
              </w:rPr>
              <w:t>5</w:t>
            </w:r>
            <w:r>
              <w:rPr>
                <w:rFonts w:ascii="Arial" w:hAnsi="Arial" w:cs="Arial" w:eastAsia="Arial" w:hint="default"/>
                <w:spacing w:val="-3"/>
                <w:sz w:val="16"/>
                <w:szCs w:val="16"/>
              </w:rPr>
              <w:t> </w:t>
            </w:r>
            <w:r>
              <w:rPr>
                <w:rFonts w:ascii="宋体" w:hAnsi="宋体" w:cs="宋体" w:eastAsia="宋体" w:hint="default"/>
                <w:sz w:val="16"/>
                <w:szCs w:val="16"/>
              </w:rPr>
              <w:t>日）</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w w:val="100"/>
                <w:sz w:val="16"/>
                <w:szCs w:val="16"/>
              </w:rPr>
              <w:t>是</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w w:val="100"/>
                <w:sz w:val="16"/>
                <w:szCs w:val="16"/>
              </w:rPr>
              <w:t>是</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不适用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不适用</w:t>
            </w:r>
          </w:p>
        </w:tc>
      </w:tr>
    </w:tbl>
    <w:p>
      <w:pPr>
        <w:spacing w:line="240" w:lineRule="auto" w:before="10"/>
        <w:rPr>
          <w:rFonts w:ascii="宋体" w:hAnsi="宋体" w:cs="宋体" w:eastAsia="宋体" w:hint="default"/>
          <w:b/>
          <w:bCs/>
          <w:sz w:val="17"/>
          <w:szCs w:val="17"/>
        </w:rPr>
      </w:pPr>
    </w:p>
    <w:p>
      <w:pPr>
        <w:spacing w:before="36"/>
        <w:ind w:left="138" w:right="259" w:firstLine="0"/>
        <w:jc w:val="left"/>
        <w:rPr>
          <w:rFonts w:ascii="宋体" w:hAnsi="宋体" w:cs="宋体" w:eastAsia="宋体" w:hint="default"/>
          <w:sz w:val="21"/>
          <w:szCs w:val="21"/>
        </w:rPr>
      </w:pPr>
      <w:r>
        <w:rPr>
          <w:rFonts w:ascii="宋体" w:hAnsi="宋体" w:cs="宋体" w:eastAsia="宋体" w:hint="default"/>
          <w:b/>
          <w:bCs/>
          <w:sz w:val="21"/>
          <w:szCs w:val="21"/>
        </w:rPr>
        <w:t>九、聘任、解聘会计师事务所情况</w:t>
      </w:r>
      <w:r>
        <w:rPr>
          <w:rFonts w:ascii="宋体" w:hAnsi="宋体" w:cs="宋体" w:eastAsia="宋体" w:hint="default"/>
          <w:sz w:val="21"/>
          <w:szCs w:val="21"/>
        </w:rPr>
      </w:r>
    </w:p>
    <w:p>
      <w:pPr>
        <w:tabs>
          <w:tab w:pos="1259" w:val="left" w:leader="none"/>
        </w:tabs>
        <w:spacing w:before="56"/>
        <w:ind w:left="0" w:right="272"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977"/>
        <w:gridCol w:w="2979"/>
        <w:gridCol w:w="2926"/>
      </w:tblGrid>
      <w:tr>
        <w:trPr>
          <w:trHeight w:val="245" w:hRule="exact"/>
        </w:trPr>
        <w:tc>
          <w:tcPr>
            <w:tcW w:w="297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是否改聘会计师事务所：</w:t>
            </w:r>
            <w:r>
              <w:rPr>
                <w:rFonts w:ascii="宋体" w:hAnsi="宋体" w:cs="宋体" w:eastAsia="宋体" w:hint="default"/>
                <w:sz w:val="18"/>
                <w:szCs w:val="18"/>
              </w:rPr>
            </w:r>
          </w:p>
        </w:tc>
        <w:tc>
          <w:tcPr>
            <w:tcW w:w="59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2977"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29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原聘任</w:t>
            </w:r>
            <w:r>
              <w:rPr>
                <w:rFonts w:ascii="宋体" w:hAnsi="宋体" w:cs="宋体" w:eastAsia="宋体" w:hint="default"/>
                <w:sz w:val="18"/>
                <w:szCs w:val="18"/>
              </w:rPr>
            </w:r>
          </w:p>
        </w:tc>
        <w:tc>
          <w:tcPr>
            <w:tcW w:w="292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现聘任</w:t>
            </w:r>
            <w:r>
              <w:rPr>
                <w:rFonts w:ascii="宋体" w:hAnsi="宋体" w:cs="宋体" w:eastAsia="宋体" w:hint="default"/>
                <w:sz w:val="18"/>
                <w:szCs w:val="18"/>
              </w:rPr>
            </w:r>
          </w:p>
        </w:tc>
      </w:tr>
      <w:tr>
        <w:trPr>
          <w:trHeight w:val="478" w:hRule="exact"/>
        </w:trPr>
        <w:tc>
          <w:tcPr>
            <w:tcW w:w="297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境内会计师事务所名称</w:t>
            </w:r>
            <w:r>
              <w:rPr>
                <w:rFonts w:ascii="宋体" w:hAnsi="宋体" w:cs="宋体" w:eastAsia="宋体" w:hint="default"/>
                <w:sz w:val="18"/>
                <w:szCs w:val="18"/>
              </w:rPr>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83" w:right="0"/>
              <w:jc w:val="left"/>
              <w:rPr>
                <w:rFonts w:ascii="宋体" w:hAnsi="宋体" w:cs="宋体" w:eastAsia="宋体" w:hint="default"/>
                <w:sz w:val="18"/>
                <w:szCs w:val="18"/>
              </w:rPr>
            </w:pPr>
            <w:r>
              <w:rPr>
                <w:rFonts w:ascii="宋体" w:hAnsi="宋体" w:cs="宋体" w:eastAsia="宋体" w:hint="default"/>
                <w:sz w:val="18"/>
                <w:szCs w:val="18"/>
              </w:rPr>
              <w:t>毕马威华振会计师事务所</w:t>
            </w:r>
          </w:p>
          <w:p>
            <w:pPr>
              <w:pStyle w:val="TableParagraph"/>
              <w:spacing w:line="234" w:lineRule="exact"/>
              <w:ind w:left="1423" w:right="0"/>
              <w:jc w:val="left"/>
              <w:rPr>
                <w:rFonts w:ascii="宋体" w:hAnsi="宋体" w:cs="宋体" w:eastAsia="宋体" w:hint="default"/>
                <w:sz w:val="18"/>
                <w:szCs w:val="18"/>
              </w:rPr>
            </w:pPr>
            <w:r>
              <w:rPr>
                <w:rFonts w:ascii="宋体" w:hAnsi="宋体" w:cs="宋体" w:eastAsia="宋体" w:hint="default"/>
                <w:sz w:val="18"/>
                <w:szCs w:val="18"/>
              </w:rPr>
              <w:t>（特殊普通合伙）</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32" w:right="0"/>
              <w:jc w:val="left"/>
              <w:rPr>
                <w:rFonts w:ascii="宋体" w:hAnsi="宋体" w:cs="宋体" w:eastAsia="宋体" w:hint="default"/>
                <w:sz w:val="18"/>
                <w:szCs w:val="18"/>
              </w:rPr>
            </w:pPr>
            <w:r>
              <w:rPr>
                <w:rFonts w:ascii="宋体" w:hAnsi="宋体" w:cs="宋体" w:eastAsia="宋体" w:hint="default"/>
                <w:sz w:val="18"/>
                <w:szCs w:val="18"/>
              </w:rPr>
              <w:t>毕马威华振会计师事务所</w:t>
            </w:r>
          </w:p>
          <w:p>
            <w:pPr>
              <w:pStyle w:val="TableParagraph"/>
              <w:spacing w:line="234" w:lineRule="exact"/>
              <w:ind w:left="1372" w:right="0"/>
              <w:jc w:val="left"/>
              <w:rPr>
                <w:rFonts w:ascii="宋体" w:hAnsi="宋体" w:cs="宋体" w:eastAsia="宋体" w:hint="default"/>
                <w:sz w:val="18"/>
                <w:szCs w:val="18"/>
              </w:rPr>
            </w:pPr>
            <w:r>
              <w:rPr>
                <w:rFonts w:ascii="宋体" w:hAnsi="宋体" w:cs="宋体" w:eastAsia="宋体" w:hint="default"/>
                <w:sz w:val="18"/>
                <w:szCs w:val="18"/>
              </w:rPr>
              <w:t>（特殊普通合伙）</w:t>
            </w:r>
          </w:p>
        </w:tc>
      </w:tr>
      <w:tr>
        <w:trPr>
          <w:trHeight w:val="242" w:hRule="exact"/>
        </w:trPr>
        <w:tc>
          <w:tcPr>
            <w:tcW w:w="297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境内会计师事务所报酬</w:t>
            </w:r>
            <w:r>
              <w:rPr>
                <w:rFonts w:ascii="宋体" w:hAnsi="宋体" w:cs="宋体" w:eastAsia="宋体" w:hint="default"/>
                <w:sz w:val="18"/>
                <w:szCs w:val="18"/>
              </w:rPr>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04"/>
              <w:jc w:val="right"/>
              <w:rPr>
                <w:rFonts w:ascii="宋体" w:hAnsi="宋体" w:cs="宋体" w:eastAsia="宋体" w:hint="default"/>
                <w:sz w:val="18"/>
                <w:szCs w:val="18"/>
              </w:rPr>
            </w:pPr>
            <w:r>
              <w:rPr>
                <w:rFonts w:ascii="Arial" w:hAnsi="Arial" w:cs="Arial" w:eastAsia="Arial" w:hint="default"/>
                <w:sz w:val="18"/>
                <w:szCs w:val="18"/>
              </w:rPr>
              <w:t>260</w:t>
            </w:r>
            <w:r>
              <w:rPr>
                <w:rFonts w:ascii="宋体" w:hAnsi="宋体" w:cs="宋体" w:eastAsia="宋体" w:hint="default"/>
                <w:sz w:val="18"/>
                <w:szCs w:val="18"/>
              </w:rPr>
              <w:t>（含内控审计费用</w:t>
            </w:r>
            <w:r>
              <w:rPr>
                <w:rFonts w:ascii="宋体" w:hAnsi="宋体" w:cs="宋体" w:eastAsia="宋体" w:hint="default"/>
                <w:spacing w:val="-47"/>
                <w:sz w:val="18"/>
                <w:szCs w:val="18"/>
              </w:rPr>
              <w:t> </w:t>
            </w:r>
            <w:r>
              <w:rPr>
                <w:rFonts w:ascii="Arial" w:hAnsi="Arial" w:cs="Arial" w:eastAsia="Arial" w:hint="default"/>
                <w:sz w:val="18"/>
                <w:szCs w:val="18"/>
              </w:rPr>
              <w:t>60</w:t>
            </w:r>
            <w:r>
              <w:rPr>
                <w:rFonts w:ascii="Arial" w:hAnsi="Arial" w:cs="Arial" w:eastAsia="Arial" w:hint="default"/>
                <w:spacing w:val="-7"/>
                <w:sz w:val="18"/>
                <w:szCs w:val="18"/>
              </w:rPr>
              <w:t> </w:t>
            </w:r>
            <w:r>
              <w:rPr>
                <w:rFonts w:ascii="宋体" w:hAnsi="宋体" w:cs="宋体" w:eastAsia="宋体" w:hint="default"/>
                <w:sz w:val="18"/>
                <w:szCs w:val="18"/>
              </w:rPr>
              <w:t>万元）</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01"/>
              <w:jc w:val="right"/>
              <w:rPr>
                <w:rFonts w:ascii="宋体" w:hAnsi="宋体" w:cs="宋体" w:eastAsia="宋体" w:hint="default"/>
                <w:sz w:val="18"/>
                <w:szCs w:val="18"/>
              </w:rPr>
            </w:pPr>
            <w:r>
              <w:rPr>
                <w:rFonts w:ascii="Arial" w:hAnsi="Arial" w:cs="Arial" w:eastAsia="Arial" w:hint="default"/>
                <w:sz w:val="18"/>
                <w:szCs w:val="18"/>
              </w:rPr>
              <w:t>300</w:t>
            </w:r>
            <w:r>
              <w:rPr>
                <w:rFonts w:ascii="宋体" w:hAnsi="宋体" w:cs="宋体" w:eastAsia="宋体" w:hint="default"/>
                <w:sz w:val="18"/>
                <w:szCs w:val="18"/>
              </w:rPr>
              <w:t>（含内控审计费用</w:t>
            </w:r>
            <w:r>
              <w:rPr>
                <w:rFonts w:ascii="宋体" w:hAnsi="宋体" w:cs="宋体" w:eastAsia="宋体" w:hint="default"/>
                <w:spacing w:val="-48"/>
                <w:sz w:val="18"/>
                <w:szCs w:val="18"/>
              </w:rPr>
              <w:t> </w:t>
            </w:r>
            <w:r>
              <w:rPr>
                <w:rFonts w:ascii="Arial" w:hAnsi="Arial" w:cs="Arial" w:eastAsia="Arial" w:hint="default"/>
                <w:sz w:val="18"/>
                <w:szCs w:val="18"/>
              </w:rPr>
              <w:t>70</w:t>
            </w:r>
            <w:r>
              <w:rPr>
                <w:rFonts w:ascii="Arial" w:hAnsi="Arial" w:cs="Arial" w:eastAsia="Arial" w:hint="default"/>
                <w:spacing w:val="-7"/>
                <w:sz w:val="18"/>
                <w:szCs w:val="18"/>
              </w:rPr>
              <w:t> </w:t>
            </w:r>
            <w:r>
              <w:rPr>
                <w:rFonts w:ascii="宋体" w:hAnsi="宋体" w:cs="宋体" w:eastAsia="宋体" w:hint="default"/>
                <w:sz w:val="18"/>
                <w:szCs w:val="18"/>
              </w:rPr>
              <w:t>万元）</w:t>
            </w:r>
          </w:p>
        </w:tc>
      </w:tr>
      <w:tr>
        <w:trPr>
          <w:trHeight w:val="245" w:hRule="exact"/>
        </w:trPr>
        <w:tc>
          <w:tcPr>
            <w:tcW w:w="297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境内会计师事务所审计年限</w:t>
            </w:r>
            <w:r>
              <w:rPr>
                <w:rFonts w:ascii="宋体" w:hAnsi="宋体" w:cs="宋体" w:eastAsia="宋体" w:hint="default"/>
                <w:sz w:val="18"/>
                <w:szCs w:val="18"/>
              </w:rPr>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01"/>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98"/>
              <w:jc w:val="righ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r>
      <w:tr>
        <w:trPr>
          <w:trHeight w:val="242" w:hRule="exact"/>
        </w:trPr>
        <w:tc>
          <w:tcPr>
            <w:tcW w:w="2977"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29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92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报酬</w:t>
            </w:r>
            <w:r>
              <w:rPr>
                <w:rFonts w:ascii="宋体" w:hAnsi="宋体" w:cs="宋体" w:eastAsia="宋体" w:hint="default"/>
                <w:sz w:val="18"/>
                <w:szCs w:val="18"/>
              </w:rPr>
            </w:r>
          </w:p>
        </w:tc>
      </w:tr>
      <w:tr>
        <w:trPr>
          <w:trHeight w:val="478" w:hRule="exact"/>
        </w:trPr>
        <w:tc>
          <w:tcPr>
            <w:tcW w:w="297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内部控制审计会计师事务所</w:t>
            </w:r>
            <w:r>
              <w:rPr>
                <w:rFonts w:ascii="宋体" w:hAnsi="宋体" w:cs="宋体" w:eastAsia="宋体" w:hint="default"/>
                <w:sz w:val="18"/>
                <w:szCs w:val="18"/>
              </w:rPr>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83" w:right="0"/>
              <w:jc w:val="left"/>
              <w:rPr>
                <w:rFonts w:ascii="宋体" w:hAnsi="宋体" w:cs="宋体" w:eastAsia="宋体" w:hint="default"/>
                <w:sz w:val="18"/>
                <w:szCs w:val="18"/>
              </w:rPr>
            </w:pPr>
            <w:r>
              <w:rPr>
                <w:rFonts w:ascii="宋体" w:hAnsi="宋体" w:cs="宋体" w:eastAsia="宋体" w:hint="default"/>
                <w:sz w:val="18"/>
                <w:szCs w:val="18"/>
              </w:rPr>
              <w:t>毕马威华振会计师事务所</w:t>
            </w:r>
          </w:p>
          <w:p>
            <w:pPr>
              <w:pStyle w:val="TableParagraph"/>
              <w:spacing w:line="234" w:lineRule="exact"/>
              <w:ind w:left="1423" w:right="0"/>
              <w:jc w:val="left"/>
              <w:rPr>
                <w:rFonts w:ascii="宋体" w:hAnsi="宋体" w:cs="宋体" w:eastAsia="宋体" w:hint="default"/>
                <w:sz w:val="18"/>
                <w:szCs w:val="18"/>
              </w:rPr>
            </w:pPr>
            <w:r>
              <w:rPr>
                <w:rFonts w:ascii="宋体" w:hAnsi="宋体" w:cs="宋体" w:eastAsia="宋体" w:hint="default"/>
                <w:sz w:val="18"/>
                <w:szCs w:val="18"/>
              </w:rPr>
              <w:t>（特殊普通合伙）</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98"/>
              <w:jc w:val="right"/>
              <w:rPr>
                <w:rFonts w:ascii="Arial" w:hAnsi="Arial" w:cs="Arial" w:eastAsia="Arial" w:hint="default"/>
                <w:sz w:val="18"/>
                <w:szCs w:val="18"/>
              </w:rPr>
            </w:pPr>
            <w:r>
              <w:rPr>
                <w:rFonts w:ascii="Arial"/>
                <w:w w:val="95"/>
                <w:sz w:val="18"/>
              </w:rPr>
              <w:t>70</w:t>
            </w:r>
            <w:r>
              <w:rPr>
                <w:rFonts w:ascii="Arial"/>
                <w:sz w:val="18"/>
              </w:rPr>
            </w:r>
          </w:p>
        </w:tc>
      </w:tr>
    </w:tbl>
    <w:p>
      <w:pPr>
        <w:spacing w:line="240" w:lineRule="auto" w:before="2"/>
        <w:rPr>
          <w:rFonts w:ascii="宋体" w:hAnsi="宋体" w:cs="宋体" w:eastAsia="宋体" w:hint="default"/>
          <w:sz w:val="13"/>
          <w:szCs w:val="13"/>
        </w:rPr>
      </w:pPr>
    </w:p>
    <w:p>
      <w:pPr>
        <w:spacing w:line="280" w:lineRule="exact" w:before="36"/>
        <w:ind w:left="138" w:right="97" w:firstLine="0"/>
        <w:jc w:val="left"/>
        <w:rPr>
          <w:rFonts w:ascii="宋体" w:hAnsi="宋体" w:cs="宋体" w:eastAsia="宋体" w:hint="default"/>
          <w:sz w:val="21"/>
          <w:szCs w:val="21"/>
        </w:rPr>
      </w:pPr>
      <w:r>
        <w:rPr>
          <w:rFonts w:ascii="宋体" w:hAnsi="宋体" w:cs="宋体" w:eastAsia="宋体" w:hint="default"/>
          <w:w w:val="100"/>
          <w:sz w:val="21"/>
          <w:szCs w:val="21"/>
        </w:rPr>
        <w:t>经公司</w:t>
      </w:r>
      <w:r>
        <w:rPr>
          <w:rFonts w:ascii="宋体" w:hAnsi="宋体" w:cs="宋体" w:eastAsia="宋体" w:hint="default"/>
          <w:spacing w:val="-65"/>
          <w:sz w:val="21"/>
          <w:szCs w:val="21"/>
        </w:rPr>
        <w:t> </w:t>
      </w:r>
      <w:r>
        <w:rPr>
          <w:rFonts w:ascii="Arial" w:hAnsi="Arial" w:cs="Arial" w:eastAsia="Arial" w:hint="default"/>
          <w:w w:val="100"/>
          <w:sz w:val="21"/>
          <w:szCs w:val="21"/>
        </w:rPr>
        <w:t>20</w:t>
      </w:r>
      <w:r>
        <w:rPr>
          <w:rFonts w:ascii="Arial" w:hAnsi="Arial" w:cs="Arial" w:eastAsia="Arial" w:hint="default"/>
          <w:spacing w:val="-2"/>
          <w:w w:val="100"/>
          <w:sz w:val="21"/>
          <w:szCs w:val="21"/>
        </w:rPr>
        <w:t>1</w:t>
      </w:r>
      <w:r>
        <w:rPr>
          <w:rFonts w:ascii="Arial" w:hAnsi="Arial" w:cs="Arial" w:eastAsia="Arial" w:hint="default"/>
          <w:w w:val="100"/>
          <w:sz w:val="21"/>
          <w:szCs w:val="21"/>
        </w:rPr>
        <w:t>4</w:t>
      </w:r>
      <w:r>
        <w:rPr>
          <w:rFonts w:ascii="Arial" w:hAnsi="Arial" w:cs="Arial" w:eastAsia="Arial" w:hint="default"/>
          <w:spacing w:val="-15"/>
          <w:sz w:val="21"/>
          <w:szCs w:val="21"/>
        </w:rPr>
        <w:t> </w:t>
      </w:r>
      <w:r>
        <w:rPr>
          <w:rFonts w:ascii="宋体" w:hAnsi="宋体" w:cs="宋体" w:eastAsia="宋体" w:hint="default"/>
          <w:w w:val="100"/>
          <w:sz w:val="21"/>
          <w:szCs w:val="21"/>
        </w:rPr>
        <w:t>年</w:t>
      </w:r>
      <w:r>
        <w:rPr>
          <w:rFonts w:ascii="宋体" w:hAnsi="宋体" w:cs="宋体" w:eastAsia="宋体" w:hint="default"/>
          <w:spacing w:val="-62"/>
          <w:sz w:val="21"/>
          <w:szCs w:val="21"/>
        </w:rPr>
        <w:t> </w:t>
      </w:r>
      <w:r>
        <w:rPr>
          <w:rFonts w:ascii="Arial" w:hAnsi="Arial" w:cs="Arial" w:eastAsia="Arial" w:hint="default"/>
          <w:w w:val="100"/>
          <w:sz w:val="21"/>
          <w:szCs w:val="21"/>
        </w:rPr>
        <w:t>4</w:t>
      </w:r>
      <w:r>
        <w:rPr>
          <w:rFonts w:ascii="Arial" w:hAnsi="Arial" w:cs="Arial" w:eastAsia="Arial" w:hint="default"/>
          <w:spacing w:val="-17"/>
          <w:sz w:val="21"/>
          <w:szCs w:val="21"/>
        </w:rPr>
        <w:t> </w:t>
      </w:r>
      <w:r>
        <w:rPr>
          <w:rFonts w:ascii="宋体" w:hAnsi="宋体" w:cs="宋体" w:eastAsia="宋体" w:hint="default"/>
          <w:w w:val="100"/>
          <w:sz w:val="21"/>
          <w:szCs w:val="21"/>
        </w:rPr>
        <w:t>月</w:t>
      </w:r>
      <w:r>
        <w:rPr>
          <w:rFonts w:ascii="宋体" w:hAnsi="宋体" w:cs="宋体" w:eastAsia="宋体" w:hint="default"/>
          <w:spacing w:val="-62"/>
          <w:sz w:val="21"/>
          <w:szCs w:val="21"/>
        </w:rPr>
        <w:t> </w:t>
      </w:r>
      <w:r>
        <w:rPr>
          <w:rFonts w:ascii="Arial" w:hAnsi="Arial" w:cs="Arial" w:eastAsia="Arial" w:hint="default"/>
          <w:w w:val="100"/>
          <w:sz w:val="21"/>
          <w:szCs w:val="21"/>
        </w:rPr>
        <w:t>16</w:t>
      </w:r>
      <w:r>
        <w:rPr>
          <w:rFonts w:ascii="Arial" w:hAnsi="Arial" w:cs="Arial" w:eastAsia="Arial" w:hint="default"/>
          <w:spacing w:val="-18"/>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召开的</w:t>
      </w:r>
      <w:r>
        <w:rPr>
          <w:rFonts w:ascii="宋体" w:hAnsi="宋体" w:cs="宋体" w:eastAsia="宋体" w:hint="default"/>
          <w:spacing w:val="-65"/>
          <w:sz w:val="21"/>
          <w:szCs w:val="21"/>
        </w:rPr>
        <w:t> </w:t>
      </w:r>
      <w:r>
        <w:rPr>
          <w:rFonts w:ascii="Arial" w:hAnsi="Arial" w:cs="Arial" w:eastAsia="Arial" w:hint="default"/>
          <w:w w:val="100"/>
          <w:sz w:val="21"/>
          <w:szCs w:val="21"/>
        </w:rPr>
        <w:t>20</w:t>
      </w:r>
      <w:r>
        <w:rPr>
          <w:rFonts w:ascii="Arial" w:hAnsi="Arial" w:cs="Arial" w:eastAsia="Arial" w:hint="default"/>
          <w:spacing w:val="-2"/>
          <w:w w:val="100"/>
          <w:sz w:val="21"/>
          <w:szCs w:val="21"/>
        </w:rPr>
        <w:t>1</w:t>
      </w:r>
      <w:r>
        <w:rPr>
          <w:rFonts w:ascii="Arial" w:hAnsi="Arial" w:cs="Arial" w:eastAsia="Arial" w:hint="default"/>
          <w:w w:val="100"/>
          <w:sz w:val="21"/>
          <w:szCs w:val="21"/>
        </w:rPr>
        <w:t>3</w:t>
      </w:r>
      <w:r>
        <w:rPr>
          <w:rFonts w:ascii="Arial" w:hAnsi="Arial" w:cs="Arial" w:eastAsia="Arial" w:hint="default"/>
          <w:spacing w:val="-15"/>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大会</w:t>
      </w:r>
      <w:r>
        <w:rPr>
          <w:rFonts w:ascii="宋体" w:hAnsi="宋体" w:cs="宋体" w:eastAsia="宋体" w:hint="default"/>
          <w:w w:val="100"/>
          <w:sz w:val="21"/>
          <w:szCs w:val="21"/>
        </w:rPr>
        <w:t>通过</w:t>
      </w:r>
      <w:r>
        <w:rPr>
          <w:rFonts w:ascii="宋体" w:hAnsi="宋体" w:cs="宋体" w:eastAsia="宋体" w:hint="default"/>
          <w:spacing w:val="-108"/>
          <w:w w:val="100"/>
          <w:sz w:val="21"/>
          <w:szCs w:val="21"/>
        </w:rPr>
        <w:t>，</w:t>
      </w:r>
      <w:r>
        <w:rPr>
          <w:rFonts w:ascii="宋体" w:hAnsi="宋体" w:cs="宋体" w:eastAsia="宋体" w:hint="default"/>
          <w:w w:val="100"/>
          <w:sz w:val="21"/>
          <w:szCs w:val="21"/>
        </w:rPr>
        <w:t>同</w:t>
      </w:r>
      <w:r>
        <w:rPr>
          <w:rFonts w:ascii="宋体" w:hAnsi="宋体" w:cs="宋体" w:eastAsia="宋体" w:hint="default"/>
          <w:spacing w:val="-3"/>
          <w:w w:val="100"/>
          <w:sz w:val="21"/>
          <w:szCs w:val="21"/>
        </w:rPr>
        <w:t>意</w:t>
      </w:r>
      <w:r>
        <w:rPr>
          <w:rFonts w:ascii="宋体" w:hAnsi="宋体" w:cs="宋体" w:eastAsia="宋体" w:hint="default"/>
          <w:w w:val="100"/>
          <w:sz w:val="21"/>
          <w:szCs w:val="21"/>
        </w:rPr>
        <w:t>续</w:t>
      </w:r>
      <w:r>
        <w:rPr>
          <w:rFonts w:ascii="宋体" w:hAnsi="宋体" w:cs="宋体" w:eastAsia="宋体" w:hint="default"/>
          <w:spacing w:val="-3"/>
          <w:w w:val="100"/>
          <w:sz w:val="21"/>
          <w:szCs w:val="21"/>
        </w:rPr>
        <w:t>聘</w:t>
      </w:r>
      <w:r>
        <w:rPr>
          <w:rFonts w:ascii="宋体" w:hAnsi="宋体" w:cs="宋体" w:eastAsia="宋体" w:hint="default"/>
          <w:w w:val="100"/>
          <w:sz w:val="21"/>
          <w:szCs w:val="21"/>
        </w:rPr>
        <w:t>毕</w:t>
      </w:r>
      <w:r>
        <w:rPr>
          <w:rFonts w:ascii="宋体" w:hAnsi="宋体" w:cs="宋体" w:eastAsia="宋体" w:hint="default"/>
          <w:spacing w:val="-3"/>
          <w:w w:val="100"/>
          <w:sz w:val="21"/>
          <w:szCs w:val="21"/>
        </w:rPr>
        <w:t>马</w:t>
      </w:r>
      <w:r>
        <w:rPr>
          <w:rFonts w:ascii="宋体" w:hAnsi="宋体" w:cs="宋体" w:eastAsia="宋体" w:hint="default"/>
          <w:w w:val="100"/>
          <w:sz w:val="21"/>
          <w:szCs w:val="21"/>
        </w:rPr>
        <w:t>威</w:t>
      </w:r>
      <w:r>
        <w:rPr>
          <w:rFonts w:ascii="宋体" w:hAnsi="宋体" w:cs="宋体" w:eastAsia="宋体" w:hint="default"/>
          <w:spacing w:val="-3"/>
          <w:w w:val="100"/>
          <w:sz w:val="21"/>
          <w:szCs w:val="21"/>
        </w:rPr>
        <w:t>华振</w:t>
      </w:r>
      <w:r>
        <w:rPr>
          <w:rFonts w:ascii="宋体" w:hAnsi="宋体" w:cs="宋体" w:eastAsia="宋体" w:hint="default"/>
          <w:w w:val="100"/>
          <w:sz w:val="21"/>
          <w:szCs w:val="21"/>
        </w:rPr>
        <w:t>会计</w:t>
      </w:r>
      <w:r>
        <w:rPr>
          <w:rFonts w:ascii="宋体" w:hAnsi="宋体" w:cs="宋体" w:eastAsia="宋体" w:hint="default"/>
          <w:spacing w:val="-3"/>
          <w:w w:val="100"/>
          <w:sz w:val="21"/>
          <w:szCs w:val="21"/>
        </w:rPr>
        <w:t>师</w:t>
      </w:r>
      <w:r>
        <w:rPr>
          <w:rFonts w:ascii="宋体" w:hAnsi="宋体" w:cs="宋体" w:eastAsia="宋体" w:hint="default"/>
          <w:w w:val="100"/>
          <w:sz w:val="21"/>
          <w:szCs w:val="21"/>
        </w:rPr>
        <w:t>事</w:t>
      </w:r>
      <w:r>
        <w:rPr>
          <w:rFonts w:ascii="宋体" w:hAnsi="宋体" w:cs="宋体" w:eastAsia="宋体" w:hint="default"/>
          <w:spacing w:val="-3"/>
          <w:w w:val="100"/>
          <w:sz w:val="21"/>
          <w:szCs w:val="21"/>
        </w:rPr>
        <w:t>务</w:t>
      </w:r>
      <w:r>
        <w:rPr>
          <w:rFonts w:ascii="宋体" w:hAnsi="宋体" w:cs="宋体" w:eastAsia="宋体" w:hint="default"/>
          <w:spacing w:val="-106"/>
          <w:w w:val="100"/>
          <w:sz w:val="21"/>
          <w:szCs w:val="21"/>
        </w:rPr>
        <w:t>所</w:t>
      </w:r>
      <w:r>
        <w:rPr>
          <w:rFonts w:ascii="宋体" w:hAnsi="宋体" w:cs="宋体" w:eastAsia="宋体" w:hint="default"/>
          <w:spacing w:val="-3"/>
          <w:w w:val="100"/>
          <w:sz w:val="21"/>
          <w:szCs w:val="21"/>
        </w:rPr>
        <w:t>（</w:t>
      </w:r>
      <w:r>
        <w:rPr>
          <w:rFonts w:ascii="宋体" w:hAnsi="宋体" w:cs="宋体" w:eastAsia="宋体" w:hint="default"/>
          <w:w w:val="100"/>
          <w:sz w:val="21"/>
          <w:szCs w:val="21"/>
        </w:rPr>
        <w:t>特</w:t>
      </w:r>
    </w:p>
    <w:p>
      <w:pPr>
        <w:spacing w:line="232" w:lineRule="auto" w:before="0"/>
        <w:ind w:left="138" w:right="259" w:firstLine="0"/>
        <w:jc w:val="left"/>
        <w:rPr>
          <w:rFonts w:ascii="宋体" w:hAnsi="宋体" w:cs="宋体" w:eastAsia="宋体" w:hint="default"/>
          <w:sz w:val="21"/>
          <w:szCs w:val="21"/>
        </w:rPr>
      </w:pPr>
      <w:r>
        <w:rPr>
          <w:rFonts w:ascii="宋体" w:hAnsi="宋体" w:cs="宋体" w:eastAsia="宋体" w:hint="default"/>
          <w:sz w:val="21"/>
          <w:szCs w:val="21"/>
        </w:rPr>
        <w:t>殊普通合伙）为公司</w:t>
      </w:r>
      <w:r>
        <w:rPr>
          <w:rFonts w:ascii="宋体" w:hAnsi="宋体" w:cs="宋体" w:eastAsia="宋体" w:hint="default"/>
          <w:spacing w:val="-54"/>
          <w:sz w:val="21"/>
          <w:szCs w:val="21"/>
        </w:rPr>
        <w:t> </w:t>
      </w: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年度审计师，为公司提供包括</w:t>
      </w:r>
      <w:r>
        <w:rPr>
          <w:rFonts w:ascii="宋体" w:hAnsi="宋体" w:cs="宋体" w:eastAsia="宋体" w:hint="default"/>
          <w:spacing w:val="-55"/>
          <w:sz w:val="21"/>
          <w:szCs w:val="21"/>
        </w:rPr>
        <w:t> </w:t>
      </w:r>
      <w:r>
        <w:rPr>
          <w:rFonts w:ascii="Arial" w:hAnsi="Arial" w:cs="Arial" w:eastAsia="Arial" w:hint="default"/>
          <w:sz w:val="21"/>
          <w:szCs w:val="21"/>
        </w:rPr>
        <w:t>2014</w:t>
      </w:r>
      <w:r>
        <w:rPr>
          <w:rFonts w:ascii="Arial" w:hAnsi="Arial" w:cs="Arial" w:eastAsia="Arial" w:hint="default"/>
          <w:spacing w:val="-10"/>
          <w:sz w:val="21"/>
          <w:szCs w:val="21"/>
        </w:rPr>
        <w:t> </w:t>
      </w:r>
      <w:r>
        <w:rPr>
          <w:rFonts w:ascii="宋体" w:hAnsi="宋体" w:cs="宋体" w:eastAsia="宋体" w:hint="default"/>
          <w:sz w:val="21"/>
          <w:szCs w:val="21"/>
        </w:rPr>
        <w:t>年度财务报表审计、与财务报告</w:t>
      </w:r>
      <w:r>
        <w:rPr>
          <w:rFonts w:ascii="宋体" w:hAnsi="宋体" w:cs="宋体" w:eastAsia="宋体" w:hint="default"/>
          <w:w w:val="100"/>
          <w:sz w:val="21"/>
          <w:szCs w:val="21"/>
        </w:rPr>
        <w:t> </w:t>
      </w:r>
      <w:r>
        <w:rPr>
          <w:rFonts w:ascii="宋体" w:hAnsi="宋体" w:cs="宋体" w:eastAsia="宋体" w:hint="default"/>
          <w:spacing w:val="-3"/>
          <w:sz w:val="21"/>
          <w:szCs w:val="21"/>
        </w:rPr>
        <w:t>相关的内控审计、半年报审阅、季报商定程序等服务。同时授权管理层按照成本控制的原则与毕</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马威协商</w:t>
      </w:r>
      <w:r>
        <w:rPr>
          <w:rFonts w:ascii="宋体" w:hAnsi="宋体" w:cs="宋体" w:eastAsia="宋体" w:hint="default"/>
          <w:spacing w:val="-56"/>
          <w:sz w:val="21"/>
          <w:szCs w:val="21"/>
        </w:rPr>
        <w:t> </w:t>
      </w:r>
      <w:r>
        <w:rPr>
          <w:rFonts w:ascii="Arial" w:hAnsi="Arial" w:cs="Arial" w:eastAsia="Arial" w:hint="default"/>
          <w:sz w:val="21"/>
          <w:szCs w:val="21"/>
        </w:rPr>
        <w:t>2014</w:t>
      </w:r>
      <w:r>
        <w:rPr>
          <w:rFonts w:ascii="Arial" w:hAnsi="Arial" w:cs="Arial" w:eastAsia="Arial" w:hint="default"/>
          <w:spacing w:val="-9"/>
          <w:sz w:val="21"/>
          <w:szCs w:val="21"/>
        </w:rPr>
        <w:t> </w:t>
      </w:r>
      <w:r>
        <w:rPr>
          <w:rFonts w:ascii="宋体" w:hAnsi="宋体" w:cs="宋体" w:eastAsia="宋体" w:hint="default"/>
          <w:sz w:val="21"/>
          <w:szCs w:val="21"/>
        </w:rPr>
        <w:t>年度审计及相关服务费用。</w:t>
      </w:r>
    </w:p>
    <w:p>
      <w:pPr>
        <w:spacing w:line="240" w:lineRule="auto" w:before="10"/>
        <w:rPr>
          <w:rFonts w:ascii="宋体" w:hAnsi="宋体" w:cs="宋体" w:eastAsia="宋体" w:hint="default"/>
          <w:sz w:val="23"/>
          <w:szCs w:val="23"/>
        </w:rPr>
      </w:pPr>
    </w:p>
    <w:p>
      <w:pPr>
        <w:spacing w:line="274" w:lineRule="exact" w:before="0"/>
        <w:ind w:left="558" w:right="255" w:hanging="420"/>
        <w:jc w:val="left"/>
        <w:rPr>
          <w:rFonts w:ascii="宋体" w:hAnsi="宋体" w:cs="宋体" w:eastAsia="宋体" w:hint="default"/>
          <w:sz w:val="21"/>
          <w:szCs w:val="21"/>
        </w:rPr>
      </w:pPr>
      <w:r>
        <w:rPr>
          <w:rFonts w:ascii="宋体" w:hAnsi="宋体" w:cs="宋体" w:eastAsia="宋体" w:hint="default"/>
          <w:b/>
          <w:bCs/>
          <w:sz w:val="21"/>
          <w:szCs w:val="21"/>
        </w:rPr>
        <w:t>十、上市公司及其董事、监事、高级管理人员、持有</w:t>
      </w:r>
      <w:r>
        <w:rPr>
          <w:rFonts w:ascii="宋体" w:hAnsi="宋体" w:cs="宋体" w:eastAsia="宋体" w:hint="default"/>
          <w:b/>
          <w:bCs/>
          <w:spacing w:val="-69"/>
          <w:sz w:val="21"/>
          <w:szCs w:val="21"/>
        </w:rPr>
        <w:t> </w:t>
      </w:r>
      <w:r>
        <w:rPr>
          <w:rFonts w:ascii="Arial" w:hAnsi="Arial" w:cs="Arial" w:eastAsia="Arial" w:hint="default"/>
          <w:b/>
          <w:bCs/>
          <w:sz w:val="21"/>
          <w:szCs w:val="21"/>
        </w:rPr>
        <w:t>5%</w:t>
      </w:r>
      <w:r>
        <w:rPr>
          <w:rFonts w:ascii="宋体" w:hAnsi="宋体" w:cs="宋体" w:eastAsia="宋体" w:hint="default"/>
          <w:b/>
          <w:bCs/>
          <w:sz w:val="21"/>
          <w:szCs w:val="21"/>
        </w:rPr>
        <w:t>以上股份的股东、实际控制人、收购人</w:t>
      </w:r>
      <w:r>
        <w:rPr>
          <w:rFonts w:ascii="宋体" w:hAnsi="宋体" w:cs="宋体" w:eastAsia="宋体" w:hint="default"/>
          <w:b/>
          <w:bCs/>
          <w:w w:val="100"/>
          <w:sz w:val="21"/>
          <w:szCs w:val="21"/>
        </w:rPr>
        <w:t> </w:t>
      </w:r>
      <w:r>
        <w:rPr>
          <w:rFonts w:ascii="宋体" w:hAnsi="宋体" w:cs="宋体" w:eastAsia="宋体" w:hint="default"/>
          <w:b/>
          <w:bCs/>
          <w:sz w:val="21"/>
          <w:szCs w:val="21"/>
        </w:rPr>
        <w:t>处罚及整改情况</w:t>
      </w:r>
      <w:r>
        <w:rPr>
          <w:rFonts w:ascii="宋体" w:hAnsi="宋体" w:cs="宋体" w:eastAsia="宋体" w:hint="default"/>
          <w:sz w:val="21"/>
          <w:szCs w:val="21"/>
        </w:rPr>
      </w:r>
    </w:p>
    <w:p>
      <w:pPr>
        <w:spacing w:line="240" w:lineRule="auto" w:before="0"/>
        <w:rPr>
          <w:rFonts w:ascii="宋体" w:hAnsi="宋体" w:cs="宋体" w:eastAsia="宋体" w:hint="default"/>
          <w:b/>
          <w:bCs/>
          <w:sz w:val="23"/>
          <w:szCs w:val="23"/>
        </w:rPr>
      </w:pPr>
    </w:p>
    <w:p>
      <w:pPr>
        <w:spacing w:line="272" w:lineRule="exact" w:before="0"/>
        <w:ind w:left="138" w:right="259" w:firstLine="0"/>
        <w:jc w:val="left"/>
        <w:rPr>
          <w:rFonts w:ascii="宋体" w:hAnsi="宋体" w:cs="宋体" w:eastAsia="宋体" w:hint="default"/>
          <w:sz w:val="21"/>
          <w:szCs w:val="21"/>
        </w:rPr>
      </w:pPr>
      <w:r>
        <w:rPr>
          <w:rFonts w:ascii="宋体" w:hAnsi="宋体" w:cs="宋体" w:eastAsia="宋体" w:hint="default"/>
          <w:spacing w:val="-2"/>
          <w:sz w:val="21"/>
          <w:szCs w:val="21"/>
        </w:rPr>
        <w:t>本年度公司及其董事、监事、高级管理人员、公司股东、实际控制人均未受中国证监会的稽查、</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行政处罚、通报批评及证券交易所得公开谴责。</w:t>
      </w:r>
    </w:p>
    <w:p>
      <w:pPr>
        <w:spacing w:after="0" w:line="272" w:lineRule="exact"/>
        <w:jc w:val="left"/>
        <w:rPr>
          <w:rFonts w:ascii="宋体" w:hAnsi="宋体" w:cs="宋体" w:eastAsia="宋体" w:hint="default"/>
          <w:sz w:val="21"/>
          <w:szCs w:val="21"/>
        </w:rPr>
        <w:sectPr>
          <w:pgSz w:w="11910" w:h="16840"/>
          <w:pgMar w:header="880" w:footer="1194" w:top="1120" w:bottom="1380" w:left="1660" w:right="1060"/>
        </w:sectPr>
      </w:pPr>
    </w:p>
    <w:p>
      <w:pPr>
        <w:spacing w:line="240" w:lineRule="auto" w:before="11"/>
        <w:rPr>
          <w:rFonts w:ascii="宋体" w:hAnsi="宋体" w:cs="宋体" w:eastAsia="宋体" w:hint="default"/>
          <w:sz w:val="29"/>
          <w:szCs w:val="29"/>
        </w:rPr>
      </w:pPr>
    </w:p>
    <w:p>
      <w:pPr>
        <w:spacing w:before="36"/>
        <w:ind w:left="138" w:right="173" w:firstLine="0"/>
        <w:jc w:val="left"/>
        <w:rPr>
          <w:rFonts w:ascii="宋体" w:hAnsi="宋体" w:cs="宋体" w:eastAsia="宋体" w:hint="default"/>
          <w:sz w:val="21"/>
          <w:szCs w:val="21"/>
        </w:rPr>
      </w:pPr>
      <w:r>
        <w:rPr>
          <w:rFonts w:ascii="宋体" w:hAnsi="宋体" w:cs="宋体" w:eastAsia="宋体" w:hint="default"/>
          <w:b/>
          <w:bCs/>
          <w:sz w:val="21"/>
          <w:szCs w:val="21"/>
        </w:rPr>
        <w:t>十一、执行新会计准则对合并财务报表的影响</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p>
      <w:pPr>
        <w:spacing w:before="0"/>
        <w:ind w:left="138" w:right="173"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一</w:t>
      </w:r>
      <w:r>
        <w:rPr>
          <w:rFonts w:ascii="Arial" w:hAnsi="Arial" w:cs="Arial" w:eastAsia="Arial" w:hint="default"/>
          <w:b/>
          <w:bCs/>
          <w:sz w:val="21"/>
          <w:szCs w:val="21"/>
        </w:rPr>
        <w:t>)</w:t>
      </w:r>
      <w:r>
        <w:rPr>
          <w:rFonts w:ascii="Arial" w:hAnsi="Arial" w:cs="Arial" w:eastAsia="Arial" w:hint="default"/>
          <w:b/>
          <w:bCs/>
          <w:spacing w:val="11"/>
          <w:sz w:val="21"/>
          <w:szCs w:val="21"/>
        </w:rPr>
        <w:t> </w:t>
      </w:r>
      <w:r>
        <w:rPr>
          <w:rFonts w:ascii="宋体" w:hAnsi="宋体" w:cs="宋体" w:eastAsia="宋体" w:hint="default"/>
          <w:b/>
          <w:bCs/>
          <w:sz w:val="21"/>
          <w:szCs w:val="21"/>
        </w:rPr>
        <w:t>长期股权投资准则变动对于合并财务报告影响</w:t>
      </w:r>
      <w:r>
        <w:rPr>
          <w:rFonts w:ascii="宋体" w:hAnsi="宋体" w:cs="宋体" w:eastAsia="宋体" w:hint="default"/>
          <w:sz w:val="21"/>
          <w:szCs w:val="21"/>
        </w:rPr>
      </w:r>
    </w:p>
    <w:p>
      <w:pPr>
        <w:spacing w:line="240" w:lineRule="auto" w:before="9"/>
        <w:rPr>
          <w:rFonts w:ascii="宋体" w:hAnsi="宋体" w:cs="宋体" w:eastAsia="宋体" w:hint="default"/>
          <w:b/>
          <w:bCs/>
          <w:sz w:val="21"/>
          <w:szCs w:val="21"/>
        </w:rPr>
      </w:pPr>
    </w:p>
    <w:p>
      <w:pPr>
        <w:spacing w:before="0"/>
        <w:ind w:left="565" w:right="0" w:firstLine="0"/>
        <w:jc w:val="both"/>
        <w:rPr>
          <w:rFonts w:ascii="宋体" w:hAnsi="宋体" w:cs="宋体" w:eastAsia="宋体" w:hint="default"/>
          <w:sz w:val="21"/>
          <w:szCs w:val="21"/>
        </w:rPr>
      </w:pPr>
      <w:r>
        <w:rPr>
          <w:rFonts w:ascii="宋体" w:hAnsi="宋体" w:cs="宋体" w:eastAsia="宋体" w:hint="default"/>
          <w:sz w:val="21"/>
          <w:szCs w:val="21"/>
        </w:rPr>
        <w:t>长期股权投资准则变动对于合并财务报告影响的说明：</w:t>
      </w:r>
    </w:p>
    <w:p>
      <w:pPr>
        <w:spacing w:line="240" w:lineRule="auto" w:before="13"/>
        <w:rPr>
          <w:rFonts w:ascii="宋体" w:hAnsi="宋体" w:cs="宋体" w:eastAsia="宋体" w:hint="default"/>
          <w:sz w:val="18"/>
          <w:szCs w:val="18"/>
        </w:rPr>
      </w:pPr>
    </w:p>
    <w:p>
      <w:pPr>
        <w:spacing w:line="230" w:lineRule="auto" w:before="0"/>
        <w:ind w:left="565" w:right="168" w:firstLine="0"/>
        <w:jc w:val="both"/>
        <w:rPr>
          <w:rFonts w:ascii="宋体" w:hAnsi="宋体" w:cs="宋体" w:eastAsia="宋体" w:hint="default"/>
          <w:sz w:val="21"/>
          <w:szCs w:val="21"/>
        </w:rPr>
      </w:pPr>
      <w:r>
        <w:rPr>
          <w:rFonts w:ascii="宋体" w:hAnsi="宋体" w:cs="宋体" w:eastAsia="宋体" w:hint="default"/>
          <w:spacing w:val="-2"/>
          <w:sz w:val="21"/>
          <w:szCs w:val="21"/>
        </w:rPr>
        <w:t>采用准则</w:t>
      </w:r>
      <w:r>
        <w:rPr>
          <w:rFonts w:ascii="Arial" w:hAnsi="Arial" w:cs="Arial" w:eastAsia="Arial" w:hint="default"/>
          <w:spacing w:val="-2"/>
          <w:sz w:val="21"/>
          <w:szCs w:val="21"/>
        </w:rPr>
        <w:t>2</w:t>
      </w:r>
      <w:r>
        <w:rPr>
          <w:rFonts w:ascii="宋体" w:hAnsi="宋体" w:cs="宋体" w:eastAsia="宋体" w:hint="default"/>
          <w:spacing w:val="-2"/>
          <w:sz w:val="21"/>
          <w:szCs w:val="21"/>
        </w:rPr>
        <w:t>号之前，本集团将持有的对被投资单位不具有控制、共同控制或重大影响，并且</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3"/>
          <w:sz w:val="21"/>
          <w:szCs w:val="21"/>
        </w:rPr>
        <w:t>在活跃市场中没有报价、公允价值不能可靠计量的权益性投资作为其他长期股权投资，按成</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本法进行后续计量。采用准则</w:t>
      </w:r>
      <w:r>
        <w:rPr>
          <w:rFonts w:ascii="Arial" w:hAnsi="Arial" w:cs="Arial" w:eastAsia="Arial" w:hint="default"/>
          <w:spacing w:val="-2"/>
          <w:sz w:val="21"/>
          <w:szCs w:val="21"/>
        </w:rPr>
        <w:t>2</w:t>
      </w:r>
      <w:r>
        <w:rPr>
          <w:rFonts w:ascii="宋体" w:hAnsi="宋体" w:cs="宋体" w:eastAsia="宋体" w:hint="default"/>
          <w:spacing w:val="-2"/>
          <w:sz w:val="21"/>
          <w:szCs w:val="21"/>
        </w:rPr>
        <w:t>号</w:t>
      </w:r>
      <w:r>
        <w:rPr>
          <w:rFonts w:ascii="Arial" w:hAnsi="Arial" w:cs="Arial" w:eastAsia="Arial" w:hint="default"/>
          <w:spacing w:val="-2"/>
          <w:sz w:val="21"/>
          <w:szCs w:val="21"/>
        </w:rPr>
        <w:t>(2014)</w:t>
      </w:r>
      <w:r>
        <w:rPr>
          <w:rFonts w:ascii="宋体" w:hAnsi="宋体" w:cs="宋体" w:eastAsia="宋体" w:hint="default"/>
          <w:spacing w:val="-2"/>
          <w:sz w:val="21"/>
          <w:szCs w:val="21"/>
        </w:rPr>
        <w:t>之后，本集团将这类投资改按金融工具的相关政策</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核算。除上述变更外，准则</w:t>
      </w:r>
      <w:r>
        <w:rPr>
          <w:rFonts w:ascii="Arial" w:hAnsi="Arial" w:cs="Arial" w:eastAsia="Arial" w:hint="default"/>
          <w:sz w:val="21"/>
          <w:szCs w:val="21"/>
        </w:rPr>
        <w:t>2</w:t>
      </w:r>
      <w:r>
        <w:rPr>
          <w:rFonts w:ascii="宋体" w:hAnsi="宋体" w:cs="宋体" w:eastAsia="宋体" w:hint="default"/>
          <w:sz w:val="21"/>
          <w:szCs w:val="21"/>
        </w:rPr>
        <w:t>号</w:t>
      </w:r>
      <w:r>
        <w:rPr>
          <w:rFonts w:ascii="Arial" w:hAnsi="Arial" w:cs="Arial" w:eastAsia="Arial" w:hint="default"/>
          <w:sz w:val="21"/>
          <w:szCs w:val="21"/>
        </w:rPr>
        <w:t>(2014)</w:t>
      </w:r>
      <w:r>
        <w:rPr>
          <w:rFonts w:ascii="宋体" w:hAnsi="宋体" w:cs="宋体" w:eastAsia="宋体" w:hint="default"/>
          <w:sz w:val="21"/>
          <w:szCs w:val="21"/>
        </w:rPr>
        <w:t>还对权益法核算等进行了修订，本集团已根据这些修</w:t>
      </w:r>
      <w:r>
        <w:rPr>
          <w:rFonts w:ascii="宋体" w:hAnsi="宋体" w:cs="宋体" w:eastAsia="宋体" w:hint="default"/>
          <w:w w:val="100"/>
          <w:sz w:val="21"/>
          <w:szCs w:val="21"/>
        </w:rPr>
        <w:t> </w:t>
      </w:r>
      <w:r>
        <w:rPr>
          <w:rFonts w:ascii="宋体" w:hAnsi="宋体" w:cs="宋体" w:eastAsia="宋体" w:hint="default"/>
          <w:spacing w:val="-3"/>
          <w:sz w:val="21"/>
          <w:szCs w:val="21"/>
        </w:rPr>
        <w:t>订内容修改了相关的会计政策。由于采纳此会计准则并没有对本集团之合并财务报表产生重</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大影响，因此会计政策变动并没有追溯采用。</w:t>
      </w:r>
    </w:p>
    <w:p>
      <w:pPr>
        <w:spacing w:line="240" w:lineRule="auto" w:before="13"/>
        <w:rPr>
          <w:rFonts w:ascii="宋体" w:hAnsi="宋体" w:cs="宋体" w:eastAsia="宋体" w:hint="default"/>
          <w:sz w:val="22"/>
          <w:szCs w:val="22"/>
        </w:rPr>
      </w:pPr>
    </w:p>
    <w:p>
      <w:pPr>
        <w:spacing w:line="484" w:lineRule="auto" w:before="0"/>
        <w:ind w:left="565" w:right="3321" w:hanging="428"/>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二</w:t>
      </w:r>
      <w:r>
        <w:rPr>
          <w:rFonts w:ascii="Arial" w:hAnsi="Arial" w:cs="Arial" w:eastAsia="Arial" w:hint="default"/>
          <w:b/>
          <w:bCs/>
          <w:sz w:val="21"/>
          <w:szCs w:val="21"/>
        </w:rPr>
        <w:t>)</w:t>
      </w:r>
      <w:r>
        <w:rPr>
          <w:rFonts w:ascii="Arial" w:hAnsi="Arial" w:cs="Arial" w:eastAsia="Arial" w:hint="default"/>
          <w:b/>
          <w:bCs/>
          <w:spacing w:val="8"/>
          <w:sz w:val="21"/>
          <w:szCs w:val="21"/>
        </w:rPr>
        <w:t> </w:t>
      </w:r>
      <w:r>
        <w:rPr>
          <w:rFonts w:ascii="宋体" w:hAnsi="宋体" w:cs="宋体" w:eastAsia="宋体" w:hint="default"/>
          <w:b/>
          <w:bCs/>
          <w:sz w:val="21"/>
          <w:szCs w:val="21"/>
        </w:rPr>
        <w:t>职工薪酬准则变动的影响</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职工薪酬准则变动影响的说明：</w:t>
      </w:r>
    </w:p>
    <w:p>
      <w:pPr>
        <w:spacing w:line="237" w:lineRule="auto" w:before="27"/>
        <w:ind w:left="565" w:right="167" w:firstLine="0"/>
        <w:jc w:val="both"/>
        <w:rPr>
          <w:rFonts w:ascii="宋体" w:hAnsi="宋体" w:cs="宋体" w:eastAsia="宋体" w:hint="default"/>
          <w:sz w:val="21"/>
          <w:szCs w:val="21"/>
        </w:rPr>
      </w:pPr>
      <w:r>
        <w:rPr>
          <w:rFonts w:ascii="宋体" w:hAnsi="宋体" w:cs="宋体" w:eastAsia="宋体" w:hint="default"/>
          <w:spacing w:val="-3"/>
          <w:sz w:val="21"/>
          <w:szCs w:val="21"/>
        </w:rPr>
        <w:t>本集团所属个别子公司向职工提供其他离退休后补充福利，主要包括补充退休金津贴，医药</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3"/>
          <w:sz w:val="21"/>
          <w:szCs w:val="21"/>
        </w:rPr>
        <w:t>费用报销及补充医疗保险，该等离退休后补充福利被视为设定受益计划。设定受益计划的现</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3"/>
          <w:sz w:val="21"/>
          <w:szCs w:val="21"/>
        </w:rPr>
        <w:t>值以到期日与有关离退休后补充福利预计支付期相近的政府债券的利率，按计未来现金流出</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折现确定。</w:t>
      </w:r>
    </w:p>
    <w:p>
      <w:pPr>
        <w:spacing w:line="240" w:lineRule="auto" w:before="11"/>
        <w:rPr>
          <w:rFonts w:ascii="宋体" w:hAnsi="宋体" w:cs="宋体" w:eastAsia="宋体" w:hint="default"/>
          <w:sz w:val="18"/>
          <w:szCs w:val="18"/>
        </w:rPr>
      </w:pPr>
    </w:p>
    <w:p>
      <w:pPr>
        <w:spacing w:line="232" w:lineRule="auto" w:before="0"/>
        <w:ind w:left="565" w:right="167" w:firstLine="0"/>
        <w:jc w:val="both"/>
        <w:rPr>
          <w:rFonts w:ascii="宋体" w:hAnsi="宋体" w:cs="宋体" w:eastAsia="宋体" w:hint="default"/>
          <w:sz w:val="21"/>
          <w:szCs w:val="21"/>
        </w:rPr>
      </w:pPr>
      <w:r>
        <w:rPr>
          <w:rFonts w:ascii="宋体" w:hAnsi="宋体" w:cs="宋体" w:eastAsia="宋体" w:hint="default"/>
          <w:spacing w:val="-3"/>
          <w:sz w:val="21"/>
          <w:szCs w:val="21"/>
        </w:rPr>
        <w:t>根据财政部发布的财会</w:t>
      </w:r>
      <w:r>
        <w:rPr>
          <w:rFonts w:ascii="Arial" w:hAnsi="Arial" w:cs="Arial" w:eastAsia="Arial" w:hint="default"/>
          <w:spacing w:val="-3"/>
          <w:sz w:val="21"/>
          <w:szCs w:val="21"/>
        </w:rPr>
        <w:t>[2014]8</w:t>
      </w:r>
      <w:r>
        <w:rPr>
          <w:rFonts w:ascii="宋体" w:hAnsi="宋体" w:cs="宋体" w:eastAsia="宋体" w:hint="default"/>
          <w:spacing w:val="-3"/>
          <w:sz w:val="21"/>
          <w:szCs w:val="21"/>
        </w:rPr>
        <w:t>号文对《企业会计准则第</w:t>
      </w:r>
      <w:r>
        <w:rPr>
          <w:rFonts w:ascii="Arial" w:hAnsi="Arial" w:cs="Arial" w:eastAsia="Arial" w:hint="default"/>
          <w:spacing w:val="-3"/>
          <w:sz w:val="21"/>
          <w:szCs w:val="21"/>
        </w:rPr>
        <w:t>9</w:t>
      </w:r>
      <w:r>
        <w:rPr>
          <w:rFonts w:ascii="宋体" w:hAnsi="宋体" w:cs="宋体" w:eastAsia="宋体" w:hint="default"/>
          <w:spacing w:val="-3"/>
          <w:sz w:val="21"/>
          <w:szCs w:val="21"/>
        </w:rPr>
        <w:t>号</w:t>
      </w:r>
      <w:r>
        <w:rPr>
          <w:rFonts w:ascii="Arial" w:hAnsi="Arial" w:cs="Arial" w:eastAsia="Arial" w:hint="default"/>
          <w:spacing w:val="-3"/>
          <w:sz w:val="21"/>
          <w:szCs w:val="21"/>
        </w:rPr>
        <w:t>——</w:t>
      </w:r>
      <w:r>
        <w:rPr>
          <w:rFonts w:ascii="宋体" w:hAnsi="宋体" w:cs="宋体" w:eastAsia="宋体" w:hint="default"/>
          <w:spacing w:val="-3"/>
          <w:sz w:val="21"/>
          <w:szCs w:val="21"/>
        </w:rPr>
        <w:t>职工薪酬》进行的修订，重</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3"/>
          <w:sz w:val="21"/>
          <w:szCs w:val="21"/>
        </w:rPr>
        <w:t>新计量设定受益计划净负债所产生的变动应计入其他综合收益，并且在后续期间不允许转回</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sz w:val="21"/>
          <w:szCs w:val="21"/>
        </w:rPr>
        <w:t>至损益。本集团于</w:t>
      </w:r>
      <w:r>
        <w:rPr>
          <w:rFonts w:ascii="Arial" w:hAnsi="Arial" w:cs="Arial" w:eastAsia="Arial" w:hint="default"/>
          <w:spacing w:val="-2"/>
          <w:sz w:val="21"/>
          <w:szCs w:val="21"/>
        </w:rPr>
        <w:t>2013</w:t>
      </w:r>
      <w:r>
        <w:rPr>
          <w:rFonts w:ascii="宋体" w:hAnsi="宋体" w:cs="宋体" w:eastAsia="宋体" w:hint="default"/>
          <w:spacing w:val="-2"/>
          <w:sz w:val="21"/>
          <w:szCs w:val="21"/>
        </w:rPr>
        <w:t>年</w:t>
      </w:r>
      <w:r>
        <w:rPr>
          <w:rFonts w:ascii="Arial" w:hAnsi="Arial" w:cs="Arial" w:eastAsia="Arial" w:hint="default"/>
          <w:spacing w:val="-2"/>
          <w:sz w:val="21"/>
          <w:szCs w:val="21"/>
        </w:rPr>
        <w:t>12</w:t>
      </w:r>
      <w:r>
        <w:rPr>
          <w:rFonts w:ascii="宋体" w:hAnsi="宋体" w:cs="宋体" w:eastAsia="宋体" w:hint="default"/>
          <w:spacing w:val="-2"/>
          <w:sz w:val="21"/>
          <w:szCs w:val="21"/>
        </w:rPr>
        <w:t>月</w:t>
      </w:r>
      <w:r>
        <w:rPr>
          <w:rFonts w:ascii="Arial" w:hAnsi="Arial" w:cs="Arial" w:eastAsia="Arial" w:hint="default"/>
          <w:spacing w:val="-2"/>
          <w:sz w:val="21"/>
          <w:szCs w:val="21"/>
        </w:rPr>
        <w:t>31</w:t>
      </w:r>
      <w:r>
        <w:rPr>
          <w:rFonts w:ascii="宋体" w:hAnsi="宋体" w:cs="宋体" w:eastAsia="宋体" w:hint="default"/>
          <w:spacing w:val="-2"/>
          <w:sz w:val="21"/>
          <w:szCs w:val="21"/>
        </w:rPr>
        <w:t>日已提前采用该会计政策并进行会计政策变更。由于采纳</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此会计准则并没有对本集团之合并财务报表产生重大影响，因此会计政策变动并没有追溯采</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用。</w:t>
      </w:r>
    </w:p>
    <w:p>
      <w:pPr>
        <w:spacing w:line="240" w:lineRule="auto" w:before="12"/>
        <w:rPr>
          <w:rFonts w:ascii="宋体" w:hAnsi="宋体" w:cs="宋体" w:eastAsia="宋体" w:hint="default"/>
          <w:sz w:val="22"/>
          <w:szCs w:val="22"/>
        </w:rPr>
      </w:pPr>
    </w:p>
    <w:p>
      <w:pPr>
        <w:spacing w:line="475" w:lineRule="auto" w:before="0"/>
        <w:ind w:left="565" w:right="5915" w:hanging="428"/>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三</w:t>
      </w:r>
      <w:r>
        <w:rPr>
          <w:rFonts w:ascii="Arial" w:hAnsi="Arial" w:cs="Arial" w:eastAsia="Arial" w:hint="default"/>
          <w:b/>
          <w:bCs/>
          <w:sz w:val="21"/>
          <w:szCs w:val="21"/>
        </w:rPr>
        <w:t>) </w:t>
      </w:r>
      <w:r>
        <w:rPr>
          <w:rFonts w:ascii="宋体" w:hAnsi="宋体" w:cs="宋体" w:eastAsia="宋体" w:hint="default"/>
          <w:b/>
          <w:bCs/>
          <w:sz w:val="21"/>
          <w:szCs w:val="21"/>
        </w:rPr>
        <w:t>合并范围变动的影响</w:t>
      </w:r>
      <w:r>
        <w:rPr>
          <w:rFonts w:ascii="宋体" w:hAnsi="宋体" w:cs="宋体" w:eastAsia="宋体" w:hint="default"/>
          <w:b/>
          <w:bCs/>
          <w:spacing w:val="-93"/>
          <w:sz w:val="21"/>
          <w:szCs w:val="21"/>
        </w:rPr>
        <w:t> </w:t>
      </w:r>
      <w:r>
        <w:rPr>
          <w:rFonts w:ascii="宋体" w:hAnsi="宋体" w:cs="宋体" w:eastAsia="宋体" w:hint="default"/>
          <w:spacing w:val="-2"/>
          <w:sz w:val="21"/>
          <w:szCs w:val="21"/>
        </w:rPr>
        <w:t>合并范围变动影响的说明：</w:t>
      </w:r>
    </w:p>
    <w:p>
      <w:pPr>
        <w:spacing w:line="272" w:lineRule="exact" w:before="60"/>
        <w:ind w:left="565" w:right="170" w:firstLine="0"/>
        <w:jc w:val="both"/>
        <w:rPr>
          <w:rFonts w:ascii="宋体" w:hAnsi="宋体" w:cs="宋体" w:eastAsia="宋体" w:hint="default"/>
          <w:sz w:val="21"/>
          <w:szCs w:val="21"/>
        </w:rPr>
      </w:pPr>
      <w:r>
        <w:rPr>
          <w:rFonts w:ascii="宋体" w:hAnsi="宋体" w:cs="宋体" w:eastAsia="宋体" w:hint="default"/>
          <w:spacing w:val="-4"/>
          <w:sz w:val="21"/>
          <w:szCs w:val="21"/>
        </w:rPr>
        <w:t>联通红筹公司于</w:t>
      </w:r>
      <w:r>
        <w:rPr>
          <w:rFonts w:ascii="Arial" w:hAnsi="Arial" w:cs="Arial" w:eastAsia="Arial" w:hint="default"/>
          <w:spacing w:val="-4"/>
          <w:sz w:val="21"/>
          <w:szCs w:val="21"/>
        </w:rPr>
        <w:t>2014</w:t>
      </w:r>
      <w:r>
        <w:rPr>
          <w:rFonts w:ascii="宋体" w:hAnsi="宋体" w:cs="宋体" w:eastAsia="宋体" w:hint="default"/>
          <w:spacing w:val="-4"/>
          <w:sz w:val="21"/>
          <w:szCs w:val="21"/>
        </w:rPr>
        <w:t>年</w:t>
      </w:r>
      <w:r>
        <w:rPr>
          <w:rFonts w:ascii="Arial" w:hAnsi="Arial" w:cs="Arial" w:eastAsia="Arial" w:hint="default"/>
          <w:spacing w:val="-4"/>
          <w:sz w:val="21"/>
          <w:szCs w:val="21"/>
        </w:rPr>
        <w:t>5</w:t>
      </w:r>
      <w:r>
        <w:rPr>
          <w:rFonts w:ascii="宋体" w:hAnsi="宋体" w:cs="宋体" w:eastAsia="宋体" w:hint="default"/>
          <w:spacing w:val="-4"/>
          <w:sz w:val="21"/>
          <w:szCs w:val="21"/>
        </w:rPr>
        <w:t>月</w:t>
      </w:r>
      <w:r>
        <w:rPr>
          <w:rFonts w:ascii="Arial" w:hAnsi="Arial" w:cs="Arial" w:eastAsia="Arial" w:hint="default"/>
          <w:spacing w:val="-4"/>
          <w:sz w:val="21"/>
          <w:szCs w:val="21"/>
        </w:rPr>
        <w:t>27</w:t>
      </w:r>
      <w:r>
        <w:rPr>
          <w:rFonts w:ascii="宋体" w:hAnsi="宋体" w:cs="宋体" w:eastAsia="宋体" w:hint="default"/>
          <w:spacing w:val="-4"/>
          <w:sz w:val="21"/>
          <w:szCs w:val="21"/>
        </w:rPr>
        <w:t>日出资设立中国联通（澳大利亚）运营有限公司（</w:t>
      </w:r>
      <w:r>
        <w:rPr>
          <w:rFonts w:ascii="Arial" w:hAnsi="Arial" w:cs="Arial" w:eastAsia="Arial" w:hint="default"/>
          <w:spacing w:val="-4"/>
          <w:sz w:val="21"/>
          <w:szCs w:val="21"/>
        </w:rPr>
        <w:t>“</w:t>
      </w:r>
      <w:r>
        <w:rPr>
          <w:rFonts w:ascii="宋体" w:hAnsi="宋体" w:cs="宋体" w:eastAsia="宋体" w:hint="default"/>
          <w:spacing w:val="-4"/>
          <w:sz w:val="21"/>
          <w:szCs w:val="21"/>
        </w:rPr>
        <w:t>联通澳大利</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亚运营</w:t>
      </w:r>
      <w:r>
        <w:rPr>
          <w:rFonts w:ascii="Arial" w:hAnsi="Arial" w:cs="Arial" w:eastAsia="Arial" w:hint="default"/>
          <w:sz w:val="21"/>
          <w:szCs w:val="21"/>
        </w:rPr>
        <w:t>”</w:t>
      </w:r>
      <w:r>
        <w:rPr>
          <w:rFonts w:ascii="宋体" w:hAnsi="宋体" w:cs="宋体" w:eastAsia="宋体" w:hint="default"/>
          <w:sz w:val="21"/>
          <w:szCs w:val="21"/>
        </w:rPr>
        <w:t>）并持有其</w:t>
      </w:r>
      <w:r>
        <w:rPr>
          <w:rFonts w:ascii="Arial" w:hAnsi="Arial" w:cs="Arial" w:eastAsia="Arial" w:hint="default"/>
          <w:sz w:val="21"/>
          <w:szCs w:val="21"/>
        </w:rPr>
        <w:t>100%</w:t>
      </w:r>
      <w:r>
        <w:rPr>
          <w:rFonts w:ascii="宋体" w:hAnsi="宋体" w:cs="宋体" w:eastAsia="宋体" w:hint="default"/>
          <w:sz w:val="21"/>
          <w:szCs w:val="21"/>
        </w:rPr>
        <w:t>的股权，联通澳大利亚运营本年纳入本集团合并范围。</w:t>
      </w:r>
    </w:p>
    <w:p>
      <w:pPr>
        <w:spacing w:line="240" w:lineRule="auto" w:before="4"/>
        <w:rPr>
          <w:rFonts w:ascii="宋体" w:hAnsi="宋体" w:cs="宋体" w:eastAsia="宋体" w:hint="default"/>
          <w:sz w:val="18"/>
          <w:szCs w:val="18"/>
        </w:rPr>
      </w:pPr>
    </w:p>
    <w:p>
      <w:pPr>
        <w:spacing w:line="274" w:lineRule="exact" w:before="0"/>
        <w:ind w:left="565" w:right="183" w:firstLine="0"/>
        <w:jc w:val="both"/>
        <w:rPr>
          <w:rFonts w:ascii="宋体" w:hAnsi="宋体" w:cs="宋体" w:eastAsia="宋体" w:hint="default"/>
          <w:sz w:val="21"/>
          <w:szCs w:val="21"/>
        </w:rPr>
      </w:pPr>
      <w:r>
        <w:rPr>
          <w:rFonts w:ascii="宋体" w:hAnsi="宋体" w:cs="宋体" w:eastAsia="宋体" w:hint="default"/>
          <w:spacing w:val="-2"/>
          <w:sz w:val="21"/>
          <w:szCs w:val="21"/>
        </w:rPr>
        <w:t>联通运营公司于</w:t>
      </w:r>
      <w:r>
        <w:rPr>
          <w:rFonts w:ascii="Arial" w:hAnsi="Arial" w:cs="Arial" w:eastAsia="Arial" w:hint="default"/>
          <w:spacing w:val="-2"/>
          <w:sz w:val="21"/>
          <w:szCs w:val="21"/>
        </w:rPr>
        <w:t>2014</w:t>
      </w:r>
      <w:r>
        <w:rPr>
          <w:rFonts w:ascii="宋体" w:hAnsi="宋体" w:cs="宋体" w:eastAsia="宋体" w:hint="default"/>
          <w:spacing w:val="-2"/>
          <w:sz w:val="21"/>
          <w:szCs w:val="21"/>
        </w:rPr>
        <w:t>年</w:t>
      </w:r>
      <w:r>
        <w:rPr>
          <w:rFonts w:ascii="Arial" w:hAnsi="Arial" w:cs="Arial" w:eastAsia="Arial" w:hint="default"/>
          <w:spacing w:val="-2"/>
          <w:sz w:val="21"/>
          <w:szCs w:val="21"/>
        </w:rPr>
        <w:t>4</w:t>
      </w:r>
      <w:r>
        <w:rPr>
          <w:rFonts w:ascii="宋体" w:hAnsi="宋体" w:cs="宋体" w:eastAsia="宋体" w:hint="default"/>
          <w:spacing w:val="-2"/>
          <w:sz w:val="21"/>
          <w:szCs w:val="21"/>
        </w:rPr>
        <w:t>月</w:t>
      </w:r>
      <w:r>
        <w:rPr>
          <w:rFonts w:ascii="Arial" w:hAnsi="Arial" w:cs="Arial" w:eastAsia="Arial" w:hint="default"/>
          <w:spacing w:val="-2"/>
          <w:sz w:val="21"/>
          <w:szCs w:val="21"/>
        </w:rPr>
        <w:t>29</w:t>
      </w:r>
      <w:r>
        <w:rPr>
          <w:rFonts w:ascii="宋体" w:hAnsi="宋体" w:cs="宋体" w:eastAsia="宋体" w:hint="default"/>
          <w:spacing w:val="-2"/>
          <w:sz w:val="21"/>
          <w:szCs w:val="21"/>
        </w:rPr>
        <w:t>日出资设立联通创新创业投资有限公司（</w:t>
      </w:r>
      <w:r>
        <w:rPr>
          <w:rFonts w:ascii="Arial" w:hAnsi="Arial" w:cs="Arial" w:eastAsia="Arial" w:hint="default"/>
          <w:spacing w:val="-2"/>
          <w:sz w:val="21"/>
          <w:szCs w:val="21"/>
        </w:rPr>
        <w:t>“</w:t>
      </w:r>
      <w:r>
        <w:rPr>
          <w:rFonts w:ascii="宋体" w:hAnsi="宋体" w:cs="宋体" w:eastAsia="宋体" w:hint="default"/>
          <w:spacing w:val="-2"/>
          <w:sz w:val="21"/>
          <w:szCs w:val="21"/>
        </w:rPr>
        <w:t>联通创投</w:t>
      </w:r>
      <w:r>
        <w:rPr>
          <w:rFonts w:ascii="Arial" w:hAnsi="Arial" w:cs="Arial" w:eastAsia="Arial" w:hint="default"/>
          <w:spacing w:val="-2"/>
          <w:sz w:val="21"/>
          <w:szCs w:val="21"/>
        </w:rPr>
        <w:t>”</w:t>
      </w:r>
      <w:r>
        <w:rPr>
          <w:rFonts w:ascii="宋体" w:hAnsi="宋体" w:cs="宋体" w:eastAsia="宋体" w:hint="default"/>
          <w:spacing w:val="-2"/>
          <w:sz w:val="21"/>
          <w:szCs w:val="21"/>
        </w:rPr>
        <w:t>）并持有</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其</w:t>
      </w:r>
      <w:r>
        <w:rPr>
          <w:rFonts w:ascii="Arial" w:hAnsi="Arial" w:cs="Arial" w:eastAsia="Arial" w:hint="default"/>
          <w:sz w:val="21"/>
          <w:szCs w:val="21"/>
        </w:rPr>
        <w:t>100%</w:t>
      </w:r>
      <w:r>
        <w:rPr>
          <w:rFonts w:ascii="宋体" w:hAnsi="宋体" w:cs="宋体" w:eastAsia="宋体" w:hint="default"/>
          <w:sz w:val="21"/>
          <w:szCs w:val="21"/>
        </w:rPr>
        <w:t>的股权，联通创投本年纳入本集团合并范围。</w:t>
      </w:r>
    </w:p>
    <w:p>
      <w:pPr>
        <w:spacing w:line="240" w:lineRule="auto" w:before="6"/>
        <w:rPr>
          <w:rFonts w:ascii="宋体" w:hAnsi="宋体" w:cs="宋体" w:eastAsia="宋体" w:hint="default"/>
          <w:sz w:val="18"/>
          <w:szCs w:val="18"/>
        </w:rPr>
      </w:pPr>
    </w:p>
    <w:p>
      <w:pPr>
        <w:spacing w:line="272" w:lineRule="exact" w:before="0"/>
        <w:ind w:left="565" w:right="115" w:firstLine="0"/>
        <w:jc w:val="both"/>
        <w:rPr>
          <w:rFonts w:ascii="宋体" w:hAnsi="宋体" w:cs="宋体" w:eastAsia="宋体" w:hint="default"/>
          <w:sz w:val="21"/>
          <w:szCs w:val="21"/>
        </w:rPr>
      </w:pPr>
      <w:r>
        <w:rPr>
          <w:rFonts w:ascii="宋体" w:hAnsi="宋体" w:cs="宋体" w:eastAsia="宋体" w:hint="default"/>
          <w:sz w:val="21"/>
          <w:szCs w:val="21"/>
        </w:rPr>
        <w:t>联通运营公司于</w:t>
      </w:r>
      <w:r>
        <w:rPr>
          <w:rFonts w:ascii="Arial" w:hAnsi="Arial" w:cs="Arial" w:eastAsia="Arial" w:hint="default"/>
          <w:sz w:val="21"/>
          <w:szCs w:val="21"/>
        </w:rPr>
        <w:t>2014</w:t>
      </w:r>
      <w:r>
        <w:rPr>
          <w:rFonts w:ascii="宋体" w:hAnsi="宋体" w:cs="宋体" w:eastAsia="宋体" w:hint="default"/>
          <w:sz w:val="21"/>
          <w:szCs w:val="21"/>
        </w:rPr>
        <w:t>年</w:t>
      </w:r>
      <w:r>
        <w:rPr>
          <w:rFonts w:ascii="Arial" w:hAnsi="Arial" w:cs="Arial" w:eastAsia="Arial" w:hint="default"/>
          <w:sz w:val="21"/>
          <w:szCs w:val="21"/>
        </w:rPr>
        <w:t>10</w:t>
      </w:r>
      <w:r>
        <w:rPr>
          <w:rFonts w:ascii="宋体" w:hAnsi="宋体" w:cs="宋体" w:eastAsia="宋体" w:hint="default"/>
          <w:sz w:val="21"/>
          <w:szCs w:val="21"/>
        </w:rPr>
        <w:t>月</w:t>
      </w:r>
      <w:r>
        <w:rPr>
          <w:rFonts w:ascii="Arial" w:hAnsi="Arial" w:cs="Arial" w:eastAsia="Arial" w:hint="default"/>
          <w:sz w:val="21"/>
          <w:szCs w:val="21"/>
        </w:rPr>
        <w:t>24</w:t>
      </w:r>
      <w:r>
        <w:rPr>
          <w:rFonts w:ascii="宋体" w:hAnsi="宋体" w:cs="宋体" w:eastAsia="宋体" w:hint="default"/>
          <w:sz w:val="21"/>
          <w:szCs w:val="21"/>
        </w:rPr>
        <w:t>日出资设立小沃科技有限公司（</w:t>
      </w:r>
      <w:r>
        <w:rPr>
          <w:rFonts w:ascii="Arial" w:hAnsi="Arial" w:cs="Arial" w:eastAsia="Arial" w:hint="default"/>
          <w:sz w:val="21"/>
          <w:szCs w:val="21"/>
        </w:rPr>
        <w:t>“</w:t>
      </w:r>
      <w:r>
        <w:rPr>
          <w:rFonts w:ascii="宋体" w:hAnsi="宋体" w:cs="宋体" w:eastAsia="宋体" w:hint="default"/>
          <w:sz w:val="21"/>
          <w:szCs w:val="21"/>
        </w:rPr>
        <w:t>小沃科技</w:t>
      </w:r>
      <w:r>
        <w:rPr>
          <w:rFonts w:ascii="Arial" w:hAnsi="Arial" w:cs="Arial" w:eastAsia="Arial" w:hint="default"/>
          <w:sz w:val="21"/>
          <w:szCs w:val="21"/>
        </w:rPr>
        <w:t>”</w:t>
      </w:r>
      <w:r>
        <w:rPr>
          <w:rFonts w:ascii="宋体" w:hAnsi="宋体" w:cs="宋体" w:eastAsia="宋体" w:hint="default"/>
          <w:sz w:val="21"/>
          <w:szCs w:val="21"/>
        </w:rPr>
        <w:t>）并持有其</w:t>
      </w:r>
      <w:r>
        <w:rPr>
          <w:rFonts w:ascii="Arial" w:hAnsi="Arial" w:cs="Arial" w:eastAsia="Arial" w:hint="default"/>
          <w:sz w:val="21"/>
          <w:szCs w:val="21"/>
        </w:rPr>
        <w:t>100%</w:t>
      </w:r>
      <w:r>
        <w:rPr>
          <w:rFonts w:ascii="Arial" w:hAnsi="Arial" w:cs="Arial" w:eastAsia="Arial" w:hint="default"/>
          <w:w w:val="100"/>
          <w:sz w:val="21"/>
          <w:szCs w:val="21"/>
        </w:rPr>
        <w:t> </w:t>
      </w:r>
      <w:r>
        <w:rPr>
          <w:rFonts w:ascii="宋体" w:hAnsi="宋体" w:cs="宋体" w:eastAsia="宋体" w:hint="default"/>
          <w:sz w:val="21"/>
          <w:szCs w:val="21"/>
        </w:rPr>
        <w:t>的股权，小沃科技本年纳入本集团合并范围。</w:t>
      </w:r>
    </w:p>
    <w:p>
      <w:pPr>
        <w:spacing w:line="240" w:lineRule="auto" w:before="7"/>
        <w:rPr>
          <w:rFonts w:ascii="宋体" w:hAnsi="宋体" w:cs="宋体" w:eastAsia="宋体" w:hint="default"/>
          <w:sz w:val="16"/>
          <w:szCs w:val="16"/>
        </w:rPr>
      </w:pPr>
    </w:p>
    <w:p>
      <w:pPr>
        <w:spacing w:before="0"/>
        <w:ind w:left="565" w:right="0" w:firstLine="0"/>
        <w:jc w:val="both"/>
        <w:rPr>
          <w:rFonts w:ascii="宋体" w:hAnsi="宋体" w:cs="宋体" w:eastAsia="宋体" w:hint="default"/>
          <w:sz w:val="21"/>
          <w:szCs w:val="21"/>
        </w:rPr>
      </w:pPr>
      <w:r>
        <w:rPr>
          <w:rFonts w:ascii="宋体" w:hAnsi="宋体" w:cs="宋体" w:eastAsia="宋体" w:hint="default"/>
          <w:sz w:val="21"/>
          <w:szCs w:val="21"/>
        </w:rPr>
        <w:t>本年本集团不存在因准则变化新纳入合并范围或因准则变化不再纳入合并范围的项目主体。</w:t>
      </w:r>
    </w:p>
    <w:p>
      <w:pPr>
        <w:spacing w:after="0"/>
        <w:jc w:val="both"/>
        <w:rPr>
          <w:rFonts w:ascii="宋体" w:hAnsi="宋体" w:cs="宋体" w:eastAsia="宋体" w:hint="default"/>
          <w:sz w:val="21"/>
          <w:szCs w:val="21"/>
        </w:rPr>
        <w:sectPr>
          <w:pgSz w:w="11910" w:h="16840"/>
          <w:pgMar w:header="880" w:footer="1194" w:top="1120" w:bottom="1380" w:left="1660" w:right="1160"/>
        </w:sectPr>
      </w:pPr>
    </w:p>
    <w:p>
      <w:pPr>
        <w:spacing w:line="240" w:lineRule="auto" w:before="11"/>
        <w:rPr>
          <w:rFonts w:ascii="宋体" w:hAnsi="宋体" w:cs="宋体" w:eastAsia="宋体" w:hint="default"/>
          <w:sz w:val="29"/>
          <w:szCs w:val="29"/>
        </w:rPr>
      </w:pPr>
    </w:p>
    <w:p>
      <w:pPr>
        <w:spacing w:before="36"/>
        <w:ind w:left="138" w:right="204" w:firstLine="0"/>
        <w:jc w:val="left"/>
        <w:rPr>
          <w:rFonts w:ascii="宋体" w:hAnsi="宋体" w:cs="宋体" w:eastAsia="宋体" w:hint="default"/>
          <w:sz w:val="21"/>
          <w:szCs w:val="21"/>
        </w:rPr>
      </w:pPr>
      <w:r>
        <w:rPr>
          <w:rFonts w:ascii="宋体" w:hAnsi="宋体" w:cs="宋体" w:eastAsia="宋体" w:hint="default"/>
          <w:b/>
          <w:bCs/>
          <w:sz w:val="21"/>
          <w:szCs w:val="21"/>
        </w:rPr>
        <w:t>十一、执行新会计准则对合并财务报表的影响（续）</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p>
      <w:pPr>
        <w:spacing w:line="475" w:lineRule="auto" w:before="0"/>
        <w:ind w:left="565" w:right="3361" w:hanging="428"/>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四</w:t>
      </w:r>
      <w:r>
        <w:rPr>
          <w:rFonts w:ascii="Arial" w:hAnsi="Arial" w:cs="Arial" w:eastAsia="Arial" w:hint="default"/>
          <w:b/>
          <w:bCs/>
          <w:sz w:val="21"/>
          <w:szCs w:val="21"/>
        </w:rPr>
        <w:t>)</w:t>
      </w:r>
      <w:r>
        <w:rPr>
          <w:rFonts w:ascii="Arial" w:hAnsi="Arial" w:cs="Arial" w:eastAsia="Arial" w:hint="default"/>
          <w:b/>
          <w:bCs/>
          <w:spacing w:val="8"/>
          <w:sz w:val="21"/>
          <w:szCs w:val="21"/>
        </w:rPr>
        <w:t> </w:t>
      </w:r>
      <w:r>
        <w:rPr>
          <w:rFonts w:ascii="宋体" w:hAnsi="宋体" w:cs="宋体" w:eastAsia="宋体" w:hint="default"/>
          <w:b/>
          <w:bCs/>
          <w:sz w:val="21"/>
          <w:szCs w:val="21"/>
        </w:rPr>
        <w:t>合营安排分类变动的影响</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合营安排分类变动影响的说明：</w:t>
      </w:r>
    </w:p>
    <w:p>
      <w:pPr>
        <w:spacing w:line="272" w:lineRule="exact" w:before="60"/>
        <w:ind w:left="565" w:right="204" w:firstLine="0"/>
        <w:jc w:val="left"/>
        <w:rPr>
          <w:rFonts w:ascii="宋体" w:hAnsi="宋体" w:cs="宋体" w:eastAsia="宋体" w:hint="default"/>
          <w:sz w:val="21"/>
          <w:szCs w:val="21"/>
        </w:rPr>
      </w:pPr>
      <w:r>
        <w:rPr>
          <w:rFonts w:ascii="宋体" w:hAnsi="宋体" w:cs="宋体" w:eastAsia="宋体" w:hint="default"/>
          <w:spacing w:val="-4"/>
          <w:sz w:val="21"/>
          <w:szCs w:val="21"/>
        </w:rPr>
        <w:t>准则</w:t>
      </w:r>
      <w:r>
        <w:rPr>
          <w:rFonts w:ascii="Arial" w:hAnsi="Arial" w:cs="Arial" w:eastAsia="Arial" w:hint="default"/>
          <w:spacing w:val="-4"/>
          <w:sz w:val="21"/>
          <w:szCs w:val="21"/>
        </w:rPr>
        <w:t>40</w:t>
      </w:r>
      <w:r>
        <w:rPr>
          <w:rFonts w:ascii="宋体" w:hAnsi="宋体" w:cs="宋体" w:eastAsia="宋体" w:hint="default"/>
          <w:spacing w:val="-4"/>
          <w:sz w:val="21"/>
          <w:szCs w:val="21"/>
        </w:rPr>
        <w:t>号根据合营安排的结构、法律形式以及合同条款等因素，将合营安排分为共同经营和</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合营企业。本集团已于</w:t>
      </w:r>
      <w:r>
        <w:rPr>
          <w:rFonts w:ascii="Arial" w:hAnsi="Arial" w:cs="Arial" w:eastAsia="Arial" w:hint="default"/>
          <w:sz w:val="21"/>
          <w:szCs w:val="21"/>
        </w:rPr>
        <w:t>2013</w:t>
      </w:r>
      <w:r>
        <w:rPr>
          <w:rFonts w:ascii="宋体" w:hAnsi="宋体" w:cs="宋体" w:eastAsia="宋体" w:hint="default"/>
          <w:sz w:val="21"/>
          <w:szCs w:val="21"/>
        </w:rPr>
        <w:t>年</w:t>
      </w:r>
      <w:r>
        <w:rPr>
          <w:rFonts w:ascii="Arial" w:hAnsi="Arial" w:cs="Arial" w:eastAsia="Arial" w:hint="default"/>
          <w:sz w:val="21"/>
          <w:szCs w:val="21"/>
        </w:rPr>
        <w:t>1</w:t>
      </w:r>
      <w:r>
        <w:rPr>
          <w:rFonts w:ascii="宋体" w:hAnsi="宋体" w:cs="宋体" w:eastAsia="宋体" w:hint="default"/>
          <w:sz w:val="21"/>
          <w:szCs w:val="21"/>
        </w:rPr>
        <w:t>月</w:t>
      </w:r>
      <w:r>
        <w:rPr>
          <w:rFonts w:ascii="Arial" w:hAnsi="Arial" w:cs="Arial" w:eastAsia="Arial" w:hint="default"/>
          <w:sz w:val="21"/>
          <w:szCs w:val="21"/>
        </w:rPr>
        <w:t>1</w:t>
      </w:r>
      <w:r>
        <w:rPr>
          <w:rFonts w:ascii="宋体" w:hAnsi="宋体" w:cs="宋体" w:eastAsia="宋体" w:hint="default"/>
          <w:sz w:val="21"/>
          <w:szCs w:val="21"/>
        </w:rPr>
        <w:t>日起提前执行该准则，并修改了相关披露。</w:t>
      </w:r>
    </w:p>
    <w:p>
      <w:pPr>
        <w:spacing w:line="240" w:lineRule="auto" w:before="5"/>
        <w:rPr>
          <w:rFonts w:ascii="宋体" w:hAnsi="宋体" w:cs="宋体" w:eastAsia="宋体" w:hint="default"/>
          <w:sz w:val="16"/>
          <w:szCs w:val="16"/>
        </w:rPr>
      </w:pPr>
    </w:p>
    <w:p>
      <w:pPr>
        <w:spacing w:before="0"/>
        <w:ind w:left="565" w:right="204" w:firstLine="0"/>
        <w:jc w:val="left"/>
        <w:rPr>
          <w:rFonts w:ascii="宋体" w:hAnsi="宋体" w:cs="宋体" w:eastAsia="宋体" w:hint="default"/>
          <w:sz w:val="21"/>
          <w:szCs w:val="21"/>
        </w:rPr>
      </w:pPr>
      <w:r>
        <w:rPr>
          <w:rFonts w:ascii="宋体" w:hAnsi="宋体" w:cs="宋体" w:eastAsia="宋体" w:hint="default"/>
          <w:spacing w:val="-3"/>
          <w:sz w:val="21"/>
          <w:szCs w:val="21"/>
        </w:rPr>
        <w:t>因此采纳此会计准则并没有对本集团之合并财务报表产生重大影响，会计政策变动并没有追</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溯采用。</w:t>
      </w:r>
    </w:p>
    <w:p>
      <w:pPr>
        <w:spacing w:line="240" w:lineRule="auto" w:before="3"/>
        <w:rPr>
          <w:rFonts w:ascii="宋体" w:hAnsi="宋体" w:cs="宋体" w:eastAsia="宋体" w:hint="default"/>
          <w:sz w:val="25"/>
          <w:szCs w:val="25"/>
        </w:rPr>
      </w:pPr>
    </w:p>
    <w:p>
      <w:pPr>
        <w:spacing w:line="501" w:lineRule="auto" w:before="0"/>
        <w:ind w:left="558" w:right="204" w:hanging="42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五</w:t>
      </w:r>
      <w:r>
        <w:rPr>
          <w:rFonts w:ascii="Arial" w:hAnsi="Arial" w:cs="Arial" w:eastAsia="Arial" w:hint="default"/>
          <w:b/>
          <w:bCs/>
          <w:sz w:val="21"/>
          <w:szCs w:val="21"/>
        </w:rPr>
        <w:t>)</w:t>
      </w:r>
      <w:r>
        <w:rPr>
          <w:rFonts w:ascii="Arial" w:hAnsi="Arial" w:cs="Arial" w:eastAsia="Arial" w:hint="default"/>
          <w:b/>
          <w:bCs/>
          <w:spacing w:val="8"/>
          <w:sz w:val="21"/>
          <w:szCs w:val="21"/>
        </w:rPr>
        <w:t> </w:t>
      </w:r>
      <w:r>
        <w:rPr>
          <w:rFonts w:ascii="宋体" w:hAnsi="宋体" w:cs="宋体" w:eastAsia="宋体" w:hint="default"/>
          <w:b/>
          <w:bCs/>
          <w:sz w:val="21"/>
          <w:szCs w:val="21"/>
        </w:rPr>
        <w:t>在其他主体中权益的披露对于合并财务报告影响</w:t>
      </w:r>
      <w:r>
        <w:rPr>
          <w:rFonts w:ascii="宋体" w:hAnsi="宋体" w:cs="宋体" w:eastAsia="宋体" w:hint="default"/>
          <w:b/>
          <w:bCs/>
          <w:w w:val="100"/>
          <w:sz w:val="21"/>
          <w:szCs w:val="21"/>
        </w:rPr>
        <w:t> </w:t>
      </w:r>
      <w:r>
        <w:rPr>
          <w:rFonts w:ascii="宋体" w:hAnsi="宋体" w:cs="宋体" w:eastAsia="宋体" w:hint="default"/>
          <w:spacing w:val="-2"/>
          <w:sz w:val="21"/>
          <w:szCs w:val="21"/>
        </w:rPr>
        <w:t>在其他主体中权益的披露对于合并财务报告影响的说明：</w:t>
      </w:r>
    </w:p>
    <w:p>
      <w:pPr>
        <w:spacing w:line="272" w:lineRule="exact" w:before="68"/>
        <w:ind w:left="558" w:right="100" w:firstLine="0"/>
        <w:jc w:val="left"/>
        <w:rPr>
          <w:rFonts w:ascii="宋体" w:hAnsi="宋体" w:cs="宋体" w:eastAsia="宋体" w:hint="default"/>
          <w:sz w:val="21"/>
          <w:szCs w:val="21"/>
        </w:rPr>
      </w:pPr>
      <w:r>
        <w:rPr>
          <w:rFonts w:ascii="宋体" w:hAnsi="宋体" w:cs="宋体" w:eastAsia="宋体" w:hint="default"/>
          <w:sz w:val="21"/>
          <w:szCs w:val="21"/>
        </w:rPr>
        <w:t>准则</w:t>
      </w:r>
      <w:r>
        <w:rPr>
          <w:rFonts w:ascii="宋体" w:hAnsi="宋体" w:cs="宋体" w:eastAsia="宋体" w:hint="default"/>
          <w:spacing w:val="-55"/>
          <w:sz w:val="21"/>
          <w:szCs w:val="21"/>
        </w:rPr>
        <w:t> </w:t>
      </w:r>
      <w:r>
        <w:rPr>
          <w:rFonts w:ascii="Arial" w:hAnsi="Arial" w:cs="Arial" w:eastAsia="Arial" w:hint="default"/>
          <w:sz w:val="21"/>
          <w:szCs w:val="21"/>
        </w:rPr>
        <w:t>41</w:t>
      </w:r>
      <w:r>
        <w:rPr>
          <w:rFonts w:ascii="Arial" w:hAnsi="Arial" w:cs="Arial" w:eastAsia="Arial" w:hint="default"/>
          <w:spacing w:val="-8"/>
          <w:sz w:val="21"/>
          <w:szCs w:val="21"/>
        </w:rPr>
        <w:t> </w:t>
      </w:r>
      <w:r>
        <w:rPr>
          <w:rFonts w:ascii="宋体" w:hAnsi="宋体" w:cs="宋体" w:eastAsia="宋体" w:hint="default"/>
          <w:sz w:val="21"/>
          <w:szCs w:val="21"/>
        </w:rPr>
        <w:t>号规范并修改了企业对子公司、合营安排、联营企业以及未纳入合并范围的结构化</w:t>
      </w:r>
      <w:r>
        <w:rPr>
          <w:rFonts w:ascii="宋体" w:hAnsi="宋体" w:cs="宋体" w:eastAsia="宋体" w:hint="default"/>
          <w:w w:val="100"/>
          <w:sz w:val="21"/>
          <w:szCs w:val="21"/>
        </w:rPr>
        <w:t> </w:t>
      </w:r>
      <w:r>
        <w:rPr>
          <w:rFonts w:ascii="宋体" w:hAnsi="宋体" w:cs="宋体" w:eastAsia="宋体" w:hint="default"/>
          <w:spacing w:val="-6"/>
          <w:sz w:val="21"/>
          <w:szCs w:val="21"/>
        </w:rPr>
        <w:t>主体中所享有的权益的相关披露要求。本集团已根据该准则修改了相关披露，详见相关附注。</w:t>
      </w:r>
    </w:p>
    <w:p>
      <w:pPr>
        <w:spacing w:line="240" w:lineRule="auto" w:before="4"/>
        <w:rPr>
          <w:rFonts w:ascii="宋体" w:hAnsi="宋体" w:cs="宋体" w:eastAsia="宋体" w:hint="default"/>
          <w:sz w:val="23"/>
          <w:szCs w:val="23"/>
        </w:rPr>
      </w:pPr>
    </w:p>
    <w:p>
      <w:pPr>
        <w:spacing w:before="0"/>
        <w:ind w:left="138" w:right="204"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六</w:t>
      </w:r>
      <w:r>
        <w:rPr>
          <w:rFonts w:ascii="Arial" w:hAnsi="Arial" w:cs="Arial" w:eastAsia="Arial" w:hint="default"/>
          <w:b/>
          <w:bCs/>
          <w:sz w:val="21"/>
          <w:szCs w:val="21"/>
        </w:rPr>
        <w:t>)</w:t>
      </w:r>
      <w:r>
        <w:rPr>
          <w:rFonts w:ascii="Arial" w:hAnsi="Arial" w:cs="Arial" w:eastAsia="Arial" w:hint="default"/>
          <w:b/>
          <w:bCs/>
          <w:spacing w:val="5"/>
          <w:sz w:val="21"/>
          <w:szCs w:val="21"/>
        </w:rPr>
        <w:t> </w:t>
      </w:r>
      <w:r>
        <w:rPr>
          <w:rFonts w:ascii="宋体" w:hAnsi="宋体" w:cs="宋体" w:eastAsia="宋体" w:hint="default"/>
          <w:b/>
          <w:bCs/>
          <w:sz w:val="21"/>
          <w:szCs w:val="21"/>
        </w:rPr>
        <w:t>金融负债与权益工具的区分以及金融工具的列报和披露对于合并财务报告影响</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p>
      <w:pPr>
        <w:spacing w:before="0"/>
        <w:ind w:left="558" w:right="204" w:firstLine="0"/>
        <w:jc w:val="left"/>
        <w:rPr>
          <w:rFonts w:ascii="宋体" w:hAnsi="宋体" w:cs="宋体" w:eastAsia="宋体" w:hint="default"/>
          <w:sz w:val="21"/>
          <w:szCs w:val="21"/>
        </w:rPr>
      </w:pPr>
      <w:r>
        <w:rPr>
          <w:rFonts w:ascii="宋体" w:hAnsi="宋体" w:cs="宋体" w:eastAsia="宋体" w:hint="default"/>
          <w:sz w:val="21"/>
          <w:szCs w:val="21"/>
        </w:rPr>
        <w:t>金融负债与权益工具的区分以及金融工具的列报和披露对于合并财务报告影响的说明：</w:t>
      </w:r>
    </w:p>
    <w:p>
      <w:pPr>
        <w:spacing w:line="240" w:lineRule="auto" w:before="10"/>
        <w:rPr>
          <w:rFonts w:ascii="宋体" w:hAnsi="宋体" w:cs="宋体" w:eastAsia="宋体" w:hint="default"/>
          <w:sz w:val="22"/>
          <w:szCs w:val="22"/>
        </w:rPr>
      </w:pPr>
    </w:p>
    <w:p>
      <w:pPr>
        <w:spacing w:line="272" w:lineRule="exact" w:before="0"/>
        <w:ind w:left="558" w:right="204" w:firstLine="0"/>
        <w:jc w:val="left"/>
        <w:rPr>
          <w:rFonts w:ascii="宋体" w:hAnsi="宋体" w:cs="宋体" w:eastAsia="宋体" w:hint="default"/>
          <w:sz w:val="21"/>
          <w:szCs w:val="21"/>
        </w:rPr>
      </w:pPr>
      <w:r>
        <w:rPr>
          <w:rFonts w:ascii="宋体" w:hAnsi="宋体" w:cs="宋体" w:eastAsia="宋体" w:hint="default"/>
          <w:spacing w:val="-1"/>
          <w:sz w:val="21"/>
          <w:szCs w:val="21"/>
        </w:rPr>
        <w:t>财会</w:t>
      </w:r>
      <w:r>
        <w:rPr>
          <w:rFonts w:ascii="宋体" w:hAnsi="宋体" w:cs="宋体" w:eastAsia="宋体" w:hint="default"/>
          <w:spacing w:val="-1"/>
          <w:sz w:val="21"/>
          <w:szCs w:val="21"/>
        </w:rPr>
        <w:t>[2014]13</w:t>
      </w:r>
      <w:r>
        <w:rPr>
          <w:rFonts w:ascii="宋体" w:hAnsi="宋体" w:cs="宋体" w:eastAsia="宋体" w:hint="default"/>
          <w:sz w:val="21"/>
          <w:szCs w:val="21"/>
        </w:rPr>
        <w:t> </w:t>
      </w:r>
      <w:r>
        <w:rPr>
          <w:rFonts w:ascii="宋体" w:hAnsi="宋体" w:cs="宋体" w:eastAsia="宋体" w:hint="default"/>
          <w:spacing w:val="-2"/>
          <w:sz w:val="21"/>
          <w:szCs w:val="21"/>
        </w:rPr>
        <w:t>号文明确了发行方对于所发行的金融工具分类为金融负债或权益工具的具体</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指引。</w:t>
      </w:r>
    </w:p>
    <w:p>
      <w:pPr>
        <w:spacing w:line="240" w:lineRule="auto" w:before="10"/>
        <w:rPr>
          <w:rFonts w:ascii="宋体" w:hAnsi="宋体" w:cs="宋体" w:eastAsia="宋体" w:hint="default"/>
          <w:sz w:val="18"/>
          <w:szCs w:val="18"/>
        </w:rPr>
      </w:pPr>
    </w:p>
    <w:p>
      <w:pPr>
        <w:spacing w:before="0"/>
        <w:ind w:left="558" w:right="260" w:firstLine="0"/>
        <w:jc w:val="left"/>
        <w:rPr>
          <w:rFonts w:ascii="宋体" w:hAnsi="宋体" w:cs="宋体" w:eastAsia="宋体" w:hint="default"/>
          <w:sz w:val="21"/>
          <w:szCs w:val="21"/>
        </w:rPr>
      </w:pPr>
      <w:r>
        <w:rPr>
          <w:rFonts w:ascii="宋体" w:hAnsi="宋体" w:cs="宋体" w:eastAsia="宋体" w:hint="default"/>
          <w:sz w:val="21"/>
          <w:szCs w:val="21"/>
        </w:rPr>
        <w:t>准则</w:t>
      </w:r>
      <w:r>
        <w:rPr>
          <w:rFonts w:ascii="宋体" w:hAnsi="宋体" w:cs="宋体" w:eastAsia="宋体" w:hint="default"/>
          <w:spacing w:val="-56"/>
          <w:sz w:val="21"/>
          <w:szCs w:val="21"/>
        </w:rPr>
        <w:t> </w:t>
      </w:r>
      <w:r>
        <w:rPr>
          <w:rFonts w:ascii="宋体" w:hAnsi="宋体" w:cs="宋体" w:eastAsia="宋体" w:hint="default"/>
          <w:sz w:val="21"/>
          <w:szCs w:val="21"/>
        </w:rPr>
        <w:t>37</w:t>
      </w:r>
      <w:r>
        <w:rPr>
          <w:rFonts w:ascii="宋体" w:hAnsi="宋体" w:cs="宋体" w:eastAsia="宋体" w:hint="default"/>
          <w:spacing w:val="-56"/>
          <w:sz w:val="21"/>
          <w:szCs w:val="21"/>
        </w:rPr>
        <w:t> </w:t>
      </w:r>
      <w:r>
        <w:rPr>
          <w:rFonts w:ascii="宋体" w:hAnsi="宋体" w:cs="宋体" w:eastAsia="宋体" w:hint="default"/>
          <w:sz w:val="21"/>
          <w:szCs w:val="21"/>
        </w:rPr>
        <w:t>号</w:t>
      </w:r>
      <w:r>
        <w:rPr>
          <w:rFonts w:ascii="宋体" w:hAnsi="宋体" w:cs="宋体" w:eastAsia="宋体" w:hint="default"/>
          <w:sz w:val="21"/>
          <w:szCs w:val="21"/>
        </w:rPr>
        <w:t>(2014)</w:t>
      </w:r>
      <w:r>
        <w:rPr>
          <w:rFonts w:ascii="宋体" w:hAnsi="宋体" w:cs="宋体" w:eastAsia="宋体" w:hint="default"/>
          <w:sz w:val="21"/>
          <w:szCs w:val="21"/>
        </w:rPr>
        <w:t>对金融资产和金融负债的抵销规定，增加了进一步指引，并修订了金融工</w:t>
      </w:r>
      <w:r>
        <w:rPr>
          <w:rFonts w:ascii="宋体" w:hAnsi="宋体" w:cs="宋体" w:eastAsia="宋体" w:hint="default"/>
          <w:w w:val="100"/>
          <w:sz w:val="21"/>
          <w:szCs w:val="21"/>
        </w:rPr>
        <w:t> </w:t>
      </w:r>
      <w:r>
        <w:rPr>
          <w:rFonts w:ascii="宋体" w:hAnsi="宋体" w:cs="宋体" w:eastAsia="宋体" w:hint="default"/>
          <w:sz w:val="21"/>
          <w:szCs w:val="21"/>
        </w:rPr>
        <w:t>具的披露要求。此外，本集团已根据该准则修改了相关披露要求，详见相关附注。</w:t>
      </w:r>
    </w:p>
    <w:p>
      <w:pPr>
        <w:spacing w:line="280" w:lineRule="auto" w:before="51"/>
        <w:ind w:left="138" w:right="6438" w:firstLine="0"/>
        <w:jc w:val="left"/>
        <w:rPr>
          <w:rFonts w:ascii="宋体" w:hAnsi="宋体" w:cs="宋体" w:eastAsia="宋体" w:hint="default"/>
          <w:sz w:val="21"/>
          <w:szCs w:val="21"/>
        </w:rPr>
      </w:pPr>
      <w:r>
        <w:rPr>
          <w:rFonts w:ascii="宋体" w:hAnsi="宋体" w:cs="宋体" w:eastAsia="宋体" w:hint="default"/>
          <w:b/>
          <w:bCs/>
          <w:sz w:val="21"/>
          <w:szCs w:val="21"/>
        </w:rPr>
        <w:t>十二、</w:t>
      </w:r>
      <w:r>
        <w:rPr>
          <w:rFonts w:ascii="宋体" w:hAnsi="宋体" w:cs="宋体" w:eastAsia="宋体" w:hint="default"/>
          <w:b/>
          <w:bCs/>
          <w:w w:val="100"/>
          <w:sz w:val="21"/>
          <w:szCs w:val="21"/>
        </w:rPr>
        <w:t> </w:t>
      </w:r>
      <w:r>
        <w:rPr>
          <w:rFonts w:ascii="宋体" w:hAnsi="宋体" w:cs="宋体" w:eastAsia="宋体" w:hint="default"/>
          <w:b/>
          <w:bCs/>
          <w:sz w:val="21"/>
          <w:szCs w:val="21"/>
        </w:rPr>
        <w:t>十二、其他重大事项的说明</w:t>
      </w:r>
      <w:r>
        <w:rPr>
          <w:rFonts w:ascii="宋体" w:hAnsi="宋体" w:cs="宋体" w:eastAsia="宋体" w:hint="default"/>
          <w:sz w:val="21"/>
          <w:szCs w:val="21"/>
        </w:rPr>
      </w:r>
    </w:p>
    <w:p>
      <w:pPr>
        <w:spacing w:before="23"/>
        <w:ind w:left="138" w:right="204" w:firstLine="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880" w:footer="1194" w:top="1120" w:bottom="1380" w:left="1660" w:right="1120"/>
        </w:sectPr>
      </w:pPr>
    </w:p>
    <w:p>
      <w:pPr>
        <w:spacing w:line="240" w:lineRule="auto" w:before="0"/>
        <w:rPr>
          <w:rFonts w:ascii="宋体" w:hAnsi="宋体" w:cs="宋体" w:eastAsia="宋体" w:hint="default"/>
          <w:sz w:val="20"/>
          <w:szCs w:val="20"/>
        </w:rPr>
      </w:pPr>
    </w:p>
    <w:p>
      <w:pPr>
        <w:pStyle w:val="Heading1"/>
        <w:tabs>
          <w:tab w:pos="3890" w:val="left" w:leader="none"/>
        </w:tabs>
        <w:spacing w:line="240" w:lineRule="auto"/>
        <w:ind w:left="2629" w:right="1922"/>
        <w:jc w:val="left"/>
        <w:rPr>
          <w:b w:val="0"/>
          <w:bCs w:val="0"/>
        </w:rPr>
      </w:pPr>
      <w:bookmarkStart w:name="_TOC_250005" w:id="6"/>
      <w:r>
        <w:rPr>
          <w:w w:val="95"/>
        </w:rPr>
        <w:t>第六节</w:t>
        <w:tab/>
      </w:r>
      <w:r>
        <w:rPr/>
        <w:t>股份变动及股东情况</w:t>
      </w:r>
      <w:bookmarkEnd w:id="6"/>
      <w:r>
        <w:rPr>
          <w:b w:val="0"/>
          <w:bCs w:val="0"/>
        </w:rPr>
      </w:r>
    </w:p>
    <w:p>
      <w:pPr>
        <w:spacing w:line="240" w:lineRule="auto" w:before="7"/>
        <w:rPr>
          <w:rFonts w:ascii="黑体" w:hAnsi="黑体" w:cs="黑体" w:eastAsia="黑体" w:hint="default"/>
          <w:b/>
          <w:bCs/>
          <w:sz w:val="16"/>
          <w:szCs w:val="16"/>
        </w:rPr>
      </w:pPr>
    </w:p>
    <w:p>
      <w:pPr>
        <w:spacing w:before="36"/>
        <w:ind w:left="138" w:right="1922" w:firstLine="0"/>
        <w:jc w:val="left"/>
        <w:rPr>
          <w:rFonts w:ascii="宋体" w:hAnsi="宋体" w:cs="宋体" w:eastAsia="宋体" w:hint="default"/>
          <w:sz w:val="21"/>
          <w:szCs w:val="21"/>
        </w:rPr>
      </w:pPr>
      <w:r>
        <w:rPr>
          <w:rFonts w:ascii="宋体" w:hAnsi="宋体" w:cs="宋体" w:eastAsia="宋体" w:hint="default"/>
          <w:b/>
          <w:bCs/>
          <w:sz w:val="21"/>
          <w:szCs w:val="21"/>
        </w:rPr>
        <w:t>一、股本变动情况</w:t>
      </w:r>
      <w:r>
        <w:rPr>
          <w:rFonts w:ascii="宋体" w:hAnsi="宋体" w:cs="宋体" w:eastAsia="宋体" w:hint="default"/>
          <w:sz w:val="21"/>
          <w:szCs w:val="21"/>
        </w:rPr>
      </w:r>
    </w:p>
    <w:p>
      <w:pPr>
        <w:spacing w:line="240" w:lineRule="auto" w:before="11"/>
        <w:rPr>
          <w:rFonts w:ascii="宋体" w:hAnsi="宋体" w:cs="宋体" w:eastAsia="宋体" w:hint="default"/>
          <w:b/>
          <w:bCs/>
          <w:sz w:val="29"/>
          <w:szCs w:val="29"/>
        </w:rPr>
      </w:pPr>
    </w:p>
    <w:p>
      <w:pPr>
        <w:spacing w:before="0"/>
        <w:ind w:left="138" w:right="1922"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一</w:t>
      </w:r>
      <w:r>
        <w:rPr>
          <w:rFonts w:ascii="Arial" w:hAnsi="Arial" w:cs="Arial" w:eastAsia="Arial" w:hint="default"/>
          <w:b/>
          <w:bCs/>
          <w:sz w:val="21"/>
          <w:szCs w:val="21"/>
        </w:rPr>
        <w:t>)</w:t>
      </w:r>
      <w:r>
        <w:rPr>
          <w:rFonts w:ascii="Arial" w:hAnsi="Arial" w:cs="Arial" w:eastAsia="Arial" w:hint="default"/>
          <w:b/>
          <w:bCs/>
          <w:spacing w:val="12"/>
          <w:sz w:val="21"/>
          <w:szCs w:val="21"/>
        </w:rPr>
        <w:t> </w:t>
      </w:r>
      <w:r>
        <w:rPr>
          <w:rFonts w:ascii="宋体" w:hAnsi="宋体" w:cs="宋体" w:eastAsia="宋体" w:hint="default"/>
          <w:b/>
          <w:bCs/>
          <w:sz w:val="21"/>
          <w:szCs w:val="21"/>
        </w:rPr>
        <w:t>股份变动情况表</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p>
      <w:pPr>
        <w:spacing w:before="0"/>
        <w:ind w:left="485" w:right="1922" w:firstLine="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pacing w:val="-70"/>
          <w:sz w:val="21"/>
          <w:szCs w:val="21"/>
        </w:rPr>
        <w:t> </w:t>
      </w:r>
      <w:r>
        <w:rPr>
          <w:rFonts w:ascii="宋体" w:hAnsi="宋体" w:cs="宋体" w:eastAsia="宋体" w:hint="default"/>
          <w:sz w:val="21"/>
          <w:szCs w:val="21"/>
        </w:rPr>
        <w:t>股份变动情况表</w:t>
      </w:r>
    </w:p>
    <w:p>
      <w:pPr>
        <w:spacing w:line="240" w:lineRule="auto" w:before="4"/>
        <w:rPr>
          <w:rFonts w:ascii="宋体" w:hAnsi="宋体" w:cs="宋体" w:eastAsia="宋体" w:hint="default"/>
          <w:sz w:val="14"/>
          <w:szCs w:val="14"/>
        </w:rPr>
      </w:pPr>
    </w:p>
    <w:p>
      <w:pPr>
        <w:spacing w:line="274" w:lineRule="exact" w:before="36"/>
        <w:ind w:left="846" w:right="1922" w:firstLine="0"/>
        <w:jc w:val="left"/>
        <w:rPr>
          <w:rFonts w:ascii="宋体" w:hAnsi="宋体" w:cs="宋体" w:eastAsia="宋体" w:hint="default"/>
          <w:sz w:val="21"/>
          <w:szCs w:val="21"/>
        </w:rPr>
      </w:pPr>
      <w:r>
        <w:rPr>
          <w:rFonts w:ascii="宋体" w:hAnsi="宋体" w:cs="宋体" w:eastAsia="宋体" w:hint="default"/>
          <w:sz w:val="21"/>
          <w:szCs w:val="21"/>
        </w:rPr>
        <w:t>报告期内，公司股份总数及股本结构未发生变化。</w:t>
      </w:r>
    </w:p>
    <w:p>
      <w:pPr>
        <w:spacing w:line="274" w:lineRule="exact" w:before="0"/>
        <w:ind w:left="0" w:right="130"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5"/>
        <w:rPr>
          <w:rFonts w:ascii="宋体" w:hAnsi="宋体" w:cs="宋体" w:eastAsia="宋体" w:hint="default"/>
          <w:sz w:val="2"/>
          <w:szCs w:val="2"/>
        </w:rPr>
      </w:pPr>
    </w:p>
    <w:tbl>
      <w:tblPr>
        <w:tblW w:w="0" w:type="auto"/>
        <w:jc w:val="left"/>
        <w:tblInd w:w="838" w:type="dxa"/>
        <w:tblLayout w:type="fixed"/>
        <w:tblCellMar>
          <w:top w:w="0" w:type="dxa"/>
          <w:left w:w="0" w:type="dxa"/>
          <w:bottom w:w="0" w:type="dxa"/>
          <w:right w:w="0" w:type="dxa"/>
        </w:tblCellMar>
        <w:tblLook w:val="01E0"/>
      </w:tblPr>
      <w:tblGrid>
        <w:gridCol w:w="2231"/>
        <w:gridCol w:w="1168"/>
        <w:gridCol w:w="566"/>
        <w:gridCol w:w="517"/>
        <w:gridCol w:w="314"/>
        <w:gridCol w:w="680"/>
        <w:gridCol w:w="350"/>
        <w:gridCol w:w="391"/>
        <w:gridCol w:w="1280"/>
        <w:gridCol w:w="586"/>
      </w:tblGrid>
      <w:tr>
        <w:trPr>
          <w:trHeight w:val="210" w:hRule="exact"/>
        </w:trPr>
        <w:tc>
          <w:tcPr>
            <w:tcW w:w="2231" w:type="dxa"/>
            <w:vMerge w:val="restart"/>
            <w:tcBorders>
              <w:top w:val="single" w:sz="6" w:space="0" w:color="000000"/>
              <w:left w:val="single" w:sz="6" w:space="0" w:color="000000"/>
              <w:right w:val="single" w:sz="6" w:space="0" w:color="000000"/>
            </w:tcBorders>
          </w:tcPr>
          <w:p>
            <w:pPr/>
          </w:p>
        </w:tc>
        <w:tc>
          <w:tcPr>
            <w:tcW w:w="1734" w:type="dxa"/>
            <w:gridSpan w:val="2"/>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173" w:lineRule="exact"/>
              <w:ind w:left="476" w:right="0"/>
              <w:jc w:val="left"/>
              <w:rPr>
                <w:rFonts w:ascii="宋体" w:hAnsi="宋体" w:cs="宋体" w:eastAsia="宋体" w:hint="default"/>
                <w:sz w:val="15"/>
                <w:szCs w:val="15"/>
              </w:rPr>
            </w:pPr>
            <w:r>
              <w:rPr>
                <w:rFonts w:ascii="宋体" w:hAnsi="宋体" w:cs="宋体" w:eastAsia="宋体" w:hint="default"/>
                <w:b/>
                <w:bCs/>
                <w:sz w:val="15"/>
                <w:szCs w:val="15"/>
              </w:rPr>
              <w:t>本次变动前</w:t>
            </w:r>
            <w:r>
              <w:rPr>
                <w:rFonts w:ascii="宋体" w:hAnsi="宋体" w:cs="宋体" w:eastAsia="宋体" w:hint="default"/>
                <w:sz w:val="15"/>
                <w:szCs w:val="15"/>
              </w:rPr>
            </w:r>
          </w:p>
        </w:tc>
        <w:tc>
          <w:tcPr>
            <w:tcW w:w="2253" w:type="dxa"/>
            <w:gridSpan w:val="5"/>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184" w:lineRule="exact"/>
              <w:ind w:left="341" w:right="0"/>
              <w:jc w:val="left"/>
              <w:rPr>
                <w:rFonts w:ascii="宋体" w:hAnsi="宋体" w:cs="宋体" w:eastAsia="宋体" w:hint="default"/>
                <w:sz w:val="15"/>
                <w:szCs w:val="15"/>
              </w:rPr>
            </w:pPr>
            <w:r>
              <w:rPr>
                <w:rFonts w:ascii="宋体" w:hAnsi="宋体" w:cs="宋体" w:eastAsia="宋体" w:hint="default"/>
                <w:b/>
                <w:bCs/>
                <w:sz w:val="15"/>
                <w:szCs w:val="15"/>
              </w:rPr>
              <w:t>本次变动增减（＋</w:t>
            </w:r>
            <w:r>
              <w:rPr>
                <w:rFonts w:ascii="Arial" w:hAnsi="Arial" w:cs="Arial" w:eastAsia="Arial"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865" w:type="dxa"/>
            <w:gridSpan w:val="2"/>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173" w:lineRule="exact"/>
              <w:ind w:left="549" w:right="0"/>
              <w:jc w:val="left"/>
              <w:rPr>
                <w:rFonts w:ascii="宋体" w:hAnsi="宋体" w:cs="宋体" w:eastAsia="宋体" w:hint="default"/>
                <w:sz w:val="15"/>
                <w:szCs w:val="15"/>
              </w:rPr>
            </w:pPr>
            <w:r>
              <w:rPr>
                <w:rFonts w:ascii="宋体" w:hAnsi="宋体" w:cs="宋体" w:eastAsia="宋体" w:hint="default"/>
                <w:b/>
                <w:bCs/>
                <w:sz w:val="15"/>
                <w:szCs w:val="15"/>
              </w:rPr>
              <w:t>本次变动后</w:t>
            </w:r>
            <w:r>
              <w:rPr>
                <w:rFonts w:ascii="宋体" w:hAnsi="宋体" w:cs="宋体" w:eastAsia="宋体" w:hint="default"/>
                <w:sz w:val="15"/>
                <w:szCs w:val="15"/>
              </w:rPr>
            </w:r>
          </w:p>
        </w:tc>
      </w:tr>
      <w:tr>
        <w:trPr>
          <w:trHeight w:val="403" w:hRule="exact"/>
        </w:trPr>
        <w:tc>
          <w:tcPr>
            <w:tcW w:w="2231" w:type="dxa"/>
            <w:vMerge/>
            <w:tcBorders>
              <w:left w:val="single" w:sz="6" w:space="0" w:color="000000"/>
              <w:bottom w:val="single" w:sz="6" w:space="0" w:color="000000"/>
              <w:right w:val="single" w:sz="6" w:space="0" w:color="000000"/>
            </w:tcBorders>
          </w:tcPr>
          <w:p>
            <w:pP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3"/>
              <w:jc w:val="center"/>
              <w:rPr>
                <w:rFonts w:ascii="宋体" w:hAnsi="宋体" w:cs="宋体" w:eastAsia="宋体" w:hint="default"/>
                <w:sz w:val="15"/>
                <w:szCs w:val="15"/>
              </w:rPr>
            </w:pPr>
            <w:r>
              <w:rPr>
                <w:rFonts w:ascii="宋体" w:hAnsi="宋体" w:cs="宋体" w:eastAsia="宋体" w:hint="default"/>
                <w:sz w:val="15"/>
                <w:szCs w:val="15"/>
              </w:rPr>
              <w:t>数量</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117"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20"/>
              <w:ind w:left="151" w:right="0"/>
              <w:jc w:val="left"/>
              <w:rPr>
                <w:rFonts w:ascii="Arial" w:hAnsi="Arial" w:cs="Arial" w:eastAsia="Arial" w:hint="default"/>
                <w:sz w:val="15"/>
                <w:szCs w:val="15"/>
              </w:rPr>
            </w:pPr>
            <w:r>
              <w:rPr>
                <w:rFonts w:ascii="Arial"/>
                <w:sz w:val="15"/>
              </w:rPr>
              <w:t>(%)</w:t>
            </w:r>
          </w:p>
        </w:tc>
        <w:tc>
          <w:tcPr>
            <w:tcW w:w="51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96" w:right="0"/>
              <w:jc w:val="left"/>
              <w:rPr>
                <w:rFonts w:ascii="宋体" w:hAnsi="宋体" w:cs="宋体" w:eastAsia="宋体" w:hint="default"/>
                <w:sz w:val="15"/>
                <w:szCs w:val="15"/>
              </w:rPr>
            </w:pPr>
            <w:r>
              <w:rPr>
                <w:rFonts w:ascii="宋体" w:hAnsi="宋体" w:cs="宋体" w:eastAsia="宋体" w:hint="default"/>
                <w:sz w:val="15"/>
                <w:szCs w:val="15"/>
              </w:rPr>
              <w:t>发行</w:t>
            </w:r>
          </w:p>
          <w:p>
            <w:pPr>
              <w:pStyle w:val="TableParagraph"/>
              <w:spacing w:line="195" w:lineRule="exact"/>
              <w:ind w:left="96" w:right="0"/>
              <w:jc w:val="left"/>
              <w:rPr>
                <w:rFonts w:ascii="宋体" w:hAnsi="宋体" w:cs="宋体" w:eastAsia="宋体" w:hint="default"/>
                <w:sz w:val="15"/>
                <w:szCs w:val="15"/>
              </w:rPr>
            </w:pPr>
            <w:r>
              <w:rPr>
                <w:rFonts w:ascii="宋体" w:hAnsi="宋体" w:cs="宋体" w:eastAsia="宋体" w:hint="default"/>
                <w:sz w:val="15"/>
                <w:szCs w:val="15"/>
              </w:rPr>
              <w:t>新股</w:t>
            </w:r>
          </w:p>
        </w:tc>
        <w:tc>
          <w:tcPr>
            <w:tcW w:w="31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w w:val="100"/>
                <w:sz w:val="15"/>
                <w:szCs w:val="15"/>
              </w:rPr>
              <w:t>送</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w w:val="100"/>
                <w:sz w:val="15"/>
                <w:szCs w:val="15"/>
              </w:rPr>
              <w:t>股</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75" w:right="0" w:hanging="75"/>
              <w:jc w:val="left"/>
              <w:rPr>
                <w:rFonts w:ascii="宋体" w:hAnsi="宋体" w:cs="宋体" w:eastAsia="宋体" w:hint="default"/>
                <w:sz w:val="15"/>
                <w:szCs w:val="15"/>
              </w:rPr>
            </w:pPr>
            <w:r>
              <w:rPr>
                <w:rFonts w:ascii="宋体" w:hAnsi="宋体" w:cs="宋体" w:eastAsia="宋体" w:hint="default"/>
                <w:sz w:val="15"/>
                <w:szCs w:val="15"/>
              </w:rPr>
              <w:t>公积金</w:t>
            </w:r>
          </w:p>
          <w:p>
            <w:pPr>
              <w:pStyle w:val="TableParagraph"/>
              <w:spacing w:line="195" w:lineRule="exact"/>
              <w:ind w:left="175" w:right="0"/>
              <w:jc w:val="left"/>
              <w:rPr>
                <w:rFonts w:ascii="宋体" w:hAnsi="宋体" w:cs="宋体" w:eastAsia="宋体" w:hint="default"/>
                <w:sz w:val="15"/>
                <w:szCs w:val="15"/>
              </w:rPr>
            </w:pPr>
            <w:r>
              <w:rPr>
                <w:rFonts w:ascii="宋体" w:hAnsi="宋体" w:cs="宋体" w:eastAsia="宋体" w:hint="default"/>
                <w:sz w:val="15"/>
                <w:szCs w:val="15"/>
              </w:rPr>
              <w:t>转股</w:t>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91" w:right="0"/>
              <w:jc w:val="left"/>
              <w:rPr>
                <w:rFonts w:ascii="宋体" w:hAnsi="宋体" w:cs="宋体" w:eastAsia="宋体" w:hint="default"/>
                <w:sz w:val="15"/>
                <w:szCs w:val="15"/>
              </w:rPr>
            </w:pPr>
            <w:r>
              <w:rPr>
                <w:rFonts w:ascii="宋体" w:hAnsi="宋体" w:cs="宋体" w:eastAsia="宋体" w:hint="default"/>
                <w:w w:val="100"/>
                <w:sz w:val="15"/>
                <w:szCs w:val="15"/>
              </w:rPr>
              <w:t>其</w:t>
            </w:r>
          </w:p>
          <w:p>
            <w:pPr>
              <w:pStyle w:val="TableParagraph"/>
              <w:spacing w:line="195" w:lineRule="exact"/>
              <w:ind w:left="91" w:right="0"/>
              <w:jc w:val="left"/>
              <w:rPr>
                <w:rFonts w:ascii="宋体" w:hAnsi="宋体" w:cs="宋体" w:eastAsia="宋体" w:hint="default"/>
                <w:sz w:val="15"/>
                <w:szCs w:val="15"/>
              </w:rPr>
            </w:pPr>
            <w:r>
              <w:rPr>
                <w:rFonts w:ascii="宋体" w:hAnsi="宋体" w:cs="宋体" w:eastAsia="宋体" w:hint="default"/>
                <w:w w:val="100"/>
                <w:sz w:val="15"/>
                <w:szCs w:val="15"/>
              </w:rPr>
              <w:t>他</w:t>
            </w:r>
          </w:p>
        </w:tc>
        <w:tc>
          <w:tcPr>
            <w:tcW w:w="39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17" w:right="0"/>
              <w:jc w:val="left"/>
              <w:rPr>
                <w:rFonts w:ascii="宋体" w:hAnsi="宋体" w:cs="宋体" w:eastAsia="宋体" w:hint="default"/>
                <w:sz w:val="15"/>
                <w:szCs w:val="15"/>
              </w:rPr>
            </w:pPr>
            <w:r>
              <w:rPr>
                <w:rFonts w:ascii="宋体" w:hAnsi="宋体" w:cs="宋体" w:eastAsia="宋体" w:hint="default"/>
                <w:w w:val="100"/>
                <w:sz w:val="15"/>
                <w:szCs w:val="15"/>
              </w:rPr>
              <w:t>小</w:t>
            </w:r>
          </w:p>
          <w:p>
            <w:pPr>
              <w:pStyle w:val="TableParagraph"/>
              <w:spacing w:line="195" w:lineRule="exact"/>
              <w:ind w:left="117" w:right="0"/>
              <w:jc w:val="left"/>
              <w:rPr>
                <w:rFonts w:ascii="宋体" w:hAnsi="宋体" w:cs="宋体" w:eastAsia="宋体" w:hint="default"/>
                <w:sz w:val="15"/>
                <w:szCs w:val="15"/>
              </w:rPr>
            </w:pPr>
            <w:r>
              <w:rPr>
                <w:rFonts w:ascii="宋体" w:hAnsi="宋体" w:cs="宋体" w:eastAsia="宋体" w:hint="default"/>
                <w:w w:val="100"/>
                <w:sz w:val="15"/>
                <w:szCs w:val="15"/>
              </w:rPr>
              <w:t>计</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 w:right="0"/>
              <w:jc w:val="center"/>
              <w:rPr>
                <w:rFonts w:ascii="宋体" w:hAnsi="宋体" w:cs="宋体" w:eastAsia="宋体" w:hint="default"/>
                <w:sz w:val="15"/>
                <w:szCs w:val="15"/>
              </w:rPr>
            </w:pPr>
            <w:r>
              <w:rPr>
                <w:rFonts w:ascii="宋体" w:hAnsi="宋体" w:cs="宋体" w:eastAsia="宋体" w:hint="default"/>
                <w:sz w:val="15"/>
                <w:szCs w:val="15"/>
              </w:rPr>
              <w:t>数量</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134"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20"/>
              <w:ind w:left="167" w:right="0"/>
              <w:jc w:val="left"/>
              <w:rPr>
                <w:rFonts w:ascii="Arial" w:hAnsi="Arial" w:cs="Arial" w:eastAsia="Arial" w:hint="default"/>
                <w:sz w:val="15"/>
                <w:szCs w:val="15"/>
              </w:rPr>
            </w:pPr>
            <w:r>
              <w:rPr>
                <w:rFonts w:ascii="Arial"/>
                <w:sz w:val="15"/>
              </w:rPr>
              <w:t>(%)</w:t>
            </w:r>
          </w:p>
        </w:tc>
      </w:tr>
      <w:tr>
        <w:trPr>
          <w:trHeight w:val="209" w:hRule="exact"/>
        </w:trPr>
        <w:tc>
          <w:tcPr>
            <w:tcW w:w="2231"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b/>
                <w:bCs/>
                <w:sz w:val="15"/>
                <w:szCs w:val="15"/>
              </w:rPr>
              <w:t>一、有限售条件股份</w:t>
            </w:r>
            <w:r>
              <w:rPr>
                <w:rFonts w:ascii="宋体" w:hAnsi="宋体" w:cs="宋体" w:eastAsia="宋体" w:hint="default"/>
                <w:sz w:val="15"/>
                <w:szCs w:val="15"/>
              </w:rPr>
            </w:r>
          </w:p>
        </w:tc>
        <w:tc>
          <w:tcPr>
            <w:tcW w:w="5851" w:type="dxa"/>
            <w:gridSpan w:val="9"/>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231"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185" w:lineRule="exact"/>
              <w:ind w:left="100" w:right="0"/>
              <w:jc w:val="left"/>
              <w:rPr>
                <w:rFonts w:ascii="宋体" w:hAnsi="宋体" w:cs="宋体" w:eastAsia="宋体" w:hint="default"/>
                <w:sz w:val="15"/>
                <w:szCs w:val="15"/>
              </w:rPr>
            </w:pPr>
            <w:r>
              <w:rPr>
                <w:rFonts w:ascii="Arial" w:hAnsi="Arial" w:cs="Arial" w:eastAsia="Arial" w:hint="default"/>
                <w:b/>
                <w:bCs/>
                <w:sz w:val="15"/>
                <w:szCs w:val="15"/>
              </w:rPr>
              <w:t>1</w:t>
            </w:r>
            <w:r>
              <w:rPr>
                <w:rFonts w:ascii="宋体" w:hAnsi="宋体" w:cs="宋体" w:eastAsia="宋体" w:hint="default"/>
                <w:b/>
                <w:bCs/>
                <w:sz w:val="15"/>
                <w:szCs w:val="15"/>
              </w:rPr>
              <w:t>、国家持股</w:t>
            </w:r>
            <w:r>
              <w:rPr>
                <w:rFonts w:ascii="宋体" w:hAnsi="宋体" w:cs="宋体" w:eastAsia="宋体" w:hint="default"/>
                <w:sz w:val="15"/>
                <w:szCs w:val="15"/>
              </w:rPr>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46"/>
              <w:jc w:val="right"/>
              <w:rPr>
                <w:rFonts w:ascii="Arial" w:hAnsi="Arial" w:cs="Arial" w:eastAsia="Arial" w:hint="default"/>
                <w:sz w:val="15"/>
                <w:szCs w:val="15"/>
              </w:rPr>
            </w:pPr>
            <w:r>
              <w:rPr>
                <w:rFonts w:ascii="Arial"/>
                <w:w w:val="100"/>
                <w:sz w:val="15"/>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7"/>
              <w:jc w:val="right"/>
              <w:rPr>
                <w:rFonts w:ascii="Arial" w:hAnsi="Arial" w:cs="Arial" w:eastAsia="Arial" w:hint="default"/>
                <w:sz w:val="15"/>
                <w:szCs w:val="15"/>
              </w:rPr>
            </w:pPr>
            <w:r>
              <w:rPr>
                <w:rFonts w:ascii="Arial"/>
                <w:w w:val="100"/>
                <w:sz w:val="15"/>
              </w:rPr>
              <w:t>-</w:t>
            </w:r>
          </w:p>
        </w:tc>
        <w:tc>
          <w:tcPr>
            <w:tcW w:w="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4"/>
              <w:jc w:val="right"/>
              <w:rPr>
                <w:rFonts w:ascii="Arial" w:hAnsi="Arial" w:cs="Arial" w:eastAsia="Arial" w:hint="default"/>
                <w:sz w:val="15"/>
                <w:szCs w:val="15"/>
              </w:rPr>
            </w:pPr>
            <w:r>
              <w:rPr>
                <w:rFonts w:ascii="Arial"/>
                <w:w w:val="100"/>
                <w:sz w:val="15"/>
              </w:rPr>
              <w:t>-</w:t>
            </w:r>
          </w:p>
        </w:tc>
        <w:tc>
          <w:tcPr>
            <w:tcW w:w="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Arial" w:hAnsi="Arial" w:cs="Arial" w:eastAsia="Arial" w:hint="default"/>
                <w:sz w:val="15"/>
                <w:szCs w:val="15"/>
              </w:rPr>
            </w:pPr>
            <w:r>
              <w:rPr>
                <w:rFonts w:ascii="Arial"/>
                <w:w w:val="100"/>
                <w:sz w:val="15"/>
              </w:rPr>
              <w:t>-</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Arial" w:hAnsi="Arial" w:cs="Arial" w:eastAsia="Arial" w:hint="default"/>
                <w:sz w:val="15"/>
                <w:szCs w:val="15"/>
              </w:rPr>
            </w:pPr>
            <w:r>
              <w:rPr>
                <w:rFonts w:ascii="Arial"/>
                <w:w w:val="100"/>
                <w:sz w:val="15"/>
              </w:rPr>
              <w:t>-</w:t>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8"/>
              <w:jc w:val="right"/>
              <w:rPr>
                <w:rFonts w:ascii="Arial" w:hAnsi="Arial" w:cs="Arial" w:eastAsia="Arial" w:hint="default"/>
                <w:sz w:val="15"/>
                <w:szCs w:val="15"/>
              </w:rPr>
            </w:pPr>
            <w:r>
              <w:rPr>
                <w:rFonts w:ascii="Arial"/>
                <w:w w:val="100"/>
                <w:sz w:val="15"/>
              </w:rPr>
              <w:t>-</w:t>
            </w:r>
          </w:p>
        </w:tc>
        <w:tc>
          <w:tcPr>
            <w:tcW w:w="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8"/>
              <w:jc w:val="right"/>
              <w:rPr>
                <w:rFonts w:ascii="Arial" w:hAnsi="Arial" w:cs="Arial" w:eastAsia="Arial" w:hint="default"/>
                <w:sz w:val="15"/>
                <w:szCs w:val="15"/>
              </w:rPr>
            </w:pPr>
            <w:r>
              <w:rPr>
                <w:rFonts w:ascii="Arial"/>
                <w:w w:val="100"/>
                <w:sz w:val="15"/>
              </w:rPr>
              <w:t>-</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53"/>
              <w:jc w:val="right"/>
              <w:rPr>
                <w:rFonts w:ascii="Arial" w:hAnsi="Arial" w:cs="Arial" w:eastAsia="Arial" w:hint="default"/>
                <w:sz w:val="15"/>
                <w:szCs w:val="15"/>
              </w:rPr>
            </w:pPr>
            <w:r>
              <w:rPr>
                <w:rFonts w:ascii="Arial"/>
                <w:w w:val="100"/>
                <w:sz w:val="15"/>
              </w:rPr>
              <w:t>-</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Arial" w:hAnsi="Arial" w:cs="Arial" w:eastAsia="Arial" w:hint="default"/>
                <w:sz w:val="15"/>
                <w:szCs w:val="15"/>
              </w:rPr>
            </w:pPr>
            <w:r>
              <w:rPr>
                <w:rFonts w:ascii="Arial"/>
                <w:w w:val="100"/>
                <w:sz w:val="15"/>
              </w:rPr>
              <w:t>-</w:t>
            </w:r>
          </w:p>
        </w:tc>
      </w:tr>
      <w:tr>
        <w:trPr>
          <w:trHeight w:val="209" w:hRule="exact"/>
        </w:trPr>
        <w:tc>
          <w:tcPr>
            <w:tcW w:w="2231"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183" w:lineRule="exact"/>
              <w:ind w:left="100" w:right="0"/>
              <w:jc w:val="left"/>
              <w:rPr>
                <w:rFonts w:ascii="宋体" w:hAnsi="宋体" w:cs="宋体" w:eastAsia="宋体" w:hint="default"/>
                <w:sz w:val="15"/>
                <w:szCs w:val="15"/>
              </w:rPr>
            </w:pPr>
            <w:r>
              <w:rPr>
                <w:rFonts w:ascii="Arial" w:hAnsi="Arial" w:cs="Arial" w:eastAsia="Arial" w:hint="default"/>
                <w:b/>
                <w:bCs/>
                <w:sz w:val="15"/>
                <w:szCs w:val="15"/>
              </w:rPr>
              <w:t>2</w:t>
            </w:r>
            <w:r>
              <w:rPr>
                <w:rFonts w:ascii="宋体" w:hAnsi="宋体" w:cs="宋体" w:eastAsia="宋体" w:hint="default"/>
                <w:b/>
                <w:bCs/>
                <w:sz w:val="15"/>
                <w:szCs w:val="15"/>
              </w:rPr>
              <w:t>、国有法人持股</w:t>
            </w:r>
            <w:r>
              <w:rPr>
                <w:rFonts w:ascii="宋体" w:hAnsi="宋体" w:cs="宋体" w:eastAsia="宋体" w:hint="default"/>
                <w:sz w:val="15"/>
                <w:szCs w:val="15"/>
              </w:rPr>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46"/>
              <w:jc w:val="right"/>
              <w:rPr>
                <w:rFonts w:ascii="Arial" w:hAnsi="Arial" w:cs="Arial" w:eastAsia="Arial" w:hint="default"/>
                <w:sz w:val="15"/>
                <w:szCs w:val="15"/>
              </w:rPr>
            </w:pPr>
            <w:r>
              <w:rPr>
                <w:rFonts w:ascii="Arial"/>
                <w:w w:val="100"/>
                <w:sz w:val="15"/>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7"/>
              <w:jc w:val="right"/>
              <w:rPr>
                <w:rFonts w:ascii="Arial" w:hAnsi="Arial" w:cs="Arial" w:eastAsia="Arial" w:hint="default"/>
                <w:sz w:val="15"/>
                <w:szCs w:val="15"/>
              </w:rPr>
            </w:pPr>
            <w:r>
              <w:rPr>
                <w:rFonts w:ascii="Arial"/>
                <w:w w:val="100"/>
                <w:sz w:val="15"/>
              </w:rPr>
              <w:t>-</w:t>
            </w:r>
          </w:p>
        </w:tc>
        <w:tc>
          <w:tcPr>
            <w:tcW w:w="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4"/>
              <w:jc w:val="right"/>
              <w:rPr>
                <w:rFonts w:ascii="Arial" w:hAnsi="Arial" w:cs="Arial" w:eastAsia="Arial" w:hint="default"/>
                <w:sz w:val="15"/>
                <w:szCs w:val="15"/>
              </w:rPr>
            </w:pPr>
            <w:r>
              <w:rPr>
                <w:rFonts w:ascii="Arial"/>
                <w:w w:val="100"/>
                <w:sz w:val="15"/>
              </w:rPr>
              <w:t>-</w:t>
            </w:r>
          </w:p>
        </w:tc>
        <w:tc>
          <w:tcPr>
            <w:tcW w:w="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1"/>
              <w:jc w:val="right"/>
              <w:rPr>
                <w:rFonts w:ascii="Arial" w:hAnsi="Arial" w:cs="Arial" w:eastAsia="Arial" w:hint="default"/>
                <w:sz w:val="15"/>
                <w:szCs w:val="15"/>
              </w:rPr>
            </w:pPr>
            <w:r>
              <w:rPr>
                <w:rFonts w:ascii="Arial"/>
                <w:w w:val="100"/>
                <w:sz w:val="15"/>
              </w:rPr>
              <w:t>-</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6"/>
              <w:jc w:val="right"/>
              <w:rPr>
                <w:rFonts w:ascii="Arial" w:hAnsi="Arial" w:cs="Arial" w:eastAsia="Arial" w:hint="default"/>
                <w:sz w:val="15"/>
                <w:szCs w:val="15"/>
              </w:rPr>
            </w:pPr>
            <w:r>
              <w:rPr>
                <w:rFonts w:ascii="Arial"/>
                <w:w w:val="100"/>
                <w:sz w:val="15"/>
              </w:rPr>
              <w:t>-</w:t>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8"/>
              <w:jc w:val="right"/>
              <w:rPr>
                <w:rFonts w:ascii="Arial" w:hAnsi="Arial" w:cs="Arial" w:eastAsia="Arial" w:hint="default"/>
                <w:sz w:val="15"/>
                <w:szCs w:val="15"/>
              </w:rPr>
            </w:pPr>
            <w:r>
              <w:rPr>
                <w:rFonts w:ascii="Arial"/>
                <w:w w:val="100"/>
                <w:sz w:val="15"/>
              </w:rPr>
              <w:t>-</w:t>
            </w:r>
          </w:p>
        </w:tc>
        <w:tc>
          <w:tcPr>
            <w:tcW w:w="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8"/>
              <w:jc w:val="right"/>
              <w:rPr>
                <w:rFonts w:ascii="Arial" w:hAnsi="Arial" w:cs="Arial" w:eastAsia="Arial" w:hint="default"/>
                <w:sz w:val="15"/>
                <w:szCs w:val="15"/>
              </w:rPr>
            </w:pPr>
            <w:r>
              <w:rPr>
                <w:rFonts w:ascii="Arial"/>
                <w:w w:val="100"/>
                <w:sz w:val="15"/>
              </w:rPr>
              <w:t>-</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53"/>
              <w:jc w:val="right"/>
              <w:rPr>
                <w:rFonts w:ascii="Arial" w:hAnsi="Arial" w:cs="Arial" w:eastAsia="Arial" w:hint="default"/>
                <w:sz w:val="15"/>
                <w:szCs w:val="15"/>
              </w:rPr>
            </w:pPr>
            <w:r>
              <w:rPr>
                <w:rFonts w:ascii="Arial"/>
                <w:w w:val="100"/>
                <w:sz w:val="15"/>
              </w:rPr>
              <w:t>-</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8"/>
              <w:jc w:val="right"/>
              <w:rPr>
                <w:rFonts w:ascii="Arial" w:hAnsi="Arial" w:cs="Arial" w:eastAsia="Arial" w:hint="default"/>
                <w:sz w:val="15"/>
                <w:szCs w:val="15"/>
              </w:rPr>
            </w:pPr>
            <w:r>
              <w:rPr>
                <w:rFonts w:ascii="Arial"/>
                <w:w w:val="100"/>
                <w:sz w:val="15"/>
              </w:rPr>
              <w:t>-</w:t>
            </w:r>
          </w:p>
        </w:tc>
      </w:tr>
      <w:tr>
        <w:trPr>
          <w:trHeight w:val="209" w:hRule="exact"/>
        </w:trPr>
        <w:tc>
          <w:tcPr>
            <w:tcW w:w="2231"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183" w:lineRule="exact"/>
              <w:ind w:left="100" w:right="0"/>
              <w:jc w:val="left"/>
              <w:rPr>
                <w:rFonts w:ascii="宋体" w:hAnsi="宋体" w:cs="宋体" w:eastAsia="宋体" w:hint="default"/>
                <w:sz w:val="15"/>
                <w:szCs w:val="15"/>
              </w:rPr>
            </w:pPr>
            <w:r>
              <w:rPr>
                <w:rFonts w:ascii="Arial" w:hAnsi="Arial" w:cs="Arial" w:eastAsia="Arial" w:hint="default"/>
                <w:b/>
                <w:bCs/>
                <w:sz w:val="15"/>
                <w:szCs w:val="15"/>
              </w:rPr>
              <w:t>3</w:t>
            </w:r>
            <w:r>
              <w:rPr>
                <w:rFonts w:ascii="宋体" w:hAnsi="宋体" w:cs="宋体" w:eastAsia="宋体" w:hint="default"/>
                <w:b/>
                <w:bCs/>
                <w:sz w:val="15"/>
                <w:szCs w:val="15"/>
              </w:rPr>
              <w:t>、其他内资持股</w:t>
            </w:r>
            <w:r>
              <w:rPr>
                <w:rFonts w:ascii="宋体" w:hAnsi="宋体" w:cs="宋体" w:eastAsia="宋体" w:hint="default"/>
                <w:sz w:val="15"/>
                <w:szCs w:val="15"/>
              </w:rPr>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46"/>
              <w:jc w:val="right"/>
              <w:rPr>
                <w:rFonts w:ascii="Arial" w:hAnsi="Arial" w:cs="Arial" w:eastAsia="Arial" w:hint="default"/>
                <w:sz w:val="15"/>
                <w:szCs w:val="15"/>
              </w:rPr>
            </w:pPr>
            <w:r>
              <w:rPr>
                <w:rFonts w:ascii="Arial"/>
                <w:w w:val="100"/>
                <w:sz w:val="15"/>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7"/>
              <w:jc w:val="right"/>
              <w:rPr>
                <w:rFonts w:ascii="Arial" w:hAnsi="Arial" w:cs="Arial" w:eastAsia="Arial" w:hint="default"/>
                <w:sz w:val="15"/>
                <w:szCs w:val="15"/>
              </w:rPr>
            </w:pPr>
            <w:r>
              <w:rPr>
                <w:rFonts w:ascii="Arial"/>
                <w:w w:val="100"/>
                <w:sz w:val="15"/>
              </w:rPr>
              <w:t>-</w:t>
            </w:r>
          </w:p>
        </w:tc>
        <w:tc>
          <w:tcPr>
            <w:tcW w:w="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4"/>
              <w:jc w:val="right"/>
              <w:rPr>
                <w:rFonts w:ascii="Arial" w:hAnsi="Arial" w:cs="Arial" w:eastAsia="Arial" w:hint="default"/>
                <w:sz w:val="15"/>
                <w:szCs w:val="15"/>
              </w:rPr>
            </w:pPr>
            <w:r>
              <w:rPr>
                <w:rFonts w:ascii="Arial"/>
                <w:w w:val="100"/>
                <w:sz w:val="15"/>
              </w:rPr>
              <w:t>-</w:t>
            </w:r>
          </w:p>
        </w:tc>
        <w:tc>
          <w:tcPr>
            <w:tcW w:w="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Arial" w:hAnsi="Arial" w:cs="Arial" w:eastAsia="Arial" w:hint="default"/>
                <w:sz w:val="15"/>
                <w:szCs w:val="15"/>
              </w:rPr>
            </w:pPr>
            <w:r>
              <w:rPr>
                <w:rFonts w:ascii="Arial"/>
                <w:w w:val="100"/>
                <w:sz w:val="15"/>
              </w:rPr>
              <w:t>-</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Arial" w:hAnsi="Arial" w:cs="Arial" w:eastAsia="Arial" w:hint="default"/>
                <w:sz w:val="15"/>
                <w:szCs w:val="15"/>
              </w:rPr>
            </w:pPr>
            <w:r>
              <w:rPr>
                <w:rFonts w:ascii="Arial"/>
                <w:w w:val="100"/>
                <w:sz w:val="15"/>
              </w:rPr>
              <w:t>-</w:t>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8"/>
              <w:jc w:val="right"/>
              <w:rPr>
                <w:rFonts w:ascii="Arial" w:hAnsi="Arial" w:cs="Arial" w:eastAsia="Arial" w:hint="default"/>
                <w:sz w:val="15"/>
                <w:szCs w:val="15"/>
              </w:rPr>
            </w:pPr>
            <w:r>
              <w:rPr>
                <w:rFonts w:ascii="Arial"/>
                <w:w w:val="100"/>
                <w:sz w:val="15"/>
              </w:rPr>
              <w:t>-</w:t>
            </w:r>
          </w:p>
        </w:tc>
        <w:tc>
          <w:tcPr>
            <w:tcW w:w="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8"/>
              <w:jc w:val="right"/>
              <w:rPr>
                <w:rFonts w:ascii="Arial" w:hAnsi="Arial" w:cs="Arial" w:eastAsia="Arial" w:hint="default"/>
                <w:sz w:val="15"/>
                <w:szCs w:val="15"/>
              </w:rPr>
            </w:pPr>
            <w:r>
              <w:rPr>
                <w:rFonts w:ascii="Arial"/>
                <w:w w:val="100"/>
                <w:sz w:val="15"/>
              </w:rPr>
              <w:t>-</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53"/>
              <w:jc w:val="right"/>
              <w:rPr>
                <w:rFonts w:ascii="Arial" w:hAnsi="Arial" w:cs="Arial" w:eastAsia="Arial" w:hint="default"/>
                <w:sz w:val="15"/>
                <w:szCs w:val="15"/>
              </w:rPr>
            </w:pPr>
            <w:r>
              <w:rPr>
                <w:rFonts w:ascii="Arial"/>
                <w:w w:val="100"/>
                <w:sz w:val="15"/>
              </w:rPr>
              <w:t>-</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Arial" w:hAnsi="Arial" w:cs="Arial" w:eastAsia="Arial" w:hint="default"/>
                <w:sz w:val="15"/>
                <w:szCs w:val="15"/>
              </w:rPr>
            </w:pPr>
            <w:r>
              <w:rPr>
                <w:rFonts w:ascii="Arial"/>
                <w:w w:val="100"/>
                <w:sz w:val="15"/>
              </w:rPr>
              <w:t>-</w:t>
            </w:r>
          </w:p>
        </w:tc>
      </w:tr>
      <w:tr>
        <w:trPr>
          <w:trHeight w:val="211" w:hRule="exact"/>
        </w:trPr>
        <w:tc>
          <w:tcPr>
            <w:tcW w:w="2231"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172" w:lineRule="exact"/>
              <w:ind w:left="348" w:right="0"/>
              <w:jc w:val="left"/>
              <w:rPr>
                <w:rFonts w:ascii="宋体" w:hAnsi="宋体" w:cs="宋体" w:eastAsia="宋体" w:hint="default"/>
                <w:sz w:val="15"/>
                <w:szCs w:val="15"/>
              </w:rPr>
            </w:pPr>
            <w:r>
              <w:rPr>
                <w:rFonts w:ascii="宋体" w:hAnsi="宋体" w:cs="宋体" w:eastAsia="宋体" w:hint="default"/>
                <w:b/>
                <w:bCs/>
                <w:spacing w:val="-4"/>
                <w:sz w:val="15"/>
                <w:szCs w:val="15"/>
              </w:rPr>
              <w:t>其中：境内非国有法人持股</w:t>
            </w:r>
            <w:r>
              <w:rPr>
                <w:rFonts w:ascii="宋体" w:hAnsi="宋体" w:cs="宋体" w:eastAsia="宋体" w:hint="default"/>
                <w:spacing w:val="-4"/>
                <w:sz w:val="15"/>
                <w:szCs w:val="15"/>
              </w:rPr>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46"/>
              <w:jc w:val="right"/>
              <w:rPr>
                <w:rFonts w:ascii="Arial" w:hAnsi="Arial" w:cs="Arial" w:eastAsia="Arial" w:hint="default"/>
                <w:sz w:val="15"/>
                <w:szCs w:val="15"/>
              </w:rPr>
            </w:pPr>
            <w:r>
              <w:rPr>
                <w:rFonts w:ascii="Arial"/>
                <w:w w:val="100"/>
                <w:sz w:val="15"/>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7"/>
              <w:jc w:val="right"/>
              <w:rPr>
                <w:rFonts w:ascii="Arial" w:hAnsi="Arial" w:cs="Arial" w:eastAsia="Arial" w:hint="default"/>
                <w:sz w:val="15"/>
                <w:szCs w:val="15"/>
              </w:rPr>
            </w:pPr>
            <w:r>
              <w:rPr>
                <w:rFonts w:ascii="Arial"/>
                <w:w w:val="100"/>
                <w:sz w:val="15"/>
              </w:rPr>
              <w:t>-</w:t>
            </w:r>
          </w:p>
        </w:tc>
        <w:tc>
          <w:tcPr>
            <w:tcW w:w="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4"/>
              <w:jc w:val="right"/>
              <w:rPr>
                <w:rFonts w:ascii="Arial" w:hAnsi="Arial" w:cs="Arial" w:eastAsia="Arial" w:hint="default"/>
                <w:sz w:val="15"/>
                <w:szCs w:val="15"/>
              </w:rPr>
            </w:pPr>
            <w:r>
              <w:rPr>
                <w:rFonts w:ascii="Arial"/>
                <w:w w:val="100"/>
                <w:sz w:val="15"/>
              </w:rPr>
              <w:t>-</w:t>
            </w:r>
          </w:p>
        </w:tc>
        <w:tc>
          <w:tcPr>
            <w:tcW w:w="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Arial" w:hAnsi="Arial" w:cs="Arial" w:eastAsia="Arial" w:hint="default"/>
                <w:sz w:val="15"/>
                <w:szCs w:val="15"/>
              </w:rPr>
            </w:pPr>
            <w:r>
              <w:rPr>
                <w:rFonts w:ascii="Arial"/>
                <w:w w:val="100"/>
                <w:sz w:val="15"/>
              </w:rPr>
              <w:t>-</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Arial" w:hAnsi="Arial" w:cs="Arial" w:eastAsia="Arial" w:hint="default"/>
                <w:sz w:val="15"/>
                <w:szCs w:val="15"/>
              </w:rPr>
            </w:pPr>
            <w:r>
              <w:rPr>
                <w:rFonts w:ascii="Arial"/>
                <w:w w:val="100"/>
                <w:sz w:val="15"/>
              </w:rPr>
              <w:t>-</w:t>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8"/>
              <w:jc w:val="right"/>
              <w:rPr>
                <w:rFonts w:ascii="Arial" w:hAnsi="Arial" w:cs="Arial" w:eastAsia="Arial" w:hint="default"/>
                <w:sz w:val="15"/>
                <w:szCs w:val="15"/>
              </w:rPr>
            </w:pPr>
            <w:r>
              <w:rPr>
                <w:rFonts w:ascii="Arial"/>
                <w:w w:val="100"/>
                <w:sz w:val="15"/>
              </w:rPr>
              <w:t>-</w:t>
            </w:r>
          </w:p>
        </w:tc>
        <w:tc>
          <w:tcPr>
            <w:tcW w:w="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8"/>
              <w:jc w:val="right"/>
              <w:rPr>
                <w:rFonts w:ascii="Arial" w:hAnsi="Arial" w:cs="Arial" w:eastAsia="Arial" w:hint="default"/>
                <w:sz w:val="15"/>
                <w:szCs w:val="15"/>
              </w:rPr>
            </w:pPr>
            <w:r>
              <w:rPr>
                <w:rFonts w:ascii="Arial"/>
                <w:w w:val="100"/>
                <w:sz w:val="15"/>
              </w:rPr>
              <w:t>-</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53"/>
              <w:jc w:val="right"/>
              <w:rPr>
                <w:rFonts w:ascii="Arial" w:hAnsi="Arial" w:cs="Arial" w:eastAsia="Arial" w:hint="default"/>
                <w:sz w:val="15"/>
                <w:szCs w:val="15"/>
              </w:rPr>
            </w:pPr>
            <w:r>
              <w:rPr>
                <w:rFonts w:ascii="Arial"/>
                <w:w w:val="100"/>
                <w:sz w:val="15"/>
              </w:rPr>
              <w:t>-</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Arial" w:hAnsi="Arial" w:cs="Arial" w:eastAsia="Arial" w:hint="default"/>
                <w:sz w:val="15"/>
                <w:szCs w:val="15"/>
              </w:rPr>
            </w:pPr>
            <w:r>
              <w:rPr>
                <w:rFonts w:ascii="Arial"/>
                <w:w w:val="100"/>
                <w:sz w:val="15"/>
              </w:rPr>
              <w:t>-</w:t>
            </w:r>
          </w:p>
        </w:tc>
      </w:tr>
      <w:tr>
        <w:trPr>
          <w:trHeight w:val="209" w:hRule="exact"/>
        </w:trPr>
        <w:tc>
          <w:tcPr>
            <w:tcW w:w="2231"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172" w:lineRule="exact"/>
              <w:ind w:left="753" w:right="0"/>
              <w:jc w:val="left"/>
              <w:rPr>
                <w:rFonts w:ascii="宋体" w:hAnsi="宋体" w:cs="宋体" w:eastAsia="宋体" w:hint="default"/>
                <w:sz w:val="15"/>
                <w:szCs w:val="15"/>
              </w:rPr>
            </w:pPr>
            <w:r>
              <w:rPr>
                <w:rFonts w:ascii="宋体" w:hAnsi="宋体" w:cs="宋体" w:eastAsia="宋体" w:hint="default"/>
                <w:b/>
                <w:bCs/>
                <w:sz w:val="15"/>
                <w:szCs w:val="15"/>
              </w:rPr>
              <w:t>境内自然人持股</w:t>
            </w:r>
            <w:r>
              <w:rPr>
                <w:rFonts w:ascii="宋体" w:hAnsi="宋体" w:cs="宋体" w:eastAsia="宋体" w:hint="default"/>
                <w:sz w:val="15"/>
                <w:szCs w:val="15"/>
              </w:rPr>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46"/>
              <w:jc w:val="right"/>
              <w:rPr>
                <w:rFonts w:ascii="Arial" w:hAnsi="Arial" w:cs="Arial" w:eastAsia="Arial" w:hint="default"/>
                <w:sz w:val="15"/>
                <w:szCs w:val="15"/>
              </w:rPr>
            </w:pPr>
            <w:r>
              <w:rPr>
                <w:rFonts w:ascii="Arial"/>
                <w:w w:val="100"/>
                <w:sz w:val="15"/>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7"/>
              <w:jc w:val="right"/>
              <w:rPr>
                <w:rFonts w:ascii="Arial" w:hAnsi="Arial" w:cs="Arial" w:eastAsia="Arial" w:hint="default"/>
                <w:sz w:val="15"/>
                <w:szCs w:val="15"/>
              </w:rPr>
            </w:pPr>
            <w:r>
              <w:rPr>
                <w:rFonts w:ascii="Arial"/>
                <w:w w:val="100"/>
                <w:sz w:val="15"/>
              </w:rPr>
              <w:t>-</w:t>
            </w:r>
          </w:p>
        </w:tc>
        <w:tc>
          <w:tcPr>
            <w:tcW w:w="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4"/>
              <w:jc w:val="right"/>
              <w:rPr>
                <w:rFonts w:ascii="Arial" w:hAnsi="Arial" w:cs="Arial" w:eastAsia="Arial" w:hint="default"/>
                <w:sz w:val="15"/>
                <w:szCs w:val="15"/>
              </w:rPr>
            </w:pPr>
            <w:r>
              <w:rPr>
                <w:rFonts w:ascii="Arial"/>
                <w:w w:val="100"/>
                <w:sz w:val="15"/>
              </w:rPr>
              <w:t>-</w:t>
            </w:r>
          </w:p>
        </w:tc>
        <w:tc>
          <w:tcPr>
            <w:tcW w:w="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1"/>
              <w:jc w:val="right"/>
              <w:rPr>
                <w:rFonts w:ascii="Arial" w:hAnsi="Arial" w:cs="Arial" w:eastAsia="Arial" w:hint="default"/>
                <w:sz w:val="15"/>
                <w:szCs w:val="15"/>
              </w:rPr>
            </w:pPr>
            <w:r>
              <w:rPr>
                <w:rFonts w:ascii="Arial"/>
                <w:w w:val="100"/>
                <w:sz w:val="15"/>
              </w:rPr>
              <w:t>-</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6"/>
              <w:jc w:val="right"/>
              <w:rPr>
                <w:rFonts w:ascii="Arial" w:hAnsi="Arial" w:cs="Arial" w:eastAsia="Arial" w:hint="default"/>
                <w:sz w:val="15"/>
                <w:szCs w:val="15"/>
              </w:rPr>
            </w:pPr>
            <w:r>
              <w:rPr>
                <w:rFonts w:ascii="Arial"/>
                <w:w w:val="100"/>
                <w:sz w:val="15"/>
              </w:rPr>
              <w:t>-</w:t>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8"/>
              <w:jc w:val="right"/>
              <w:rPr>
                <w:rFonts w:ascii="Arial" w:hAnsi="Arial" w:cs="Arial" w:eastAsia="Arial" w:hint="default"/>
                <w:sz w:val="15"/>
                <w:szCs w:val="15"/>
              </w:rPr>
            </w:pPr>
            <w:r>
              <w:rPr>
                <w:rFonts w:ascii="Arial"/>
                <w:w w:val="100"/>
                <w:sz w:val="15"/>
              </w:rPr>
              <w:t>-</w:t>
            </w:r>
          </w:p>
        </w:tc>
        <w:tc>
          <w:tcPr>
            <w:tcW w:w="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8"/>
              <w:jc w:val="right"/>
              <w:rPr>
                <w:rFonts w:ascii="Arial" w:hAnsi="Arial" w:cs="Arial" w:eastAsia="Arial" w:hint="default"/>
                <w:sz w:val="15"/>
                <w:szCs w:val="15"/>
              </w:rPr>
            </w:pPr>
            <w:r>
              <w:rPr>
                <w:rFonts w:ascii="Arial"/>
                <w:w w:val="100"/>
                <w:sz w:val="15"/>
              </w:rPr>
              <w:t>-</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53"/>
              <w:jc w:val="right"/>
              <w:rPr>
                <w:rFonts w:ascii="Arial" w:hAnsi="Arial" w:cs="Arial" w:eastAsia="Arial" w:hint="default"/>
                <w:sz w:val="15"/>
                <w:szCs w:val="15"/>
              </w:rPr>
            </w:pPr>
            <w:r>
              <w:rPr>
                <w:rFonts w:ascii="Arial"/>
                <w:w w:val="100"/>
                <w:sz w:val="15"/>
              </w:rPr>
              <w:t>-</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8"/>
              <w:jc w:val="right"/>
              <w:rPr>
                <w:rFonts w:ascii="Arial" w:hAnsi="Arial" w:cs="Arial" w:eastAsia="Arial" w:hint="default"/>
                <w:sz w:val="15"/>
                <w:szCs w:val="15"/>
              </w:rPr>
            </w:pPr>
            <w:r>
              <w:rPr>
                <w:rFonts w:ascii="Arial"/>
                <w:w w:val="100"/>
                <w:sz w:val="15"/>
              </w:rPr>
              <w:t>-</w:t>
            </w:r>
          </w:p>
        </w:tc>
      </w:tr>
      <w:tr>
        <w:trPr>
          <w:trHeight w:val="209" w:hRule="exact"/>
        </w:trPr>
        <w:tc>
          <w:tcPr>
            <w:tcW w:w="2231"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183" w:lineRule="exact"/>
              <w:ind w:left="100" w:right="0"/>
              <w:jc w:val="left"/>
              <w:rPr>
                <w:rFonts w:ascii="宋体" w:hAnsi="宋体" w:cs="宋体" w:eastAsia="宋体" w:hint="default"/>
                <w:sz w:val="15"/>
                <w:szCs w:val="15"/>
              </w:rPr>
            </w:pPr>
            <w:r>
              <w:rPr>
                <w:rFonts w:ascii="Arial" w:hAnsi="Arial" w:cs="Arial" w:eastAsia="Arial" w:hint="default"/>
                <w:b/>
                <w:bCs/>
                <w:sz w:val="15"/>
                <w:szCs w:val="15"/>
              </w:rPr>
              <w:t>4</w:t>
            </w:r>
            <w:r>
              <w:rPr>
                <w:rFonts w:ascii="宋体" w:hAnsi="宋体" w:cs="宋体" w:eastAsia="宋体" w:hint="default"/>
                <w:b/>
                <w:bCs/>
                <w:sz w:val="15"/>
                <w:szCs w:val="15"/>
              </w:rPr>
              <w:t>、外资持股</w:t>
            </w:r>
            <w:r>
              <w:rPr>
                <w:rFonts w:ascii="宋体" w:hAnsi="宋体" w:cs="宋体" w:eastAsia="宋体" w:hint="default"/>
                <w:sz w:val="15"/>
                <w:szCs w:val="15"/>
              </w:rPr>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46"/>
              <w:jc w:val="right"/>
              <w:rPr>
                <w:rFonts w:ascii="Arial" w:hAnsi="Arial" w:cs="Arial" w:eastAsia="Arial" w:hint="default"/>
                <w:sz w:val="15"/>
                <w:szCs w:val="15"/>
              </w:rPr>
            </w:pPr>
            <w:r>
              <w:rPr>
                <w:rFonts w:ascii="Arial"/>
                <w:w w:val="100"/>
                <w:sz w:val="15"/>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7"/>
              <w:jc w:val="right"/>
              <w:rPr>
                <w:rFonts w:ascii="Arial" w:hAnsi="Arial" w:cs="Arial" w:eastAsia="Arial" w:hint="default"/>
                <w:sz w:val="15"/>
                <w:szCs w:val="15"/>
              </w:rPr>
            </w:pPr>
            <w:r>
              <w:rPr>
                <w:rFonts w:ascii="Arial"/>
                <w:w w:val="100"/>
                <w:sz w:val="15"/>
              </w:rPr>
              <w:t>-</w:t>
            </w:r>
          </w:p>
        </w:tc>
        <w:tc>
          <w:tcPr>
            <w:tcW w:w="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4"/>
              <w:jc w:val="right"/>
              <w:rPr>
                <w:rFonts w:ascii="Arial" w:hAnsi="Arial" w:cs="Arial" w:eastAsia="Arial" w:hint="default"/>
                <w:sz w:val="15"/>
                <w:szCs w:val="15"/>
              </w:rPr>
            </w:pPr>
            <w:r>
              <w:rPr>
                <w:rFonts w:ascii="Arial"/>
                <w:w w:val="100"/>
                <w:sz w:val="15"/>
              </w:rPr>
              <w:t>-</w:t>
            </w:r>
          </w:p>
        </w:tc>
        <w:tc>
          <w:tcPr>
            <w:tcW w:w="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Arial" w:hAnsi="Arial" w:cs="Arial" w:eastAsia="Arial" w:hint="default"/>
                <w:sz w:val="15"/>
                <w:szCs w:val="15"/>
              </w:rPr>
            </w:pPr>
            <w:r>
              <w:rPr>
                <w:rFonts w:ascii="Arial"/>
                <w:w w:val="100"/>
                <w:sz w:val="15"/>
              </w:rPr>
              <w:t>-</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Arial" w:hAnsi="Arial" w:cs="Arial" w:eastAsia="Arial" w:hint="default"/>
                <w:sz w:val="15"/>
                <w:szCs w:val="15"/>
              </w:rPr>
            </w:pPr>
            <w:r>
              <w:rPr>
                <w:rFonts w:ascii="Arial"/>
                <w:w w:val="100"/>
                <w:sz w:val="15"/>
              </w:rPr>
              <w:t>-</w:t>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8"/>
              <w:jc w:val="right"/>
              <w:rPr>
                <w:rFonts w:ascii="Arial" w:hAnsi="Arial" w:cs="Arial" w:eastAsia="Arial" w:hint="default"/>
                <w:sz w:val="15"/>
                <w:szCs w:val="15"/>
              </w:rPr>
            </w:pPr>
            <w:r>
              <w:rPr>
                <w:rFonts w:ascii="Arial"/>
                <w:w w:val="100"/>
                <w:sz w:val="15"/>
              </w:rPr>
              <w:t>-</w:t>
            </w:r>
          </w:p>
        </w:tc>
        <w:tc>
          <w:tcPr>
            <w:tcW w:w="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8"/>
              <w:jc w:val="right"/>
              <w:rPr>
                <w:rFonts w:ascii="Arial" w:hAnsi="Arial" w:cs="Arial" w:eastAsia="Arial" w:hint="default"/>
                <w:sz w:val="15"/>
                <w:szCs w:val="15"/>
              </w:rPr>
            </w:pPr>
            <w:r>
              <w:rPr>
                <w:rFonts w:ascii="Arial"/>
                <w:w w:val="100"/>
                <w:sz w:val="15"/>
              </w:rPr>
              <w:t>-</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53"/>
              <w:jc w:val="right"/>
              <w:rPr>
                <w:rFonts w:ascii="Arial" w:hAnsi="Arial" w:cs="Arial" w:eastAsia="Arial" w:hint="default"/>
                <w:sz w:val="15"/>
                <w:szCs w:val="15"/>
              </w:rPr>
            </w:pPr>
            <w:r>
              <w:rPr>
                <w:rFonts w:ascii="Arial"/>
                <w:w w:val="100"/>
                <w:sz w:val="15"/>
              </w:rPr>
              <w:t>-</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Arial" w:hAnsi="Arial" w:cs="Arial" w:eastAsia="Arial" w:hint="default"/>
                <w:sz w:val="15"/>
                <w:szCs w:val="15"/>
              </w:rPr>
            </w:pPr>
            <w:r>
              <w:rPr>
                <w:rFonts w:ascii="Arial"/>
                <w:w w:val="100"/>
                <w:sz w:val="15"/>
              </w:rPr>
              <w:t>-</w:t>
            </w:r>
          </w:p>
        </w:tc>
      </w:tr>
      <w:tr>
        <w:trPr>
          <w:trHeight w:val="209" w:hRule="exact"/>
        </w:trPr>
        <w:tc>
          <w:tcPr>
            <w:tcW w:w="2231"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172" w:lineRule="exact"/>
              <w:ind w:left="348" w:right="0"/>
              <w:jc w:val="left"/>
              <w:rPr>
                <w:rFonts w:ascii="宋体" w:hAnsi="宋体" w:cs="宋体" w:eastAsia="宋体" w:hint="default"/>
                <w:sz w:val="15"/>
                <w:szCs w:val="15"/>
              </w:rPr>
            </w:pPr>
            <w:r>
              <w:rPr>
                <w:rFonts w:ascii="宋体" w:hAnsi="宋体" w:cs="宋体" w:eastAsia="宋体" w:hint="default"/>
                <w:b/>
                <w:bCs/>
                <w:sz w:val="15"/>
                <w:szCs w:val="15"/>
              </w:rPr>
              <w:t>其中：境外法人持股</w:t>
            </w:r>
            <w:r>
              <w:rPr>
                <w:rFonts w:ascii="宋体" w:hAnsi="宋体" w:cs="宋体" w:eastAsia="宋体" w:hint="default"/>
                <w:sz w:val="15"/>
                <w:szCs w:val="15"/>
              </w:rPr>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46"/>
              <w:jc w:val="right"/>
              <w:rPr>
                <w:rFonts w:ascii="Arial" w:hAnsi="Arial" w:cs="Arial" w:eastAsia="Arial" w:hint="default"/>
                <w:sz w:val="15"/>
                <w:szCs w:val="15"/>
              </w:rPr>
            </w:pPr>
            <w:r>
              <w:rPr>
                <w:rFonts w:ascii="Arial"/>
                <w:w w:val="100"/>
                <w:sz w:val="15"/>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7"/>
              <w:jc w:val="right"/>
              <w:rPr>
                <w:rFonts w:ascii="Arial" w:hAnsi="Arial" w:cs="Arial" w:eastAsia="Arial" w:hint="default"/>
                <w:sz w:val="15"/>
                <w:szCs w:val="15"/>
              </w:rPr>
            </w:pPr>
            <w:r>
              <w:rPr>
                <w:rFonts w:ascii="Arial"/>
                <w:w w:val="100"/>
                <w:sz w:val="15"/>
              </w:rPr>
              <w:t>-</w:t>
            </w:r>
          </w:p>
        </w:tc>
        <w:tc>
          <w:tcPr>
            <w:tcW w:w="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4"/>
              <w:jc w:val="right"/>
              <w:rPr>
                <w:rFonts w:ascii="Arial" w:hAnsi="Arial" w:cs="Arial" w:eastAsia="Arial" w:hint="default"/>
                <w:sz w:val="15"/>
                <w:szCs w:val="15"/>
              </w:rPr>
            </w:pPr>
            <w:r>
              <w:rPr>
                <w:rFonts w:ascii="Arial"/>
                <w:w w:val="100"/>
                <w:sz w:val="15"/>
              </w:rPr>
              <w:t>-</w:t>
            </w:r>
          </w:p>
        </w:tc>
        <w:tc>
          <w:tcPr>
            <w:tcW w:w="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Arial" w:hAnsi="Arial" w:cs="Arial" w:eastAsia="Arial" w:hint="default"/>
                <w:sz w:val="15"/>
                <w:szCs w:val="15"/>
              </w:rPr>
            </w:pPr>
            <w:r>
              <w:rPr>
                <w:rFonts w:ascii="Arial"/>
                <w:w w:val="100"/>
                <w:sz w:val="15"/>
              </w:rPr>
              <w:t>-</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Arial" w:hAnsi="Arial" w:cs="Arial" w:eastAsia="Arial" w:hint="default"/>
                <w:sz w:val="15"/>
                <w:szCs w:val="15"/>
              </w:rPr>
            </w:pPr>
            <w:r>
              <w:rPr>
                <w:rFonts w:ascii="Arial"/>
                <w:w w:val="100"/>
                <w:sz w:val="15"/>
              </w:rPr>
              <w:t>-</w:t>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8"/>
              <w:jc w:val="right"/>
              <w:rPr>
                <w:rFonts w:ascii="Arial" w:hAnsi="Arial" w:cs="Arial" w:eastAsia="Arial" w:hint="default"/>
                <w:sz w:val="15"/>
                <w:szCs w:val="15"/>
              </w:rPr>
            </w:pPr>
            <w:r>
              <w:rPr>
                <w:rFonts w:ascii="Arial"/>
                <w:w w:val="100"/>
                <w:sz w:val="15"/>
              </w:rPr>
              <w:t>-</w:t>
            </w:r>
          </w:p>
        </w:tc>
        <w:tc>
          <w:tcPr>
            <w:tcW w:w="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8"/>
              <w:jc w:val="right"/>
              <w:rPr>
                <w:rFonts w:ascii="Arial" w:hAnsi="Arial" w:cs="Arial" w:eastAsia="Arial" w:hint="default"/>
                <w:sz w:val="15"/>
                <w:szCs w:val="15"/>
              </w:rPr>
            </w:pPr>
            <w:r>
              <w:rPr>
                <w:rFonts w:ascii="Arial"/>
                <w:w w:val="100"/>
                <w:sz w:val="15"/>
              </w:rPr>
              <w:t>-</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53"/>
              <w:jc w:val="right"/>
              <w:rPr>
                <w:rFonts w:ascii="Arial" w:hAnsi="Arial" w:cs="Arial" w:eastAsia="Arial" w:hint="default"/>
                <w:sz w:val="15"/>
                <w:szCs w:val="15"/>
              </w:rPr>
            </w:pPr>
            <w:r>
              <w:rPr>
                <w:rFonts w:ascii="Arial"/>
                <w:w w:val="100"/>
                <w:sz w:val="15"/>
              </w:rPr>
              <w:t>-</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Arial" w:hAnsi="Arial" w:cs="Arial" w:eastAsia="Arial" w:hint="default"/>
                <w:sz w:val="15"/>
                <w:szCs w:val="15"/>
              </w:rPr>
            </w:pPr>
            <w:r>
              <w:rPr>
                <w:rFonts w:ascii="Arial"/>
                <w:w w:val="100"/>
                <w:sz w:val="15"/>
              </w:rPr>
              <w:t>-</w:t>
            </w:r>
          </w:p>
        </w:tc>
      </w:tr>
      <w:tr>
        <w:trPr>
          <w:trHeight w:val="211" w:hRule="exact"/>
        </w:trPr>
        <w:tc>
          <w:tcPr>
            <w:tcW w:w="2231"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175" w:lineRule="exact"/>
              <w:ind w:left="845" w:right="0"/>
              <w:jc w:val="left"/>
              <w:rPr>
                <w:rFonts w:ascii="宋体" w:hAnsi="宋体" w:cs="宋体" w:eastAsia="宋体" w:hint="default"/>
                <w:sz w:val="15"/>
                <w:szCs w:val="15"/>
              </w:rPr>
            </w:pPr>
            <w:r>
              <w:rPr>
                <w:rFonts w:ascii="宋体" w:hAnsi="宋体" w:cs="宋体" w:eastAsia="宋体" w:hint="default"/>
                <w:b/>
                <w:bCs/>
                <w:sz w:val="15"/>
                <w:szCs w:val="15"/>
              </w:rPr>
              <w:t>境外自然人持股</w:t>
            </w:r>
            <w:r>
              <w:rPr>
                <w:rFonts w:ascii="宋体" w:hAnsi="宋体" w:cs="宋体" w:eastAsia="宋体" w:hint="default"/>
                <w:sz w:val="15"/>
                <w:szCs w:val="15"/>
              </w:rPr>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46"/>
              <w:jc w:val="right"/>
              <w:rPr>
                <w:rFonts w:ascii="Arial" w:hAnsi="Arial" w:cs="Arial" w:eastAsia="Arial" w:hint="default"/>
                <w:sz w:val="15"/>
                <w:szCs w:val="15"/>
              </w:rPr>
            </w:pPr>
            <w:r>
              <w:rPr>
                <w:rFonts w:ascii="Arial"/>
                <w:w w:val="100"/>
                <w:sz w:val="15"/>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7"/>
              <w:jc w:val="right"/>
              <w:rPr>
                <w:rFonts w:ascii="Arial" w:hAnsi="Arial" w:cs="Arial" w:eastAsia="Arial" w:hint="default"/>
                <w:sz w:val="15"/>
                <w:szCs w:val="15"/>
              </w:rPr>
            </w:pPr>
            <w:r>
              <w:rPr>
                <w:rFonts w:ascii="Arial"/>
                <w:w w:val="100"/>
                <w:sz w:val="15"/>
              </w:rPr>
              <w:t>-</w:t>
            </w:r>
          </w:p>
        </w:tc>
        <w:tc>
          <w:tcPr>
            <w:tcW w:w="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4"/>
              <w:jc w:val="right"/>
              <w:rPr>
                <w:rFonts w:ascii="Arial" w:hAnsi="Arial" w:cs="Arial" w:eastAsia="Arial" w:hint="default"/>
                <w:sz w:val="15"/>
                <w:szCs w:val="15"/>
              </w:rPr>
            </w:pPr>
            <w:r>
              <w:rPr>
                <w:rFonts w:ascii="Arial"/>
                <w:w w:val="100"/>
                <w:sz w:val="15"/>
              </w:rPr>
              <w:t>-</w:t>
            </w:r>
          </w:p>
        </w:tc>
        <w:tc>
          <w:tcPr>
            <w:tcW w:w="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Arial" w:hAnsi="Arial" w:cs="Arial" w:eastAsia="Arial" w:hint="default"/>
                <w:sz w:val="15"/>
                <w:szCs w:val="15"/>
              </w:rPr>
            </w:pPr>
            <w:r>
              <w:rPr>
                <w:rFonts w:ascii="Arial"/>
                <w:w w:val="100"/>
                <w:sz w:val="15"/>
              </w:rPr>
              <w:t>-</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Arial" w:hAnsi="Arial" w:cs="Arial" w:eastAsia="Arial" w:hint="default"/>
                <w:sz w:val="15"/>
                <w:szCs w:val="15"/>
              </w:rPr>
            </w:pPr>
            <w:r>
              <w:rPr>
                <w:rFonts w:ascii="Arial"/>
                <w:w w:val="100"/>
                <w:sz w:val="15"/>
              </w:rPr>
              <w:t>-</w:t>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8"/>
              <w:jc w:val="right"/>
              <w:rPr>
                <w:rFonts w:ascii="Arial" w:hAnsi="Arial" w:cs="Arial" w:eastAsia="Arial" w:hint="default"/>
                <w:sz w:val="15"/>
                <w:szCs w:val="15"/>
              </w:rPr>
            </w:pPr>
            <w:r>
              <w:rPr>
                <w:rFonts w:ascii="Arial"/>
                <w:w w:val="100"/>
                <w:sz w:val="15"/>
              </w:rPr>
              <w:t>-</w:t>
            </w:r>
          </w:p>
        </w:tc>
        <w:tc>
          <w:tcPr>
            <w:tcW w:w="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8"/>
              <w:jc w:val="right"/>
              <w:rPr>
                <w:rFonts w:ascii="Arial" w:hAnsi="Arial" w:cs="Arial" w:eastAsia="Arial" w:hint="default"/>
                <w:sz w:val="15"/>
                <w:szCs w:val="15"/>
              </w:rPr>
            </w:pPr>
            <w:r>
              <w:rPr>
                <w:rFonts w:ascii="Arial"/>
                <w:w w:val="100"/>
                <w:sz w:val="15"/>
              </w:rPr>
              <w:t>-</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53"/>
              <w:jc w:val="right"/>
              <w:rPr>
                <w:rFonts w:ascii="Arial" w:hAnsi="Arial" w:cs="Arial" w:eastAsia="Arial" w:hint="default"/>
                <w:sz w:val="15"/>
                <w:szCs w:val="15"/>
              </w:rPr>
            </w:pPr>
            <w:r>
              <w:rPr>
                <w:rFonts w:ascii="Arial"/>
                <w:w w:val="100"/>
                <w:sz w:val="15"/>
              </w:rPr>
              <w:t>-</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Arial" w:hAnsi="Arial" w:cs="Arial" w:eastAsia="Arial" w:hint="default"/>
                <w:sz w:val="15"/>
                <w:szCs w:val="15"/>
              </w:rPr>
            </w:pPr>
            <w:r>
              <w:rPr>
                <w:rFonts w:ascii="Arial"/>
                <w:w w:val="100"/>
                <w:sz w:val="15"/>
              </w:rPr>
              <w:t>-</w:t>
            </w:r>
          </w:p>
        </w:tc>
      </w:tr>
      <w:tr>
        <w:trPr>
          <w:trHeight w:val="209" w:hRule="exact"/>
        </w:trPr>
        <w:tc>
          <w:tcPr>
            <w:tcW w:w="2231"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b/>
                <w:bCs/>
                <w:sz w:val="15"/>
                <w:szCs w:val="15"/>
              </w:rPr>
              <w:t>二、无限售条件流通股份</w:t>
            </w:r>
            <w:r>
              <w:rPr>
                <w:rFonts w:ascii="宋体" w:hAnsi="宋体" w:cs="宋体" w:eastAsia="宋体" w:hint="default"/>
                <w:sz w:val="15"/>
                <w:szCs w:val="15"/>
              </w:rPr>
            </w:r>
          </w:p>
        </w:tc>
        <w:tc>
          <w:tcPr>
            <w:tcW w:w="5851" w:type="dxa"/>
            <w:gridSpan w:val="9"/>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231"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183" w:lineRule="exact"/>
              <w:ind w:left="100" w:right="0"/>
              <w:jc w:val="left"/>
              <w:rPr>
                <w:rFonts w:ascii="宋体" w:hAnsi="宋体" w:cs="宋体" w:eastAsia="宋体" w:hint="default"/>
                <w:sz w:val="15"/>
                <w:szCs w:val="15"/>
              </w:rPr>
            </w:pPr>
            <w:r>
              <w:rPr>
                <w:rFonts w:ascii="Arial" w:hAnsi="Arial" w:cs="Arial" w:eastAsia="Arial" w:hint="default"/>
                <w:b/>
                <w:bCs/>
                <w:sz w:val="15"/>
                <w:szCs w:val="15"/>
              </w:rPr>
              <w:t>1</w:t>
            </w:r>
            <w:r>
              <w:rPr>
                <w:rFonts w:ascii="宋体" w:hAnsi="宋体" w:cs="宋体" w:eastAsia="宋体" w:hint="default"/>
                <w:b/>
                <w:bCs/>
                <w:sz w:val="15"/>
                <w:szCs w:val="15"/>
              </w:rPr>
              <w:t>、人民币普通股</w:t>
            </w:r>
            <w:r>
              <w:rPr>
                <w:rFonts w:ascii="宋体" w:hAnsi="宋体" w:cs="宋体" w:eastAsia="宋体" w:hint="default"/>
                <w:sz w:val="15"/>
                <w:szCs w:val="15"/>
              </w:rPr>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58"/>
              <w:jc w:val="right"/>
              <w:rPr>
                <w:rFonts w:ascii="Arial" w:hAnsi="Arial" w:cs="Arial" w:eastAsia="Arial" w:hint="default"/>
                <w:sz w:val="15"/>
                <w:szCs w:val="15"/>
              </w:rPr>
            </w:pPr>
            <w:r>
              <w:rPr>
                <w:rFonts w:ascii="Arial"/>
                <w:spacing w:val="-1"/>
                <w:sz w:val="15"/>
              </w:rPr>
              <w:t>21,196,596,395</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78"/>
              <w:jc w:val="right"/>
              <w:rPr>
                <w:rFonts w:ascii="Arial" w:hAnsi="Arial" w:cs="Arial" w:eastAsia="Arial" w:hint="default"/>
                <w:sz w:val="15"/>
                <w:szCs w:val="15"/>
              </w:rPr>
            </w:pPr>
            <w:r>
              <w:rPr>
                <w:rFonts w:ascii="Arial"/>
                <w:spacing w:val="-1"/>
                <w:sz w:val="15"/>
              </w:rPr>
              <w:t>100</w:t>
            </w:r>
            <w:r>
              <w:rPr>
                <w:rFonts w:ascii="Arial"/>
                <w:sz w:val="15"/>
              </w:rPr>
            </w:r>
          </w:p>
        </w:tc>
        <w:tc>
          <w:tcPr>
            <w:tcW w:w="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8"/>
              <w:jc w:val="right"/>
              <w:rPr>
                <w:rFonts w:ascii="Arial" w:hAnsi="Arial" w:cs="Arial" w:eastAsia="Arial" w:hint="default"/>
                <w:sz w:val="15"/>
                <w:szCs w:val="15"/>
              </w:rPr>
            </w:pPr>
            <w:r>
              <w:rPr>
                <w:rFonts w:ascii="Arial"/>
                <w:w w:val="100"/>
                <w:sz w:val="15"/>
              </w:rPr>
              <w:t>-</w:t>
            </w:r>
          </w:p>
        </w:tc>
        <w:tc>
          <w:tcPr>
            <w:tcW w:w="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Arial" w:hAnsi="Arial" w:cs="Arial" w:eastAsia="Arial" w:hint="default"/>
                <w:sz w:val="15"/>
                <w:szCs w:val="15"/>
              </w:rPr>
            </w:pPr>
            <w:r>
              <w:rPr>
                <w:rFonts w:ascii="Arial"/>
                <w:w w:val="100"/>
                <w:sz w:val="15"/>
              </w:rPr>
              <w:t>-</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Arial" w:hAnsi="Arial" w:cs="Arial" w:eastAsia="Arial" w:hint="default"/>
                <w:sz w:val="15"/>
                <w:szCs w:val="15"/>
              </w:rPr>
            </w:pPr>
            <w:r>
              <w:rPr>
                <w:rFonts w:ascii="Arial"/>
                <w:w w:val="100"/>
                <w:sz w:val="15"/>
              </w:rPr>
              <w:t>-</w:t>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4"/>
              <w:jc w:val="right"/>
              <w:rPr>
                <w:rFonts w:ascii="Arial" w:hAnsi="Arial" w:cs="Arial" w:eastAsia="Arial" w:hint="default"/>
                <w:sz w:val="15"/>
                <w:szCs w:val="15"/>
              </w:rPr>
            </w:pPr>
            <w:r>
              <w:rPr>
                <w:rFonts w:ascii="Arial"/>
                <w:w w:val="100"/>
                <w:sz w:val="15"/>
              </w:rPr>
              <w:t>-</w:t>
            </w:r>
          </w:p>
        </w:tc>
        <w:tc>
          <w:tcPr>
            <w:tcW w:w="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4"/>
              <w:jc w:val="right"/>
              <w:rPr>
                <w:rFonts w:ascii="Arial" w:hAnsi="Arial" w:cs="Arial" w:eastAsia="Arial" w:hint="default"/>
                <w:sz w:val="15"/>
                <w:szCs w:val="15"/>
              </w:rPr>
            </w:pPr>
            <w:r>
              <w:rPr>
                <w:rFonts w:ascii="Arial"/>
                <w:w w:val="100"/>
                <w:sz w:val="15"/>
              </w:rPr>
              <w:t>-</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51"/>
              <w:jc w:val="right"/>
              <w:rPr>
                <w:rFonts w:ascii="Arial" w:hAnsi="Arial" w:cs="Arial" w:eastAsia="Arial" w:hint="default"/>
                <w:sz w:val="15"/>
                <w:szCs w:val="15"/>
              </w:rPr>
            </w:pPr>
            <w:r>
              <w:rPr>
                <w:rFonts w:ascii="Arial"/>
                <w:spacing w:val="-1"/>
                <w:sz w:val="15"/>
              </w:rPr>
              <w:t>21,196,596,395</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Arial" w:hAnsi="Arial" w:cs="Arial" w:eastAsia="Arial" w:hint="default"/>
                <w:sz w:val="15"/>
                <w:szCs w:val="15"/>
              </w:rPr>
            </w:pPr>
            <w:r>
              <w:rPr>
                <w:rFonts w:ascii="Arial"/>
                <w:spacing w:val="-1"/>
                <w:sz w:val="15"/>
              </w:rPr>
              <w:t>100</w:t>
            </w:r>
            <w:r>
              <w:rPr>
                <w:rFonts w:ascii="Arial"/>
                <w:sz w:val="15"/>
              </w:rPr>
            </w:r>
          </w:p>
        </w:tc>
      </w:tr>
      <w:tr>
        <w:trPr>
          <w:trHeight w:val="211" w:hRule="exact"/>
        </w:trPr>
        <w:tc>
          <w:tcPr>
            <w:tcW w:w="2231"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185" w:lineRule="exact"/>
              <w:ind w:left="100" w:right="0"/>
              <w:jc w:val="left"/>
              <w:rPr>
                <w:rFonts w:ascii="宋体" w:hAnsi="宋体" w:cs="宋体" w:eastAsia="宋体" w:hint="default"/>
                <w:sz w:val="15"/>
                <w:szCs w:val="15"/>
              </w:rPr>
            </w:pPr>
            <w:r>
              <w:rPr>
                <w:rFonts w:ascii="Arial" w:hAnsi="Arial" w:cs="Arial" w:eastAsia="Arial" w:hint="default"/>
                <w:b/>
                <w:bCs/>
                <w:sz w:val="15"/>
                <w:szCs w:val="15"/>
              </w:rPr>
              <w:t>2</w:t>
            </w:r>
            <w:r>
              <w:rPr>
                <w:rFonts w:ascii="宋体" w:hAnsi="宋体" w:cs="宋体" w:eastAsia="宋体" w:hint="default"/>
                <w:b/>
                <w:bCs/>
                <w:sz w:val="15"/>
                <w:szCs w:val="15"/>
              </w:rPr>
              <w:t>、境内上市的外资股</w:t>
            </w:r>
            <w:r>
              <w:rPr>
                <w:rFonts w:ascii="宋体" w:hAnsi="宋体" w:cs="宋体" w:eastAsia="宋体" w:hint="default"/>
                <w:sz w:val="15"/>
                <w:szCs w:val="15"/>
              </w:rPr>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60"/>
              <w:jc w:val="right"/>
              <w:rPr>
                <w:rFonts w:ascii="Arial" w:hAnsi="Arial" w:cs="Arial" w:eastAsia="Arial" w:hint="default"/>
                <w:sz w:val="15"/>
                <w:szCs w:val="15"/>
              </w:rPr>
            </w:pPr>
            <w:r>
              <w:rPr>
                <w:rFonts w:ascii="Arial"/>
                <w:w w:val="100"/>
                <w:sz w:val="15"/>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81"/>
              <w:jc w:val="right"/>
              <w:rPr>
                <w:rFonts w:ascii="Arial" w:hAnsi="Arial" w:cs="Arial" w:eastAsia="Arial" w:hint="default"/>
                <w:sz w:val="15"/>
                <w:szCs w:val="15"/>
              </w:rPr>
            </w:pPr>
            <w:r>
              <w:rPr>
                <w:rFonts w:ascii="Arial"/>
                <w:w w:val="100"/>
                <w:sz w:val="15"/>
              </w:rPr>
              <w:t>-</w:t>
            </w:r>
          </w:p>
        </w:tc>
        <w:tc>
          <w:tcPr>
            <w:tcW w:w="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8"/>
              <w:jc w:val="right"/>
              <w:rPr>
                <w:rFonts w:ascii="Arial" w:hAnsi="Arial" w:cs="Arial" w:eastAsia="Arial" w:hint="default"/>
                <w:sz w:val="15"/>
                <w:szCs w:val="15"/>
              </w:rPr>
            </w:pPr>
            <w:r>
              <w:rPr>
                <w:rFonts w:ascii="Arial"/>
                <w:w w:val="100"/>
                <w:sz w:val="15"/>
              </w:rPr>
              <w:t>-</w:t>
            </w:r>
          </w:p>
        </w:tc>
        <w:tc>
          <w:tcPr>
            <w:tcW w:w="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Arial" w:hAnsi="Arial" w:cs="Arial" w:eastAsia="Arial" w:hint="default"/>
                <w:sz w:val="15"/>
                <w:szCs w:val="15"/>
              </w:rPr>
            </w:pPr>
            <w:r>
              <w:rPr>
                <w:rFonts w:ascii="Arial"/>
                <w:w w:val="100"/>
                <w:sz w:val="15"/>
              </w:rPr>
              <w:t>-</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Arial" w:hAnsi="Arial" w:cs="Arial" w:eastAsia="Arial" w:hint="default"/>
                <w:sz w:val="15"/>
                <w:szCs w:val="15"/>
              </w:rPr>
            </w:pPr>
            <w:r>
              <w:rPr>
                <w:rFonts w:ascii="Arial"/>
                <w:w w:val="100"/>
                <w:sz w:val="15"/>
              </w:rPr>
              <w:t>-</w:t>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4"/>
              <w:jc w:val="right"/>
              <w:rPr>
                <w:rFonts w:ascii="Arial" w:hAnsi="Arial" w:cs="Arial" w:eastAsia="Arial" w:hint="default"/>
                <w:sz w:val="15"/>
                <w:szCs w:val="15"/>
              </w:rPr>
            </w:pPr>
            <w:r>
              <w:rPr>
                <w:rFonts w:ascii="Arial"/>
                <w:w w:val="100"/>
                <w:sz w:val="15"/>
              </w:rPr>
              <w:t>-</w:t>
            </w:r>
          </w:p>
        </w:tc>
        <w:tc>
          <w:tcPr>
            <w:tcW w:w="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4"/>
              <w:jc w:val="right"/>
              <w:rPr>
                <w:rFonts w:ascii="Arial" w:hAnsi="Arial" w:cs="Arial" w:eastAsia="Arial" w:hint="default"/>
                <w:sz w:val="15"/>
                <w:szCs w:val="15"/>
              </w:rPr>
            </w:pPr>
            <w:r>
              <w:rPr>
                <w:rFonts w:ascii="Arial"/>
                <w:w w:val="100"/>
                <w:sz w:val="15"/>
              </w:rPr>
              <w:t>-</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53"/>
              <w:jc w:val="right"/>
              <w:rPr>
                <w:rFonts w:ascii="Arial" w:hAnsi="Arial" w:cs="Arial" w:eastAsia="Arial" w:hint="default"/>
                <w:sz w:val="15"/>
                <w:szCs w:val="15"/>
              </w:rPr>
            </w:pPr>
            <w:r>
              <w:rPr>
                <w:rFonts w:ascii="Arial"/>
                <w:w w:val="100"/>
                <w:sz w:val="15"/>
              </w:rPr>
              <w:t>-</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Arial" w:hAnsi="Arial" w:cs="Arial" w:eastAsia="Arial" w:hint="default"/>
                <w:sz w:val="15"/>
                <w:szCs w:val="15"/>
              </w:rPr>
            </w:pPr>
            <w:r>
              <w:rPr>
                <w:rFonts w:ascii="Arial"/>
                <w:w w:val="100"/>
                <w:sz w:val="15"/>
              </w:rPr>
              <w:t>-</w:t>
            </w:r>
          </w:p>
        </w:tc>
      </w:tr>
      <w:tr>
        <w:trPr>
          <w:trHeight w:val="209" w:hRule="exact"/>
        </w:trPr>
        <w:tc>
          <w:tcPr>
            <w:tcW w:w="2231"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183" w:lineRule="exact"/>
              <w:ind w:left="100" w:right="0"/>
              <w:jc w:val="left"/>
              <w:rPr>
                <w:rFonts w:ascii="宋体" w:hAnsi="宋体" w:cs="宋体" w:eastAsia="宋体" w:hint="default"/>
                <w:sz w:val="15"/>
                <w:szCs w:val="15"/>
              </w:rPr>
            </w:pPr>
            <w:r>
              <w:rPr>
                <w:rFonts w:ascii="Arial" w:hAnsi="Arial" w:cs="Arial" w:eastAsia="Arial" w:hint="default"/>
                <w:b/>
                <w:bCs/>
                <w:sz w:val="15"/>
                <w:szCs w:val="15"/>
              </w:rPr>
              <w:t>3</w:t>
            </w:r>
            <w:r>
              <w:rPr>
                <w:rFonts w:ascii="宋体" w:hAnsi="宋体" w:cs="宋体" w:eastAsia="宋体" w:hint="default"/>
                <w:b/>
                <w:bCs/>
                <w:sz w:val="15"/>
                <w:szCs w:val="15"/>
              </w:rPr>
              <w:t>、境外上市的外资股</w:t>
            </w:r>
            <w:r>
              <w:rPr>
                <w:rFonts w:ascii="宋体" w:hAnsi="宋体" w:cs="宋体" w:eastAsia="宋体" w:hint="default"/>
                <w:sz w:val="15"/>
                <w:szCs w:val="15"/>
              </w:rPr>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60"/>
              <w:jc w:val="right"/>
              <w:rPr>
                <w:rFonts w:ascii="Arial" w:hAnsi="Arial" w:cs="Arial" w:eastAsia="Arial" w:hint="default"/>
                <w:sz w:val="15"/>
                <w:szCs w:val="15"/>
              </w:rPr>
            </w:pPr>
            <w:r>
              <w:rPr>
                <w:rFonts w:ascii="Arial"/>
                <w:w w:val="100"/>
                <w:sz w:val="15"/>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81"/>
              <w:jc w:val="right"/>
              <w:rPr>
                <w:rFonts w:ascii="Arial" w:hAnsi="Arial" w:cs="Arial" w:eastAsia="Arial" w:hint="default"/>
                <w:sz w:val="15"/>
                <w:szCs w:val="15"/>
              </w:rPr>
            </w:pPr>
            <w:r>
              <w:rPr>
                <w:rFonts w:ascii="Arial"/>
                <w:w w:val="100"/>
                <w:sz w:val="15"/>
              </w:rPr>
              <w:t>-</w:t>
            </w:r>
          </w:p>
        </w:tc>
        <w:tc>
          <w:tcPr>
            <w:tcW w:w="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8"/>
              <w:jc w:val="right"/>
              <w:rPr>
                <w:rFonts w:ascii="Arial" w:hAnsi="Arial" w:cs="Arial" w:eastAsia="Arial" w:hint="default"/>
                <w:sz w:val="15"/>
                <w:szCs w:val="15"/>
              </w:rPr>
            </w:pPr>
            <w:r>
              <w:rPr>
                <w:rFonts w:ascii="Arial"/>
                <w:w w:val="100"/>
                <w:sz w:val="15"/>
              </w:rPr>
              <w:t>-</w:t>
            </w:r>
          </w:p>
        </w:tc>
        <w:tc>
          <w:tcPr>
            <w:tcW w:w="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1"/>
              <w:jc w:val="right"/>
              <w:rPr>
                <w:rFonts w:ascii="Arial" w:hAnsi="Arial" w:cs="Arial" w:eastAsia="Arial" w:hint="default"/>
                <w:sz w:val="15"/>
                <w:szCs w:val="15"/>
              </w:rPr>
            </w:pPr>
            <w:r>
              <w:rPr>
                <w:rFonts w:ascii="Arial"/>
                <w:w w:val="100"/>
                <w:sz w:val="15"/>
              </w:rPr>
              <w:t>-</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6"/>
              <w:jc w:val="right"/>
              <w:rPr>
                <w:rFonts w:ascii="Arial" w:hAnsi="Arial" w:cs="Arial" w:eastAsia="Arial" w:hint="default"/>
                <w:sz w:val="15"/>
                <w:szCs w:val="15"/>
              </w:rPr>
            </w:pPr>
            <w:r>
              <w:rPr>
                <w:rFonts w:ascii="Arial"/>
                <w:w w:val="100"/>
                <w:sz w:val="15"/>
              </w:rPr>
              <w:t>-</w:t>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4"/>
              <w:jc w:val="right"/>
              <w:rPr>
                <w:rFonts w:ascii="Arial" w:hAnsi="Arial" w:cs="Arial" w:eastAsia="Arial" w:hint="default"/>
                <w:sz w:val="15"/>
                <w:szCs w:val="15"/>
              </w:rPr>
            </w:pPr>
            <w:r>
              <w:rPr>
                <w:rFonts w:ascii="Arial"/>
                <w:w w:val="100"/>
                <w:sz w:val="15"/>
              </w:rPr>
              <w:t>-</w:t>
            </w:r>
          </w:p>
        </w:tc>
        <w:tc>
          <w:tcPr>
            <w:tcW w:w="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4"/>
              <w:jc w:val="right"/>
              <w:rPr>
                <w:rFonts w:ascii="Arial" w:hAnsi="Arial" w:cs="Arial" w:eastAsia="Arial" w:hint="default"/>
                <w:sz w:val="15"/>
                <w:szCs w:val="15"/>
              </w:rPr>
            </w:pPr>
            <w:r>
              <w:rPr>
                <w:rFonts w:ascii="Arial"/>
                <w:w w:val="100"/>
                <w:sz w:val="15"/>
              </w:rPr>
              <w:t>-</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53"/>
              <w:jc w:val="right"/>
              <w:rPr>
                <w:rFonts w:ascii="Arial" w:hAnsi="Arial" w:cs="Arial" w:eastAsia="Arial" w:hint="default"/>
                <w:sz w:val="15"/>
                <w:szCs w:val="15"/>
              </w:rPr>
            </w:pPr>
            <w:r>
              <w:rPr>
                <w:rFonts w:ascii="Arial"/>
                <w:w w:val="100"/>
                <w:sz w:val="15"/>
              </w:rPr>
              <w:t>-</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8"/>
              <w:jc w:val="right"/>
              <w:rPr>
                <w:rFonts w:ascii="Arial" w:hAnsi="Arial" w:cs="Arial" w:eastAsia="Arial" w:hint="default"/>
                <w:sz w:val="15"/>
                <w:szCs w:val="15"/>
              </w:rPr>
            </w:pPr>
            <w:r>
              <w:rPr>
                <w:rFonts w:ascii="Arial"/>
                <w:w w:val="100"/>
                <w:sz w:val="15"/>
              </w:rPr>
              <w:t>-</w:t>
            </w:r>
          </w:p>
        </w:tc>
      </w:tr>
      <w:tr>
        <w:trPr>
          <w:trHeight w:val="209" w:hRule="exact"/>
        </w:trPr>
        <w:tc>
          <w:tcPr>
            <w:tcW w:w="2231"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183" w:lineRule="exact"/>
              <w:ind w:left="100" w:right="0"/>
              <w:jc w:val="left"/>
              <w:rPr>
                <w:rFonts w:ascii="宋体" w:hAnsi="宋体" w:cs="宋体" w:eastAsia="宋体" w:hint="default"/>
                <w:sz w:val="15"/>
                <w:szCs w:val="15"/>
              </w:rPr>
            </w:pPr>
            <w:r>
              <w:rPr>
                <w:rFonts w:ascii="Arial" w:hAnsi="Arial" w:cs="Arial" w:eastAsia="Arial" w:hint="default"/>
                <w:b/>
                <w:bCs/>
                <w:sz w:val="15"/>
                <w:szCs w:val="15"/>
              </w:rPr>
              <w:t>4</w:t>
            </w:r>
            <w:r>
              <w:rPr>
                <w:rFonts w:ascii="宋体" w:hAnsi="宋体" w:cs="宋体" w:eastAsia="宋体" w:hint="default"/>
                <w:b/>
                <w:bCs/>
                <w:sz w:val="15"/>
                <w:szCs w:val="15"/>
              </w:rPr>
              <w:t>、其他</w:t>
            </w:r>
            <w:r>
              <w:rPr>
                <w:rFonts w:ascii="宋体" w:hAnsi="宋体" w:cs="宋体" w:eastAsia="宋体" w:hint="default"/>
                <w:sz w:val="15"/>
                <w:szCs w:val="15"/>
              </w:rPr>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60"/>
              <w:jc w:val="right"/>
              <w:rPr>
                <w:rFonts w:ascii="Arial" w:hAnsi="Arial" w:cs="Arial" w:eastAsia="Arial" w:hint="default"/>
                <w:sz w:val="15"/>
                <w:szCs w:val="15"/>
              </w:rPr>
            </w:pPr>
            <w:r>
              <w:rPr>
                <w:rFonts w:ascii="Arial"/>
                <w:w w:val="100"/>
                <w:sz w:val="15"/>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81"/>
              <w:jc w:val="right"/>
              <w:rPr>
                <w:rFonts w:ascii="Arial" w:hAnsi="Arial" w:cs="Arial" w:eastAsia="Arial" w:hint="default"/>
                <w:sz w:val="15"/>
                <w:szCs w:val="15"/>
              </w:rPr>
            </w:pPr>
            <w:r>
              <w:rPr>
                <w:rFonts w:ascii="Arial"/>
                <w:w w:val="100"/>
                <w:sz w:val="15"/>
              </w:rPr>
              <w:t>-</w:t>
            </w:r>
          </w:p>
        </w:tc>
        <w:tc>
          <w:tcPr>
            <w:tcW w:w="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8"/>
              <w:jc w:val="right"/>
              <w:rPr>
                <w:rFonts w:ascii="Arial" w:hAnsi="Arial" w:cs="Arial" w:eastAsia="Arial" w:hint="default"/>
                <w:sz w:val="15"/>
                <w:szCs w:val="15"/>
              </w:rPr>
            </w:pPr>
            <w:r>
              <w:rPr>
                <w:rFonts w:ascii="Arial"/>
                <w:w w:val="100"/>
                <w:sz w:val="15"/>
              </w:rPr>
              <w:t>-</w:t>
            </w:r>
          </w:p>
        </w:tc>
        <w:tc>
          <w:tcPr>
            <w:tcW w:w="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Arial" w:hAnsi="Arial" w:cs="Arial" w:eastAsia="Arial" w:hint="default"/>
                <w:sz w:val="15"/>
                <w:szCs w:val="15"/>
              </w:rPr>
            </w:pPr>
            <w:r>
              <w:rPr>
                <w:rFonts w:ascii="Arial"/>
                <w:w w:val="100"/>
                <w:sz w:val="15"/>
              </w:rPr>
              <w:t>-</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Arial" w:hAnsi="Arial" w:cs="Arial" w:eastAsia="Arial" w:hint="default"/>
                <w:sz w:val="15"/>
                <w:szCs w:val="15"/>
              </w:rPr>
            </w:pPr>
            <w:r>
              <w:rPr>
                <w:rFonts w:ascii="Arial"/>
                <w:w w:val="100"/>
                <w:sz w:val="15"/>
              </w:rPr>
              <w:t>-</w:t>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4"/>
              <w:jc w:val="right"/>
              <w:rPr>
                <w:rFonts w:ascii="Arial" w:hAnsi="Arial" w:cs="Arial" w:eastAsia="Arial" w:hint="default"/>
                <w:sz w:val="15"/>
                <w:szCs w:val="15"/>
              </w:rPr>
            </w:pPr>
            <w:r>
              <w:rPr>
                <w:rFonts w:ascii="Arial"/>
                <w:w w:val="100"/>
                <w:sz w:val="15"/>
              </w:rPr>
              <w:t>-</w:t>
            </w:r>
          </w:p>
        </w:tc>
        <w:tc>
          <w:tcPr>
            <w:tcW w:w="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4"/>
              <w:jc w:val="right"/>
              <w:rPr>
                <w:rFonts w:ascii="Arial" w:hAnsi="Arial" w:cs="Arial" w:eastAsia="Arial" w:hint="default"/>
                <w:sz w:val="15"/>
                <w:szCs w:val="15"/>
              </w:rPr>
            </w:pPr>
            <w:r>
              <w:rPr>
                <w:rFonts w:ascii="Arial"/>
                <w:w w:val="100"/>
                <w:sz w:val="15"/>
              </w:rPr>
              <w:t>-</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53"/>
              <w:jc w:val="right"/>
              <w:rPr>
                <w:rFonts w:ascii="Arial" w:hAnsi="Arial" w:cs="Arial" w:eastAsia="Arial" w:hint="default"/>
                <w:sz w:val="15"/>
                <w:szCs w:val="15"/>
              </w:rPr>
            </w:pPr>
            <w:r>
              <w:rPr>
                <w:rFonts w:ascii="Arial"/>
                <w:w w:val="100"/>
                <w:sz w:val="15"/>
              </w:rPr>
              <w:t>-</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Arial" w:hAnsi="Arial" w:cs="Arial" w:eastAsia="Arial" w:hint="default"/>
                <w:sz w:val="15"/>
                <w:szCs w:val="15"/>
              </w:rPr>
            </w:pPr>
            <w:r>
              <w:rPr>
                <w:rFonts w:ascii="Arial"/>
                <w:w w:val="100"/>
                <w:sz w:val="15"/>
              </w:rPr>
              <w:t>-</w:t>
            </w:r>
          </w:p>
        </w:tc>
      </w:tr>
      <w:tr>
        <w:trPr>
          <w:trHeight w:val="211" w:hRule="exact"/>
        </w:trPr>
        <w:tc>
          <w:tcPr>
            <w:tcW w:w="2231"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b/>
                <w:bCs/>
                <w:sz w:val="15"/>
                <w:szCs w:val="15"/>
              </w:rPr>
              <w:t>三、股份总数</w:t>
            </w:r>
            <w:r>
              <w:rPr>
                <w:rFonts w:ascii="宋体" w:hAnsi="宋体" w:cs="宋体" w:eastAsia="宋体" w:hint="default"/>
                <w:sz w:val="15"/>
                <w:szCs w:val="15"/>
              </w:rPr>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58"/>
              <w:jc w:val="right"/>
              <w:rPr>
                <w:rFonts w:ascii="Arial" w:hAnsi="Arial" w:cs="Arial" w:eastAsia="Arial" w:hint="default"/>
                <w:sz w:val="15"/>
                <w:szCs w:val="15"/>
              </w:rPr>
            </w:pPr>
            <w:r>
              <w:rPr>
                <w:rFonts w:ascii="Arial"/>
                <w:spacing w:val="-1"/>
                <w:sz w:val="15"/>
              </w:rPr>
              <w:t>21,196,596,395</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78"/>
              <w:jc w:val="right"/>
              <w:rPr>
                <w:rFonts w:ascii="Arial" w:hAnsi="Arial" w:cs="Arial" w:eastAsia="Arial" w:hint="default"/>
                <w:sz w:val="15"/>
                <w:szCs w:val="15"/>
              </w:rPr>
            </w:pPr>
            <w:r>
              <w:rPr>
                <w:rFonts w:ascii="Arial"/>
                <w:spacing w:val="-1"/>
                <w:sz w:val="15"/>
              </w:rPr>
              <w:t>100</w:t>
            </w:r>
            <w:r>
              <w:rPr>
                <w:rFonts w:ascii="Arial"/>
                <w:sz w:val="15"/>
              </w:rPr>
            </w:r>
          </w:p>
        </w:tc>
        <w:tc>
          <w:tcPr>
            <w:tcW w:w="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8"/>
              <w:jc w:val="right"/>
              <w:rPr>
                <w:rFonts w:ascii="Arial" w:hAnsi="Arial" w:cs="Arial" w:eastAsia="Arial" w:hint="default"/>
                <w:sz w:val="15"/>
                <w:szCs w:val="15"/>
              </w:rPr>
            </w:pPr>
            <w:r>
              <w:rPr>
                <w:rFonts w:ascii="Arial"/>
                <w:w w:val="100"/>
                <w:sz w:val="15"/>
              </w:rPr>
              <w:t>-</w:t>
            </w:r>
          </w:p>
        </w:tc>
        <w:tc>
          <w:tcPr>
            <w:tcW w:w="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Arial" w:hAnsi="Arial" w:cs="Arial" w:eastAsia="Arial" w:hint="default"/>
                <w:sz w:val="15"/>
                <w:szCs w:val="15"/>
              </w:rPr>
            </w:pPr>
            <w:r>
              <w:rPr>
                <w:rFonts w:ascii="Arial"/>
                <w:w w:val="100"/>
                <w:sz w:val="15"/>
              </w:rPr>
              <w:t>-</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Arial" w:hAnsi="Arial" w:cs="Arial" w:eastAsia="Arial" w:hint="default"/>
                <w:sz w:val="15"/>
                <w:szCs w:val="15"/>
              </w:rPr>
            </w:pPr>
            <w:r>
              <w:rPr>
                <w:rFonts w:ascii="Arial"/>
                <w:w w:val="100"/>
                <w:sz w:val="15"/>
              </w:rPr>
              <w:t>-</w:t>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4"/>
              <w:jc w:val="right"/>
              <w:rPr>
                <w:rFonts w:ascii="Arial" w:hAnsi="Arial" w:cs="Arial" w:eastAsia="Arial" w:hint="default"/>
                <w:sz w:val="15"/>
                <w:szCs w:val="15"/>
              </w:rPr>
            </w:pPr>
            <w:r>
              <w:rPr>
                <w:rFonts w:ascii="Arial"/>
                <w:w w:val="100"/>
                <w:sz w:val="15"/>
              </w:rPr>
              <w:t>-</w:t>
            </w:r>
          </w:p>
        </w:tc>
        <w:tc>
          <w:tcPr>
            <w:tcW w:w="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4"/>
              <w:jc w:val="right"/>
              <w:rPr>
                <w:rFonts w:ascii="Arial" w:hAnsi="Arial" w:cs="Arial" w:eastAsia="Arial" w:hint="default"/>
                <w:sz w:val="15"/>
                <w:szCs w:val="15"/>
              </w:rPr>
            </w:pPr>
            <w:r>
              <w:rPr>
                <w:rFonts w:ascii="Arial"/>
                <w:w w:val="100"/>
                <w:sz w:val="15"/>
              </w:rPr>
              <w:t>-</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51"/>
              <w:jc w:val="right"/>
              <w:rPr>
                <w:rFonts w:ascii="Arial" w:hAnsi="Arial" w:cs="Arial" w:eastAsia="Arial" w:hint="default"/>
                <w:sz w:val="15"/>
                <w:szCs w:val="15"/>
              </w:rPr>
            </w:pPr>
            <w:r>
              <w:rPr>
                <w:rFonts w:ascii="Arial"/>
                <w:spacing w:val="-1"/>
                <w:sz w:val="15"/>
              </w:rPr>
              <w:t>21,196,596,395</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Arial" w:hAnsi="Arial" w:cs="Arial" w:eastAsia="Arial" w:hint="default"/>
                <w:sz w:val="15"/>
                <w:szCs w:val="15"/>
              </w:rPr>
            </w:pPr>
            <w:r>
              <w:rPr>
                <w:rFonts w:ascii="Arial"/>
                <w:spacing w:val="-1"/>
                <w:sz w:val="15"/>
              </w:rPr>
              <w:t>100</w:t>
            </w:r>
            <w:r>
              <w:rPr>
                <w:rFonts w:ascii="Arial"/>
                <w:sz w:val="15"/>
              </w:rPr>
            </w:r>
          </w:p>
        </w:tc>
      </w:tr>
    </w:tbl>
    <w:p>
      <w:pPr>
        <w:spacing w:line="240" w:lineRule="auto" w:before="13"/>
        <w:rPr>
          <w:rFonts w:ascii="宋体" w:hAnsi="宋体" w:cs="宋体" w:eastAsia="宋体" w:hint="default"/>
          <w:sz w:val="19"/>
          <w:szCs w:val="19"/>
        </w:rPr>
      </w:pPr>
    </w:p>
    <w:p>
      <w:pPr>
        <w:spacing w:before="36"/>
        <w:ind w:left="138" w:right="1922" w:firstLine="0"/>
        <w:jc w:val="left"/>
        <w:rPr>
          <w:rFonts w:ascii="宋体" w:hAnsi="宋体" w:cs="宋体" w:eastAsia="宋体" w:hint="default"/>
          <w:sz w:val="21"/>
          <w:szCs w:val="21"/>
        </w:rPr>
      </w:pPr>
      <w:r>
        <w:rPr>
          <w:rFonts w:ascii="宋体" w:hAnsi="宋体" w:cs="宋体" w:eastAsia="宋体" w:hint="default"/>
          <w:b/>
          <w:bCs/>
          <w:sz w:val="21"/>
          <w:szCs w:val="21"/>
        </w:rPr>
        <w:t>二、证券发行与上市情况</w:t>
      </w:r>
      <w:r>
        <w:rPr>
          <w:rFonts w:ascii="宋体" w:hAnsi="宋体" w:cs="宋体" w:eastAsia="宋体" w:hint="default"/>
          <w:sz w:val="21"/>
          <w:szCs w:val="21"/>
        </w:rPr>
      </w:r>
    </w:p>
    <w:p>
      <w:pPr>
        <w:spacing w:line="240" w:lineRule="auto" w:before="11"/>
        <w:rPr>
          <w:rFonts w:ascii="宋体" w:hAnsi="宋体" w:cs="宋体" w:eastAsia="宋体" w:hint="default"/>
          <w:b/>
          <w:bCs/>
          <w:sz w:val="29"/>
          <w:szCs w:val="29"/>
        </w:rPr>
      </w:pPr>
    </w:p>
    <w:p>
      <w:pPr>
        <w:spacing w:line="475" w:lineRule="auto" w:before="0"/>
        <w:ind w:left="565" w:right="1922" w:hanging="428"/>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一</w:t>
      </w:r>
      <w:r>
        <w:rPr>
          <w:rFonts w:ascii="Arial" w:hAnsi="Arial" w:cs="Arial" w:eastAsia="Arial" w:hint="default"/>
          <w:b/>
          <w:bCs/>
          <w:sz w:val="21"/>
          <w:szCs w:val="21"/>
        </w:rPr>
        <w:t>)</w:t>
      </w:r>
      <w:r>
        <w:rPr>
          <w:rFonts w:ascii="Arial" w:hAnsi="Arial" w:cs="Arial" w:eastAsia="Arial" w:hint="default"/>
          <w:b/>
          <w:bCs/>
          <w:spacing w:val="8"/>
          <w:sz w:val="21"/>
          <w:szCs w:val="21"/>
        </w:rPr>
        <w:t> </w:t>
      </w:r>
      <w:r>
        <w:rPr>
          <w:rFonts w:ascii="宋体" w:hAnsi="宋体" w:cs="宋体" w:eastAsia="宋体" w:hint="default"/>
          <w:b/>
          <w:bCs/>
          <w:sz w:val="21"/>
          <w:szCs w:val="21"/>
        </w:rPr>
        <w:t>截至报告期末近</w:t>
      </w:r>
      <w:r>
        <w:rPr>
          <w:rFonts w:ascii="宋体" w:hAnsi="宋体" w:cs="宋体" w:eastAsia="宋体" w:hint="default"/>
          <w:b/>
          <w:bCs/>
          <w:spacing w:val="-53"/>
          <w:sz w:val="21"/>
          <w:szCs w:val="21"/>
        </w:rPr>
        <w:t> </w:t>
      </w:r>
      <w:r>
        <w:rPr>
          <w:rFonts w:ascii="Arial" w:hAnsi="Arial" w:cs="Arial" w:eastAsia="Arial" w:hint="default"/>
          <w:b/>
          <w:bCs/>
          <w:sz w:val="21"/>
          <w:szCs w:val="21"/>
        </w:rPr>
        <w:t>3</w:t>
      </w:r>
      <w:r>
        <w:rPr>
          <w:rFonts w:ascii="Arial" w:hAnsi="Arial" w:cs="Arial" w:eastAsia="Arial" w:hint="default"/>
          <w:b/>
          <w:bCs/>
          <w:spacing w:val="-8"/>
          <w:sz w:val="21"/>
          <w:szCs w:val="21"/>
        </w:rPr>
        <w:t> </w:t>
      </w:r>
      <w:r>
        <w:rPr>
          <w:rFonts w:ascii="宋体" w:hAnsi="宋体" w:cs="宋体" w:eastAsia="宋体" w:hint="default"/>
          <w:b/>
          <w:bCs/>
          <w:sz w:val="21"/>
          <w:szCs w:val="21"/>
        </w:rPr>
        <w:t>年历次证券发行情况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截止本报告期末至前三年，公司未有证券发行与上市情况。</w:t>
      </w:r>
    </w:p>
    <w:p>
      <w:pPr>
        <w:spacing w:line="427" w:lineRule="auto" w:before="33"/>
        <w:ind w:left="565" w:right="1922" w:hanging="428"/>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二</w:t>
      </w:r>
      <w:r>
        <w:rPr>
          <w:rFonts w:ascii="Arial" w:hAnsi="Arial" w:cs="Arial" w:eastAsia="Arial" w:hint="default"/>
          <w:b/>
          <w:bCs/>
          <w:sz w:val="21"/>
          <w:szCs w:val="21"/>
        </w:rPr>
        <w:t>)</w:t>
      </w:r>
      <w:r>
        <w:rPr>
          <w:rFonts w:ascii="Arial" w:hAnsi="Arial" w:cs="Arial" w:eastAsia="Arial" w:hint="default"/>
          <w:b/>
          <w:bCs/>
          <w:spacing w:val="44"/>
          <w:sz w:val="21"/>
          <w:szCs w:val="21"/>
        </w:rPr>
        <w:t> </w:t>
      </w:r>
      <w:r>
        <w:rPr>
          <w:rFonts w:ascii="宋体" w:hAnsi="宋体" w:cs="宋体" w:eastAsia="宋体" w:hint="default"/>
          <w:b/>
          <w:bCs/>
          <w:sz w:val="21"/>
          <w:szCs w:val="21"/>
        </w:rPr>
        <w:t>公司股份总数及股东结构变动及公司资产和负债结构的变动情况</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报告期内没有因送股、配股等原因引起公司股份总数及结构的变动。</w:t>
      </w:r>
    </w:p>
    <w:p>
      <w:pPr>
        <w:spacing w:line="424" w:lineRule="auto" w:before="75"/>
        <w:ind w:left="565" w:right="4802" w:hanging="428"/>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三</w:t>
      </w:r>
      <w:r>
        <w:rPr>
          <w:rFonts w:ascii="Arial" w:hAnsi="Arial" w:cs="Arial" w:eastAsia="Arial" w:hint="default"/>
          <w:b/>
          <w:bCs/>
          <w:sz w:val="21"/>
          <w:szCs w:val="21"/>
        </w:rPr>
        <w:t>)</w:t>
      </w:r>
      <w:r>
        <w:rPr>
          <w:rFonts w:ascii="Arial" w:hAnsi="Arial" w:cs="Arial" w:eastAsia="Arial" w:hint="default"/>
          <w:b/>
          <w:bCs/>
          <w:spacing w:val="43"/>
          <w:sz w:val="21"/>
          <w:szCs w:val="21"/>
        </w:rPr>
        <w:t> </w:t>
      </w:r>
      <w:r>
        <w:rPr>
          <w:rFonts w:ascii="宋体" w:hAnsi="宋体" w:cs="宋体" w:eastAsia="宋体" w:hint="default"/>
          <w:b/>
          <w:bCs/>
          <w:sz w:val="21"/>
          <w:szCs w:val="21"/>
        </w:rPr>
        <w:t>现存的内部职工股情况</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本报告期末公司无内部职工股。</w:t>
      </w:r>
    </w:p>
    <w:p>
      <w:pPr>
        <w:spacing w:after="0" w:line="424" w:lineRule="auto"/>
        <w:jc w:val="left"/>
        <w:rPr>
          <w:rFonts w:ascii="宋体" w:hAnsi="宋体" w:cs="宋体" w:eastAsia="宋体" w:hint="default"/>
          <w:sz w:val="21"/>
          <w:szCs w:val="21"/>
        </w:rPr>
        <w:sectPr>
          <w:pgSz w:w="11910" w:h="16840"/>
          <w:pgMar w:header="880" w:footer="1194" w:top="1120" w:bottom="1380" w:left="1660" w:right="1200"/>
        </w:sectPr>
      </w:pPr>
    </w:p>
    <w:p>
      <w:pPr>
        <w:spacing w:line="240" w:lineRule="auto" w:before="11"/>
        <w:rPr>
          <w:rFonts w:ascii="宋体" w:hAnsi="宋体" w:cs="宋体" w:eastAsia="宋体" w:hint="default"/>
          <w:sz w:val="29"/>
          <w:szCs w:val="29"/>
        </w:rPr>
      </w:pPr>
    </w:p>
    <w:p>
      <w:pPr>
        <w:spacing w:before="36"/>
        <w:ind w:left="138" w:right="1922" w:firstLine="0"/>
        <w:jc w:val="left"/>
        <w:rPr>
          <w:rFonts w:ascii="宋体" w:hAnsi="宋体" w:cs="宋体" w:eastAsia="宋体" w:hint="default"/>
          <w:sz w:val="21"/>
          <w:szCs w:val="21"/>
        </w:rPr>
      </w:pPr>
      <w:r>
        <w:rPr>
          <w:rFonts w:ascii="宋体" w:hAnsi="宋体" w:cs="宋体" w:eastAsia="宋体" w:hint="default"/>
          <w:b/>
          <w:bCs/>
          <w:sz w:val="21"/>
          <w:szCs w:val="21"/>
        </w:rPr>
        <w:t>三、股东和实际控制人情况</w:t>
      </w:r>
      <w:r>
        <w:rPr>
          <w:rFonts w:ascii="宋体" w:hAnsi="宋体" w:cs="宋体" w:eastAsia="宋体" w:hint="default"/>
          <w:sz w:val="21"/>
          <w:szCs w:val="21"/>
        </w:rPr>
      </w:r>
    </w:p>
    <w:p>
      <w:pPr>
        <w:spacing w:line="240" w:lineRule="auto" w:before="11"/>
        <w:rPr>
          <w:rFonts w:ascii="宋体" w:hAnsi="宋体" w:cs="宋体" w:eastAsia="宋体" w:hint="default"/>
          <w:b/>
          <w:bCs/>
          <w:sz w:val="29"/>
          <w:szCs w:val="29"/>
        </w:rPr>
      </w:pPr>
    </w:p>
    <w:p>
      <w:pPr>
        <w:spacing w:before="0"/>
        <w:ind w:left="138" w:right="1922" w:firstLine="0"/>
        <w:jc w:val="left"/>
        <w:rPr>
          <w:rFonts w:ascii="Arial" w:hAnsi="Arial" w:cs="Arial" w:eastAsia="Arial"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一</w:t>
      </w:r>
      <w:r>
        <w:rPr>
          <w:rFonts w:ascii="Arial" w:hAnsi="Arial" w:cs="Arial" w:eastAsia="Arial" w:hint="default"/>
          <w:b/>
          <w:bCs/>
          <w:sz w:val="21"/>
          <w:szCs w:val="21"/>
        </w:rPr>
        <w:t>)</w:t>
      </w:r>
      <w:r>
        <w:rPr>
          <w:rFonts w:ascii="Arial" w:hAnsi="Arial" w:cs="Arial" w:eastAsia="Arial" w:hint="default"/>
          <w:b/>
          <w:bCs/>
          <w:spacing w:val="12"/>
          <w:sz w:val="21"/>
          <w:szCs w:val="21"/>
        </w:rPr>
        <w:t> </w:t>
      </w:r>
      <w:r>
        <w:rPr>
          <w:rFonts w:ascii="宋体" w:hAnsi="宋体" w:cs="宋体" w:eastAsia="宋体" w:hint="default"/>
          <w:b/>
          <w:bCs/>
          <w:sz w:val="21"/>
          <w:szCs w:val="21"/>
        </w:rPr>
        <w:t>股东总数</w:t>
      </w:r>
      <w:r>
        <w:rPr>
          <w:rFonts w:ascii="Arial" w:hAnsi="Arial" w:cs="Arial" w:eastAsia="Arial" w:hint="default"/>
          <w:b/>
          <w:bCs/>
          <w:sz w:val="21"/>
          <w:szCs w:val="21"/>
        </w:rPr>
        <w:t>:</w:t>
      </w:r>
      <w:r>
        <w:rPr>
          <w:rFonts w:ascii="Arial" w:hAnsi="Arial" w:cs="Arial" w:eastAsia="Arial" w:hint="default"/>
          <w:sz w:val="21"/>
          <w:szCs w:val="21"/>
        </w:rPr>
      </w:r>
    </w:p>
    <w:p>
      <w:pPr>
        <w:spacing w:line="240" w:lineRule="auto" w:before="0"/>
        <w:rPr>
          <w:rFonts w:ascii="Arial" w:hAnsi="Arial" w:cs="Arial" w:eastAsia="Arial" w:hint="default"/>
          <w:b/>
          <w:bCs/>
          <w:sz w:val="20"/>
          <w:szCs w:val="20"/>
        </w:rPr>
      </w:pPr>
    </w:p>
    <w:p>
      <w:pPr>
        <w:spacing w:line="240" w:lineRule="auto" w:before="4"/>
        <w:rPr>
          <w:rFonts w:ascii="Arial" w:hAnsi="Arial" w:cs="Arial" w:eastAsia="Arial" w:hint="default"/>
          <w:b/>
          <w:bCs/>
          <w:sz w:val="10"/>
          <w:szCs w:val="10"/>
        </w:rPr>
      </w:pPr>
    </w:p>
    <w:tbl>
      <w:tblPr>
        <w:tblW w:w="0" w:type="auto"/>
        <w:jc w:val="left"/>
        <w:tblInd w:w="560" w:type="dxa"/>
        <w:tblLayout w:type="fixed"/>
        <w:tblCellMar>
          <w:top w:w="0" w:type="dxa"/>
          <w:left w:w="0" w:type="dxa"/>
          <w:bottom w:w="0" w:type="dxa"/>
          <w:right w:w="0" w:type="dxa"/>
        </w:tblCellMar>
        <w:tblLook w:val="01E0"/>
      </w:tblPr>
      <w:tblGrid>
        <w:gridCol w:w="5172"/>
        <w:gridCol w:w="3192"/>
      </w:tblGrid>
      <w:tr>
        <w:trPr>
          <w:trHeight w:val="245" w:hRule="exact"/>
        </w:trPr>
        <w:tc>
          <w:tcPr>
            <w:tcW w:w="517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18" w:lineRule="exact"/>
              <w:ind w:left="100" w:right="0"/>
              <w:jc w:val="left"/>
              <w:rPr>
                <w:rFonts w:ascii="Arial" w:hAnsi="Arial" w:cs="Arial" w:eastAsia="Arial" w:hint="default"/>
                <w:sz w:val="18"/>
                <w:szCs w:val="18"/>
              </w:rPr>
            </w:pPr>
            <w:r>
              <w:rPr>
                <w:rFonts w:ascii="宋体" w:hAnsi="宋体" w:cs="宋体" w:eastAsia="宋体" w:hint="default"/>
                <w:b/>
                <w:bCs/>
                <w:sz w:val="18"/>
                <w:szCs w:val="18"/>
              </w:rPr>
              <w:t>截止报告期末股东总数</w:t>
            </w:r>
            <w:r>
              <w:rPr>
                <w:rFonts w:ascii="Arial" w:hAnsi="Arial" w:cs="Arial" w:eastAsia="Arial" w:hint="default"/>
                <w:b/>
                <w:bCs/>
                <w:sz w:val="18"/>
                <w:szCs w:val="18"/>
              </w:rPr>
              <w:t>(</w:t>
            </w:r>
            <w:r>
              <w:rPr>
                <w:rFonts w:ascii="宋体" w:hAnsi="宋体" w:cs="宋体" w:eastAsia="宋体" w:hint="default"/>
                <w:b/>
                <w:bCs/>
                <w:sz w:val="18"/>
                <w:szCs w:val="18"/>
              </w:rPr>
              <w:t>户</w:t>
            </w:r>
            <w:r>
              <w:rPr>
                <w:rFonts w:ascii="Arial" w:hAnsi="Arial" w:cs="Arial" w:eastAsia="Arial" w:hint="default"/>
                <w:b/>
                <w:bCs/>
                <w:sz w:val="18"/>
                <w:szCs w:val="18"/>
              </w:rPr>
              <w:t>)</w:t>
            </w:r>
            <w:r>
              <w:rPr>
                <w:rFonts w:ascii="Arial" w:hAnsi="Arial" w:cs="Arial" w:eastAsia="Arial"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spacing w:val="-1"/>
                <w:sz w:val="18"/>
              </w:rPr>
              <w:t>705,871</w:t>
            </w:r>
          </w:p>
        </w:tc>
      </w:tr>
      <w:tr>
        <w:trPr>
          <w:trHeight w:val="242" w:hRule="exact"/>
        </w:trPr>
        <w:tc>
          <w:tcPr>
            <w:tcW w:w="517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18" w:lineRule="exact"/>
              <w:ind w:left="100" w:right="0"/>
              <w:jc w:val="left"/>
              <w:rPr>
                <w:rFonts w:ascii="Arial" w:hAnsi="Arial" w:cs="Arial" w:eastAsia="Arial" w:hint="default"/>
                <w:sz w:val="18"/>
                <w:szCs w:val="18"/>
              </w:rPr>
            </w:pPr>
            <w:r>
              <w:rPr>
                <w:rFonts w:ascii="宋体" w:hAnsi="宋体" w:cs="宋体" w:eastAsia="宋体" w:hint="default"/>
                <w:b/>
                <w:bCs/>
                <w:sz w:val="18"/>
                <w:szCs w:val="18"/>
              </w:rPr>
              <w:t>年度报告披露日前第五个交易日末的股东总数</w:t>
            </w:r>
            <w:r>
              <w:rPr>
                <w:rFonts w:ascii="Arial" w:hAnsi="Arial" w:cs="Arial" w:eastAsia="Arial" w:hint="default"/>
                <w:b/>
                <w:bCs/>
                <w:sz w:val="18"/>
                <w:szCs w:val="18"/>
              </w:rPr>
              <w:t>(</w:t>
            </w:r>
            <w:r>
              <w:rPr>
                <w:rFonts w:ascii="宋体" w:hAnsi="宋体" w:cs="宋体" w:eastAsia="宋体" w:hint="default"/>
                <w:b/>
                <w:bCs/>
                <w:sz w:val="18"/>
                <w:szCs w:val="18"/>
              </w:rPr>
              <w:t>户</w:t>
            </w:r>
            <w:r>
              <w:rPr>
                <w:rFonts w:ascii="Arial" w:hAnsi="Arial" w:cs="Arial" w:eastAsia="Arial" w:hint="default"/>
                <w:b/>
                <w:bCs/>
                <w:sz w:val="18"/>
                <w:szCs w:val="18"/>
              </w:rPr>
              <w:t>)</w:t>
            </w:r>
            <w:r>
              <w:rPr>
                <w:rFonts w:ascii="Arial" w:hAnsi="Arial" w:cs="Arial" w:eastAsia="Arial"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spacing w:val="-1"/>
                <w:sz w:val="18"/>
              </w:rPr>
              <w:t>738,481</w:t>
            </w:r>
          </w:p>
        </w:tc>
      </w:tr>
    </w:tbl>
    <w:p>
      <w:pPr>
        <w:spacing w:line="240" w:lineRule="auto" w:before="2"/>
        <w:rPr>
          <w:rFonts w:ascii="Arial" w:hAnsi="Arial" w:cs="Arial" w:eastAsia="Arial" w:hint="default"/>
          <w:b/>
          <w:bCs/>
          <w:sz w:val="20"/>
          <w:szCs w:val="20"/>
        </w:rPr>
      </w:pPr>
    </w:p>
    <w:p>
      <w:pPr>
        <w:spacing w:before="36"/>
        <w:ind w:left="138" w:right="143"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二</w:t>
      </w:r>
      <w:r>
        <w:rPr>
          <w:rFonts w:ascii="Arial" w:hAnsi="Arial" w:cs="Arial" w:eastAsia="Arial" w:hint="default"/>
          <w:b/>
          <w:bCs/>
          <w:sz w:val="21"/>
          <w:szCs w:val="21"/>
        </w:rPr>
        <w:t>)</w:t>
      </w:r>
      <w:r>
        <w:rPr>
          <w:rFonts w:ascii="Arial" w:hAnsi="Arial" w:cs="Arial" w:eastAsia="Arial" w:hint="default"/>
          <w:b/>
          <w:bCs/>
          <w:spacing w:val="5"/>
          <w:sz w:val="21"/>
          <w:szCs w:val="21"/>
        </w:rPr>
        <w:t> </w:t>
      </w:r>
      <w:r>
        <w:rPr>
          <w:rFonts w:ascii="宋体" w:hAnsi="宋体" w:cs="宋体" w:eastAsia="宋体" w:hint="default"/>
          <w:b/>
          <w:bCs/>
          <w:sz w:val="21"/>
          <w:szCs w:val="21"/>
        </w:rPr>
        <w:t>截止报告期末前十名股东、前十名流通股东（或无限售条件股东）持股情况表</w:t>
      </w:r>
      <w:r>
        <w:rPr>
          <w:rFonts w:ascii="宋体" w:hAnsi="宋体" w:cs="宋体" w:eastAsia="宋体" w:hint="default"/>
          <w:sz w:val="21"/>
          <w:szCs w:val="21"/>
        </w:rPr>
      </w:r>
    </w:p>
    <w:p>
      <w:pPr>
        <w:spacing w:before="41"/>
        <w:ind w:left="0" w:right="130"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7"/>
        <w:rPr>
          <w:rFonts w:ascii="宋体" w:hAnsi="宋体" w:cs="宋体" w:eastAsia="宋体" w:hint="default"/>
          <w:sz w:val="2"/>
          <w:szCs w:val="2"/>
        </w:rPr>
      </w:pPr>
    </w:p>
    <w:tbl>
      <w:tblPr>
        <w:tblW w:w="0" w:type="auto"/>
        <w:jc w:val="left"/>
        <w:tblInd w:w="560" w:type="dxa"/>
        <w:tblLayout w:type="fixed"/>
        <w:tblCellMar>
          <w:top w:w="0" w:type="dxa"/>
          <w:left w:w="0" w:type="dxa"/>
          <w:bottom w:w="0" w:type="dxa"/>
          <w:right w:w="0" w:type="dxa"/>
        </w:tblCellMar>
        <w:tblLook w:val="01E0"/>
      </w:tblPr>
      <w:tblGrid>
        <w:gridCol w:w="2321"/>
        <w:gridCol w:w="938"/>
        <w:gridCol w:w="1133"/>
        <w:gridCol w:w="710"/>
        <w:gridCol w:w="709"/>
        <w:gridCol w:w="708"/>
        <w:gridCol w:w="566"/>
        <w:gridCol w:w="144"/>
        <w:gridCol w:w="1133"/>
      </w:tblGrid>
      <w:tr>
        <w:trPr>
          <w:trHeight w:val="204" w:hRule="exact"/>
        </w:trPr>
        <w:tc>
          <w:tcPr>
            <w:tcW w:w="8364" w:type="dxa"/>
            <w:gridSpan w:val="9"/>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b/>
                <w:bCs/>
                <w:sz w:val="15"/>
                <w:szCs w:val="15"/>
              </w:rPr>
              <w:t>前十名股东持股情况</w:t>
            </w:r>
            <w:r>
              <w:rPr>
                <w:rFonts w:ascii="宋体" w:hAnsi="宋体" w:cs="宋体" w:eastAsia="宋体" w:hint="default"/>
                <w:sz w:val="15"/>
                <w:szCs w:val="15"/>
              </w:rPr>
            </w:r>
          </w:p>
        </w:tc>
      </w:tr>
      <w:tr>
        <w:trPr>
          <w:trHeight w:val="204" w:hRule="exact"/>
        </w:trPr>
        <w:tc>
          <w:tcPr>
            <w:tcW w:w="2321"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0"/>
              <w:ind w:right="0"/>
              <w:jc w:val="left"/>
              <w:rPr>
                <w:rFonts w:ascii="宋体" w:hAnsi="宋体" w:cs="宋体" w:eastAsia="宋体" w:hint="default"/>
                <w:sz w:val="13"/>
                <w:szCs w:val="13"/>
              </w:rPr>
            </w:pPr>
          </w:p>
          <w:p>
            <w:pPr>
              <w:pStyle w:val="TableParagraph"/>
              <w:spacing w:line="195" w:lineRule="exact"/>
              <w:ind w:right="2"/>
              <w:jc w:val="center"/>
              <w:rPr>
                <w:rFonts w:ascii="宋体" w:hAnsi="宋体" w:cs="宋体" w:eastAsia="宋体" w:hint="default"/>
                <w:sz w:val="15"/>
                <w:szCs w:val="15"/>
              </w:rPr>
            </w:pPr>
            <w:r>
              <w:rPr>
                <w:rFonts w:ascii="宋体" w:hAnsi="宋体" w:cs="宋体" w:eastAsia="宋体" w:hint="default"/>
                <w:b/>
                <w:bCs/>
                <w:sz w:val="15"/>
                <w:szCs w:val="15"/>
              </w:rPr>
              <w:t>股东名称</w:t>
            </w:r>
            <w:r>
              <w:rPr>
                <w:rFonts w:ascii="宋体" w:hAnsi="宋体" w:cs="宋体" w:eastAsia="宋体" w:hint="default"/>
                <w:sz w:val="15"/>
                <w:szCs w:val="15"/>
              </w:rPr>
            </w:r>
          </w:p>
          <w:p>
            <w:pPr>
              <w:pStyle w:val="TableParagraph"/>
              <w:spacing w:line="195" w:lineRule="exact"/>
              <w:ind w:right="2"/>
              <w:jc w:val="center"/>
              <w:rPr>
                <w:rFonts w:ascii="宋体" w:hAnsi="宋体" w:cs="宋体" w:eastAsia="宋体" w:hint="default"/>
                <w:sz w:val="15"/>
                <w:szCs w:val="15"/>
              </w:rPr>
            </w:pPr>
            <w:r>
              <w:rPr>
                <w:rFonts w:ascii="宋体" w:hAnsi="宋体" w:cs="宋体" w:eastAsia="宋体" w:hint="default"/>
                <w:b/>
                <w:bCs/>
                <w:sz w:val="15"/>
                <w:szCs w:val="15"/>
              </w:rPr>
              <w:t>（全称）</w:t>
            </w:r>
            <w:r>
              <w:rPr>
                <w:rFonts w:ascii="宋体" w:hAnsi="宋体" w:cs="宋体" w:eastAsia="宋体" w:hint="default"/>
                <w:sz w:val="15"/>
                <w:szCs w:val="15"/>
              </w:rPr>
            </w:r>
          </w:p>
        </w:tc>
        <w:tc>
          <w:tcPr>
            <w:tcW w:w="938"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11" w:right="161" w:hanging="152"/>
              <w:jc w:val="left"/>
              <w:rPr>
                <w:rFonts w:ascii="宋体" w:hAnsi="宋体" w:cs="宋体" w:eastAsia="宋体" w:hint="default"/>
                <w:sz w:val="15"/>
                <w:szCs w:val="15"/>
              </w:rPr>
            </w:pPr>
            <w:r>
              <w:rPr>
                <w:rFonts w:ascii="宋体" w:hAnsi="宋体" w:cs="宋体" w:eastAsia="宋体" w:hint="default"/>
                <w:b/>
                <w:bCs/>
                <w:sz w:val="15"/>
                <w:szCs w:val="15"/>
              </w:rPr>
              <w:t>报告期内</w:t>
            </w:r>
            <w:r>
              <w:rPr>
                <w:rFonts w:ascii="宋体" w:hAnsi="宋体" w:cs="宋体" w:eastAsia="宋体" w:hint="default"/>
                <w:b/>
                <w:bCs/>
                <w:spacing w:val="-74"/>
                <w:sz w:val="15"/>
                <w:szCs w:val="15"/>
              </w:rPr>
              <w:t> </w:t>
            </w:r>
            <w:r>
              <w:rPr>
                <w:rFonts w:ascii="宋体" w:hAnsi="宋体" w:cs="宋体" w:eastAsia="宋体" w:hint="default"/>
                <w:b/>
                <w:bCs/>
                <w:sz w:val="15"/>
                <w:szCs w:val="15"/>
              </w:rPr>
              <w:t>增减</w:t>
            </w:r>
            <w:r>
              <w:rPr>
                <w:rFonts w:ascii="宋体" w:hAnsi="宋体" w:cs="宋体" w:eastAsia="宋体" w:hint="default"/>
                <w:sz w:val="15"/>
                <w:szCs w:val="15"/>
              </w:rPr>
            </w:r>
          </w:p>
        </w:tc>
        <w:tc>
          <w:tcPr>
            <w:tcW w:w="1133"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b/>
                <w:bCs/>
                <w:sz w:val="15"/>
                <w:szCs w:val="15"/>
              </w:rPr>
              <w:t>期末持股数量</w:t>
            </w:r>
            <w:r>
              <w:rPr>
                <w:rFonts w:ascii="宋体" w:hAnsi="宋体" w:cs="宋体" w:eastAsia="宋体" w:hint="default"/>
                <w:sz w:val="15"/>
                <w:szCs w:val="15"/>
              </w:rPr>
            </w:r>
          </w:p>
        </w:tc>
        <w:tc>
          <w:tcPr>
            <w:tcW w:w="710"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p>
            <w:pPr>
              <w:pStyle w:val="TableParagraph"/>
              <w:spacing w:line="240" w:lineRule="auto" w:before="16"/>
              <w:ind w:left="232" w:right="0"/>
              <w:jc w:val="left"/>
              <w:rPr>
                <w:rFonts w:ascii="Arial" w:hAnsi="Arial" w:cs="Arial" w:eastAsia="Arial" w:hint="default"/>
                <w:sz w:val="15"/>
                <w:szCs w:val="15"/>
              </w:rPr>
            </w:pPr>
            <w:r>
              <w:rPr>
                <w:rFonts w:ascii="Arial"/>
                <w:b/>
                <w:sz w:val="15"/>
              </w:rPr>
              <w:t>(%)</w:t>
            </w:r>
            <w:r>
              <w:rPr>
                <w:rFonts w:ascii="Arial"/>
                <w:sz w:val="15"/>
              </w:rPr>
            </w:r>
          </w:p>
        </w:tc>
        <w:tc>
          <w:tcPr>
            <w:tcW w:w="709" w:type="dxa"/>
            <w:vMerge w:val="restart"/>
            <w:tcBorders>
              <w:top w:val="single" w:sz="4" w:space="0" w:color="000000"/>
              <w:left w:val="single" w:sz="4" w:space="0" w:color="000000"/>
              <w:right w:val="single" w:sz="4" w:space="0" w:color="000000"/>
            </w:tcBorders>
            <w:shd w:val="clear" w:color="auto" w:fill="E4E4E4"/>
          </w:tcPr>
          <w:p>
            <w:pPr>
              <w:pStyle w:val="TableParagraph"/>
              <w:spacing w:line="171" w:lineRule="exact"/>
              <w:ind w:left="120" w:right="0"/>
              <w:jc w:val="both"/>
              <w:rPr>
                <w:rFonts w:ascii="宋体" w:hAnsi="宋体" w:cs="宋体" w:eastAsia="宋体" w:hint="default"/>
                <w:sz w:val="15"/>
                <w:szCs w:val="15"/>
              </w:rPr>
            </w:pPr>
            <w:r>
              <w:rPr>
                <w:rFonts w:ascii="宋体" w:hAnsi="宋体" w:cs="宋体" w:eastAsia="宋体" w:hint="default"/>
                <w:b/>
                <w:bCs/>
                <w:sz w:val="15"/>
                <w:szCs w:val="15"/>
              </w:rPr>
              <w:t>持有有</w:t>
            </w:r>
            <w:r>
              <w:rPr>
                <w:rFonts w:ascii="宋体" w:hAnsi="宋体" w:cs="宋体" w:eastAsia="宋体" w:hint="default"/>
                <w:sz w:val="15"/>
                <w:szCs w:val="15"/>
              </w:rPr>
            </w:r>
          </w:p>
          <w:p>
            <w:pPr>
              <w:pStyle w:val="TableParagraph"/>
              <w:spacing w:line="240" w:lineRule="auto"/>
              <w:ind w:left="120" w:right="123"/>
              <w:jc w:val="both"/>
              <w:rPr>
                <w:rFonts w:ascii="宋体" w:hAnsi="宋体" w:cs="宋体" w:eastAsia="宋体" w:hint="default"/>
                <w:sz w:val="15"/>
                <w:szCs w:val="15"/>
              </w:rPr>
            </w:pPr>
            <w:r>
              <w:rPr>
                <w:rFonts w:ascii="宋体" w:hAnsi="宋体" w:cs="宋体" w:eastAsia="宋体" w:hint="default"/>
                <w:b/>
                <w:bCs/>
                <w:sz w:val="15"/>
                <w:szCs w:val="15"/>
              </w:rPr>
              <w:t>限售条</w:t>
            </w:r>
            <w:r>
              <w:rPr>
                <w:rFonts w:ascii="宋体" w:hAnsi="宋体" w:cs="宋体" w:eastAsia="宋体" w:hint="default"/>
                <w:b/>
                <w:bCs/>
                <w:w w:val="100"/>
                <w:sz w:val="15"/>
                <w:szCs w:val="15"/>
              </w:rPr>
              <w:t> </w:t>
            </w:r>
            <w:r>
              <w:rPr>
                <w:rFonts w:ascii="宋体" w:hAnsi="宋体" w:cs="宋体" w:eastAsia="宋体" w:hint="default"/>
                <w:b/>
                <w:bCs/>
                <w:sz w:val="15"/>
                <w:szCs w:val="15"/>
              </w:rPr>
              <w:t>件股份</w:t>
            </w:r>
            <w:r>
              <w:rPr>
                <w:rFonts w:ascii="宋体" w:hAnsi="宋体" w:cs="宋体" w:eastAsia="宋体" w:hint="default"/>
                <w:b/>
                <w:bCs/>
                <w:w w:val="100"/>
                <w:sz w:val="15"/>
                <w:szCs w:val="15"/>
              </w:rPr>
              <w:t> </w:t>
            </w:r>
            <w:r>
              <w:rPr>
                <w:rFonts w:ascii="宋体" w:hAnsi="宋体" w:cs="宋体" w:eastAsia="宋体" w:hint="default"/>
                <w:b/>
                <w:bCs/>
                <w:sz w:val="15"/>
                <w:szCs w:val="15"/>
              </w:rPr>
              <w:t>数量</w:t>
            </w:r>
            <w:r>
              <w:rPr>
                <w:rFonts w:ascii="宋体" w:hAnsi="宋体" w:cs="宋体" w:eastAsia="宋体" w:hint="default"/>
                <w:sz w:val="15"/>
                <w:szCs w:val="15"/>
              </w:rPr>
            </w:r>
          </w:p>
        </w:tc>
        <w:tc>
          <w:tcPr>
            <w:tcW w:w="1418" w:type="dxa"/>
            <w:gridSpan w:val="3"/>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172" w:lineRule="exact"/>
              <w:ind w:left="177" w:right="0"/>
              <w:jc w:val="left"/>
              <w:rPr>
                <w:rFonts w:ascii="宋体" w:hAnsi="宋体" w:cs="宋体" w:eastAsia="宋体" w:hint="default"/>
                <w:sz w:val="15"/>
                <w:szCs w:val="15"/>
              </w:rPr>
            </w:pPr>
            <w:r>
              <w:rPr>
                <w:rFonts w:ascii="宋体" w:hAnsi="宋体" w:cs="宋体" w:eastAsia="宋体" w:hint="default"/>
                <w:b/>
                <w:bCs/>
                <w:sz w:val="15"/>
                <w:szCs w:val="15"/>
              </w:rPr>
              <w:t>质押或冻结情况</w:t>
            </w:r>
            <w:r>
              <w:rPr>
                <w:rFonts w:ascii="宋体" w:hAnsi="宋体" w:cs="宋体" w:eastAsia="宋体" w:hint="default"/>
                <w:sz w:val="15"/>
                <w:szCs w:val="15"/>
              </w:rPr>
            </w:r>
          </w:p>
        </w:tc>
        <w:tc>
          <w:tcPr>
            <w:tcW w:w="1133"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08" w:right="411"/>
              <w:jc w:val="center"/>
              <w:rPr>
                <w:rFonts w:ascii="宋体" w:hAnsi="宋体" w:cs="宋体" w:eastAsia="宋体" w:hint="default"/>
                <w:sz w:val="15"/>
                <w:szCs w:val="15"/>
              </w:rPr>
            </w:pPr>
            <w:r>
              <w:rPr>
                <w:rFonts w:ascii="宋体" w:hAnsi="宋体" w:cs="宋体" w:eastAsia="宋体" w:hint="default"/>
                <w:b/>
                <w:bCs/>
                <w:sz w:val="15"/>
                <w:szCs w:val="15"/>
              </w:rPr>
              <w:t>股东</w:t>
            </w:r>
            <w:r>
              <w:rPr>
                <w:rFonts w:ascii="宋体" w:hAnsi="宋体" w:cs="宋体" w:eastAsia="宋体" w:hint="default"/>
                <w:b/>
                <w:bCs/>
                <w:w w:val="100"/>
                <w:sz w:val="15"/>
                <w:szCs w:val="15"/>
              </w:rPr>
              <w:t> </w:t>
            </w:r>
            <w:r>
              <w:rPr>
                <w:rFonts w:ascii="宋体" w:hAnsi="宋体" w:cs="宋体" w:eastAsia="宋体" w:hint="default"/>
                <w:b/>
                <w:bCs/>
                <w:sz w:val="15"/>
                <w:szCs w:val="15"/>
              </w:rPr>
              <w:t>性质</w:t>
            </w:r>
            <w:r>
              <w:rPr>
                <w:rFonts w:ascii="宋体" w:hAnsi="宋体" w:cs="宋体" w:eastAsia="宋体" w:hint="default"/>
                <w:sz w:val="15"/>
                <w:szCs w:val="15"/>
              </w:rPr>
            </w:r>
          </w:p>
        </w:tc>
      </w:tr>
      <w:tr>
        <w:trPr>
          <w:trHeight w:val="586" w:hRule="exact"/>
        </w:trPr>
        <w:tc>
          <w:tcPr>
            <w:tcW w:w="2321" w:type="dxa"/>
            <w:vMerge/>
            <w:tcBorders>
              <w:left w:val="single" w:sz="4" w:space="0" w:color="000000"/>
              <w:bottom w:val="single" w:sz="4" w:space="0" w:color="000000"/>
              <w:right w:val="single" w:sz="4" w:space="0" w:color="000000"/>
            </w:tcBorders>
            <w:shd w:val="clear" w:color="auto" w:fill="E4E4E4"/>
          </w:tcPr>
          <w:p>
            <w:pPr/>
          </w:p>
        </w:tc>
        <w:tc>
          <w:tcPr>
            <w:tcW w:w="938" w:type="dxa"/>
            <w:vMerge/>
            <w:tcBorders>
              <w:left w:val="single" w:sz="4" w:space="0" w:color="000000"/>
              <w:bottom w:val="single" w:sz="4" w:space="0" w:color="000000"/>
              <w:right w:val="single" w:sz="4" w:space="0" w:color="000000"/>
            </w:tcBorders>
            <w:shd w:val="clear" w:color="auto" w:fill="E4E4E4"/>
          </w:tcPr>
          <w:p>
            <w:pPr/>
          </w:p>
        </w:tc>
        <w:tc>
          <w:tcPr>
            <w:tcW w:w="1133" w:type="dxa"/>
            <w:vMerge/>
            <w:tcBorders>
              <w:left w:val="single" w:sz="4" w:space="0" w:color="000000"/>
              <w:bottom w:val="single" w:sz="4" w:space="0" w:color="000000"/>
              <w:right w:val="single" w:sz="4" w:space="0" w:color="000000"/>
            </w:tcBorders>
            <w:shd w:val="clear" w:color="auto" w:fill="E4E4E4"/>
          </w:tcPr>
          <w:p>
            <w:pPr/>
          </w:p>
        </w:tc>
        <w:tc>
          <w:tcPr>
            <w:tcW w:w="710" w:type="dxa"/>
            <w:vMerge/>
            <w:tcBorders>
              <w:left w:val="single" w:sz="4" w:space="0" w:color="000000"/>
              <w:bottom w:val="single" w:sz="4" w:space="0" w:color="000000"/>
              <w:right w:val="single" w:sz="4" w:space="0" w:color="000000"/>
            </w:tcBorders>
            <w:shd w:val="clear" w:color="auto" w:fill="E4E4E4"/>
          </w:tcPr>
          <w:p>
            <w:pPr/>
          </w:p>
        </w:tc>
        <w:tc>
          <w:tcPr>
            <w:tcW w:w="709" w:type="dxa"/>
            <w:vMerge/>
            <w:tcBorders>
              <w:left w:val="single" w:sz="4" w:space="0" w:color="000000"/>
              <w:bottom w:val="single" w:sz="4" w:space="0" w:color="000000"/>
              <w:right w:val="single" w:sz="4" w:space="0" w:color="000000"/>
            </w:tcBorders>
            <w:shd w:val="clear" w:color="auto" w:fill="E4E4E4"/>
          </w:tcPr>
          <w:p>
            <w:pPr/>
          </w:p>
        </w:tc>
        <w:tc>
          <w:tcPr>
            <w:tcW w:w="70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69"/>
              <w:ind w:left="199" w:right="194"/>
              <w:jc w:val="left"/>
              <w:rPr>
                <w:rFonts w:ascii="宋体" w:hAnsi="宋体" w:cs="宋体" w:eastAsia="宋体" w:hint="default"/>
                <w:sz w:val="15"/>
                <w:szCs w:val="15"/>
              </w:rPr>
            </w:pPr>
            <w:r>
              <w:rPr>
                <w:rFonts w:ascii="宋体" w:hAnsi="宋体" w:cs="宋体" w:eastAsia="宋体" w:hint="default"/>
                <w:b/>
                <w:bCs/>
                <w:sz w:val="15"/>
                <w:szCs w:val="15"/>
              </w:rPr>
              <w:t>股份</w:t>
            </w:r>
            <w:r>
              <w:rPr>
                <w:rFonts w:ascii="宋体" w:hAnsi="宋体" w:cs="宋体" w:eastAsia="宋体" w:hint="default"/>
                <w:b/>
                <w:bCs/>
                <w:w w:val="100"/>
                <w:sz w:val="15"/>
                <w:szCs w:val="15"/>
              </w:rPr>
              <w:t> </w:t>
            </w:r>
            <w:r>
              <w:rPr>
                <w:rFonts w:ascii="宋体" w:hAnsi="宋体" w:cs="宋体" w:eastAsia="宋体" w:hint="default"/>
                <w:b/>
                <w:bCs/>
                <w:sz w:val="15"/>
                <w:szCs w:val="15"/>
              </w:rPr>
              <w:t>状态</w:t>
            </w:r>
            <w:r>
              <w:rPr>
                <w:rFonts w:ascii="宋体" w:hAnsi="宋体" w:cs="宋体" w:eastAsia="宋体" w:hint="default"/>
                <w:sz w:val="15"/>
                <w:szCs w:val="15"/>
              </w:rPr>
            </w:r>
          </w:p>
        </w:tc>
        <w:tc>
          <w:tcPr>
            <w:tcW w:w="710"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b/>
                <w:bCs/>
                <w:sz w:val="15"/>
                <w:szCs w:val="15"/>
              </w:rPr>
              <w:t>数量</w:t>
            </w:r>
            <w:r>
              <w:rPr>
                <w:rFonts w:ascii="宋体" w:hAnsi="宋体" w:cs="宋体" w:eastAsia="宋体" w:hint="default"/>
                <w:sz w:val="15"/>
                <w:szCs w:val="15"/>
              </w:rPr>
            </w:r>
          </w:p>
        </w:tc>
        <w:tc>
          <w:tcPr>
            <w:tcW w:w="1133" w:type="dxa"/>
            <w:vMerge/>
            <w:tcBorders>
              <w:left w:val="single" w:sz="4" w:space="0" w:color="000000"/>
              <w:bottom w:val="single" w:sz="4" w:space="0" w:color="000000"/>
              <w:right w:val="single" w:sz="4" w:space="0" w:color="000000"/>
            </w:tcBorders>
            <w:shd w:val="clear" w:color="auto" w:fill="E4E4E4"/>
          </w:tcPr>
          <w:p>
            <w:pPr/>
          </w:p>
        </w:tc>
      </w:tr>
      <w:tr>
        <w:trPr>
          <w:trHeight w:val="20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中国联合网络通信集团有限公司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50"/>
              <w:jc w:val="right"/>
              <w:rPr>
                <w:rFonts w:ascii="Arial" w:hAnsi="Arial" w:cs="Arial" w:eastAsia="Arial" w:hint="default"/>
                <w:sz w:val="15"/>
                <w:szCs w:val="15"/>
              </w:rPr>
            </w:pPr>
            <w:r>
              <w:rPr>
                <w:rFonts w:ascii="Arial"/>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8"/>
              <w:jc w:val="right"/>
              <w:rPr>
                <w:rFonts w:ascii="Arial" w:hAnsi="Arial" w:cs="Arial" w:eastAsia="Arial" w:hint="default"/>
                <w:sz w:val="15"/>
                <w:szCs w:val="15"/>
              </w:rPr>
            </w:pPr>
            <w:r>
              <w:rPr>
                <w:rFonts w:ascii="Arial"/>
                <w:spacing w:val="-1"/>
                <w:sz w:val="15"/>
              </w:rPr>
              <w:t>13,373,677,645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Arial" w:hAnsi="Arial" w:cs="Arial" w:eastAsia="Arial" w:hint="default"/>
                <w:sz w:val="15"/>
                <w:szCs w:val="15"/>
              </w:rPr>
            </w:pPr>
            <w:r>
              <w:rPr>
                <w:rFonts w:ascii="Arial"/>
                <w:spacing w:val="-1"/>
                <w:sz w:val="15"/>
              </w:rPr>
              <w:t>63.09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3"/>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hAnsi="宋体" w:cs="宋体" w:eastAsia="宋体" w:hint="default"/>
                <w:w w:val="100"/>
                <w:sz w:val="15"/>
                <w:szCs w:val="15"/>
              </w:rPr>
              <w:t>无</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65"/>
              <w:jc w:val="right"/>
              <w:rPr>
                <w:rFonts w:ascii="Arial" w:hAnsi="Arial" w:cs="Arial" w:eastAsia="Arial" w:hint="default"/>
                <w:sz w:val="15"/>
                <w:szCs w:val="15"/>
              </w:rPr>
            </w:pPr>
            <w:r>
              <w:rPr>
                <w:rFonts w:ascii="Arial"/>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hAnsi="宋体" w:cs="宋体" w:eastAsia="宋体" w:hint="default"/>
                <w:spacing w:val="-1"/>
                <w:sz w:val="15"/>
                <w:szCs w:val="15"/>
              </w:rPr>
              <w:t>国有法人</w:t>
            </w:r>
          </w:p>
        </w:tc>
      </w:tr>
      <w:tr>
        <w:trPr>
          <w:trHeight w:val="398"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0" w:right="0"/>
              <w:jc w:val="left"/>
              <w:rPr>
                <w:rFonts w:ascii="宋体" w:hAnsi="宋体" w:cs="宋体" w:eastAsia="宋体" w:hint="default"/>
                <w:sz w:val="15"/>
                <w:szCs w:val="15"/>
              </w:rPr>
            </w:pPr>
            <w:r>
              <w:rPr>
                <w:rFonts w:ascii="宋体" w:hAnsi="宋体" w:cs="宋体" w:eastAsia="宋体" w:hint="default"/>
                <w:sz w:val="15"/>
                <w:szCs w:val="15"/>
              </w:rPr>
              <w:t>交通银行－易方达 </w:t>
            </w:r>
            <w:r>
              <w:rPr>
                <w:rFonts w:ascii="Arial" w:hAnsi="Arial" w:cs="Arial" w:eastAsia="Arial" w:hint="default"/>
                <w:sz w:val="15"/>
                <w:szCs w:val="15"/>
              </w:rPr>
              <w:t>50</w:t>
            </w:r>
            <w:r>
              <w:rPr>
                <w:rFonts w:ascii="Arial" w:hAnsi="Arial" w:cs="Arial" w:eastAsia="Arial" w:hint="default"/>
                <w:spacing w:val="34"/>
                <w:sz w:val="15"/>
                <w:szCs w:val="15"/>
              </w:rPr>
              <w:t> </w:t>
            </w:r>
            <w:r>
              <w:rPr>
                <w:rFonts w:ascii="宋体" w:hAnsi="宋体" w:cs="宋体" w:eastAsia="宋体" w:hint="default"/>
                <w:sz w:val="15"/>
                <w:szCs w:val="15"/>
              </w:rPr>
              <w:t>指数证</w:t>
            </w:r>
          </w:p>
          <w:p>
            <w:pPr>
              <w:pStyle w:val="TableParagraph"/>
              <w:spacing w:line="190" w:lineRule="exact"/>
              <w:ind w:left="100" w:right="0"/>
              <w:jc w:val="left"/>
              <w:rPr>
                <w:rFonts w:ascii="宋体" w:hAnsi="宋体" w:cs="宋体" w:eastAsia="宋体" w:hint="default"/>
                <w:sz w:val="15"/>
                <w:szCs w:val="15"/>
              </w:rPr>
            </w:pPr>
            <w:r>
              <w:rPr>
                <w:rFonts w:ascii="宋体" w:hAnsi="宋体" w:cs="宋体" w:eastAsia="宋体" w:hint="default"/>
                <w:sz w:val="15"/>
                <w:szCs w:val="15"/>
              </w:rPr>
              <w:t>券投资基金</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48"/>
              <w:jc w:val="right"/>
              <w:rPr>
                <w:rFonts w:ascii="Arial" w:hAnsi="Arial" w:cs="Arial" w:eastAsia="Arial" w:hint="default"/>
                <w:sz w:val="15"/>
                <w:szCs w:val="15"/>
              </w:rPr>
            </w:pPr>
            <w:r>
              <w:rPr>
                <w:rFonts w:ascii="Arial"/>
                <w:spacing w:val="-1"/>
                <w:sz w:val="15"/>
              </w:rPr>
              <w:t>19,097,991</w:t>
            </w:r>
            <w:r>
              <w:rPr>
                <w:rFonts w:ascii="Arial"/>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38"/>
              <w:jc w:val="right"/>
              <w:rPr>
                <w:rFonts w:ascii="Arial" w:hAnsi="Arial" w:cs="Arial" w:eastAsia="Arial" w:hint="default"/>
                <w:sz w:val="15"/>
                <w:szCs w:val="15"/>
              </w:rPr>
            </w:pPr>
            <w:r>
              <w:rPr>
                <w:rFonts w:ascii="Arial"/>
                <w:spacing w:val="-1"/>
                <w:sz w:val="15"/>
              </w:rPr>
              <w:t>74,328,654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Arial" w:hAnsi="Arial" w:cs="Arial" w:eastAsia="Arial" w:hint="default"/>
                <w:sz w:val="15"/>
                <w:szCs w:val="15"/>
              </w:rPr>
            </w:pPr>
            <w:r>
              <w:rPr>
                <w:rFonts w:ascii="Arial"/>
                <w:sz w:val="15"/>
              </w:rPr>
              <w:t>0.35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3"/>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hAnsi="宋体" w:cs="宋体" w:eastAsia="宋体" w:hint="default"/>
                <w:w w:val="100"/>
                <w:sz w:val="15"/>
                <w:szCs w:val="15"/>
              </w:rPr>
              <w:t>无</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65"/>
              <w:jc w:val="right"/>
              <w:rPr>
                <w:rFonts w:ascii="Arial" w:hAnsi="Arial" w:cs="Arial" w:eastAsia="Arial" w:hint="default"/>
                <w:sz w:val="15"/>
                <w:szCs w:val="15"/>
              </w:rPr>
            </w:pPr>
            <w:r>
              <w:rPr>
                <w:rFonts w:ascii="Arial"/>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hAnsi="宋体" w:cs="宋体" w:eastAsia="宋体" w:hint="default"/>
                <w:sz w:val="15"/>
                <w:szCs w:val="15"/>
              </w:rPr>
              <w:t>其他</w:t>
            </w:r>
          </w:p>
        </w:tc>
      </w:tr>
      <w:tr>
        <w:trPr>
          <w:trHeight w:val="398"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南方东英资产管理有限公司－南</w:t>
            </w:r>
          </w:p>
          <w:p>
            <w:pPr>
              <w:pStyle w:val="TableParagraph"/>
              <w:spacing w:line="206" w:lineRule="exact"/>
              <w:ind w:left="100" w:right="0"/>
              <w:jc w:val="left"/>
              <w:rPr>
                <w:rFonts w:ascii="Arial" w:hAnsi="Arial" w:cs="Arial" w:eastAsia="Arial" w:hint="default"/>
                <w:sz w:val="15"/>
                <w:szCs w:val="15"/>
              </w:rPr>
            </w:pPr>
            <w:r>
              <w:rPr>
                <w:rFonts w:ascii="宋体" w:hAnsi="宋体" w:cs="宋体" w:eastAsia="宋体" w:hint="default"/>
                <w:sz w:val="15"/>
                <w:szCs w:val="15"/>
              </w:rPr>
              <w:t>方富时中国</w:t>
            </w:r>
            <w:r>
              <w:rPr>
                <w:rFonts w:ascii="宋体" w:hAnsi="宋体" w:cs="宋体" w:eastAsia="宋体" w:hint="default"/>
                <w:spacing w:val="-38"/>
                <w:sz w:val="15"/>
                <w:szCs w:val="15"/>
              </w:rPr>
              <w:t> </w:t>
            </w:r>
            <w:r>
              <w:rPr>
                <w:rFonts w:ascii="Arial" w:hAnsi="Arial" w:cs="Arial" w:eastAsia="Arial" w:hint="default"/>
                <w:sz w:val="15"/>
                <w:szCs w:val="15"/>
              </w:rPr>
              <w:t>A50ETF</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
              <w:jc w:val="right"/>
              <w:rPr>
                <w:rFonts w:ascii="Arial" w:hAnsi="Arial" w:cs="Arial" w:eastAsia="Arial" w:hint="default"/>
                <w:sz w:val="15"/>
                <w:szCs w:val="15"/>
              </w:rPr>
            </w:pPr>
            <w:r>
              <w:rPr>
                <w:rFonts w:ascii="Arial"/>
                <w:spacing w:val="-1"/>
                <w:sz w:val="15"/>
              </w:rPr>
              <w:t>(9,354,125)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38"/>
              <w:jc w:val="right"/>
              <w:rPr>
                <w:rFonts w:ascii="Arial" w:hAnsi="Arial" w:cs="Arial" w:eastAsia="Arial" w:hint="default"/>
                <w:sz w:val="15"/>
                <w:szCs w:val="15"/>
              </w:rPr>
            </w:pPr>
            <w:r>
              <w:rPr>
                <w:rFonts w:ascii="Arial"/>
                <w:spacing w:val="-1"/>
                <w:sz w:val="15"/>
              </w:rPr>
              <w:t>73,117,197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Arial" w:hAnsi="Arial" w:cs="Arial" w:eastAsia="Arial" w:hint="default"/>
                <w:sz w:val="15"/>
                <w:szCs w:val="15"/>
              </w:rPr>
            </w:pPr>
            <w:r>
              <w:rPr>
                <w:rFonts w:ascii="Arial"/>
                <w:sz w:val="15"/>
              </w:rPr>
              <w:t>0.34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3"/>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5"/>
                <w:szCs w:val="15"/>
              </w:rPr>
            </w:pPr>
            <w:r>
              <w:rPr>
                <w:rFonts w:ascii="宋体" w:hAnsi="宋体" w:cs="宋体" w:eastAsia="宋体" w:hint="default"/>
                <w:w w:val="100"/>
                <w:sz w:val="15"/>
                <w:szCs w:val="15"/>
              </w:rPr>
              <w:t>无</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65"/>
              <w:jc w:val="right"/>
              <w:rPr>
                <w:rFonts w:ascii="Arial" w:hAnsi="Arial" w:cs="Arial" w:eastAsia="Arial" w:hint="default"/>
                <w:sz w:val="15"/>
                <w:szCs w:val="15"/>
              </w:rPr>
            </w:pPr>
            <w:r>
              <w:rPr>
                <w:rFonts w:ascii="Arial"/>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5"/>
                <w:szCs w:val="15"/>
              </w:rPr>
            </w:pPr>
            <w:r>
              <w:rPr>
                <w:rFonts w:ascii="宋体" w:hAnsi="宋体" w:cs="宋体" w:eastAsia="宋体" w:hint="default"/>
                <w:spacing w:val="-1"/>
                <w:sz w:val="15"/>
                <w:szCs w:val="15"/>
              </w:rPr>
              <w:t>境外法人</w:t>
            </w:r>
          </w:p>
        </w:tc>
      </w:tr>
      <w:tr>
        <w:trPr>
          <w:trHeight w:val="206"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全国社保基金一一零组合</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
              <w:jc w:val="right"/>
              <w:rPr>
                <w:rFonts w:ascii="Arial" w:hAnsi="Arial" w:cs="Arial" w:eastAsia="Arial" w:hint="default"/>
                <w:sz w:val="15"/>
                <w:szCs w:val="15"/>
              </w:rPr>
            </w:pPr>
            <w:r>
              <w:rPr>
                <w:rFonts w:ascii="Arial"/>
                <w:spacing w:val="-1"/>
                <w:sz w:val="15"/>
              </w:rPr>
              <w:t>(62,001,905)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8"/>
              <w:jc w:val="right"/>
              <w:rPr>
                <w:rFonts w:ascii="Arial" w:hAnsi="Arial" w:cs="Arial" w:eastAsia="Arial" w:hint="default"/>
                <w:sz w:val="15"/>
                <w:szCs w:val="15"/>
              </w:rPr>
            </w:pPr>
            <w:r>
              <w:rPr>
                <w:rFonts w:ascii="Arial"/>
                <w:spacing w:val="-1"/>
                <w:sz w:val="15"/>
              </w:rPr>
              <w:t>58,003,870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Arial" w:hAnsi="Arial" w:cs="Arial" w:eastAsia="Arial" w:hint="default"/>
                <w:sz w:val="15"/>
                <w:szCs w:val="15"/>
              </w:rPr>
            </w:pPr>
            <w:r>
              <w:rPr>
                <w:rFonts w:ascii="Arial"/>
                <w:sz w:val="15"/>
              </w:rPr>
              <w:t>0.27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hAnsi="宋体" w:cs="宋体" w:eastAsia="宋体" w:hint="default"/>
                <w:w w:val="100"/>
                <w:sz w:val="15"/>
                <w:szCs w:val="15"/>
              </w:rPr>
              <w:t>无</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5"/>
              <w:jc w:val="right"/>
              <w:rPr>
                <w:rFonts w:ascii="Arial" w:hAnsi="Arial" w:cs="Arial" w:eastAsia="Arial" w:hint="default"/>
                <w:sz w:val="15"/>
                <w:szCs w:val="15"/>
              </w:rPr>
            </w:pPr>
            <w:r>
              <w:rPr>
                <w:rFonts w:ascii="Arial"/>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hAnsi="宋体" w:cs="宋体" w:eastAsia="宋体" w:hint="default"/>
                <w:sz w:val="15"/>
                <w:szCs w:val="15"/>
              </w:rPr>
              <w:t>其他</w:t>
            </w:r>
          </w:p>
        </w:tc>
      </w:tr>
      <w:tr>
        <w:trPr>
          <w:trHeight w:val="398"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0" w:right="0"/>
              <w:jc w:val="left"/>
              <w:rPr>
                <w:rFonts w:ascii="宋体" w:hAnsi="宋体" w:cs="宋体" w:eastAsia="宋体" w:hint="default"/>
                <w:sz w:val="15"/>
                <w:szCs w:val="15"/>
              </w:rPr>
            </w:pPr>
            <w:r>
              <w:rPr>
                <w:rFonts w:ascii="宋体" w:hAnsi="宋体" w:cs="宋体" w:eastAsia="宋体" w:hint="default"/>
                <w:sz w:val="15"/>
                <w:szCs w:val="15"/>
              </w:rPr>
              <w:t>中国工商银行－上证</w:t>
            </w:r>
            <w:r>
              <w:rPr>
                <w:rFonts w:ascii="宋体" w:hAnsi="宋体" w:cs="宋体" w:eastAsia="宋体" w:hint="default"/>
                <w:spacing w:val="-38"/>
                <w:sz w:val="15"/>
                <w:szCs w:val="15"/>
              </w:rPr>
              <w:t> </w:t>
            </w:r>
            <w:r>
              <w:rPr>
                <w:rFonts w:ascii="Arial" w:hAnsi="Arial" w:cs="Arial" w:eastAsia="Arial" w:hint="default"/>
                <w:sz w:val="15"/>
                <w:szCs w:val="15"/>
              </w:rPr>
              <w:t>50</w:t>
            </w:r>
            <w:r>
              <w:rPr>
                <w:rFonts w:ascii="Arial" w:hAnsi="Arial" w:cs="Arial" w:eastAsia="Arial" w:hint="default"/>
                <w:spacing w:val="-6"/>
                <w:sz w:val="15"/>
                <w:szCs w:val="15"/>
              </w:rPr>
              <w:t> </w:t>
            </w:r>
            <w:r>
              <w:rPr>
                <w:rFonts w:ascii="宋体" w:hAnsi="宋体" w:cs="宋体" w:eastAsia="宋体" w:hint="default"/>
                <w:sz w:val="15"/>
                <w:szCs w:val="15"/>
              </w:rPr>
              <w:t>交易型</w:t>
            </w:r>
          </w:p>
          <w:p>
            <w:pPr>
              <w:pStyle w:val="TableParagraph"/>
              <w:spacing w:line="190" w:lineRule="exact"/>
              <w:ind w:left="100" w:right="0"/>
              <w:jc w:val="left"/>
              <w:rPr>
                <w:rFonts w:ascii="宋体" w:hAnsi="宋体" w:cs="宋体" w:eastAsia="宋体" w:hint="default"/>
                <w:sz w:val="15"/>
                <w:szCs w:val="15"/>
              </w:rPr>
            </w:pPr>
            <w:r>
              <w:rPr>
                <w:rFonts w:ascii="宋体" w:hAnsi="宋体" w:cs="宋体" w:eastAsia="宋体" w:hint="default"/>
                <w:sz w:val="15"/>
                <w:szCs w:val="15"/>
              </w:rPr>
              <w:t>开放式指数证券投资基金</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
              <w:jc w:val="right"/>
              <w:rPr>
                <w:rFonts w:ascii="Arial" w:hAnsi="Arial" w:cs="Arial" w:eastAsia="Arial" w:hint="default"/>
                <w:sz w:val="15"/>
                <w:szCs w:val="15"/>
              </w:rPr>
            </w:pPr>
            <w:r>
              <w:rPr>
                <w:rFonts w:ascii="Arial"/>
                <w:spacing w:val="-1"/>
                <w:sz w:val="15"/>
              </w:rPr>
              <w:t>(21,769,786)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38"/>
              <w:jc w:val="right"/>
              <w:rPr>
                <w:rFonts w:ascii="Arial" w:hAnsi="Arial" w:cs="Arial" w:eastAsia="Arial" w:hint="default"/>
                <w:sz w:val="15"/>
                <w:szCs w:val="15"/>
              </w:rPr>
            </w:pPr>
            <w:r>
              <w:rPr>
                <w:rFonts w:ascii="Arial"/>
                <w:spacing w:val="-1"/>
                <w:sz w:val="15"/>
              </w:rPr>
              <w:t>57,143,011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Arial" w:hAnsi="Arial" w:cs="Arial" w:eastAsia="Arial" w:hint="default"/>
                <w:sz w:val="15"/>
                <w:szCs w:val="15"/>
              </w:rPr>
            </w:pPr>
            <w:r>
              <w:rPr>
                <w:rFonts w:ascii="Arial"/>
                <w:sz w:val="15"/>
              </w:rPr>
              <w:t>0.27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3"/>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hAnsi="宋体" w:cs="宋体" w:eastAsia="宋体" w:hint="default"/>
                <w:w w:val="100"/>
                <w:sz w:val="15"/>
                <w:szCs w:val="15"/>
              </w:rPr>
              <w:t>无</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65"/>
              <w:jc w:val="right"/>
              <w:rPr>
                <w:rFonts w:ascii="Arial" w:hAnsi="Arial" w:cs="Arial" w:eastAsia="Arial" w:hint="default"/>
                <w:sz w:val="15"/>
                <w:szCs w:val="15"/>
              </w:rPr>
            </w:pPr>
            <w:r>
              <w:rPr>
                <w:rFonts w:ascii="Arial"/>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hAnsi="宋体" w:cs="宋体" w:eastAsia="宋体" w:hint="default"/>
                <w:sz w:val="15"/>
                <w:szCs w:val="15"/>
              </w:rPr>
              <w:t>其他</w:t>
            </w:r>
          </w:p>
        </w:tc>
      </w:tr>
      <w:tr>
        <w:trPr>
          <w:trHeight w:val="59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新华人寿保险股份有限公司－分</w:t>
            </w:r>
          </w:p>
          <w:p>
            <w:pPr>
              <w:pStyle w:val="TableParagraph"/>
              <w:spacing w:line="194" w:lineRule="exact" w:before="19"/>
              <w:ind w:left="100" w:right="221"/>
              <w:jc w:val="left"/>
              <w:rPr>
                <w:rFonts w:ascii="宋体" w:hAnsi="宋体" w:cs="宋体" w:eastAsia="宋体" w:hint="default"/>
                <w:sz w:val="15"/>
                <w:szCs w:val="15"/>
              </w:rPr>
            </w:pPr>
            <w:r>
              <w:rPr>
                <w:rFonts w:ascii="宋体" w:hAnsi="宋体" w:cs="宋体" w:eastAsia="宋体" w:hint="default"/>
                <w:spacing w:val="-2"/>
                <w:sz w:val="15"/>
                <w:szCs w:val="15"/>
              </w:rPr>
              <w:t>红－团体分红－</w:t>
            </w:r>
            <w:r>
              <w:rPr>
                <w:rFonts w:ascii="Arial" w:hAnsi="Arial" w:cs="Arial" w:eastAsia="Arial" w:hint="default"/>
                <w:spacing w:val="-2"/>
                <w:sz w:val="15"/>
                <w:szCs w:val="15"/>
              </w:rPr>
              <w:t>018L</w:t>
            </w:r>
            <w:r>
              <w:rPr>
                <w:rFonts w:ascii="宋体" w:hAnsi="宋体" w:cs="宋体" w:eastAsia="宋体" w:hint="default"/>
                <w:spacing w:val="-2"/>
                <w:sz w:val="15"/>
                <w:szCs w:val="15"/>
              </w:rPr>
              <w:t>－</w:t>
            </w:r>
            <w:r>
              <w:rPr>
                <w:rFonts w:ascii="Arial" w:hAnsi="Arial" w:cs="Arial" w:eastAsia="Arial" w:hint="default"/>
                <w:spacing w:val="-2"/>
                <w:sz w:val="15"/>
                <w:szCs w:val="15"/>
              </w:rPr>
              <w:t>FH001</w:t>
            </w:r>
            <w:r>
              <w:rPr>
                <w:rFonts w:ascii="Arial" w:hAnsi="Arial" w:cs="Arial" w:eastAsia="Arial" w:hint="default"/>
                <w:spacing w:val="-10"/>
                <w:sz w:val="15"/>
                <w:szCs w:val="15"/>
              </w:rPr>
              <w:t> </w:t>
            </w:r>
            <w:r>
              <w:rPr>
                <w:rFonts w:ascii="Arial" w:hAnsi="Arial" w:cs="Arial" w:eastAsia="Arial" w:hint="default"/>
                <w:spacing w:val="-10"/>
                <w:sz w:val="15"/>
                <w:szCs w:val="15"/>
              </w:rPr>
            </w:r>
            <w:r>
              <w:rPr>
                <w:rFonts w:ascii="宋体" w:hAnsi="宋体" w:cs="宋体" w:eastAsia="宋体" w:hint="default"/>
                <w:sz w:val="15"/>
                <w:szCs w:val="15"/>
              </w:rPr>
              <w:t>沪</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8"/>
              <w:jc w:val="right"/>
              <w:rPr>
                <w:rFonts w:ascii="Arial" w:hAnsi="Arial" w:cs="Arial" w:eastAsia="Arial" w:hint="default"/>
                <w:sz w:val="15"/>
                <w:szCs w:val="15"/>
              </w:rPr>
            </w:pPr>
            <w:r>
              <w:rPr>
                <w:rFonts w:ascii="Arial"/>
                <w:spacing w:val="-1"/>
                <w:sz w:val="15"/>
              </w:rPr>
              <w:t>47,134,707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8"/>
              <w:jc w:val="right"/>
              <w:rPr>
                <w:rFonts w:ascii="Arial" w:hAnsi="Arial" w:cs="Arial" w:eastAsia="Arial" w:hint="default"/>
                <w:sz w:val="15"/>
                <w:szCs w:val="15"/>
              </w:rPr>
            </w:pPr>
            <w:r>
              <w:rPr>
                <w:rFonts w:ascii="Arial"/>
                <w:spacing w:val="-1"/>
                <w:sz w:val="15"/>
              </w:rPr>
              <w:t>47,134,707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5"/>
                <w:szCs w:val="15"/>
              </w:rPr>
            </w:pPr>
            <w:r>
              <w:rPr>
                <w:rFonts w:ascii="Arial"/>
                <w:sz w:val="15"/>
              </w:rPr>
              <w:t>0.22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hAnsi="宋体" w:cs="宋体" w:eastAsia="宋体" w:hint="default"/>
                <w:w w:val="100"/>
                <w:sz w:val="15"/>
                <w:szCs w:val="15"/>
              </w:rPr>
              <w:t>无</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65"/>
              <w:jc w:val="right"/>
              <w:rPr>
                <w:rFonts w:ascii="Arial" w:hAnsi="Arial" w:cs="Arial" w:eastAsia="Arial" w:hint="default"/>
                <w:sz w:val="15"/>
                <w:szCs w:val="15"/>
              </w:rPr>
            </w:pPr>
            <w:r>
              <w:rPr>
                <w:rFonts w:ascii="Arial"/>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hAnsi="宋体" w:cs="宋体" w:eastAsia="宋体" w:hint="default"/>
                <w:sz w:val="15"/>
                <w:szCs w:val="15"/>
              </w:rPr>
              <w:t>其他</w:t>
            </w:r>
          </w:p>
        </w:tc>
      </w:tr>
      <w:tr>
        <w:trPr>
          <w:trHeight w:val="59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中国银行股份有限公司－嘉实沪</w:t>
            </w:r>
          </w:p>
          <w:p>
            <w:pPr>
              <w:pStyle w:val="TableParagraph"/>
              <w:spacing w:line="194" w:lineRule="exact" w:before="19"/>
              <w:ind w:left="100" w:right="99"/>
              <w:jc w:val="left"/>
              <w:rPr>
                <w:rFonts w:ascii="宋体" w:hAnsi="宋体" w:cs="宋体" w:eastAsia="宋体" w:hint="default"/>
                <w:sz w:val="15"/>
                <w:szCs w:val="15"/>
              </w:rPr>
            </w:pPr>
            <w:r>
              <w:rPr>
                <w:rFonts w:ascii="宋体" w:hAnsi="宋体" w:cs="宋体" w:eastAsia="宋体" w:hint="default"/>
                <w:sz w:val="15"/>
                <w:szCs w:val="15"/>
              </w:rPr>
              <w:t>深</w:t>
            </w:r>
            <w:r>
              <w:rPr>
                <w:rFonts w:ascii="宋体" w:hAnsi="宋体" w:cs="宋体" w:eastAsia="宋体" w:hint="default"/>
                <w:spacing w:val="-48"/>
                <w:sz w:val="15"/>
                <w:szCs w:val="15"/>
              </w:rPr>
              <w:t> </w:t>
            </w:r>
            <w:r>
              <w:rPr>
                <w:rFonts w:ascii="Arial" w:hAnsi="Arial" w:cs="Arial" w:eastAsia="Arial" w:hint="default"/>
                <w:sz w:val="15"/>
                <w:szCs w:val="15"/>
              </w:rPr>
              <w:t>300</w:t>
            </w:r>
            <w:r>
              <w:rPr>
                <w:rFonts w:ascii="Arial" w:hAnsi="Arial" w:cs="Arial" w:eastAsia="Arial" w:hint="default"/>
                <w:spacing w:val="-14"/>
                <w:sz w:val="15"/>
                <w:szCs w:val="15"/>
              </w:rPr>
              <w:t> </w:t>
            </w:r>
            <w:r>
              <w:rPr>
                <w:rFonts w:ascii="宋体" w:hAnsi="宋体" w:cs="宋体" w:eastAsia="宋体" w:hint="default"/>
                <w:sz w:val="15"/>
                <w:szCs w:val="15"/>
              </w:rPr>
              <w:t>交易型开放式指数证券投</w:t>
            </w:r>
            <w:r>
              <w:rPr>
                <w:rFonts w:ascii="宋体" w:hAnsi="宋体" w:cs="宋体" w:eastAsia="宋体" w:hint="default"/>
                <w:w w:val="100"/>
                <w:sz w:val="15"/>
                <w:szCs w:val="15"/>
              </w:rPr>
              <w:t> </w:t>
            </w:r>
            <w:r>
              <w:rPr>
                <w:rFonts w:ascii="宋体" w:hAnsi="宋体" w:cs="宋体" w:eastAsia="宋体" w:hint="default"/>
                <w:sz w:val="15"/>
                <w:szCs w:val="15"/>
              </w:rPr>
              <w:t>资基金</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8"/>
              <w:jc w:val="right"/>
              <w:rPr>
                <w:rFonts w:ascii="Arial" w:hAnsi="Arial" w:cs="Arial" w:eastAsia="Arial" w:hint="default"/>
                <w:sz w:val="15"/>
                <w:szCs w:val="15"/>
              </w:rPr>
            </w:pPr>
            <w:r>
              <w:rPr>
                <w:rFonts w:ascii="Arial"/>
                <w:spacing w:val="-1"/>
                <w:sz w:val="15"/>
              </w:rPr>
              <w:t>772,470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8"/>
              <w:jc w:val="right"/>
              <w:rPr>
                <w:rFonts w:ascii="Arial" w:hAnsi="Arial" w:cs="Arial" w:eastAsia="Arial" w:hint="default"/>
                <w:sz w:val="15"/>
                <w:szCs w:val="15"/>
              </w:rPr>
            </w:pPr>
            <w:r>
              <w:rPr>
                <w:rFonts w:ascii="Arial"/>
                <w:spacing w:val="-1"/>
                <w:sz w:val="15"/>
              </w:rPr>
              <w:t>46,388,851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5"/>
                <w:szCs w:val="15"/>
              </w:rPr>
            </w:pPr>
            <w:r>
              <w:rPr>
                <w:rFonts w:ascii="Arial"/>
                <w:sz w:val="15"/>
              </w:rPr>
              <w:t>0.22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95" w:right="98" w:hanging="152"/>
              <w:jc w:val="left"/>
              <w:rPr>
                <w:rFonts w:ascii="宋体" w:hAnsi="宋体" w:cs="宋体" w:eastAsia="宋体" w:hint="default"/>
                <w:sz w:val="15"/>
                <w:szCs w:val="15"/>
              </w:rPr>
            </w:pPr>
            <w:r>
              <w:rPr>
                <w:rFonts w:ascii="宋体" w:hAnsi="宋体" w:cs="宋体" w:eastAsia="宋体" w:hint="default"/>
                <w:sz w:val="15"/>
                <w:szCs w:val="15"/>
              </w:rPr>
              <w:t>质押或</w:t>
            </w:r>
            <w:r>
              <w:rPr>
                <w:rFonts w:ascii="宋体" w:hAnsi="宋体" w:cs="宋体" w:eastAsia="宋体" w:hint="default"/>
                <w:spacing w:val="-72"/>
                <w:sz w:val="15"/>
                <w:szCs w:val="15"/>
              </w:rPr>
              <w:t> </w:t>
            </w:r>
            <w:r>
              <w:rPr>
                <w:rFonts w:ascii="宋体" w:hAnsi="宋体" w:cs="宋体" w:eastAsia="宋体" w:hint="default"/>
                <w:sz w:val="15"/>
                <w:szCs w:val="15"/>
              </w:rPr>
              <w:t>冻结</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1" w:right="0"/>
              <w:jc w:val="left"/>
              <w:rPr>
                <w:rFonts w:ascii="Arial" w:hAnsi="Arial" w:cs="Arial" w:eastAsia="Arial" w:hint="default"/>
                <w:sz w:val="15"/>
                <w:szCs w:val="15"/>
              </w:rPr>
            </w:pPr>
            <w:r>
              <w:rPr>
                <w:rFonts w:ascii="Arial"/>
                <w:sz w:val="15"/>
              </w:rPr>
              <w:t>326,700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hAnsi="宋体" w:cs="宋体" w:eastAsia="宋体" w:hint="default"/>
                <w:sz w:val="15"/>
                <w:szCs w:val="15"/>
              </w:rPr>
              <w:t>其他</w:t>
            </w:r>
          </w:p>
        </w:tc>
      </w:tr>
      <w:tr>
        <w:trPr>
          <w:trHeight w:val="206"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中国人寿再保险股份有限公司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Arial" w:hAnsi="Arial" w:cs="Arial" w:eastAsia="Arial" w:hint="default"/>
                <w:sz w:val="15"/>
                <w:szCs w:val="15"/>
              </w:rPr>
            </w:pPr>
            <w:r>
              <w:rPr>
                <w:rFonts w:ascii="Arial"/>
                <w:spacing w:val="-1"/>
                <w:sz w:val="15"/>
              </w:rPr>
              <w:t>40,444,725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8"/>
              <w:jc w:val="right"/>
              <w:rPr>
                <w:rFonts w:ascii="Arial" w:hAnsi="Arial" w:cs="Arial" w:eastAsia="Arial" w:hint="default"/>
                <w:sz w:val="15"/>
                <w:szCs w:val="15"/>
              </w:rPr>
            </w:pPr>
            <w:r>
              <w:rPr>
                <w:rFonts w:ascii="Arial"/>
                <w:spacing w:val="-1"/>
                <w:sz w:val="15"/>
              </w:rPr>
              <w:t>40,444,725</w:t>
            </w:r>
            <w:r>
              <w:rPr>
                <w:rFonts w:ascii="Arial"/>
                <w:sz w:val="15"/>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Arial" w:hAnsi="Arial" w:cs="Arial" w:eastAsia="Arial" w:hint="default"/>
                <w:sz w:val="15"/>
                <w:szCs w:val="15"/>
              </w:rPr>
            </w:pPr>
            <w:r>
              <w:rPr>
                <w:rFonts w:ascii="Arial"/>
                <w:sz w:val="15"/>
              </w:rPr>
              <w:t>0.19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hAnsi="宋体" w:cs="宋体" w:eastAsia="宋体" w:hint="default"/>
                <w:w w:val="100"/>
                <w:sz w:val="15"/>
                <w:szCs w:val="15"/>
              </w:rPr>
              <w:t>无</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5"/>
              <w:jc w:val="right"/>
              <w:rPr>
                <w:rFonts w:ascii="Arial" w:hAnsi="Arial" w:cs="Arial" w:eastAsia="Arial" w:hint="default"/>
                <w:sz w:val="15"/>
                <w:szCs w:val="15"/>
              </w:rPr>
            </w:pPr>
            <w:r>
              <w:rPr>
                <w:rFonts w:ascii="Arial"/>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hAnsi="宋体" w:cs="宋体" w:eastAsia="宋体" w:hint="default"/>
                <w:sz w:val="15"/>
                <w:szCs w:val="15"/>
              </w:rPr>
              <w:t>其他</w:t>
            </w:r>
          </w:p>
        </w:tc>
      </w:tr>
      <w:tr>
        <w:trPr>
          <w:trHeight w:val="59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中国银行股份有限公司－宝盈核</w:t>
            </w:r>
          </w:p>
          <w:p>
            <w:pPr>
              <w:pStyle w:val="TableParagraph"/>
              <w:spacing w:line="240" w:lineRule="auto"/>
              <w:ind w:left="100" w:right="106"/>
              <w:jc w:val="left"/>
              <w:rPr>
                <w:rFonts w:ascii="宋体" w:hAnsi="宋体" w:cs="宋体" w:eastAsia="宋体" w:hint="default"/>
                <w:sz w:val="15"/>
                <w:szCs w:val="15"/>
              </w:rPr>
            </w:pPr>
            <w:r>
              <w:rPr>
                <w:rFonts w:ascii="宋体" w:hAnsi="宋体" w:cs="宋体" w:eastAsia="宋体" w:hint="default"/>
                <w:spacing w:val="-2"/>
                <w:sz w:val="15"/>
                <w:szCs w:val="15"/>
              </w:rPr>
              <w:t>心优势灵活配置混合型证券投资</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基金</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48"/>
              <w:jc w:val="right"/>
              <w:rPr>
                <w:rFonts w:ascii="Arial" w:hAnsi="Arial" w:cs="Arial" w:eastAsia="Arial" w:hint="default"/>
                <w:sz w:val="15"/>
                <w:szCs w:val="15"/>
              </w:rPr>
            </w:pPr>
            <w:r>
              <w:rPr>
                <w:rFonts w:ascii="Arial"/>
                <w:spacing w:val="-1"/>
                <w:sz w:val="15"/>
              </w:rPr>
              <w:t>40,009,816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8"/>
              <w:jc w:val="right"/>
              <w:rPr>
                <w:rFonts w:ascii="Arial" w:hAnsi="Arial" w:cs="Arial" w:eastAsia="Arial" w:hint="default"/>
                <w:sz w:val="15"/>
                <w:szCs w:val="15"/>
              </w:rPr>
            </w:pPr>
            <w:r>
              <w:rPr>
                <w:rFonts w:ascii="Arial"/>
                <w:spacing w:val="-1"/>
                <w:sz w:val="15"/>
              </w:rPr>
              <w:t>40,009,816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5"/>
                <w:szCs w:val="15"/>
              </w:rPr>
            </w:pPr>
            <w:r>
              <w:rPr>
                <w:rFonts w:ascii="Arial"/>
                <w:sz w:val="15"/>
              </w:rPr>
              <w:t>0.19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hAnsi="宋体" w:cs="宋体" w:eastAsia="宋体" w:hint="default"/>
                <w:w w:val="100"/>
                <w:sz w:val="15"/>
                <w:szCs w:val="15"/>
              </w:rPr>
              <w:t>无</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65"/>
              <w:jc w:val="right"/>
              <w:rPr>
                <w:rFonts w:ascii="Arial" w:hAnsi="Arial" w:cs="Arial" w:eastAsia="Arial" w:hint="default"/>
                <w:sz w:val="15"/>
                <w:szCs w:val="15"/>
              </w:rPr>
            </w:pPr>
            <w:r>
              <w:rPr>
                <w:rFonts w:ascii="Arial"/>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hAnsi="宋体" w:cs="宋体" w:eastAsia="宋体" w:hint="default"/>
                <w:sz w:val="15"/>
                <w:szCs w:val="15"/>
              </w:rPr>
              <w:t>其他</w:t>
            </w:r>
          </w:p>
        </w:tc>
      </w:tr>
      <w:tr>
        <w:trPr>
          <w:trHeight w:val="398"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中国工商银行股份有限公司－嘉</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实周期优选股票型证券投资基金</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48"/>
              <w:jc w:val="right"/>
              <w:rPr>
                <w:rFonts w:ascii="Arial" w:hAnsi="Arial" w:cs="Arial" w:eastAsia="Arial" w:hint="default"/>
                <w:sz w:val="15"/>
                <w:szCs w:val="15"/>
              </w:rPr>
            </w:pPr>
            <w:r>
              <w:rPr>
                <w:rFonts w:ascii="Arial"/>
                <w:spacing w:val="-1"/>
                <w:sz w:val="15"/>
              </w:rPr>
              <w:t>39,002,333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38"/>
              <w:jc w:val="right"/>
              <w:rPr>
                <w:rFonts w:ascii="Arial" w:hAnsi="Arial" w:cs="Arial" w:eastAsia="Arial" w:hint="default"/>
                <w:sz w:val="15"/>
                <w:szCs w:val="15"/>
              </w:rPr>
            </w:pPr>
            <w:r>
              <w:rPr>
                <w:rFonts w:ascii="Arial"/>
                <w:spacing w:val="-1"/>
                <w:sz w:val="15"/>
              </w:rPr>
              <w:t>40,002,333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Arial" w:hAnsi="Arial" w:cs="Arial" w:eastAsia="Arial" w:hint="default"/>
                <w:sz w:val="15"/>
                <w:szCs w:val="15"/>
              </w:rPr>
            </w:pPr>
            <w:r>
              <w:rPr>
                <w:rFonts w:ascii="Arial"/>
                <w:sz w:val="15"/>
              </w:rPr>
              <w:t>0.19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3"/>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5"/>
                <w:szCs w:val="15"/>
              </w:rPr>
            </w:pPr>
            <w:r>
              <w:rPr>
                <w:rFonts w:ascii="宋体" w:hAnsi="宋体" w:cs="宋体" w:eastAsia="宋体" w:hint="default"/>
                <w:w w:val="100"/>
                <w:sz w:val="15"/>
                <w:szCs w:val="15"/>
              </w:rPr>
              <w:t>无</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65"/>
              <w:jc w:val="right"/>
              <w:rPr>
                <w:rFonts w:ascii="Arial" w:hAnsi="Arial" w:cs="Arial" w:eastAsia="Arial" w:hint="default"/>
                <w:sz w:val="15"/>
                <w:szCs w:val="15"/>
              </w:rPr>
            </w:pPr>
            <w:r>
              <w:rPr>
                <w:rFonts w:ascii="Arial"/>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5"/>
                <w:szCs w:val="15"/>
              </w:rPr>
            </w:pPr>
            <w:r>
              <w:rPr>
                <w:rFonts w:ascii="宋体" w:hAnsi="宋体" w:cs="宋体" w:eastAsia="宋体" w:hint="default"/>
                <w:sz w:val="15"/>
                <w:szCs w:val="15"/>
              </w:rPr>
              <w:t>其他</w:t>
            </w:r>
          </w:p>
        </w:tc>
      </w:tr>
      <w:tr>
        <w:trPr>
          <w:trHeight w:val="206" w:hRule="exact"/>
        </w:trPr>
        <w:tc>
          <w:tcPr>
            <w:tcW w:w="8364" w:type="dxa"/>
            <w:gridSpan w:val="9"/>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b/>
                <w:bCs/>
                <w:sz w:val="15"/>
                <w:szCs w:val="15"/>
              </w:rPr>
              <w:t>前十名无限售条件股东持股情况</w:t>
            </w:r>
            <w:r>
              <w:rPr>
                <w:rFonts w:ascii="宋体" w:hAnsi="宋体" w:cs="宋体" w:eastAsia="宋体" w:hint="default"/>
                <w:sz w:val="15"/>
                <w:szCs w:val="15"/>
              </w:rPr>
            </w:r>
          </w:p>
        </w:tc>
      </w:tr>
      <w:tr>
        <w:trPr>
          <w:trHeight w:val="204" w:hRule="exact"/>
        </w:trPr>
        <w:tc>
          <w:tcPr>
            <w:tcW w:w="3260" w:type="dxa"/>
            <w:gridSpan w:val="2"/>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77"/>
              <w:ind w:right="2"/>
              <w:jc w:val="center"/>
              <w:rPr>
                <w:rFonts w:ascii="宋体" w:hAnsi="宋体" w:cs="宋体" w:eastAsia="宋体" w:hint="default"/>
                <w:sz w:val="15"/>
                <w:szCs w:val="15"/>
              </w:rPr>
            </w:pPr>
            <w:r>
              <w:rPr>
                <w:rFonts w:ascii="宋体" w:hAnsi="宋体" w:cs="宋体" w:eastAsia="宋体" w:hint="default"/>
                <w:b/>
                <w:bCs/>
                <w:sz w:val="15"/>
                <w:szCs w:val="15"/>
              </w:rPr>
              <w:t>股东名称</w:t>
            </w:r>
            <w:r>
              <w:rPr>
                <w:rFonts w:ascii="宋体" w:hAnsi="宋体" w:cs="宋体" w:eastAsia="宋体" w:hint="default"/>
                <w:sz w:val="15"/>
                <w:szCs w:val="15"/>
              </w:rPr>
            </w:r>
          </w:p>
        </w:tc>
        <w:tc>
          <w:tcPr>
            <w:tcW w:w="2552" w:type="dxa"/>
            <w:gridSpan w:val="3"/>
            <w:vMerge w:val="restart"/>
            <w:tcBorders>
              <w:top w:val="single" w:sz="4" w:space="0" w:color="000000"/>
              <w:left w:val="single" w:sz="4" w:space="0" w:color="000000"/>
              <w:right w:val="single" w:sz="4" w:space="0" w:color="000000"/>
            </w:tcBorders>
            <w:shd w:val="clear" w:color="auto" w:fill="E4E4E4"/>
          </w:tcPr>
          <w:p>
            <w:pPr>
              <w:pStyle w:val="TableParagraph"/>
              <w:spacing w:line="194" w:lineRule="exact"/>
              <w:ind w:left="818" w:right="740" w:hanging="75"/>
              <w:jc w:val="left"/>
              <w:rPr>
                <w:rFonts w:ascii="宋体" w:hAnsi="宋体" w:cs="宋体" w:eastAsia="宋体" w:hint="default"/>
                <w:sz w:val="15"/>
                <w:szCs w:val="15"/>
              </w:rPr>
            </w:pPr>
            <w:r>
              <w:rPr>
                <w:rFonts w:ascii="宋体" w:hAnsi="宋体" w:cs="宋体" w:eastAsia="宋体" w:hint="default"/>
                <w:b/>
                <w:bCs/>
                <w:sz w:val="15"/>
                <w:szCs w:val="15"/>
              </w:rPr>
              <w:t>持有无限售条件</w:t>
            </w:r>
            <w:r>
              <w:rPr>
                <w:rFonts w:ascii="宋体" w:hAnsi="宋体" w:cs="宋体" w:eastAsia="宋体" w:hint="default"/>
                <w:b/>
                <w:bCs/>
                <w:w w:val="100"/>
                <w:sz w:val="15"/>
                <w:szCs w:val="15"/>
              </w:rPr>
              <w:t> </w:t>
            </w:r>
            <w:r>
              <w:rPr>
                <w:rFonts w:ascii="宋体" w:hAnsi="宋体" w:cs="宋体" w:eastAsia="宋体" w:hint="default"/>
                <w:b/>
                <w:bCs/>
                <w:sz w:val="15"/>
                <w:szCs w:val="15"/>
              </w:rPr>
              <w:t>流通股的数量</w:t>
            </w:r>
            <w:r>
              <w:rPr>
                <w:rFonts w:ascii="宋体" w:hAnsi="宋体" w:cs="宋体" w:eastAsia="宋体" w:hint="default"/>
                <w:sz w:val="15"/>
                <w:szCs w:val="15"/>
              </w:rPr>
            </w:r>
          </w:p>
        </w:tc>
        <w:tc>
          <w:tcPr>
            <w:tcW w:w="2552" w:type="dxa"/>
            <w:gridSpan w:val="4"/>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172" w:lineRule="exact"/>
              <w:ind w:left="743" w:right="0"/>
              <w:jc w:val="left"/>
              <w:rPr>
                <w:rFonts w:ascii="宋体" w:hAnsi="宋体" w:cs="宋体" w:eastAsia="宋体" w:hint="default"/>
                <w:sz w:val="15"/>
                <w:szCs w:val="15"/>
              </w:rPr>
            </w:pPr>
            <w:r>
              <w:rPr>
                <w:rFonts w:ascii="宋体" w:hAnsi="宋体" w:cs="宋体" w:eastAsia="宋体" w:hint="default"/>
                <w:b/>
                <w:bCs/>
                <w:sz w:val="15"/>
                <w:szCs w:val="15"/>
              </w:rPr>
              <w:t>股份种类及数量</w:t>
            </w:r>
            <w:r>
              <w:rPr>
                <w:rFonts w:ascii="宋体" w:hAnsi="宋体" w:cs="宋体" w:eastAsia="宋体" w:hint="default"/>
                <w:sz w:val="15"/>
                <w:szCs w:val="15"/>
              </w:rPr>
            </w:r>
          </w:p>
        </w:tc>
      </w:tr>
      <w:tr>
        <w:trPr>
          <w:trHeight w:val="204" w:hRule="exact"/>
        </w:trPr>
        <w:tc>
          <w:tcPr>
            <w:tcW w:w="3260" w:type="dxa"/>
            <w:gridSpan w:val="2"/>
            <w:vMerge/>
            <w:tcBorders>
              <w:left w:val="single" w:sz="4" w:space="0" w:color="000000"/>
              <w:bottom w:val="single" w:sz="4" w:space="0" w:color="000000"/>
              <w:right w:val="single" w:sz="4" w:space="0" w:color="000000"/>
            </w:tcBorders>
            <w:shd w:val="clear" w:color="auto" w:fill="E4E4E4"/>
          </w:tcPr>
          <w:p>
            <w:pPr/>
          </w:p>
        </w:tc>
        <w:tc>
          <w:tcPr>
            <w:tcW w:w="2552" w:type="dxa"/>
            <w:gridSpan w:val="3"/>
            <w:vMerge/>
            <w:tcBorders>
              <w:left w:val="single" w:sz="4" w:space="0" w:color="000000"/>
              <w:bottom w:val="single" w:sz="4" w:space="0" w:color="000000"/>
              <w:right w:val="single" w:sz="4" w:space="0" w:color="000000"/>
            </w:tcBorders>
            <w:shd w:val="clear" w:color="auto" w:fill="E4E4E4"/>
          </w:tcPr>
          <w:p>
            <w:pPr/>
          </w:p>
        </w:tc>
        <w:tc>
          <w:tcPr>
            <w:tcW w:w="1274"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b/>
                <w:bCs/>
                <w:sz w:val="15"/>
                <w:szCs w:val="15"/>
              </w:rPr>
              <w:t>种类</w:t>
            </w:r>
            <w:r>
              <w:rPr>
                <w:rFonts w:ascii="宋体" w:hAnsi="宋体" w:cs="宋体" w:eastAsia="宋体" w:hint="default"/>
                <w:sz w:val="15"/>
                <w:szCs w:val="15"/>
              </w:rPr>
            </w:r>
          </w:p>
        </w:tc>
        <w:tc>
          <w:tcPr>
            <w:tcW w:w="1277"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b/>
                <w:bCs/>
                <w:sz w:val="15"/>
                <w:szCs w:val="15"/>
              </w:rPr>
              <w:t>数量</w:t>
            </w:r>
            <w:r>
              <w:rPr>
                <w:rFonts w:ascii="宋体" w:hAnsi="宋体" w:cs="宋体" w:eastAsia="宋体" w:hint="default"/>
                <w:sz w:val="15"/>
                <w:szCs w:val="15"/>
              </w:rPr>
            </w:r>
          </w:p>
        </w:tc>
      </w:tr>
      <w:tr>
        <w:trPr>
          <w:trHeight w:val="204" w:hRule="exact"/>
        </w:trPr>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中国联合网络通信集团有限公司</w:t>
            </w:r>
          </w:p>
        </w:tc>
        <w:tc>
          <w:tcPr>
            <w:tcW w:w="25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97" w:right="0"/>
              <w:jc w:val="left"/>
              <w:rPr>
                <w:rFonts w:ascii="Arial" w:hAnsi="Arial" w:cs="Arial" w:eastAsia="Arial" w:hint="default"/>
                <w:sz w:val="15"/>
                <w:szCs w:val="15"/>
              </w:rPr>
            </w:pPr>
            <w:r>
              <w:rPr>
                <w:rFonts w:ascii="Arial"/>
                <w:sz w:val="15"/>
              </w:rPr>
              <w:t>13,373,677,645</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3" w:right="0"/>
              <w:jc w:val="left"/>
              <w:rPr>
                <w:rFonts w:ascii="宋体" w:hAnsi="宋体" w:cs="宋体" w:eastAsia="宋体" w:hint="default"/>
                <w:sz w:val="15"/>
                <w:szCs w:val="15"/>
              </w:rPr>
            </w:pPr>
            <w:r>
              <w:rPr>
                <w:rFonts w:ascii="宋体" w:hAnsi="宋体" w:cs="宋体" w:eastAsia="宋体" w:hint="default"/>
                <w:sz w:val="15"/>
                <w:szCs w:val="15"/>
              </w:rPr>
              <w:t>人民币普通股</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2" w:right="0"/>
              <w:jc w:val="left"/>
              <w:rPr>
                <w:rFonts w:ascii="Arial" w:hAnsi="Arial" w:cs="Arial" w:eastAsia="Arial" w:hint="default"/>
                <w:sz w:val="15"/>
                <w:szCs w:val="15"/>
              </w:rPr>
            </w:pPr>
            <w:r>
              <w:rPr>
                <w:rFonts w:ascii="Arial"/>
                <w:sz w:val="15"/>
              </w:rPr>
              <w:t>13,373,677,645</w:t>
            </w:r>
          </w:p>
        </w:tc>
      </w:tr>
      <w:tr>
        <w:trPr>
          <w:trHeight w:val="204" w:hRule="exact"/>
        </w:trPr>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0" w:right="0"/>
              <w:jc w:val="left"/>
              <w:rPr>
                <w:rFonts w:ascii="宋体" w:hAnsi="宋体" w:cs="宋体" w:eastAsia="宋体" w:hint="default"/>
                <w:sz w:val="15"/>
                <w:szCs w:val="15"/>
              </w:rPr>
            </w:pPr>
            <w:r>
              <w:rPr>
                <w:rFonts w:ascii="宋体" w:hAnsi="宋体" w:cs="宋体" w:eastAsia="宋体" w:hint="default"/>
                <w:sz w:val="15"/>
                <w:szCs w:val="15"/>
              </w:rPr>
              <w:t>交通银行－易方达</w:t>
            </w:r>
            <w:r>
              <w:rPr>
                <w:rFonts w:ascii="宋体" w:hAnsi="宋体" w:cs="宋体" w:eastAsia="宋体" w:hint="default"/>
                <w:spacing w:val="-39"/>
                <w:sz w:val="15"/>
                <w:szCs w:val="15"/>
              </w:rPr>
              <w:t> </w:t>
            </w:r>
            <w:r>
              <w:rPr>
                <w:rFonts w:ascii="Arial" w:hAnsi="Arial" w:cs="Arial" w:eastAsia="Arial" w:hint="default"/>
                <w:sz w:val="15"/>
                <w:szCs w:val="15"/>
              </w:rPr>
              <w:t>50</w:t>
            </w:r>
            <w:r>
              <w:rPr>
                <w:rFonts w:ascii="Arial" w:hAnsi="Arial" w:cs="Arial" w:eastAsia="Arial" w:hint="default"/>
                <w:spacing w:val="-6"/>
                <w:sz w:val="15"/>
                <w:szCs w:val="15"/>
              </w:rPr>
              <w:t> </w:t>
            </w:r>
            <w:r>
              <w:rPr>
                <w:rFonts w:ascii="宋体" w:hAnsi="宋体" w:cs="宋体" w:eastAsia="宋体" w:hint="default"/>
                <w:sz w:val="15"/>
                <w:szCs w:val="15"/>
              </w:rPr>
              <w:t>指数证券投资基金</w:t>
            </w:r>
          </w:p>
        </w:tc>
        <w:tc>
          <w:tcPr>
            <w:tcW w:w="25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87" w:right="0"/>
              <w:jc w:val="left"/>
              <w:rPr>
                <w:rFonts w:ascii="Arial" w:hAnsi="Arial" w:cs="Arial" w:eastAsia="Arial" w:hint="default"/>
                <w:sz w:val="15"/>
                <w:szCs w:val="15"/>
              </w:rPr>
            </w:pPr>
            <w:r>
              <w:rPr>
                <w:rFonts w:ascii="Arial"/>
                <w:sz w:val="15"/>
              </w:rPr>
              <w:t>74,328,654</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3" w:right="0"/>
              <w:jc w:val="left"/>
              <w:rPr>
                <w:rFonts w:ascii="宋体" w:hAnsi="宋体" w:cs="宋体" w:eastAsia="宋体" w:hint="default"/>
                <w:sz w:val="15"/>
                <w:szCs w:val="15"/>
              </w:rPr>
            </w:pPr>
            <w:r>
              <w:rPr>
                <w:rFonts w:ascii="宋体" w:hAnsi="宋体" w:cs="宋体" w:eastAsia="宋体" w:hint="default"/>
                <w:sz w:val="15"/>
                <w:szCs w:val="15"/>
              </w:rPr>
              <w:t>人民币普通股</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2" w:right="0"/>
              <w:jc w:val="left"/>
              <w:rPr>
                <w:rFonts w:ascii="Arial" w:hAnsi="Arial" w:cs="Arial" w:eastAsia="Arial" w:hint="default"/>
                <w:sz w:val="15"/>
                <w:szCs w:val="15"/>
              </w:rPr>
            </w:pPr>
            <w:r>
              <w:rPr>
                <w:rFonts w:ascii="Arial"/>
                <w:sz w:val="15"/>
              </w:rPr>
              <w:t>74,328,654</w:t>
            </w:r>
          </w:p>
        </w:tc>
      </w:tr>
      <w:tr>
        <w:trPr>
          <w:trHeight w:val="377" w:hRule="exact"/>
        </w:trPr>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南方东英资产管理有限公司－南方富时中国</w:t>
            </w:r>
          </w:p>
          <w:p>
            <w:pPr>
              <w:pStyle w:val="TableParagraph"/>
              <w:spacing w:line="240" w:lineRule="auto" w:before="18"/>
              <w:ind w:left="100" w:right="0"/>
              <w:jc w:val="left"/>
              <w:rPr>
                <w:rFonts w:ascii="Arial" w:hAnsi="Arial" w:cs="Arial" w:eastAsia="Arial" w:hint="default"/>
                <w:sz w:val="15"/>
                <w:szCs w:val="15"/>
              </w:rPr>
            </w:pPr>
            <w:r>
              <w:rPr>
                <w:rFonts w:ascii="Arial"/>
                <w:sz w:val="15"/>
              </w:rPr>
              <w:t>A50ETF</w:t>
            </w:r>
          </w:p>
        </w:tc>
        <w:tc>
          <w:tcPr>
            <w:tcW w:w="25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87" w:right="0"/>
              <w:jc w:val="left"/>
              <w:rPr>
                <w:rFonts w:ascii="Arial" w:hAnsi="Arial" w:cs="Arial" w:eastAsia="Arial" w:hint="default"/>
                <w:sz w:val="15"/>
                <w:szCs w:val="15"/>
              </w:rPr>
            </w:pPr>
            <w:r>
              <w:rPr>
                <w:rFonts w:ascii="Arial"/>
                <w:sz w:val="15"/>
              </w:rPr>
              <w:t>73,117,197</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3" w:right="0"/>
              <w:jc w:val="left"/>
              <w:rPr>
                <w:rFonts w:ascii="宋体" w:hAnsi="宋体" w:cs="宋体" w:eastAsia="宋体" w:hint="default"/>
                <w:sz w:val="15"/>
                <w:szCs w:val="15"/>
              </w:rPr>
            </w:pPr>
            <w:r>
              <w:rPr>
                <w:rFonts w:ascii="宋体" w:hAnsi="宋体" w:cs="宋体" w:eastAsia="宋体" w:hint="default"/>
                <w:sz w:val="15"/>
                <w:szCs w:val="15"/>
              </w:rPr>
              <w:t>人民币普通股</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12" w:right="0"/>
              <w:jc w:val="left"/>
              <w:rPr>
                <w:rFonts w:ascii="Arial" w:hAnsi="Arial" w:cs="Arial" w:eastAsia="Arial" w:hint="default"/>
                <w:sz w:val="15"/>
                <w:szCs w:val="15"/>
              </w:rPr>
            </w:pPr>
            <w:r>
              <w:rPr>
                <w:rFonts w:ascii="Arial"/>
                <w:sz w:val="15"/>
              </w:rPr>
              <w:t>73,117,197</w:t>
            </w:r>
          </w:p>
        </w:tc>
      </w:tr>
      <w:tr>
        <w:trPr>
          <w:trHeight w:val="206" w:hRule="exact"/>
        </w:trPr>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全国社保基金一一零组合</w:t>
            </w:r>
          </w:p>
        </w:tc>
        <w:tc>
          <w:tcPr>
            <w:tcW w:w="25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87" w:right="0"/>
              <w:jc w:val="left"/>
              <w:rPr>
                <w:rFonts w:ascii="Arial" w:hAnsi="Arial" w:cs="Arial" w:eastAsia="Arial" w:hint="default"/>
                <w:sz w:val="15"/>
                <w:szCs w:val="15"/>
              </w:rPr>
            </w:pPr>
            <w:r>
              <w:rPr>
                <w:rFonts w:ascii="Arial"/>
                <w:sz w:val="15"/>
              </w:rPr>
              <w:t>58,003,870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63" w:right="0"/>
              <w:jc w:val="left"/>
              <w:rPr>
                <w:rFonts w:ascii="宋体" w:hAnsi="宋体" w:cs="宋体" w:eastAsia="宋体" w:hint="default"/>
                <w:sz w:val="15"/>
                <w:szCs w:val="15"/>
              </w:rPr>
            </w:pPr>
            <w:r>
              <w:rPr>
                <w:rFonts w:ascii="宋体" w:hAnsi="宋体" w:cs="宋体" w:eastAsia="宋体" w:hint="default"/>
                <w:sz w:val="15"/>
                <w:szCs w:val="15"/>
              </w:rPr>
              <w:t>人民币普通股</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2" w:right="0"/>
              <w:jc w:val="left"/>
              <w:rPr>
                <w:rFonts w:ascii="Arial" w:hAnsi="Arial" w:cs="Arial" w:eastAsia="Arial" w:hint="default"/>
                <w:sz w:val="15"/>
                <w:szCs w:val="15"/>
              </w:rPr>
            </w:pPr>
            <w:r>
              <w:rPr>
                <w:rFonts w:ascii="Arial"/>
                <w:sz w:val="15"/>
              </w:rPr>
              <w:t>58,003,870</w:t>
            </w:r>
          </w:p>
        </w:tc>
      </w:tr>
      <w:tr>
        <w:trPr>
          <w:trHeight w:val="398" w:hRule="exact"/>
        </w:trPr>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0" w:right="0"/>
              <w:jc w:val="left"/>
              <w:rPr>
                <w:rFonts w:ascii="宋体" w:hAnsi="宋体" w:cs="宋体" w:eastAsia="宋体" w:hint="default"/>
                <w:sz w:val="15"/>
                <w:szCs w:val="15"/>
              </w:rPr>
            </w:pPr>
            <w:r>
              <w:rPr>
                <w:rFonts w:ascii="宋体" w:hAnsi="宋体" w:cs="宋体" w:eastAsia="宋体" w:hint="default"/>
                <w:sz w:val="15"/>
                <w:szCs w:val="15"/>
              </w:rPr>
              <w:t>中国工商银行－上证</w:t>
            </w:r>
            <w:r>
              <w:rPr>
                <w:rFonts w:ascii="宋体" w:hAnsi="宋体" w:cs="宋体" w:eastAsia="宋体" w:hint="default"/>
                <w:spacing w:val="-39"/>
                <w:sz w:val="15"/>
                <w:szCs w:val="15"/>
              </w:rPr>
              <w:t> </w:t>
            </w:r>
            <w:r>
              <w:rPr>
                <w:rFonts w:ascii="Arial" w:hAnsi="Arial" w:cs="Arial" w:eastAsia="Arial" w:hint="default"/>
                <w:sz w:val="15"/>
                <w:szCs w:val="15"/>
              </w:rPr>
              <w:t>50</w:t>
            </w:r>
            <w:r>
              <w:rPr>
                <w:rFonts w:ascii="Arial" w:hAnsi="Arial" w:cs="Arial" w:eastAsia="Arial" w:hint="default"/>
                <w:spacing w:val="-6"/>
                <w:sz w:val="15"/>
                <w:szCs w:val="15"/>
              </w:rPr>
              <w:t> </w:t>
            </w:r>
            <w:r>
              <w:rPr>
                <w:rFonts w:ascii="宋体" w:hAnsi="宋体" w:cs="宋体" w:eastAsia="宋体" w:hint="default"/>
                <w:sz w:val="15"/>
                <w:szCs w:val="15"/>
              </w:rPr>
              <w:t>交易型开放式指数证</w:t>
            </w:r>
          </w:p>
          <w:p>
            <w:pPr>
              <w:pStyle w:val="TableParagraph"/>
              <w:spacing w:line="190" w:lineRule="exact"/>
              <w:ind w:left="100" w:right="0"/>
              <w:jc w:val="left"/>
              <w:rPr>
                <w:rFonts w:ascii="宋体" w:hAnsi="宋体" w:cs="宋体" w:eastAsia="宋体" w:hint="default"/>
                <w:sz w:val="15"/>
                <w:szCs w:val="15"/>
              </w:rPr>
            </w:pPr>
            <w:r>
              <w:rPr>
                <w:rFonts w:ascii="宋体" w:hAnsi="宋体" w:cs="宋体" w:eastAsia="宋体" w:hint="default"/>
                <w:sz w:val="15"/>
                <w:szCs w:val="15"/>
              </w:rPr>
              <w:t>券投资基金</w:t>
            </w:r>
          </w:p>
        </w:tc>
        <w:tc>
          <w:tcPr>
            <w:tcW w:w="25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687" w:right="0"/>
              <w:jc w:val="left"/>
              <w:rPr>
                <w:rFonts w:ascii="Arial" w:hAnsi="Arial" w:cs="Arial" w:eastAsia="Arial" w:hint="default"/>
                <w:sz w:val="15"/>
                <w:szCs w:val="15"/>
              </w:rPr>
            </w:pPr>
            <w:r>
              <w:rPr>
                <w:rFonts w:ascii="Arial"/>
                <w:sz w:val="15"/>
              </w:rPr>
              <w:t>57,143,011</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63" w:right="0"/>
              <w:jc w:val="left"/>
              <w:rPr>
                <w:rFonts w:ascii="宋体" w:hAnsi="宋体" w:cs="宋体" w:eastAsia="宋体" w:hint="default"/>
                <w:sz w:val="15"/>
                <w:szCs w:val="15"/>
              </w:rPr>
            </w:pPr>
            <w:r>
              <w:rPr>
                <w:rFonts w:ascii="宋体" w:hAnsi="宋体" w:cs="宋体" w:eastAsia="宋体" w:hint="default"/>
                <w:sz w:val="15"/>
                <w:szCs w:val="15"/>
              </w:rPr>
              <w:t>人民币普通股</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12" w:right="0"/>
              <w:jc w:val="left"/>
              <w:rPr>
                <w:rFonts w:ascii="Arial" w:hAnsi="Arial" w:cs="Arial" w:eastAsia="Arial" w:hint="default"/>
                <w:sz w:val="15"/>
                <w:szCs w:val="15"/>
              </w:rPr>
            </w:pPr>
            <w:r>
              <w:rPr>
                <w:rFonts w:ascii="Arial"/>
                <w:sz w:val="15"/>
              </w:rPr>
              <w:t>57,143,011</w:t>
            </w:r>
          </w:p>
        </w:tc>
      </w:tr>
      <w:tr>
        <w:trPr>
          <w:trHeight w:val="398" w:hRule="exact"/>
        </w:trPr>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新华人寿保险股份有限公司－分红－团体分红</w:t>
            </w:r>
          </w:p>
          <w:p>
            <w:pPr>
              <w:pStyle w:val="TableParagraph"/>
              <w:spacing w:line="206" w:lineRule="exact"/>
              <w:ind w:left="100" w:right="0"/>
              <w:jc w:val="left"/>
              <w:rPr>
                <w:rFonts w:ascii="宋体" w:hAnsi="宋体" w:cs="宋体" w:eastAsia="宋体" w:hint="default"/>
                <w:sz w:val="15"/>
                <w:szCs w:val="15"/>
              </w:rPr>
            </w:pPr>
            <w:r>
              <w:rPr>
                <w:rFonts w:ascii="宋体" w:hAnsi="宋体" w:cs="宋体" w:eastAsia="宋体" w:hint="default"/>
                <w:sz w:val="15"/>
                <w:szCs w:val="15"/>
              </w:rPr>
              <w:t>－</w:t>
            </w:r>
            <w:r>
              <w:rPr>
                <w:rFonts w:ascii="Arial" w:hAnsi="Arial" w:cs="Arial" w:eastAsia="Arial" w:hint="default"/>
                <w:sz w:val="15"/>
                <w:szCs w:val="15"/>
              </w:rPr>
              <w:t>018L</w:t>
            </w:r>
            <w:r>
              <w:rPr>
                <w:rFonts w:ascii="宋体" w:hAnsi="宋体" w:cs="宋体" w:eastAsia="宋体" w:hint="default"/>
                <w:sz w:val="15"/>
                <w:szCs w:val="15"/>
              </w:rPr>
              <w:t>－</w:t>
            </w:r>
            <w:r>
              <w:rPr>
                <w:rFonts w:ascii="Arial" w:hAnsi="Arial" w:cs="Arial" w:eastAsia="Arial" w:hint="default"/>
                <w:sz w:val="15"/>
                <w:szCs w:val="15"/>
              </w:rPr>
              <w:t>FH001</w:t>
            </w:r>
            <w:r>
              <w:rPr>
                <w:rFonts w:ascii="Arial" w:hAnsi="Arial" w:cs="Arial" w:eastAsia="Arial" w:hint="default"/>
                <w:spacing w:val="-7"/>
                <w:sz w:val="15"/>
                <w:szCs w:val="15"/>
              </w:rPr>
              <w:t> </w:t>
            </w:r>
            <w:r>
              <w:rPr>
                <w:rFonts w:ascii="宋体" w:hAnsi="宋体" w:cs="宋体" w:eastAsia="宋体" w:hint="default"/>
                <w:sz w:val="15"/>
                <w:szCs w:val="15"/>
              </w:rPr>
              <w:t>沪</w:t>
            </w:r>
          </w:p>
        </w:tc>
        <w:tc>
          <w:tcPr>
            <w:tcW w:w="25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687" w:right="0"/>
              <w:jc w:val="left"/>
              <w:rPr>
                <w:rFonts w:ascii="Arial" w:hAnsi="Arial" w:cs="Arial" w:eastAsia="Arial" w:hint="default"/>
                <w:sz w:val="15"/>
                <w:szCs w:val="15"/>
              </w:rPr>
            </w:pPr>
            <w:r>
              <w:rPr>
                <w:rFonts w:ascii="Arial"/>
                <w:sz w:val="15"/>
              </w:rPr>
              <w:t>47,134,707</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63" w:right="0"/>
              <w:jc w:val="left"/>
              <w:rPr>
                <w:rFonts w:ascii="宋体" w:hAnsi="宋体" w:cs="宋体" w:eastAsia="宋体" w:hint="default"/>
                <w:sz w:val="15"/>
                <w:szCs w:val="15"/>
              </w:rPr>
            </w:pPr>
            <w:r>
              <w:rPr>
                <w:rFonts w:ascii="宋体" w:hAnsi="宋体" w:cs="宋体" w:eastAsia="宋体" w:hint="default"/>
                <w:sz w:val="15"/>
                <w:szCs w:val="15"/>
              </w:rPr>
              <w:t>人民币普通股</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12" w:right="0"/>
              <w:jc w:val="left"/>
              <w:rPr>
                <w:rFonts w:ascii="Arial" w:hAnsi="Arial" w:cs="Arial" w:eastAsia="Arial" w:hint="default"/>
                <w:sz w:val="15"/>
                <w:szCs w:val="15"/>
              </w:rPr>
            </w:pPr>
            <w:r>
              <w:rPr>
                <w:rFonts w:ascii="Arial"/>
                <w:sz w:val="15"/>
              </w:rPr>
              <w:t>47,134,707</w:t>
            </w:r>
          </w:p>
        </w:tc>
      </w:tr>
      <w:tr>
        <w:trPr>
          <w:trHeight w:val="401" w:hRule="exact"/>
        </w:trPr>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0" w:right="0"/>
              <w:jc w:val="left"/>
              <w:rPr>
                <w:rFonts w:ascii="宋体" w:hAnsi="宋体" w:cs="宋体" w:eastAsia="宋体" w:hint="default"/>
                <w:sz w:val="15"/>
                <w:szCs w:val="15"/>
              </w:rPr>
            </w:pPr>
            <w:r>
              <w:rPr>
                <w:rFonts w:ascii="宋体" w:hAnsi="宋体" w:cs="宋体" w:eastAsia="宋体" w:hint="default"/>
                <w:sz w:val="15"/>
                <w:szCs w:val="15"/>
              </w:rPr>
              <w:t>中国银行股份有限公司－嘉实沪深</w:t>
            </w:r>
            <w:r>
              <w:rPr>
                <w:rFonts w:ascii="宋体" w:hAnsi="宋体" w:cs="宋体" w:eastAsia="宋体" w:hint="default"/>
                <w:spacing w:val="-38"/>
                <w:sz w:val="15"/>
                <w:szCs w:val="15"/>
              </w:rPr>
              <w:t> </w:t>
            </w:r>
            <w:r>
              <w:rPr>
                <w:rFonts w:ascii="Arial" w:hAnsi="Arial" w:cs="Arial" w:eastAsia="Arial" w:hint="default"/>
                <w:sz w:val="15"/>
                <w:szCs w:val="15"/>
              </w:rPr>
              <w:t>300</w:t>
            </w:r>
            <w:r>
              <w:rPr>
                <w:rFonts w:ascii="Arial" w:hAnsi="Arial" w:cs="Arial" w:eastAsia="Arial" w:hint="default"/>
                <w:spacing w:val="-6"/>
                <w:sz w:val="15"/>
                <w:szCs w:val="15"/>
              </w:rPr>
              <w:t> </w:t>
            </w:r>
            <w:r>
              <w:rPr>
                <w:rFonts w:ascii="宋体" w:hAnsi="宋体" w:cs="宋体" w:eastAsia="宋体" w:hint="default"/>
                <w:sz w:val="15"/>
                <w:szCs w:val="15"/>
              </w:rPr>
              <w:t>交易型</w:t>
            </w:r>
          </w:p>
          <w:p>
            <w:pPr>
              <w:pStyle w:val="TableParagraph"/>
              <w:spacing w:line="190" w:lineRule="exact"/>
              <w:ind w:left="100" w:right="0"/>
              <w:jc w:val="left"/>
              <w:rPr>
                <w:rFonts w:ascii="宋体" w:hAnsi="宋体" w:cs="宋体" w:eastAsia="宋体" w:hint="default"/>
                <w:sz w:val="15"/>
                <w:szCs w:val="15"/>
              </w:rPr>
            </w:pPr>
            <w:r>
              <w:rPr>
                <w:rFonts w:ascii="宋体" w:hAnsi="宋体" w:cs="宋体" w:eastAsia="宋体" w:hint="default"/>
                <w:sz w:val="15"/>
                <w:szCs w:val="15"/>
              </w:rPr>
              <w:t>开放式指数证券投资基金</w:t>
            </w:r>
          </w:p>
        </w:tc>
        <w:tc>
          <w:tcPr>
            <w:tcW w:w="25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687" w:right="0"/>
              <w:jc w:val="left"/>
              <w:rPr>
                <w:rFonts w:ascii="Arial" w:hAnsi="Arial" w:cs="Arial" w:eastAsia="Arial" w:hint="default"/>
                <w:sz w:val="15"/>
                <w:szCs w:val="15"/>
              </w:rPr>
            </w:pPr>
            <w:r>
              <w:rPr>
                <w:rFonts w:ascii="Arial"/>
                <w:sz w:val="15"/>
              </w:rPr>
              <w:t>46,388,851</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63" w:right="0"/>
              <w:jc w:val="left"/>
              <w:rPr>
                <w:rFonts w:ascii="宋体" w:hAnsi="宋体" w:cs="宋体" w:eastAsia="宋体" w:hint="default"/>
                <w:sz w:val="15"/>
                <w:szCs w:val="15"/>
              </w:rPr>
            </w:pPr>
            <w:r>
              <w:rPr>
                <w:rFonts w:ascii="宋体" w:hAnsi="宋体" w:cs="宋体" w:eastAsia="宋体" w:hint="default"/>
                <w:sz w:val="15"/>
                <w:szCs w:val="15"/>
              </w:rPr>
              <w:t>人民币普通股</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12" w:right="0"/>
              <w:jc w:val="left"/>
              <w:rPr>
                <w:rFonts w:ascii="Arial" w:hAnsi="Arial" w:cs="Arial" w:eastAsia="Arial" w:hint="default"/>
                <w:sz w:val="15"/>
                <w:szCs w:val="15"/>
              </w:rPr>
            </w:pPr>
            <w:r>
              <w:rPr>
                <w:rFonts w:ascii="Arial"/>
                <w:sz w:val="15"/>
              </w:rPr>
              <w:t>46,388,851</w:t>
            </w:r>
          </w:p>
        </w:tc>
      </w:tr>
      <w:tr>
        <w:trPr>
          <w:trHeight w:val="204" w:hRule="exact"/>
        </w:trPr>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中国人寿再保险股份有限公司</w:t>
            </w:r>
          </w:p>
        </w:tc>
        <w:tc>
          <w:tcPr>
            <w:tcW w:w="25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687" w:right="0"/>
              <w:jc w:val="left"/>
              <w:rPr>
                <w:rFonts w:ascii="Arial" w:hAnsi="Arial" w:cs="Arial" w:eastAsia="Arial" w:hint="default"/>
                <w:sz w:val="15"/>
                <w:szCs w:val="15"/>
              </w:rPr>
            </w:pPr>
            <w:r>
              <w:rPr>
                <w:rFonts w:ascii="Arial"/>
                <w:sz w:val="15"/>
              </w:rPr>
              <w:t>40,444,725</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3" w:right="0"/>
              <w:jc w:val="left"/>
              <w:rPr>
                <w:rFonts w:ascii="宋体" w:hAnsi="宋体" w:cs="宋体" w:eastAsia="宋体" w:hint="default"/>
                <w:sz w:val="15"/>
                <w:szCs w:val="15"/>
              </w:rPr>
            </w:pPr>
            <w:r>
              <w:rPr>
                <w:rFonts w:ascii="宋体" w:hAnsi="宋体" w:cs="宋体" w:eastAsia="宋体" w:hint="default"/>
                <w:sz w:val="15"/>
                <w:szCs w:val="15"/>
              </w:rPr>
              <w:t>人民币普通股</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12" w:right="0"/>
              <w:jc w:val="left"/>
              <w:rPr>
                <w:rFonts w:ascii="Arial" w:hAnsi="Arial" w:cs="Arial" w:eastAsia="Arial" w:hint="default"/>
                <w:sz w:val="15"/>
                <w:szCs w:val="15"/>
              </w:rPr>
            </w:pPr>
            <w:r>
              <w:rPr>
                <w:rFonts w:ascii="Arial"/>
                <w:sz w:val="15"/>
              </w:rPr>
              <w:t>40,444,725</w:t>
            </w:r>
          </w:p>
        </w:tc>
      </w:tr>
      <w:tr>
        <w:trPr>
          <w:trHeight w:val="399" w:hRule="exact"/>
        </w:trPr>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中国银行股份有限公司－宝盈核心优势灵活配</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置混合型证券投资基金</w:t>
            </w:r>
          </w:p>
        </w:tc>
        <w:tc>
          <w:tcPr>
            <w:tcW w:w="25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687" w:right="0"/>
              <w:jc w:val="left"/>
              <w:rPr>
                <w:rFonts w:ascii="Arial" w:hAnsi="Arial" w:cs="Arial" w:eastAsia="Arial" w:hint="default"/>
                <w:sz w:val="15"/>
                <w:szCs w:val="15"/>
              </w:rPr>
            </w:pPr>
            <w:r>
              <w:rPr>
                <w:rFonts w:ascii="Arial"/>
                <w:sz w:val="15"/>
              </w:rPr>
              <w:t>40,009,816</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63" w:right="0"/>
              <w:jc w:val="left"/>
              <w:rPr>
                <w:rFonts w:ascii="宋体" w:hAnsi="宋体" w:cs="宋体" w:eastAsia="宋体" w:hint="default"/>
                <w:sz w:val="15"/>
                <w:szCs w:val="15"/>
              </w:rPr>
            </w:pPr>
            <w:r>
              <w:rPr>
                <w:rFonts w:ascii="宋体" w:hAnsi="宋体" w:cs="宋体" w:eastAsia="宋体" w:hint="default"/>
                <w:sz w:val="15"/>
                <w:szCs w:val="15"/>
              </w:rPr>
              <w:t>人民币普通股</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12" w:right="0"/>
              <w:jc w:val="left"/>
              <w:rPr>
                <w:rFonts w:ascii="Arial" w:hAnsi="Arial" w:cs="Arial" w:eastAsia="Arial" w:hint="default"/>
                <w:sz w:val="15"/>
                <w:szCs w:val="15"/>
              </w:rPr>
            </w:pPr>
            <w:r>
              <w:rPr>
                <w:rFonts w:ascii="Arial"/>
                <w:sz w:val="15"/>
              </w:rPr>
              <w:t>40,009,816</w:t>
            </w:r>
          </w:p>
        </w:tc>
      </w:tr>
      <w:tr>
        <w:trPr>
          <w:trHeight w:val="398" w:hRule="exact"/>
        </w:trPr>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中国工商银行股份有限公司－嘉实周期优选股</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票型证券投资基金</w:t>
            </w:r>
          </w:p>
        </w:tc>
        <w:tc>
          <w:tcPr>
            <w:tcW w:w="25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687" w:right="0"/>
              <w:jc w:val="left"/>
              <w:rPr>
                <w:rFonts w:ascii="Arial" w:hAnsi="Arial" w:cs="Arial" w:eastAsia="Arial" w:hint="default"/>
                <w:sz w:val="15"/>
                <w:szCs w:val="15"/>
              </w:rPr>
            </w:pPr>
            <w:r>
              <w:rPr>
                <w:rFonts w:ascii="Arial"/>
                <w:sz w:val="15"/>
              </w:rPr>
              <w:t>40,002,333</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63" w:right="0"/>
              <w:jc w:val="left"/>
              <w:rPr>
                <w:rFonts w:ascii="宋体" w:hAnsi="宋体" w:cs="宋体" w:eastAsia="宋体" w:hint="default"/>
                <w:sz w:val="15"/>
                <w:szCs w:val="15"/>
              </w:rPr>
            </w:pPr>
            <w:r>
              <w:rPr>
                <w:rFonts w:ascii="宋体" w:hAnsi="宋体" w:cs="宋体" w:eastAsia="宋体" w:hint="default"/>
                <w:sz w:val="15"/>
                <w:szCs w:val="15"/>
              </w:rPr>
              <w:t>人民币普通股</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12" w:right="0"/>
              <w:jc w:val="left"/>
              <w:rPr>
                <w:rFonts w:ascii="Arial" w:hAnsi="Arial" w:cs="Arial" w:eastAsia="Arial" w:hint="default"/>
                <w:sz w:val="15"/>
                <w:szCs w:val="15"/>
              </w:rPr>
            </w:pPr>
            <w:r>
              <w:rPr>
                <w:rFonts w:ascii="Arial"/>
                <w:sz w:val="15"/>
              </w:rPr>
              <w:t>40,002,333</w:t>
            </w:r>
          </w:p>
        </w:tc>
      </w:tr>
      <w:tr>
        <w:trPr>
          <w:trHeight w:val="790" w:hRule="exact"/>
        </w:trPr>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上述股东关联关系或一致行动的说明</w:t>
            </w:r>
          </w:p>
        </w:tc>
        <w:tc>
          <w:tcPr>
            <w:tcW w:w="5104" w:type="dxa"/>
            <w:gridSpan w:val="7"/>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中国联合网络通信集团有限公司为本公司控股股东。</w:t>
            </w:r>
          </w:p>
          <w:p>
            <w:pPr>
              <w:pStyle w:val="TableParagraph"/>
              <w:spacing w:line="240" w:lineRule="auto"/>
              <w:ind w:left="103" w:right="37"/>
              <w:jc w:val="left"/>
              <w:rPr>
                <w:rFonts w:ascii="宋体" w:hAnsi="宋体" w:cs="宋体" w:eastAsia="宋体" w:hint="default"/>
                <w:sz w:val="15"/>
                <w:szCs w:val="15"/>
              </w:rPr>
            </w:pPr>
            <w:r>
              <w:rPr>
                <w:rFonts w:ascii="宋体" w:hAnsi="宋体" w:cs="宋体" w:eastAsia="宋体" w:hint="default"/>
                <w:sz w:val="15"/>
                <w:szCs w:val="15"/>
              </w:rPr>
              <w:t>本公司未知前十名股东之间存在关联关系或一致行动人的情况。</w:t>
            </w:r>
            <w:r>
              <w:rPr>
                <w:rFonts w:ascii="宋体" w:hAnsi="宋体" w:cs="宋体" w:eastAsia="宋体" w:hint="default"/>
                <w:w w:val="100"/>
                <w:sz w:val="15"/>
                <w:szCs w:val="15"/>
              </w:rPr>
              <w:t> </w:t>
            </w:r>
            <w:r>
              <w:rPr>
                <w:rFonts w:ascii="宋体" w:hAnsi="宋体" w:cs="宋体" w:eastAsia="宋体" w:hint="default"/>
                <w:spacing w:val="-2"/>
                <w:sz w:val="15"/>
                <w:szCs w:val="15"/>
              </w:rPr>
              <w:t>本公司未知前十名无限售条件股东之间存在关联关系或一致行动人的情况。</w:t>
            </w:r>
            <w:r>
              <w:rPr>
                <w:rFonts w:ascii="宋体" w:hAnsi="宋体" w:cs="宋体" w:eastAsia="宋体" w:hint="default"/>
                <w:spacing w:val="-18"/>
                <w:sz w:val="15"/>
                <w:szCs w:val="15"/>
              </w:rPr>
              <w:t> </w:t>
            </w:r>
            <w:r>
              <w:rPr>
                <w:rFonts w:ascii="宋体" w:hAnsi="宋体" w:cs="宋体" w:eastAsia="宋体" w:hint="default"/>
                <w:spacing w:val="-18"/>
                <w:sz w:val="15"/>
                <w:szCs w:val="15"/>
              </w:rPr>
            </w:r>
            <w:r>
              <w:rPr>
                <w:rFonts w:ascii="宋体" w:hAnsi="宋体" w:cs="宋体" w:eastAsia="宋体" w:hint="default"/>
                <w:spacing w:val="-2"/>
                <w:sz w:val="15"/>
                <w:szCs w:val="15"/>
              </w:rPr>
              <w:t>本公司未知前十名无限售条件股东和前十名股东之间存在关联关系的情况。</w:t>
            </w:r>
          </w:p>
        </w:tc>
      </w:tr>
    </w:tbl>
    <w:p>
      <w:pPr>
        <w:spacing w:after="0" w:line="240" w:lineRule="auto"/>
        <w:jc w:val="left"/>
        <w:rPr>
          <w:rFonts w:ascii="宋体" w:hAnsi="宋体" w:cs="宋体" w:eastAsia="宋体" w:hint="default"/>
          <w:sz w:val="15"/>
          <w:szCs w:val="15"/>
        </w:rPr>
        <w:sectPr>
          <w:pgSz w:w="11910" w:h="16840"/>
          <w:pgMar w:header="880" w:footer="1194" w:top="1120" w:bottom="1380" w:left="1660" w:right="1200"/>
        </w:sectPr>
      </w:pPr>
    </w:p>
    <w:p>
      <w:pPr>
        <w:spacing w:line="240" w:lineRule="auto" w:before="11"/>
        <w:rPr>
          <w:rFonts w:ascii="宋体" w:hAnsi="宋体" w:cs="宋体" w:eastAsia="宋体" w:hint="default"/>
          <w:sz w:val="29"/>
          <w:szCs w:val="29"/>
        </w:rPr>
      </w:pPr>
    </w:p>
    <w:p>
      <w:pPr>
        <w:spacing w:before="3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四、控股股东及实际控制人变更情况</w:t>
      </w:r>
      <w:r>
        <w:rPr>
          <w:rFonts w:ascii="宋体" w:hAnsi="宋体" w:cs="宋体" w:eastAsia="宋体" w:hint="default"/>
          <w:sz w:val="21"/>
          <w:szCs w:val="21"/>
        </w:rPr>
      </w:r>
    </w:p>
    <w:p>
      <w:pPr>
        <w:spacing w:line="240" w:lineRule="auto" w:before="11"/>
        <w:rPr>
          <w:rFonts w:ascii="宋体" w:hAnsi="宋体" w:cs="宋体" w:eastAsia="宋体" w:hint="default"/>
          <w:b/>
          <w:bCs/>
          <w:sz w:val="24"/>
          <w:szCs w:val="24"/>
        </w:rPr>
      </w:pPr>
    </w:p>
    <w:p>
      <w:pPr>
        <w:spacing w:before="0"/>
        <w:ind w:left="138" w:right="0"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一</w:t>
      </w:r>
      <w:r>
        <w:rPr>
          <w:rFonts w:ascii="Arial" w:hAnsi="Arial" w:cs="Arial" w:eastAsia="Arial" w:hint="default"/>
          <w:b/>
          <w:bCs/>
          <w:sz w:val="21"/>
          <w:szCs w:val="21"/>
        </w:rPr>
        <w:t>)</w:t>
      </w:r>
      <w:r>
        <w:rPr>
          <w:rFonts w:ascii="Arial" w:hAnsi="Arial" w:cs="Arial" w:eastAsia="Arial" w:hint="default"/>
          <w:b/>
          <w:bCs/>
          <w:spacing w:val="12"/>
          <w:sz w:val="21"/>
          <w:szCs w:val="21"/>
        </w:rPr>
        <w:t> </w:t>
      </w:r>
      <w:r>
        <w:rPr>
          <w:rFonts w:ascii="宋体" w:hAnsi="宋体" w:cs="宋体" w:eastAsia="宋体" w:hint="default"/>
          <w:b/>
          <w:bCs/>
          <w:sz w:val="21"/>
          <w:szCs w:val="21"/>
        </w:rPr>
        <w:t>控股股东情况</w:t>
      </w:r>
      <w:r>
        <w:rPr>
          <w:rFonts w:ascii="宋体" w:hAnsi="宋体" w:cs="宋体" w:eastAsia="宋体" w:hint="default"/>
          <w:sz w:val="21"/>
          <w:szCs w:val="21"/>
        </w:rPr>
      </w:r>
    </w:p>
    <w:p>
      <w:pPr>
        <w:spacing w:line="240" w:lineRule="auto" w:before="5"/>
        <w:rPr>
          <w:rFonts w:ascii="宋体" w:hAnsi="宋体" w:cs="宋体" w:eastAsia="宋体" w:hint="default"/>
          <w:b/>
          <w:bCs/>
          <w:sz w:val="16"/>
          <w:szCs w:val="16"/>
        </w:rPr>
      </w:pPr>
    </w:p>
    <w:p>
      <w:pPr>
        <w:spacing w:line="282" w:lineRule="exact" w:before="36"/>
        <w:ind w:left="485" w:right="0" w:firstLine="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pacing w:val="-70"/>
          <w:sz w:val="21"/>
          <w:szCs w:val="21"/>
        </w:rPr>
        <w:t> </w:t>
      </w:r>
      <w:r>
        <w:rPr>
          <w:rFonts w:ascii="宋体" w:hAnsi="宋体" w:cs="宋体" w:eastAsia="宋体" w:hint="default"/>
          <w:sz w:val="21"/>
          <w:szCs w:val="21"/>
        </w:rPr>
        <w:t>法人</w:t>
      </w:r>
    </w:p>
    <w:p>
      <w:pPr>
        <w:tabs>
          <w:tab w:pos="1048" w:val="left" w:leader="none"/>
        </w:tabs>
        <w:spacing w:line="267" w:lineRule="exact" w:before="0"/>
        <w:ind w:left="0" w:right="230"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841" w:type="dxa"/>
        <w:tblLayout w:type="fixed"/>
        <w:tblCellMar>
          <w:top w:w="0" w:type="dxa"/>
          <w:left w:w="0" w:type="dxa"/>
          <w:bottom w:w="0" w:type="dxa"/>
          <w:right w:w="0" w:type="dxa"/>
        </w:tblCellMar>
        <w:tblLook w:val="01E0"/>
      </w:tblPr>
      <w:tblGrid>
        <w:gridCol w:w="2979"/>
        <w:gridCol w:w="5195"/>
      </w:tblGrid>
      <w:tr>
        <w:trPr>
          <w:trHeight w:val="204" w:hRule="exact"/>
        </w:trPr>
        <w:tc>
          <w:tcPr>
            <w:tcW w:w="29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名称</w:t>
            </w:r>
            <w:r>
              <w:rPr>
                <w:rFonts w:ascii="宋体" w:hAnsi="宋体" w:cs="宋体" w:eastAsia="宋体" w:hint="default"/>
                <w:sz w:val="15"/>
                <w:szCs w:val="15"/>
              </w:rPr>
            </w:r>
          </w:p>
        </w:tc>
        <w:tc>
          <w:tcPr>
            <w:tcW w:w="51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9"/>
              <w:jc w:val="right"/>
              <w:rPr>
                <w:rFonts w:ascii="宋体" w:hAnsi="宋体" w:cs="宋体" w:eastAsia="宋体" w:hint="default"/>
                <w:sz w:val="15"/>
                <w:szCs w:val="15"/>
              </w:rPr>
            </w:pPr>
            <w:r>
              <w:rPr>
                <w:rFonts w:ascii="宋体" w:hAnsi="宋体" w:cs="宋体" w:eastAsia="宋体" w:hint="default"/>
                <w:spacing w:val="-2"/>
                <w:sz w:val="15"/>
                <w:szCs w:val="15"/>
              </w:rPr>
              <w:t>中国联合网络通信集团有限公司</w:t>
            </w:r>
          </w:p>
        </w:tc>
      </w:tr>
      <w:tr>
        <w:trPr>
          <w:trHeight w:val="206" w:hRule="exact"/>
        </w:trPr>
        <w:tc>
          <w:tcPr>
            <w:tcW w:w="2979" w:type="dxa"/>
            <w:tcBorders>
              <w:top w:val="single" w:sz="4" w:space="0" w:color="000000"/>
              <w:left w:val="single" w:sz="4" w:space="0" w:color="000000"/>
              <w:bottom w:val="single" w:sz="4" w:space="0" w:color="FFFFFF"/>
              <w:right w:val="single" w:sz="4" w:space="0" w:color="000000"/>
            </w:tcBorders>
            <w:shd w:val="clear" w:color="auto" w:fill="E4E4E4"/>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单位负责人或法定代表人</w:t>
            </w:r>
            <w:r>
              <w:rPr>
                <w:rFonts w:ascii="宋体" w:hAnsi="宋体" w:cs="宋体" w:eastAsia="宋体" w:hint="default"/>
                <w:sz w:val="15"/>
                <w:szCs w:val="15"/>
              </w:rPr>
            </w:r>
          </w:p>
        </w:tc>
        <w:tc>
          <w:tcPr>
            <w:tcW w:w="5195" w:type="dxa"/>
            <w:tcBorders>
              <w:top w:val="single" w:sz="4" w:space="0" w:color="000000"/>
              <w:left w:val="single" w:sz="4" w:space="0" w:color="000000"/>
              <w:bottom w:val="single" w:sz="4" w:space="0" w:color="FFFFFF"/>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hAnsi="宋体" w:cs="宋体" w:eastAsia="宋体" w:hint="default"/>
                <w:sz w:val="15"/>
                <w:szCs w:val="15"/>
              </w:rPr>
              <w:t>常小兵</w:t>
            </w:r>
          </w:p>
        </w:tc>
      </w:tr>
      <w:tr>
        <w:trPr>
          <w:trHeight w:val="235" w:hRule="exact"/>
        </w:trPr>
        <w:tc>
          <w:tcPr>
            <w:tcW w:w="2979" w:type="dxa"/>
            <w:tcBorders>
              <w:top w:val="single" w:sz="4" w:space="0" w:color="FFFFFF"/>
              <w:left w:val="single" w:sz="4" w:space="0" w:color="000000"/>
              <w:bottom w:val="single" w:sz="4" w:space="0" w:color="000000"/>
              <w:right w:val="single" w:sz="4" w:space="0" w:color="000000"/>
            </w:tcBorders>
            <w:shd w:val="clear" w:color="auto" w:fill="E4E4E4"/>
          </w:tcPr>
          <w:p>
            <w:pPr>
              <w:pStyle w:val="TableParagraph"/>
              <w:spacing w:line="187"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成立日期</w:t>
            </w:r>
            <w:r>
              <w:rPr>
                <w:rFonts w:ascii="宋体" w:hAnsi="宋体" w:cs="宋体" w:eastAsia="宋体" w:hint="default"/>
                <w:sz w:val="15"/>
                <w:szCs w:val="15"/>
              </w:rPr>
            </w:r>
          </w:p>
        </w:tc>
        <w:tc>
          <w:tcPr>
            <w:tcW w:w="5195" w:type="dxa"/>
            <w:tcBorders>
              <w:top w:val="single" w:sz="4" w:space="0" w:color="FFFFFF"/>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5"/>
                <w:szCs w:val="15"/>
              </w:rPr>
            </w:pPr>
            <w:r>
              <w:rPr>
                <w:rFonts w:ascii="Arial" w:hAnsi="Arial" w:cs="Arial" w:eastAsia="Arial" w:hint="default"/>
                <w:sz w:val="15"/>
                <w:szCs w:val="15"/>
              </w:rPr>
              <w:t>1994</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6</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18</w:t>
            </w:r>
            <w:r>
              <w:rPr>
                <w:rFonts w:ascii="Arial" w:hAnsi="Arial" w:cs="Arial" w:eastAsia="Arial" w:hint="default"/>
                <w:spacing w:val="-4"/>
                <w:sz w:val="15"/>
                <w:szCs w:val="15"/>
              </w:rPr>
              <w:t> </w:t>
            </w:r>
            <w:r>
              <w:rPr>
                <w:rFonts w:ascii="宋体" w:hAnsi="宋体" w:cs="宋体" w:eastAsia="宋体" w:hint="default"/>
                <w:sz w:val="15"/>
                <w:szCs w:val="15"/>
              </w:rPr>
              <w:t>日</w:t>
            </w:r>
          </w:p>
        </w:tc>
      </w:tr>
      <w:tr>
        <w:trPr>
          <w:trHeight w:val="204" w:hRule="exact"/>
        </w:trPr>
        <w:tc>
          <w:tcPr>
            <w:tcW w:w="29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组织机构代码</w:t>
            </w:r>
            <w:r>
              <w:rPr>
                <w:rFonts w:ascii="宋体" w:hAnsi="宋体" w:cs="宋体" w:eastAsia="宋体" w:hint="default"/>
                <w:sz w:val="15"/>
                <w:szCs w:val="15"/>
              </w:rPr>
            </w:r>
          </w:p>
        </w:tc>
        <w:tc>
          <w:tcPr>
            <w:tcW w:w="519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spacing w:val="-1"/>
                <w:sz w:val="15"/>
              </w:rPr>
              <w:t>10001650-1</w:t>
            </w:r>
          </w:p>
        </w:tc>
      </w:tr>
      <w:tr>
        <w:trPr>
          <w:trHeight w:val="204" w:hRule="exact"/>
        </w:trPr>
        <w:tc>
          <w:tcPr>
            <w:tcW w:w="29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注册资本</w:t>
            </w:r>
            <w:r>
              <w:rPr>
                <w:rFonts w:ascii="宋体" w:hAnsi="宋体" w:cs="宋体" w:eastAsia="宋体" w:hint="default"/>
                <w:sz w:val="15"/>
                <w:szCs w:val="15"/>
              </w:rPr>
            </w:r>
          </w:p>
        </w:tc>
        <w:tc>
          <w:tcPr>
            <w:tcW w:w="519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5"/>
                <w:szCs w:val="15"/>
              </w:rPr>
            </w:pPr>
            <w:r>
              <w:rPr>
                <w:rFonts w:ascii="宋体" w:hAnsi="宋体" w:cs="宋体" w:eastAsia="宋体" w:hint="default"/>
                <w:sz w:val="15"/>
                <w:szCs w:val="15"/>
              </w:rPr>
              <w:t>人民币</w:t>
            </w:r>
            <w:r>
              <w:rPr>
                <w:rFonts w:ascii="宋体" w:hAnsi="宋体" w:cs="宋体" w:eastAsia="宋体" w:hint="default"/>
                <w:spacing w:val="-39"/>
                <w:sz w:val="15"/>
                <w:szCs w:val="15"/>
              </w:rPr>
              <w:t> </w:t>
            </w:r>
            <w:r>
              <w:rPr>
                <w:rFonts w:ascii="Arial" w:hAnsi="Arial" w:cs="Arial" w:eastAsia="Arial" w:hint="default"/>
                <w:sz w:val="15"/>
                <w:szCs w:val="15"/>
              </w:rPr>
              <w:t>106,471,198,904</w:t>
            </w:r>
            <w:r>
              <w:rPr>
                <w:rFonts w:ascii="Arial" w:hAnsi="Arial" w:cs="Arial" w:eastAsia="Arial" w:hint="default"/>
                <w:spacing w:val="-5"/>
                <w:sz w:val="15"/>
                <w:szCs w:val="15"/>
              </w:rPr>
              <w:t> </w:t>
            </w:r>
            <w:r>
              <w:rPr>
                <w:rFonts w:ascii="宋体" w:hAnsi="宋体" w:cs="宋体" w:eastAsia="宋体" w:hint="default"/>
                <w:sz w:val="15"/>
                <w:szCs w:val="15"/>
              </w:rPr>
              <w:t>元</w:t>
            </w:r>
          </w:p>
        </w:tc>
      </w:tr>
      <w:tr>
        <w:trPr>
          <w:trHeight w:val="3123" w:hRule="exact"/>
        </w:trPr>
        <w:tc>
          <w:tcPr>
            <w:tcW w:w="29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b/>
                <w:bCs/>
                <w:sz w:val="15"/>
                <w:szCs w:val="15"/>
              </w:rPr>
              <w:t>主要经营业务</w:t>
            </w:r>
            <w:r>
              <w:rPr>
                <w:rFonts w:ascii="宋体" w:hAnsi="宋体" w:cs="宋体" w:eastAsia="宋体" w:hint="default"/>
                <w:sz w:val="15"/>
                <w:szCs w:val="15"/>
              </w:rPr>
            </w:r>
          </w:p>
        </w:tc>
        <w:tc>
          <w:tcPr>
            <w:tcW w:w="519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许可经营项目：固定通信业务、蜂窝移动通信业务、第一类卫星通信业务、</w:t>
            </w:r>
          </w:p>
          <w:p>
            <w:pPr>
              <w:pStyle w:val="TableParagraph"/>
              <w:spacing w:line="235" w:lineRule="auto" w:before="2"/>
              <w:ind w:left="103" w:right="99"/>
              <w:jc w:val="both"/>
              <w:rPr>
                <w:rFonts w:ascii="宋体" w:hAnsi="宋体" w:cs="宋体" w:eastAsia="宋体" w:hint="default"/>
                <w:sz w:val="15"/>
                <w:szCs w:val="15"/>
              </w:rPr>
            </w:pPr>
            <w:r>
              <w:rPr>
                <w:rFonts w:ascii="宋体" w:hAnsi="宋体" w:cs="宋体" w:eastAsia="宋体" w:hint="default"/>
                <w:spacing w:val="-1"/>
                <w:sz w:val="15"/>
                <w:szCs w:val="15"/>
              </w:rPr>
              <w:t>第一类数据通信业务、网络接入业务（具体业务种类、覆盖范围以许可证为</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z w:val="15"/>
                <w:szCs w:val="15"/>
              </w:rPr>
              <w:t>准，有效期至</w:t>
            </w:r>
            <w:r>
              <w:rPr>
                <w:rFonts w:ascii="宋体" w:hAnsi="宋体" w:cs="宋体" w:eastAsia="宋体" w:hint="default"/>
                <w:spacing w:val="-38"/>
                <w:sz w:val="15"/>
                <w:szCs w:val="15"/>
              </w:rPr>
              <w:t> </w:t>
            </w:r>
            <w:r>
              <w:rPr>
                <w:rFonts w:ascii="Arial" w:hAnsi="Arial" w:cs="Arial" w:eastAsia="Arial" w:hint="default"/>
                <w:sz w:val="15"/>
                <w:szCs w:val="15"/>
              </w:rPr>
              <w:t>2019</w:t>
            </w:r>
            <w:r>
              <w:rPr>
                <w:rFonts w:ascii="Arial" w:hAnsi="Arial" w:cs="Arial" w:eastAsia="Arial" w:hint="default"/>
                <w:spacing w:val="-5"/>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w:t>
            </w:r>
            <w:r>
              <w:rPr>
                <w:rFonts w:ascii="Arial" w:hAnsi="Arial" w:cs="Arial" w:eastAsia="Arial" w:hint="default"/>
                <w:spacing w:val="-5"/>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6</w:t>
            </w:r>
            <w:r>
              <w:rPr>
                <w:rFonts w:ascii="Arial" w:hAnsi="Arial" w:cs="Arial" w:eastAsia="Arial" w:hint="default"/>
                <w:spacing w:val="-7"/>
                <w:sz w:val="15"/>
                <w:szCs w:val="15"/>
              </w:rPr>
              <w:t> </w:t>
            </w:r>
            <w:r>
              <w:rPr>
                <w:rFonts w:ascii="宋体" w:hAnsi="宋体" w:cs="宋体" w:eastAsia="宋体" w:hint="default"/>
                <w:sz w:val="15"/>
                <w:szCs w:val="15"/>
              </w:rPr>
              <w:t>日）；国内甚小口径终端地球站</w:t>
            </w:r>
            <w:r>
              <w:rPr>
                <w:rFonts w:ascii="Arial" w:hAnsi="Arial" w:cs="Arial" w:eastAsia="Arial" w:hint="default"/>
                <w:sz w:val="15"/>
                <w:szCs w:val="15"/>
              </w:rPr>
              <w:t>(VSAT)</w:t>
            </w:r>
            <w:r>
              <w:rPr>
                <w:rFonts w:ascii="宋体" w:hAnsi="宋体" w:cs="宋体" w:eastAsia="宋体" w:hint="default"/>
                <w:sz w:val="15"/>
                <w:szCs w:val="15"/>
              </w:rPr>
              <w:t>通信业</w:t>
            </w:r>
            <w:r>
              <w:rPr>
                <w:rFonts w:ascii="宋体" w:hAnsi="宋体" w:cs="宋体" w:eastAsia="宋体" w:hint="default"/>
                <w:spacing w:val="-3"/>
                <w:w w:val="100"/>
                <w:sz w:val="15"/>
                <w:szCs w:val="15"/>
              </w:rPr>
              <w:t> </w:t>
            </w:r>
            <w:r>
              <w:rPr>
                <w:rFonts w:ascii="宋体" w:hAnsi="宋体" w:cs="宋体" w:eastAsia="宋体" w:hint="default"/>
                <w:spacing w:val="-1"/>
                <w:sz w:val="15"/>
                <w:szCs w:val="15"/>
              </w:rPr>
              <w:t>务、固定网国内数据传送业务、无线数据传送业务、用户驻地网业务和网络</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pacing w:val="-1"/>
                <w:sz w:val="15"/>
                <w:szCs w:val="15"/>
              </w:rPr>
              <w:t>托管业务、增值电信业务中的在线数据处理与交易处理业务、国内因特网虚</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pacing w:val="-1"/>
                <w:sz w:val="15"/>
                <w:szCs w:val="15"/>
              </w:rPr>
              <w:t>拟专用网业务、因特网数据中心业务、语音信箱业务、传真存储转发业务、</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Arial" w:hAnsi="Arial" w:cs="Arial" w:eastAsia="Arial" w:hint="default"/>
                <w:sz w:val="15"/>
                <w:szCs w:val="15"/>
              </w:rPr>
              <w:t>X.400</w:t>
            </w:r>
            <w:r>
              <w:rPr>
                <w:rFonts w:ascii="Arial" w:hAnsi="Arial" w:cs="Arial" w:eastAsia="Arial" w:hint="default"/>
                <w:spacing w:val="38"/>
                <w:sz w:val="15"/>
                <w:szCs w:val="15"/>
              </w:rPr>
              <w:t> </w:t>
            </w:r>
            <w:r>
              <w:rPr>
                <w:rFonts w:ascii="宋体" w:hAnsi="宋体" w:cs="宋体" w:eastAsia="宋体" w:hint="default"/>
                <w:sz w:val="15"/>
                <w:szCs w:val="15"/>
              </w:rPr>
              <w:t>电子邮件业务、呼叫中心业务、因特网接入服务业务和信息服务业务</w:t>
            </w:r>
          </w:p>
          <w:p>
            <w:pPr>
              <w:pStyle w:val="TableParagraph"/>
              <w:spacing w:line="194" w:lineRule="exact" w:before="8"/>
              <w:ind w:left="103" w:right="25"/>
              <w:jc w:val="both"/>
              <w:rPr>
                <w:rFonts w:ascii="宋体" w:hAnsi="宋体" w:cs="宋体" w:eastAsia="宋体" w:hint="default"/>
                <w:sz w:val="15"/>
                <w:szCs w:val="15"/>
              </w:rPr>
            </w:pPr>
            <w:r>
              <w:rPr>
                <w:rFonts w:ascii="宋体" w:hAnsi="宋体" w:cs="宋体" w:eastAsia="宋体" w:hint="default"/>
                <w:spacing w:val="-3"/>
                <w:sz w:val="15"/>
                <w:szCs w:val="15"/>
              </w:rPr>
              <w:t>（含固定网电话信息服务业务、互联网信息服务业务和移动网信息服务业务，</w:t>
            </w:r>
            <w:r>
              <w:rPr>
                <w:rFonts w:ascii="宋体" w:hAnsi="宋体" w:cs="宋体" w:eastAsia="宋体" w:hint="default"/>
                <w:spacing w:val="-28"/>
                <w:sz w:val="15"/>
                <w:szCs w:val="15"/>
              </w:rPr>
              <w:t> </w:t>
            </w:r>
            <w:r>
              <w:rPr>
                <w:rFonts w:ascii="宋体" w:hAnsi="宋体" w:cs="宋体" w:eastAsia="宋体" w:hint="default"/>
                <w:spacing w:val="-28"/>
                <w:sz w:val="15"/>
                <w:szCs w:val="15"/>
              </w:rPr>
            </w:r>
            <w:r>
              <w:rPr>
                <w:rFonts w:ascii="宋体" w:hAnsi="宋体" w:cs="宋体" w:eastAsia="宋体" w:hint="default"/>
                <w:sz w:val="15"/>
                <w:szCs w:val="15"/>
              </w:rPr>
              <w:t>有效期至</w:t>
            </w:r>
            <w:r>
              <w:rPr>
                <w:rFonts w:ascii="宋体" w:hAnsi="宋体" w:cs="宋体" w:eastAsia="宋体" w:hint="default"/>
                <w:spacing w:val="-31"/>
                <w:sz w:val="15"/>
                <w:szCs w:val="15"/>
              </w:rPr>
              <w:t> </w:t>
            </w:r>
            <w:r>
              <w:rPr>
                <w:rFonts w:ascii="Arial" w:hAnsi="Arial" w:cs="Arial" w:eastAsia="Arial" w:hint="default"/>
                <w:sz w:val="15"/>
                <w:szCs w:val="15"/>
              </w:rPr>
              <w:t>2014 </w:t>
            </w:r>
            <w:r>
              <w:rPr>
                <w:rFonts w:ascii="宋体" w:hAnsi="宋体" w:cs="宋体" w:eastAsia="宋体" w:hint="default"/>
                <w:sz w:val="15"/>
                <w:szCs w:val="15"/>
              </w:rPr>
              <w:t>年</w:t>
            </w:r>
            <w:r>
              <w:rPr>
                <w:rFonts w:ascii="宋体" w:hAnsi="宋体" w:cs="宋体" w:eastAsia="宋体" w:hint="default"/>
                <w:spacing w:val="-31"/>
                <w:sz w:val="15"/>
                <w:szCs w:val="15"/>
              </w:rPr>
              <w:t> </w:t>
            </w:r>
            <w:r>
              <w:rPr>
                <w:rFonts w:ascii="Arial" w:hAnsi="Arial" w:cs="Arial" w:eastAsia="Arial" w:hint="default"/>
                <w:sz w:val="15"/>
                <w:szCs w:val="15"/>
              </w:rPr>
              <w:t>4</w:t>
            </w:r>
            <w:r>
              <w:rPr>
                <w:rFonts w:ascii="Arial" w:hAnsi="Arial" w:cs="Arial" w:eastAsia="Arial"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31"/>
                <w:sz w:val="15"/>
                <w:szCs w:val="15"/>
              </w:rPr>
              <w:t> </w:t>
            </w:r>
            <w:r>
              <w:rPr>
                <w:rFonts w:ascii="Arial" w:hAnsi="Arial" w:cs="Arial" w:eastAsia="Arial" w:hint="default"/>
                <w:sz w:val="15"/>
                <w:szCs w:val="15"/>
              </w:rPr>
              <w:t>9</w:t>
            </w:r>
            <w:r>
              <w:rPr>
                <w:rFonts w:ascii="Arial" w:hAnsi="Arial" w:cs="Arial" w:eastAsia="Arial" w:hint="default"/>
                <w:spacing w:val="2"/>
                <w:sz w:val="15"/>
                <w:szCs w:val="15"/>
              </w:rPr>
              <w:t> </w:t>
            </w:r>
            <w:r>
              <w:rPr>
                <w:rFonts w:ascii="宋体" w:hAnsi="宋体" w:cs="宋体" w:eastAsia="宋体" w:hint="default"/>
                <w:sz w:val="15"/>
                <w:szCs w:val="15"/>
              </w:rPr>
              <w:t>日）；《信息通信技术》期刊出版（限中国联合网</w:t>
            </w:r>
          </w:p>
          <w:p>
            <w:pPr>
              <w:pStyle w:val="TableParagraph"/>
              <w:spacing w:line="181" w:lineRule="exact"/>
              <w:ind w:left="103" w:right="0"/>
              <w:jc w:val="both"/>
              <w:rPr>
                <w:rFonts w:ascii="宋体" w:hAnsi="宋体" w:cs="宋体" w:eastAsia="宋体" w:hint="default"/>
                <w:sz w:val="15"/>
                <w:szCs w:val="15"/>
              </w:rPr>
            </w:pPr>
            <w:r>
              <w:rPr>
                <w:rFonts w:ascii="宋体" w:hAnsi="宋体" w:cs="宋体" w:eastAsia="宋体" w:hint="default"/>
                <w:spacing w:val="-3"/>
                <w:sz w:val="15"/>
                <w:szCs w:val="15"/>
              </w:rPr>
              <w:t>络通信集团有限公司《信息通信技术》编辑部经营，有限期至</w:t>
            </w:r>
            <w:r>
              <w:rPr>
                <w:rFonts w:ascii="宋体" w:hAnsi="宋体" w:cs="宋体" w:eastAsia="宋体" w:hint="default"/>
                <w:spacing w:val="-22"/>
                <w:sz w:val="15"/>
                <w:szCs w:val="15"/>
              </w:rPr>
              <w:t> </w:t>
            </w:r>
            <w:r>
              <w:rPr>
                <w:rFonts w:ascii="Arial" w:hAnsi="Arial" w:cs="Arial" w:eastAsia="Arial" w:hint="default"/>
                <w:sz w:val="15"/>
                <w:szCs w:val="15"/>
              </w:rPr>
              <w:t>2013</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26"/>
                <w:sz w:val="15"/>
                <w:szCs w:val="15"/>
              </w:rPr>
              <w:t> </w:t>
            </w:r>
            <w:r>
              <w:rPr>
                <w:rFonts w:ascii="Arial" w:hAnsi="Arial" w:cs="Arial" w:eastAsia="Arial" w:hint="default"/>
                <w:sz w:val="15"/>
                <w:szCs w:val="15"/>
              </w:rPr>
              <w:t>12</w:t>
            </w:r>
            <w:r>
              <w:rPr>
                <w:rFonts w:ascii="Arial" w:hAnsi="Arial" w:cs="Arial" w:eastAsia="Arial" w:hint="default"/>
                <w:spacing w:val="7"/>
                <w:sz w:val="15"/>
                <w:szCs w:val="15"/>
              </w:rPr>
              <w:t> </w:t>
            </w:r>
            <w:r>
              <w:rPr>
                <w:rFonts w:ascii="宋体" w:hAnsi="宋体" w:cs="宋体" w:eastAsia="宋体" w:hint="default"/>
                <w:sz w:val="15"/>
                <w:szCs w:val="15"/>
              </w:rPr>
              <w:t>月</w:t>
            </w:r>
          </w:p>
          <w:p>
            <w:pPr>
              <w:pStyle w:val="TableParagraph"/>
              <w:spacing w:line="194" w:lineRule="exact" w:before="13"/>
              <w:ind w:left="103" w:right="99"/>
              <w:jc w:val="both"/>
              <w:rPr>
                <w:rFonts w:ascii="宋体" w:hAnsi="宋体" w:cs="宋体" w:eastAsia="宋体" w:hint="default"/>
                <w:sz w:val="15"/>
                <w:szCs w:val="15"/>
              </w:rPr>
            </w:pPr>
            <w:r>
              <w:rPr>
                <w:rFonts w:ascii="Arial" w:hAnsi="Arial" w:cs="Arial" w:eastAsia="Arial" w:hint="default"/>
                <w:sz w:val="15"/>
                <w:szCs w:val="15"/>
              </w:rPr>
              <w:t>31 </w:t>
            </w:r>
            <w:r>
              <w:rPr>
                <w:rFonts w:ascii="宋体" w:hAnsi="宋体" w:cs="宋体" w:eastAsia="宋体" w:hint="default"/>
                <w:spacing w:val="-3"/>
                <w:sz w:val="15"/>
                <w:szCs w:val="15"/>
              </w:rPr>
              <w:t>日）；全国性互联网上网服务营业场所连锁经营；利用互联网经营音像制</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pacing w:val="-1"/>
                <w:sz w:val="15"/>
                <w:szCs w:val="15"/>
              </w:rPr>
              <w:t>品、游戏产品、艺术品、演出剧（节）目、动画等其它文化产品，从事互联</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pacing w:val="-1"/>
                <w:sz w:val="15"/>
                <w:szCs w:val="15"/>
              </w:rPr>
              <w:t>网文化产品展览比赛等活动。一般经营项目：经营与通信及信息业务相关的</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pacing w:val="-1"/>
                <w:sz w:val="15"/>
                <w:szCs w:val="15"/>
              </w:rPr>
              <w:t>系统集成、技术开发、技术服务、设备生产、销售、设计施工业务；招标代</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pacing w:val="-1"/>
                <w:sz w:val="15"/>
                <w:szCs w:val="15"/>
              </w:rPr>
              <w:t>理；自有房屋出租；电子通信器材的销售；承办展览；专业人员培训；物业</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z w:val="15"/>
                <w:szCs w:val="15"/>
              </w:rPr>
              <w:t>管理；技术交流和信息咨询；广告业务；编制、发行电话号码簿。</w:t>
            </w:r>
          </w:p>
        </w:tc>
      </w:tr>
      <w:tr>
        <w:trPr>
          <w:trHeight w:val="204" w:hRule="exact"/>
        </w:trPr>
        <w:tc>
          <w:tcPr>
            <w:tcW w:w="29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经营成果</w:t>
            </w:r>
            <w:r>
              <w:rPr>
                <w:rFonts w:ascii="宋体" w:hAnsi="宋体" w:cs="宋体" w:eastAsia="宋体" w:hint="default"/>
                <w:sz w:val="15"/>
                <w:szCs w:val="15"/>
              </w:rPr>
            </w:r>
          </w:p>
        </w:tc>
        <w:tc>
          <w:tcPr>
            <w:tcW w:w="519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5"/>
                <w:szCs w:val="15"/>
              </w:rPr>
            </w:pPr>
            <w:r>
              <w:rPr>
                <w:rFonts w:ascii="Arial" w:hAnsi="Arial" w:cs="Arial" w:eastAsia="Arial" w:hint="default"/>
                <w:sz w:val="15"/>
                <w:szCs w:val="15"/>
              </w:rPr>
              <w:t>2014</w:t>
            </w:r>
            <w:r>
              <w:rPr>
                <w:rFonts w:ascii="Arial" w:hAnsi="Arial" w:cs="Arial" w:eastAsia="Arial" w:hint="default"/>
                <w:spacing w:val="-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1-6</w:t>
            </w:r>
            <w:r>
              <w:rPr>
                <w:rFonts w:ascii="Arial" w:hAnsi="Arial" w:cs="Arial" w:eastAsia="Arial" w:hint="default"/>
                <w:spacing w:val="-8"/>
                <w:sz w:val="15"/>
                <w:szCs w:val="15"/>
              </w:rPr>
              <w:t> </w:t>
            </w:r>
            <w:r>
              <w:rPr>
                <w:rFonts w:ascii="宋体" w:hAnsi="宋体" w:cs="宋体" w:eastAsia="宋体" w:hint="default"/>
                <w:sz w:val="15"/>
                <w:szCs w:val="15"/>
              </w:rPr>
              <w:t>月实现净利润约人民币</w:t>
            </w:r>
            <w:r>
              <w:rPr>
                <w:rFonts w:ascii="宋体" w:hAnsi="宋体" w:cs="宋体" w:eastAsia="宋体" w:hint="default"/>
                <w:spacing w:val="-38"/>
                <w:sz w:val="15"/>
                <w:szCs w:val="15"/>
              </w:rPr>
              <w:t> </w:t>
            </w:r>
            <w:r>
              <w:rPr>
                <w:rFonts w:ascii="Arial" w:hAnsi="Arial" w:cs="Arial" w:eastAsia="Arial" w:hint="default"/>
                <w:sz w:val="15"/>
                <w:szCs w:val="15"/>
              </w:rPr>
              <w:t>20.8</w:t>
            </w:r>
            <w:r>
              <w:rPr>
                <w:rFonts w:ascii="Arial" w:hAnsi="Arial" w:cs="Arial" w:eastAsia="Arial" w:hint="default"/>
                <w:spacing w:val="-8"/>
                <w:sz w:val="15"/>
                <w:szCs w:val="15"/>
              </w:rPr>
              <w:t> </w:t>
            </w:r>
            <w:r>
              <w:rPr>
                <w:rFonts w:ascii="宋体" w:hAnsi="宋体" w:cs="宋体" w:eastAsia="宋体" w:hint="default"/>
                <w:sz w:val="15"/>
                <w:szCs w:val="15"/>
              </w:rPr>
              <w:t>亿元（未经审计）。</w:t>
            </w:r>
          </w:p>
        </w:tc>
      </w:tr>
      <w:tr>
        <w:trPr>
          <w:trHeight w:val="401" w:hRule="exact"/>
        </w:trPr>
        <w:tc>
          <w:tcPr>
            <w:tcW w:w="29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b/>
                <w:bCs/>
                <w:sz w:val="15"/>
                <w:szCs w:val="15"/>
              </w:rPr>
              <w:t>财务状况</w:t>
            </w:r>
            <w:r>
              <w:rPr>
                <w:rFonts w:ascii="宋体" w:hAnsi="宋体" w:cs="宋体" w:eastAsia="宋体" w:hint="default"/>
                <w:sz w:val="15"/>
                <w:szCs w:val="15"/>
              </w:rPr>
            </w:r>
          </w:p>
        </w:tc>
        <w:tc>
          <w:tcPr>
            <w:tcW w:w="5195"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ind w:left="103" w:right="0"/>
              <w:jc w:val="left"/>
              <w:rPr>
                <w:rFonts w:ascii="Arial" w:hAnsi="Arial" w:cs="Arial" w:eastAsia="Arial" w:hint="default"/>
                <w:sz w:val="15"/>
                <w:szCs w:val="15"/>
              </w:rPr>
            </w:pPr>
            <w:r>
              <w:rPr>
                <w:rFonts w:ascii="宋体" w:hAnsi="宋体" w:cs="宋体" w:eastAsia="宋体" w:hint="default"/>
                <w:w w:val="100"/>
                <w:sz w:val="15"/>
                <w:szCs w:val="15"/>
              </w:rPr>
              <w:t>截至</w:t>
            </w:r>
            <w:r>
              <w:rPr>
                <w:rFonts w:ascii="宋体" w:hAnsi="宋体" w:cs="宋体" w:eastAsia="宋体" w:hint="default"/>
                <w:spacing w:val="-51"/>
                <w:sz w:val="15"/>
                <w:szCs w:val="15"/>
              </w:rPr>
              <w:t> </w:t>
            </w:r>
            <w:r>
              <w:rPr>
                <w:rFonts w:ascii="Arial" w:hAnsi="Arial" w:cs="Arial" w:eastAsia="Arial" w:hint="default"/>
                <w:w w:val="100"/>
                <w:sz w:val="15"/>
                <w:szCs w:val="15"/>
              </w:rPr>
              <w:t>2</w:t>
            </w:r>
            <w:r>
              <w:rPr>
                <w:rFonts w:ascii="Arial" w:hAnsi="Arial" w:cs="Arial" w:eastAsia="Arial" w:hint="default"/>
                <w:spacing w:val="-3"/>
                <w:w w:val="100"/>
                <w:sz w:val="15"/>
                <w:szCs w:val="15"/>
              </w:rPr>
              <w:t>0</w:t>
            </w:r>
            <w:r>
              <w:rPr>
                <w:rFonts w:ascii="Arial" w:hAnsi="Arial" w:cs="Arial" w:eastAsia="Arial" w:hint="default"/>
                <w:w w:val="100"/>
                <w:sz w:val="15"/>
                <w:szCs w:val="15"/>
              </w:rPr>
              <w:t>14</w:t>
            </w:r>
            <w:r>
              <w:rPr>
                <w:rFonts w:ascii="Arial" w:hAnsi="Arial" w:cs="Arial" w:eastAsia="Arial" w:hint="default"/>
                <w:spacing w:val="-18"/>
                <w:sz w:val="15"/>
                <w:szCs w:val="15"/>
              </w:rPr>
              <w:t> </w:t>
            </w:r>
            <w:r>
              <w:rPr>
                <w:rFonts w:ascii="宋体" w:hAnsi="宋体" w:cs="宋体" w:eastAsia="宋体" w:hint="default"/>
                <w:w w:val="100"/>
                <w:sz w:val="15"/>
                <w:szCs w:val="15"/>
              </w:rPr>
              <w:t>年</w:t>
            </w:r>
            <w:r>
              <w:rPr>
                <w:rFonts w:ascii="宋体" w:hAnsi="宋体" w:cs="宋体" w:eastAsia="宋体" w:hint="default"/>
                <w:spacing w:val="-51"/>
                <w:sz w:val="15"/>
                <w:szCs w:val="15"/>
              </w:rPr>
              <w:t> </w:t>
            </w:r>
            <w:r>
              <w:rPr>
                <w:rFonts w:ascii="Arial" w:hAnsi="Arial" w:cs="Arial" w:eastAsia="Arial" w:hint="default"/>
                <w:w w:val="100"/>
                <w:sz w:val="15"/>
                <w:szCs w:val="15"/>
              </w:rPr>
              <w:t>6</w:t>
            </w:r>
            <w:r>
              <w:rPr>
                <w:rFonts w:ascii="Arial" w:hAnsi="Arial" w:cs="Arial" w:eastAsia="Arial" w:hint="default"/>
                <w:spacing w:val="-21"/>
                <w:sz w:val="15"/>
                <w:szCs w:val="15"/>
              </w:rPr>
              <w:t> </w:t>
            </w:r>
            <w:r>
              <w:rPr>
                <w:rFonts w:ascii="宋体" w:hAnsi="宋体" w:cs="宋体" w:eastAsia="宋体" w:hint="default"/>
                <w:w w:val="100"/>
                <w:sz w:val="15"/>
                <w:szCs w:val="15"/>
              </w:rPr>
              <w:t>月</w:t>
            </w:r>
            <w:r>
              <w:rPr>
                <w:rFonts w:ascii="宋体" w:hAnsi="宋体" w:cs="宋体" w:eastAsia="宋体" w:hint="default"/>
                <w:spacing w:val="-51"/>
                <w:sz w:val="15"/>
                <w:szCs w:val="15"/>
              </w:rPr>
              <w:t> </w:t>
            </w:r>
            <w:r>
              <w:rPr>
                <w:rFonts w:ascii="Arial" w:hAnsi="Arial" w:cs="Arial" w:eastAsia="Arial" w:hint="default"/>
                <w:spacing w:val="-1"/>
                <w:w w:val="100"/>
                <w:sz w:val="15"/>
                <w:szCs w:val="15"/>
              </w:rPr>
              <w:t>3</w:t>
            </w:r>
            <w:r>
              <w:rPr>
                <w:rFonts w:ascii="Arial" w:hAnsi="Arial" w:cs="Arial" w:eastAsia="Arial" w:hint="default"/>
                <w:w w:val="100"/>
                <w:sz w:val="15"/>
                <w:szCs w:val="15"/>
              </w:rPr>
              <w:t>0</w:t>
            </w:r>
            <w:r>
              <w:rPr>
                <w:rFonts w:ascii="Arial" w:hAnsi="Arial" w:cs="Arial" w:eastAsia="Arial" w:hint="default"/>
                <w:spacing w:val="-21"/>
                <w:sz w:val="15"/>
                <w:szCs w:val="15"/>
              </w:rPr>
              <w:t> </w:t>
            </w:r>
            <w:r>
              <w:rPr>
                <w:rFonts w:ascii="宋体" w:hAnsi="宋体" w:cs="宋体" w:eastAsia="宋体" w:hint="default"/>
                <w:w w:val="100"/>
                <w:sz w:val="15"/>
                <w:szCs w:val="15"/>
              </w:rPr>
              <w:t>日</w:t>
            </w:r>
            <w:r>
              <w:rPr>
                <w:rFonts w:ascii="宋体" w:hAnsi="宋体" w:cs="宋体" w:eastAsia="宋体" w:hint="default"/>
                <w:spacing w:val="-77"/>
                <w:w w:val="100"/>
                <w:sz w:val="15"/>
                <w:szCs w:val="15"/>
              </w:rPr>
              <w:t>，</w:t>
            </w:r>
            <w:r>
              <w:rPr>
                <w:rFonts w:ascii="宋体" w:hAnsi="宋体" w:cs="宋体" w:eastAsia="宋体" w:hint="default"/>
                <w:w w:val="100"/>
                <w:sz w:val="15"/>
                <w:szCs w:val="15"/>
              </w:rPr>
              <w:t>总</w:t>
            </w:r>
            <w:r>
              <w:rPr>
                <w:rFonts w:ascii="宋体" w:hAnsi="宋体" w:cs="宋体" w:eastAsia="宋体" w:hint="default"/>
                <w:spacing w:val="-3"/>
                <w:w w:val="100"/>
                <w:sz w:val="15"/>
                <w:szCs w:val="15"/>
              </w:rPr>
              <w:t>资</w:t>
            </w:r>
            <w:r>
              <w:rPr>
                <w:rFonts w:ascii="宋体" w:hAnsi="宋体" w:cs="宋体" w:eastAsia="宋体" w:hint="default"/>
                <w:w w:val="100"/>
                <w:sz w:val="15"/>
                <w:szCs w:val="15"/>
              </w:rPr>
              <w:t>产</w:t>
            </w:r>
            <w:r>
              <w:rPr>
                <w:rFonts w:ascii="宋体" w:hAnsi="宋体" w:cs="宋体" w:eastAsia="宋体" w:hint="default"/>
                <w:spacing w:val="-3"/>
                <w:w w:val="100"/>
                <w:sz w:val="15"/>
                <w:szCs w:val="15"/>
              </w:rPr>
              <w:t>约</w:t>
            </w:r>
            <w:r>
              <w:rPr>
                <w:rFonts w:ascii="宋体" w:hAnsi="宋体" w:cs="宋体" w:eastAsia="宋体" w:hint="default"/>
                <w:w w:val="100"/>
                <w:sz w:val="15"/>
                <w:szCs w:val="15"/>
              </w:rPr>
              <w:t>人</w:t>
            </w:r>
            <w:r>
              <w:rPr>
                <w:rFonts w:ascii="宋体" w:hAnsi="宋体" w:cs="宋体" w:eastAsia="宋体" w:hint="default"/>
                <w:spacing w:val="-3"/>
                <w:w w:val="100"/>
                <w:sz w:val="15"/>
                <w:szCs w:val="15"/>
              </w:rPr>
              <w:t>民</w:t>
            </w:r>
            <w:r>
              <w:rPr>
                <w:rFonts w:ascii="宋体" w:hAnsi="宋体" w:cs="宋体" w:eastAsia="宋体" w:hint="default"/>
                <w:w w:val="100"/>
                <w:sz w:val="15"/>
                <w:szCs w:val="15"/>
              </w:rPr>
              <w:t>币</w:t>
            </w:r>
            <w:r>
              <w:rPr>
                <w:rFonts w:ascii="宋体" w:hAnsi="宋体" w:cs="宋体" w:eastAsia="宋体" w:hint="default"/>
                <w:spacing w:val="-51"/>
                <w:sz w:val="15"/>
                <w:szCs w:val="15"/>
              </w:rPr>
              <w:t> </w:t>
            </w:r>
            <w:r>
              <w:rPr>
                <w:rFonts w:ascii="Arial" w:hAnsi="Arial" w:cs="Arial" w:eastAsia="Arial" w:hint="default"/>
                <w:w w:val="100"/>
                <w:sz w:val="15"/>
                <w:szCs w:val="15"/>
              </w:rPr>
              <w:t>1</w:t>
            </w:r>
            <w:r>
              <w:rPr>
                <w:rFonts w:ascii="Arial" w:hAnsi="Arial" w:cs="Arial" w:eastAsia="Arial" w:hint="default"/>
                <w:spacing w:val="-2"/>
                <w:w w:val="100"/>
                <w:sz w:val="15"/>
                <w:szCs w:val="15"/>
              </w:rPr>
              <w:t>,</w:t>
            </w:r>
            <w:r>
              <w:rPr>
                <w:rFonts w:ascii="Arial" w:hAnsi="Arial" w:cs="Arial" w:eastAsia="Arial" w:hint="default"/>
                <w:w w:val="100"/>
                <w:sz w:val="15"/>
                <w:szCs w:val="15"/>
              </w:rPr>
              <w:t>17</w:t>
            </w:r>
            <w:r>
              <w:rPr>
                <w:rFonts w:ascii="Arial" w:hAnsi="Arial" w:cs="Arial" w:eastAsia="Arial" w:hint="default"/>
                <w:spacing w:val="-3"/>
                <w:w w:val="100"/>
                <w:sz w:val="15"/>
                <w:szCs w:val="15"/>
              </w:rPr>
              <w:t>8</w:t>
            </w:r>
            <w:r>
              <w:rPr>
                <w:rFonts w:ascii="Arial" w:hAnsi="Arial" w:cs="Arial" w:eastAsia="Arial" w:hint="default"/>
                <w:spacing w:val="1"/>
                <w:w w:val="100"/>
                <w:sz w:val="15"/>
                <w:szCs w:val="15"/>
              </w:rPr>
              <w:t>.</w:t>
            </w:r>
            <w:r>
              <w:rPr>
                <w:rFonts w:ascii="Arial" w:hAnsi="Arial" w:cs="Arial" w:eastAsia="Arial" w:hint="default"/>
                <w:w w:val="100"/>
                <w:sz w:val="15"/>
                <w:szCs w:val="15"/>
              </w:rPr>
              <w:t>1</w:t>
            </w:r>
            <w:r>
              <w:rPr>
                <w:rFonts w:ascii="Arial" w:hAnsi="Arial" w:cs="Arial" w:eastAsia="Arial" w:hint="default"/>
                <w:spacing w:val="-18"/>
                <w:sz w:val="15"/>
                <w:szCs w:val="15"/>
              </w:rPr>
              <w:t> </w:t>
            </w:r>
            <w:r>
              <w:rPr>
                <w:rFonts w:ascii="宋体" w:hAnsi="宋体" w:cs="宋体" w:eastAsia="宋体" w:hint="default"/>
                <w:spacing w:val="-3"/>
                <w:w w:val="100"/>
                <w:sz w:val="15"/>
                <w:szCs w:val="15"/>
              </w:rPr>
              <w:t>亿</w:t>
            </w:r>
            <w:r>
              <w:rPr>
                <w:rFonts w:ascii="宋体" w:hAnsi="宋体" w:cs="宋体" w:eastAsia="宋体" w:hint="default"/>
                <w:w w:val="100"/>
                <w:sz w:val="15"/>
                <w:szCs w:val="15"/>
              </w:rPr>
              <w:t>元</w:t>
            </w:r>
            <w:r>
              <w:rPr>
                <w:rFonts w:ascii="宋体" w:hAnsi="宋体" w:cs="宋体" w:eastAsia="宋体" w:hint="default"/>
                <w:spacing w:val="-77"/>
                <w:w w:val="100"/>
                <w:sz w:val="15"/>
                <w:szCs w:val="15"/>
              </w:rPr>
              <w:t>，</w:t>
            </w:r>
            <w:r>
              <w:rPr>
                <w:rFonts w:ascii="宋体" w:hAnsi="宋体" w:cs="宋体" w:eastAsia="宋体" w:hint="default"/>
                <w:w w:val="100"/>
                <w:sz w:val="15"/>
                <w:szCs w:val="15"/>
              </w:rPr>
              <w:t>净</w:t>
            </w:r>
            <w:r>
              <w:rPr>
                <w:rFonts w:ascii="宋体" w:hAnsi="宋体" w:cs="宋体" w:eastAsia="宋体" w:hint="default"/>
                <w:spacing w:val="-3"/>
                <w:w w:val="100"/>
                <w:sz w:val="15"/>
                <w:szCs w:val="15"/>
              </w:rPr>
              <w:t>资</w:t>
            </w:r>
            <w:r>
              <w:rPr>
                <w:rFonts w:ascii="宋体" w:hAnsi="宋体" w:cs="宋体" w:eastAsia="宋体" w:hint="default"/>
                <w:w w:val="100"/>
                <w:sz w:val="15"/>
                <w:szCs w:val="15"/>
              </w:rPr>
              <w:t>产</w:t>
            </w:r>
            <w:r>
              <w:rPr>
                <w:rFonts w:ascii="宋体" w:hAnsi="宋体" w:cs="宋体" w:eastAsia="宋体" w:hint="default"/>
                <w:spacing w:val="-3"/>
                <w:w w:val="100"/>
                <w:sz w:val="15"/>
                <w:szCs w:val="15"/>
              </w:rPr>
              <w:t>约</w:t>
            </w:r>
            <w:r>
              <w:rPr>
                <w:rFonts w:ascii="宋体" w:hAnsi="宋体" w:cs="宋体" w:eastAsia="宋体" w:hint="default"/>
                <w:w w:val="100"/>
                <w:sz w:val="15"/>
                <w:szCs w:val="15"/>
              </w:rPr>
              <w:t>人</w:t>
            </w:r>
            <w:r>
              <w:rPr>
                <w:rFonts w:ascii="宋体" w:hAnsi="宋体" w:cs="宋体" w:eastAsia="宋体" w:hint="default"/>
                <w:spacing w:val="-3"/>
                <w:w w:val="100"/>
                <w:sz w:val="15"/>
                <w:szCs w:val="15"/>
              </w:rPr>
              <w:t>民</w:t>
            </w:r>
            <w:r>
              <w:rPr>
                <w:rFonts w:ascii="宋体" w:hAnsi="宋体" w:cs="宋体" w:eastAsia="宋体" w:hint="default"/>
                <w:w w:val="100"/>
                <w:sz w:val="15"/>
                <w:szCs w:val="15"/>
              </w:rPr>
              <w:t>币</w:t>
            </w:r>
            <w:r>
              <w:rPr>
                <w:rFonts w:ascii="宋体" w:hAnsi="宋体" w:cs="宋体" w:eastAsia="宋体" w:hint="default"/>
                <w:spacing w:val="-51"/>
                <w:sz w:val="15"/>
                <w:szCs w:val="15"/>
              </w:rPr>
              <w:t> </w:t>
            </w:r>
            <w:r>
              <w:rPr>
                <w:rFonts w:ascii="Arial" w:hAnsi="Arial" w:cs="Arial" w:eastAsia="Arial" w:hint="default"/>
                <w:w w:val="100"/>
                <w:sz w:val="15"/>
                <w:szCs w:val="15"/>
              </w:rPr>
              <w:t>9</w:t>
            </w:r>
            <w:r>
              <w:rPr>
                <w:rFonts w:ascii="Arial" w:hAnsi="Arial" w:cs="Arial" w:eastAsia="Arial" w:hint="default"/>
                <w:spacing w:val="-3"/>
                <w:w w:val="100"/>
                <w:sz w:val="15"/>
                <w:szCs w:val="15"/>
              </w:rPr>
              <w:t>6</w:t>
            </w:r>
            <w:r>
              <w:rPr>
                <w:rFonts w:ascii="Arial" w:hAnsi="Arial" w:cs="Arial" w:eastAsia="Arial" w:hint="default"/>
                <w:w w:val="100"/>
                <w:sz w:val="15"/>
                <w:szCs w:val="15"/>
              </w:rPr>
              <w:t>1</w:t>
            </w:r>
            <w:r>
              <w:rPr>
                <w:rFonts w:ascii="Arial" w:hAnsi="Arial" w:cs="Arial" w:eastAsia="Arial" w:hint="default"/>
                <w:spacing w:val="-2"/>
                <w:w w:val="100"/>
                <w:sz w:val="15"/>
                <w:szCs w:val="15"/>
              </w:rPr>
              <w:t>.</w:t>
            </w:r>
            <w:r>
              <w:rPr>
                <w:rFonts w:ascii="Arial" w:hAnsi="Arial" w:cs="Arial" w:eastAsia="Arial" w:hint="default"/>
                <w:w w:val="100"/>
                <w:sz w:val="15"/>
                <w:szCs w:val="15"/>
              </w:rPr>
              <w:t>9</w:t>
            </w:r>
          </w:p>
          <w:p>
            <w:pPr>
              <w:pStyle w:val="TableParagraph"/>
              <w:spacing w:line="191" w:lineRule="exact"/>
              <w:ind w:left="103" w:right="0"/>
              <w:jc w:val="left"/>
              <w:rPr>
                <w:rFonts w:ascii="宋体" w:hAnsi="宋体" w:cs="宋体" w:eastAsia="宋体" w:hint="default"/>
                <w:sz w:val="15"/>
                <w:szCs w:val="15"/>
              </w:rPr>
            </w:pPr>
            <w:r>
              <w:rPr>
                <w:rFonts w:ascii="宋体" w:hAnsi="宋体" w:cs="宋体" w:eastAsia="宋体" w:hint="default"/>
                <w:sz w:val="15"/>
                <w:szCs w:val="15"/>
              </w:rPr>
              <w:t>亿元（未经审计）。</w:t>
            </w:r>
          </w:p>
        </w:tc>
      </w:tr>
      <w:tr>
        <w:trPr>
          <w:trHeight w:val="1176" w:hRule="exact"/>
        </w:trPr>
        <w:tc>
          <w:tcPr>
            <w:tcW w:w="29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103" w:right="0"/>
              <w:jc w:val="left"/>
              <w:rPr>
                <w:rFonts w:ascii="宋体" w:hAnsi="宋体" w:cs="宋体" w:eastAsia="宋体" w:hint="default"/>
                <w:sz w:val="15"/>
                <w:szCs w:val="15"/>
              </w:rPr>
            </w:pPr>
            <w:r>
              <w:rPr>
                <w:rFonts w:ascii="宋体" w:hAnsi="宋体" w:cs="宋体" w:eastAsia="宋体" w:hint="default"/>
                <w:b/>
                <w:bCs/>
                <w:sz w:val="15"/>
                <w:szCs w:val="15"/>
              </w:rPr>
              <w:t>现金流和未来发展战略</w:t>
            </w:r>
            <w:r>
              <w:rPr>
                <w:rFonts w:ascii="宋体" w:hAnsi="宋体" w:cs="宋体" w:eastAsia="宋体" w:hint="default"/>
                <w:sz w:val="15"/>
                <w:szCs w:val="15"/>
              </w:rPr>
            </w:r>
          </w:p>
        </w:tc>
        <w:tc>
          <w:tcPr>
            <w:tcW w:w="5195"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both"/>
              <w:rPr>
                <w:rFonts w:ascii="Arial" w:hAnsi="Arial" w:cs="Arial" w:eastAsia="Arial" w:hint="default"/>
                <w:sz w:val="15"/>
                <w:szCs w:val="15"/>
              </w:rPr>
            </w:pPr>
            <w:r>
              <w:rPr>
                <w:rFonts w:ascii="宋体" w:hAnsi="宋体" w:cs="宋体" w:eastAsia="宋体" w:hint="default"/>
                <w:sz w:val="15"/>
                <w:szCs w:val="15"/>
              </w:rPr>
              <w:t>联通集团现金流状况良好。中国联通全面落实</w:t>
            </w:r>
            <w:r>
              <w:rPr>
                <w:rFonts w:ascii="Arial" w:hAnsi="Arial" w:cs="Arial" w:eastAsia="Arial" w:hint="default"/>
                <w:sz w:val="15"/>
                <w:szCs w:val="15"/>
              </w:rPr>
              <w:t>“</w:t>
            </w:r>
            <w:r>
              <w:rPr>
                <w:rFonts w:ascii="宋体" w:hAnsi="宋体" w:cs="宋体" w:eastAsia="宋体" w:hint="default"/>
                <w:sz w:val="15"/>
                <w:szCs w:val="15"/>
              </w:rPr>
              <w:t>移动宽带领先与一体化创新</w:t>
            </w:r>
            <w:r>
              <w:rPr>
                <w:rFonts w:ascii="Arial" w:hAnsi="Arial" w:cs="Arial" w:eastAsia="Arial" w:hint="default"/>
                <w:sz w:val="15"/>
                <w:szCs w:val="15"/>
              </w:rPr>
              <w:t>”</w:t>
            </w:r>
          </w:p>
          <w:p>
            <w:pPr>
              <w:pStyle w:val="TableParagraph"/>
              <w:spacing w:line="232" w:lineRule="auto"/>
              <w:ind w:left="103" w:right="99"/>
              <w:jc w:val="both"/>
              <w:rPr>
                <w:rFonts w:ascii="宋体" w:hAnsi="宋体" w:cs="宋体" w:eastAsia="宋体" w:hint="default"/>
                <w:sz w:val="15"/>
                <w:szCs w:val="15"/>
              </w:rPr>
            </w:pPr>
            <w:r>
              <w:rPr>
                <w:rFonts w:ascii="宋体" w:hAnsi="宋体" w:cs="宋体" w:eastAsia="宋体" w:hint="default"/>
                <w:sz w:val="15"/>
                <w:szCs w:val="15"/>
              </w:rPr>
              <w:t>战略。适应</w:t>
            </w:r>
            <w:r>
              <w:rPr>
                <w:rFonts w:ascii="宋体" w:hAnsi="宋体" w:cs="宋体" w:eastAsia="宋体" w:hint="default"/>
                <w:spacing w:val="-40"/>
                <w:sz w:val="15"/>
                <w:szCs w:val="15"/>
              </w:rPr>
              <w:t> </w:t>
            </w:r>
            <w:r>
              <w:rPr>
                <w:rFonts w:ascii="Arial" w:hAnsi="Arial" w:cs="Arial" w:eastAsia="Arial" w:hint="default"/>
                <w:sz w:val="15"/>
                <w:szCs w:val="15"/>
              </w:rPr>
              <w:t>4G</w:t>
            </w:r>
            <w:r>
              <w:rPr>
                <w:rFonts w:ascii="Arial" w:hAnsi="Arial" w:cs="Arial" w:eastAsia="Arial" w:hint="default"/>
                <w:spacing w:val="-7"/>
                <w:sz w:val="15"/>
                <w:szCs w:val="15"/>
              </w:rPr>
              <w:t> </w:t>
            </w:r>
            <w:r>
              <w:rPr>
                <w:rFonts w:ascii="宋体" w:hAnsi="宋体" w:cs="宋体" w:eastAsia="宋体" w:hint="default"/>
                <w:sz w:val="15"/>
                <w:szCs w:val="15"/>
              </w:rPr>
              <w:t>时代市场竞争新变化的客观实际，全面落实</w:t>
            </w:r>
            <w:r>
              <w:rPr>
                <w:rFonts w:ascii="Arial" w:hAnsi="Arial" w:cs="Arial" w:eastAsia="Arial" w:hint="default"/>
                <w:sz w:val="15"/>
                <w:szCs w:val="15"/>
              </w:rPr>
              <w:t>“</w:t>
            </w:r>
            <w:r>
              <w:rPr>
                <w:rFonts w:ascii="宋体" w:hAnsi="宋体" w:cs="宋体" w:eastAsia="宋体" w:hint="default"/>
                <w:sz w:val="15"/>
                <w:szCs w:val="15"/>
              </w:rPr>
              <w:t>移动宽带领先与</w:t>
            </w:r>
            <w:r>
              <w:rPr>
                <w:rFonts w:ascii="宋体" w:hAnsi="宋体" w:cs="宋体" w:eastAsia="宋体" w:hint="default"/>
                <w:w w:val="100"/>
                <w:sz w:val="15"/>
                <w:szCs w:val="15"/>
              </w:rPr>
              <w:t> </w:t>
            </w:r>
            <w:r>
              <w:rPr>
                <w:rFonts w:ascii="宋体" w:hAnsi="宋体" w:cs="宋体" w:eastAsia="宋体" w:hint="default"/>
                <w:spacing w:val="-3"/>
                <w:sz w:val="15"/>
                <w:szCs w:val="15"/>
              </w:rPr>
              <w:t>一体化创新</w:t>
            </w:r>
            <w:r>
              <w:rPr>
                <w:rFonts w:ascii="Arial" w:hAnsi="Arial" w:cs="Arial" w:eastAsia="Arial" w:hint="default"/>
                <w:spacing w:val="-3"/>
                <w:sz w:val="15"/>
                <w:szCs w:val="15"/>
              </w:rPr>
              <w:t>”</w:t>
            </w:r>
            <w:r>
              <w:rPr>
                <w:rFonts w:ascii="宋体" w:hAnsi="宋体" w:cs="宋体" w:eastAsia="宋体" w:hint="default"/>
                <w:spacing w:val="-3"/>
                <w:sz w:val="15"/>
                <w:szCs w:val="15"/>
              </w:rPr>
              <w:t>战略，继续充分发挥网络、客户、品牌、产业链及宽带互联网优</w:t>
            </w:r>
            <w:r>
              <w:rPr>
                <w:rFonts w:ascii="宋体" w:hAnsi="宋体" w:cs="宋体" w:eastAsia="宋体" w:hint="default"/>
                <w:spacing w:val="-4"/>
                <w:sz w:val="15"/>
                <w:szCs w:val="15"/>
              </w:rPr>
              <w:t> </w:t>
            </w:r>
            <w:r>
              <w:rPr>
                <w:rFonts w:ascii="宋体" w:hAnsi="宋体" w:cs="宋体" w:eastAsia="宋体" w:hint="default"/>
                <w:spacing w:val="-4"/>
                <w:sz w:val="15"/>
                <w:szCs w:val="15"/>
              </w:rPr>
            </w:r>
            <w:r>
              <w:rPr>
                <w:rFonts w:ascii="宋体" w:hAnsi="宋体" w:cs="宋体" w:eastAsia="宋体" w:hint="default"/>
                <w:spacing w:val="-1"/>
                <w:sz w:val="15"/>
                <w:szCs w:val="15"/>
              </w:rPr>
              <w:t>势，确保网络领先、业务领先、服务领先，推进一体化创新并构筑新的差异</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pacing w:val="-1"/>
                <w:sz w:val="15"/>
                <w:szCs w:val="15"/>
              </w:rPr>
              <w:t>化优势，创新经营，提升管理，在网络能力、业务质量和服务品质上加快形</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z w:val="15"/>
                <w:szCs w:val="15"/>
              </w:rPr>
              <w:t>成企业新的核心竞争力，不断提高企业的市场地位。</w:t>
            </w:r>
          </w:p>
        </w:tc>
      </w:tr>
      <w:tr>
        <w:trPr>
          <w:trHeight w:val="401" w:hRule="exact"/>
        </w:trPr>
        <w:tc>
          <w:tcPr>
            <w:tcW w:w="29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报告期内控股和参股的其他境内外上市公</w:t>
            </w:r>
            <w:r>
              <w:rPr>
                <w:rFonts w:ascii="宋体" w:hAnsi="宋体" w:cs="宋体" w:eastAsia="宋体" w:hint="default"/>
                <w:sz w:val="15"/>
                <w:szCs w:val="15"/>
              </w:rPr>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司的股权情况</w:t>
            </w:r>
            <w:r>
              <w:rPr>
                <w:rFonts w:ascii="宋体" w:hAnsi="宋体" w:cs="宋体" w:eastAsia="宋体" w:hint="default"/>
                <w:sz w:val="15"/>
                <w:szCs w:val="15"/>
              </w:rPr>
            </w:r>
          </w:p>
        </w:tc>
        <w:tc>
          <w:tcPr>
            <w:tcW w:w="519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6"/>
              <w:jc w:val="right"/>
              <w:rPr>
                <w:rFonts w:ascii="宋体" w:hAnsi="宋体" w:cs="宋体" w:eastAsia="宋体" w:hint="default"/>
                <w:sz w:val="15"/>
                <w:szCs w:val="15"/>
              </w:rPr>
            </w:pPr>
            <w:r>
              <w:rPr>
                <w:rFonts w:ascii="宋体" w:hAnsi="宋体" w:cs="宋体" w:eastAsia="宋体" w:hint="default"/>
                <w:spacing w:val="-2"/>
                <w:sz w:val="15"/>
                <w:szCs w:val="15"/>
              </w:rPr>
              <w:t>持有中国通信服务</w:t>
            </w:r>
            <w:r>
              <w:rPr>
                <w:rFonts w:ascii="Arial" w:hAnsi="Arial" w:cs="Arial" w:eastAsia="Arial" w:hint="default"/>
                <w:spacing w:val="-2"/>
                <w:sz w:val="15"/>
                <w:szCs w:val="15"/>
              </w:rPr>
              <w:t>(HK552)3.41%</w:t>
            </w:r>
            <w:r>
              <w:rPr>
                <w:rFonts w:ascii="宋体" w:hAnsi="宋体" w:cs="宋体" w:eastAsia="宋体" w:hint="default"/>
                <w:spacing w:val="-2"/>
                <w:sz w:val="15"/>
                <w:szCs w:val="15"/>
              </w:rPr>
              <w:t>股权；持有人民网</w:t>
            </w:r>
            <w:r>
              <w:rPr>
                <w:rFonts w:ascii="Arial" w:hAnsi="Arial" w:cs="Arial" w:eastAsia="Arial" w:hint="default"/>
                <w:spacing w:val="-2"/>
                <w:sz w:val="15"/>
                <w:szCs w:val="15"/>
              </w:rPr>
              <w:t>(SH603000)1.45%</w:t>
            </w:r>
            <w:r>
              <w:rPr>
                <w:rFonts w:ascii="宋体" w:hAnsi="宋体" w:cs="宋体" w:eastAsia="宋体" w:hint="default"/>
                <w:spacing w:val="-2"/>
                <w:sz w:val="15"/>
                <w:szCs w:val="15"/>
              </w:rPr>
              <w:t>股权。</w:t>
            </w:r>
            <w:r>
              <w:rPr>
                <w:rFonts w:ascii="宋体" w:hAnsi="宋体" w:cs="宋体" w:eastAsia="宋体" w:hint="default"/>
                <w:sz w:val="15"/>
                <w:szCs w:val="15"/>
              </w:rPr>
            </w:r>
          </w:p>
        </w:tc>
      </w:tr>
    </w:tbl>
    <w:p>
      <w:pPr>
        <w:spacing w:after="0" w:line="183" w:lineRule="exact"/>
        <w:jc w:val="right"/>
        <w:rPr>
          <w:rFonts w:ascii="宋体" w:hAnsi="宋体" w:cs="宋体" w:eastAsia="宋体" w:hint="default"/>
          <w:sz w:val="15"/>
          <w:szCs w:val="15"/>
        </w:rPr>
        <w:sectPr>
          <w:pgSz w:w="11910" w:h="16840"/>
          <w:pgMar w:header="880" w:footer="1194" w:top="1120" w:bottom="1380" w:left="1660" w:right="1100"/>
        </w:sectPr>
      </w:pPr>
    </w:p>
    <w:p>
      <w:pPr>
        <w:spacing w:line="240" w:lineRule="auto" w:before="11"/>
        <w:rPr>
          <w:rFonts w:ascii="宋体" w:hAnsi="宋体" w:cs="宋体" w:eastAsia="宋体" w:hint="default"/>
          <w:sz w:val="29"/>
          <w:szCs w:val="29"/>
        </w:rPr>
      </w:pPr>
    </w:p>
    <w:p>
      <w:pPr>
        <w:spacing w:before="36"/>
        <w:ind w:left="138" w:right="1922"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二</w:t>
      </w:r>
      <w:r>
        <w:rPr>
          <w:rFonts w:ascii="Arial" w:hAnsi="Arial" w:cs="Arial" w:eastAsia="Arial" w:hint="default"/>
          <w:b/>
          <w:bCs/>
          <w:sz w:val="21"/>
          <w:szCs w:val="21"/>
        </w:rPr>
        <w:t>)</w:t>
      </w:r>
      <w:r>
        <w:rPr>
          <w:rFonts w:ascii="Arial" w:hAnsi="Arial" w:cs="Arial" w:eastAsia="Arial" w:hint="default"/>
          <w:b/>
          <w:bCs/>
          <w:spacing w:val="9"/>
          <w:sz w:val="21"/>
          <w:szCs w:val="21"/>
        </w:rPr>
        <w:t> </w:t>
      </w:r>
      <w:r>
        <w:rPr>
          <w:rFonts w:ascii="宋体" w:hAnsi="宋体" w:cs="宋体" w:eastAsia="宋体" w:hint="default"/>
          <w:b/>
          <w:bCs/>
          <w:sz w:val="21"/>
          <w:szCs w:val="21"/>
        </w:rPr>
        <w:t>公司与实际控制人之间的产权及控制关系的方框图</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6269" w:lineRule="exact"/>
        <w:ind w:left="138" w:right="0" w:firstLine="0"/>
        <w:rPr>
          <w:rFonts w:ascii="宋体" w:hAnsi="宋体" w:cs="宋体" w:eastAsia="宋体" w:hint="default"/>
          <w:sz w:val="20"/>
          <w:szCs w:val="20"/>
        </w:rPr>
      </w:pPr>
      <w:r>
        <w:rPr>
          <w:rFonts w:ascii="宋体" w:hAnsi="宋体" w:cs="宋体" w:eastAsia="宋体" w:hint="default"/>
          <w:position w:val="-124"/>
          <w:sz w:val="20"/>
          <w:szCs w:val="20"/>
        </w:rPr>
        <w:drawing>
          <wp:inline distT="0" distB="0" distL="0" distR="0">
            <wp:extent cx="5237688" cy="3980973"/>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5237688" cy="3980973"/>
                    </a:xfrm>
                    <a:prstGeom prst="rect">
                      <a:avLst/>
                    </a:prstGeom>
                  </pic:spPr>
                </pic:pic>
              </a:graphicData>
            </a:graphic>
          </wp:inline>
        </w:drawing>
      </w:r>
      <w:r>
        <w:rPr>
          <w:rFonts w:ascii="宋体" w:hAnsi="宋体" w:cs="宋体" w:eastAsia="宋体" w:hint="default"/>
          <w:position w:val="-124"/>
          <w:sz w:val="20"/>
          <w:szCs w:val="20"/>
        </w:rPr>
      </w:r>
    </w:p>
    <w:p>
      <w:pPr>
        <w:spacing w:line="240" w:lineRule="auto" w:before="8"/>
        <w:rPr>
          <w:rFonts w:ascii="宋体" w:hAnsi="宋体" w:cs="宋体" w:eastAsia="宋体" w:hint="default"/>
          <w:b/>
          <w:bCs/>
          <w:sz w:val="20"/>
          <w:szCs w:val="20"/>
        </w:rPr>
      </w:pPr>
    </w:p>
    <w:p>
      <w:pPr>
        <w:spacing w:line="487" w:lineRule="auto" w:before="0"/>
        <w:ind w:left="138" w:right="5109" w:hanging="3"/>
        <w:jc w:val="center"/>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三</w:t>
      </w:r>
      <w:r>
        <w:rPr>
          <w:rFonts w:ascii="Arial" w:hAnsi="Arial" w:cs="Arial" w:eastAsia="Arial" w:hint="default"/>
          <w:b/>
          <w:bCs/>
          <w:sz w:val="21"/>
          <w:szCs w:val="21"/>
        </w:rPr>
        <w:t>)</w:t>
      </w:r>
      <w:r>
        <w:rPr>
          <w:rFonts w:ascii="Arial" w:hAnsi="Arial" w:cs="Arial" w:eastAsia="Arial" w:hint="default"/>
          <w:b/>
          <w:bCs/>
          <w:spacing w:val="10"/>
          <w:sz w:val="21"/>
          <w:szCs w:val="21"/>
        </w:rPr>
        <w:t> </w:t>
      </w:r>
      <w:r>
        <w:rPr>
          <w:rFonts w:ascii="宋体" w:hAnsi="宋体" w:cs="宋体" w:eastAsia="宋体" w:hint="default"/>
          <w:b/>
          <w:bCs/>
          <w:sz w:val="21"/>
          <w:szCs w:val="21"/>
        </w:rPr>
        <w:t>控股股东及实际控制人其他情况介绍</w:t>
      </w:r>
      <w:r>
        <w:rPr>
          <w:rFonts w:ascii="宋体" w:hAnsi="宋体" w:cs="宋体" w:eastAsia="宋体" w:hint="default"/>
          <w:b/>
          <w:bCs/>
          <w:w w:val="100"/>
          <w:sz w:val="21"/>
          <w:szCs w:val="21"/>
        </w:rPr>
        <w:t> </w:t>
      </w:r>
      <w:r>
        <w:rPr>
          <w:rFonts w:ascii="宋体" w:hAnsi="宋体" w:cs="宋体" w:eastAsia="宋体" w:hint="default"/>
          <w:sz w:val="21"/>
          <w:szCs w:val="21"/>
        </w:rPr>
        <w:t>联通集团为本公司的控股股东。</w:t>
      </w:r>
      <w:r>
        <w:rPr>
          <w:rFonts w:ascii="宋体" w:hAnsi="宋体" w:cs="宋体" w:eastAsia="宋体" w:hint="default"/>
          <w:w w:val="100"/>
          <w:sz w:val="21"/>
          <w:szCs w:val="21"/>
        </w:rPr>
        <w:t> </w:t>
      </w:r>
      <w:r>
        <w:rPr>
          <w:rFonts w:ascii="宋体" w:hAnsi="宋体" w:cs="宋体" w:eastAsia="宋体" w:hint="default"/>
          <w:b/>
          <w:bCs/>
          <w:spacing w:val="-1"/>
          <w:sz w:val="21"/>
          <w:szCs w:val="21"/>
        </w:rPr>
        <w:t>五、其他持股在百分之十以上的法人股东</w:t>
      </w:r>
      <w:r>
        <w:rPr>
          <w:rFonts w:ascii="宋体" w:hAnsi="宋体" w:cs="宋体" w:eastAsia="宋体" w:hint="default"/>
          <w:spacing w:val="-1"/>
          <w:sz w:val="21"/>
          <w:szCs w:val="21"/>
        </w:rPr>
      </w:r>
    </w:p>
    <w:p>
      <w:pPr>
        <w:spacing w:before="82"/>
        <w:ind w:left="138" w:right="1922" w:firstLine="0"/>
        <w:jc w:val="left"/>
        <w:rPr>
          <w:rFonts w:ascii="宋体" w:hAnsi="宋体" w:cs="宋体" w:eastAsia="宋体" w:hint="default"/>
          <w:sz w:val="21"/>
          <w:szCs w:val="21"/>
        </w:rPr>
      </w:pPr>
      <w:r>
        <w:rPr>
          <w:rFonts w:ascii="宋体" w:hAnsi="宋体" w:cs="宋体" w:eastAsia="宋体" w:hint="default"/>
          <w:sz w:val="21"/>
          <w:szCs w:val="21"/>
        </w:rPr>
        <w:t>截止本报告期末公司无其他持股在百分之十以上的法人股东。</w:t>
      </w:r>
    </w:p>
    <w:p>
      <w:pPr>
        <w:spacing w:after="0"/>
        <w:jc w:val="left"/>
        <w:rPr>
          <w:rFonts w:ascii="宋体" w:hAnsi="宋体" w:cs="宋体" w:eastAsia="宋体" w:hint="default"/>
          <w:sz w:val="21"/>
          <w:szCs w:val="21"/>
        </w:rPr>
        <w:sectPr>
          <w:pgSz w:w="11910" w:h="16840"/>
          <w:pgMar w:header="880" w:footer="1194" w:top="1120" w:bottom="1380" w:left="1660" w:right="1200"/>
        </w:sectPr>
      </w:pPr>
    </w:p>
    <w:p>
      <w:pPr>
        <w:spacing w:line="240" w:lineRule="auto" w:before="11"/>
        <w:rPr>
          <w:rFonts w:ascii="宋体" w:hAnsi="宋体" w:cs="宋体" w:eastAsia="宋体" w:hint="default"/>
          <w:sz w:val="25"/>
          <w:szCs w:val="25"/>
        </w:rPr>
      </w:pPr>
    </w:p>
    <w:p>
      <w:pPr>
        <w:pStyle w:val="Heading1"/>
        <w:tabs>
          <w:tab w:pos="2795" w:val="left" w:leader="none"/>
        </w:tabs>
        <w:spacing w:line="240" w:lineRule="auto" w:before="14"/>
        <w:ind w:left="1534" w:right="0"/>
        <w:jc w:val="left"/>
        <w:rPr>
          <w:b w:val="0"/>
          <w:bCs w:val="0"/>
        </w:rPr>
      </w:pPr>
      <w:bookmarkStart w:name="_TOC_250004" w:id="7"/>
      <w:r>
        <w:rPr>
          <w:w w:val="95"/>
        </w:rPr>
        <w:t>第七节</w:t>
        <w:tab/>
      </w:r>
      <w:r>
        <w:rPr/>
        <w:t>董事、监事、高级管理人员和员工情况</w:t>
      </w:r>
      <w:bookmarkEnd w:id="7"/>
      <w:r>
        <w:rPr>
          <w:b w:val="0"/>
          <w:bCs w:val="0"/>
        </w:rPr>
      </w:r>
    </w:p>
    <w:p>
      <w:pPr>
        <w:spacing w:line="240" w:lineRule="auto" w:before="4"/>
        <w:rPr>
          <w:rFonts w:ascii="黑体" w:hAnsi="黑体" w:cs="黑体" w:eastAsia="黑体" w:hint="default"/>
          <w:b/>
          <w:bCs/>
          <w:sz w:val="19"/>
          <w:szCs w:val="19"/>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一、现任及报告期内离任董事、监事和高级管理人员持股变动及报酬情况</w:t>
      </w:r>
      <w:r>
        <w:rPr>
          <w:rFonts w:ascii="宋体" w:hAnsi="宋体" w:cs="宋体" w:eastAsia="宋体" w:hint="default"/>
          <w:sz w:val="21"/>
          <w:szCs w:val="21"/>
        </w:rPr>
      </w:r>
    </w:p>
    <w:p>
      <w:pPr>
        <w:spacing w:line="240" w:lineRule="auto" w:before="0"/>
        <w:rPr>
          <w:rFonts w:ascii="宋体" w:hAnsi="宋体" w:cs="宋体" w:eastAsia="宋体" w:hint="default"/>
          <w:b/>
          <w:bCs/>
          <w:sz w:val="27"/>
          <w:szCs w:val="27"/>
        </w:rPr>
      </w:pPr>
    </w:p>
    <w:p>
      <w:pPr>
        <w:spacing w:before="36"/>
        <w:ind w:left="138" w:right="0"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一</w:t>
      </w:r>
      <w:r>
        <w:rPr>
          <w:rFonts w:ascii="Arial" w:hAnsi="Arial" w:cs="Arial" w:eastAsia="Arial" w:hint="default"/>
          <w:b/>
          <w:bCs/>
          <w:sz w:val="21"/>
          <w:szCs w:val="21"/>
        </w:rPr>
        <w:t>)</w:t>
      </w:r>
      <w:r>
        <w:rPr>
          <w:rFonts w:ascii="Arial" w:hAnsi="Arial" w:cs="Arial" w:eastAsia="Arial" w:hint="default"/>
          <w:b/>
          <w:bCs/>
          <w:spacing w:val="11"/>
          <w:sz w:val="21"/>
          <w:szCs w:val="21"/>
        </w:rPr>
        <w:t> </w:t>
      </w:r>
      <w:r>
        <w:rPr>
          <w:rFonts w:ascii="宋体" w:hAnsi="宋体" w:cs="宋体" w:eastAsia="宋体" w:hint="default"/>
          <w:b/>
          <w:bCs/>
          <w:sz w:val="21"/>
          <w:szCs w:val="21"/>
        </w:rPr>
        <w:t>持股变动情况及报酬情况</w:t>
      </w:r>
      <w:r>
        <w:rPr>
          <w:rFonts w:ascii="宋体" w:hAnsi="宋体" w:cs="宋体" w:eastAsia="宋体" w:hint="default"/>
          <w:sz w:val="21"/>
          <w:szCs w:val="21"/>
        </w:rPr>
      </w:r>
    </w:p>
    <w:p>
      <w:pPr>
        <w:spacing w:before="44"/>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672"/>
        <w:gridCol w:w="1064"/>
        <w:gridCol w:w="336"/>
        <w:gridCol w:w="394"/>
        <w:gridCol w:w="1371"/>
        <w:gridCol w:w="1387"/>
        <w:gridCol w:w="336"/>
        <w:gridCol w:w="560"/>
        <w:gridCol w:w="574"/>
        <w:gridCol w:w="658"/>
        <w:gridCol w:w="840"/>
        <w:gridCol w:w="826"/>
      </w:tblGrid>
      <w:tr>
        <w:trPr>
          <w:trHeight w:val="1178" w:hRule="exact"/>
        </w:trPr>
        <w:tc>
          <w:tcPr>
            <w:tcW w:w="67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98"/>
              <w:jc w:val="right"/>
              <w:rPr>
                <w:rFonts w:ascii="宋体" w:hAnsi="宋体" w:cs="宋体" w:eastAsia="宋体" w:hint="default"/>
                <w:sz w:val="15"/>
                <w:szCs w:val="15"/>
              </w:rPr>
            </w:pPr>
            <w:r>
              <w:rPr>
                <w:rFonts w:ascii="宋体" w:hAnsi="宋体" w:cs="宋体" w:eastAsia="宋体" w:hint="default"/>
                <w:b/>
                <w:bCs/>
                <w:sz w:val="15"/>
                <w:szCs w:val="15"/>
              </w:rPr>
              <w:t>姓 </w:t>
            </w:r>
            <w:r>
              <w:rPr>
                <w:rFonts w:ascii="宋体" w:hAnsi="宋体" w:cs="宋体" w:eastAsia="宋体" w:hint="default"/>
                <w:b/>
                <w:bCs/>
                <w:spacing w:val="5"/>
                <w:sz w:val="15"/>
                <w:szCs w:val="15"/>
              </w:rPr>
              <w:t> </w:t>
            </w:r>
            <w:r>
              <w:rPr>
                <w:rFonts w:ascii="宋体" w:hAnsi="宋体" w:cs="宋体" w:eastAsia="宋体" w:hint="default"/>
                <w:b/>
                <w:bCs/>
                <w:sz w:val="15"/>
                <w:szCs w:val="15"/>
              </w:rPr>
              <w:t>名</w:t>
            </w:r>
            <w:r>
              <w:rPr>
                <w:rFonts w:ascii="宋体" w:hAnsi="宋体" w:cs="宋体" w:eastAsia="宋体" w:hint="default"/>
                <w:sz w:val="15"/>
                <w:szCs w:val="15"/>
              </w:rPr>
            </w:r>
          </w:p>
        </w:tc>
        <w:tc>
          <w:tcPr>
            <w:tcW w:w="106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195" w:lineRule="exact"/>
              <w:ind w:left="1" w:right="0"/>
              <w:jc w:val="center"/>
              <w:rPr>
                <w:rFonts w:ascii="宋体" w:hAnsi="宋体" w:cs="宋体" w:eastAsia="宋体" w:hint="default"/>
                <w:sz w:val="15"/>
                <w:szCs w:val="15"/>
              </w:rPr>
            </w:pPr>
            <w:r>
              <w:rPr>
                <w:rFonts w:ascii="宋体" w:hAnsi="宋体" w:cs="宋体" w:eastAsia="宋体" w:hint="default"/>
                <w:b/>
                <w:bCs/>
                <w:sz w:val="15"/>
                <w:szCs w:val="15"/>
              </w:rPr>
              <w:t>职务</w:t>
            </w:r>
            <w:r>
              <w:rPr>
                <w:rFonts w:ascii="宋体" w:hAnsi="宋体" w:cs="宋体" w:eastAsia="宋体" w:hint="default"/>
                <w:sz w:val="15"/>
                <w:szCs w:val="15"/>
              </w:rPr>
            </w:r>
          </w:p>
          <w:p>
            <w:pPr>
              <w:pStyle w:val="TableParagraph"/>
              <w:spacing w:line="206" w:lineRule="exact"/>
              <w:ind w:right="0"/>
              <w:jc w:val="center"/>
              <w:rPr>
                <w:rFonts w:ascii="Arial" w:hAnsi="Arial" w:cs="Arial" w:eastAsia="Arial" w:hint="default"/>
                <w:sz w:val="15"/>
                <w:szCs w:val="15"/>
              </w:rPr>
            </w:pPr>
            <w:r>
              <w:rPr>
                <w:rFonts w:ascii="Arial" w:hAnsi="Arial" w:cs="Arial" w:eastAsia="Arial" w:hint="default"/>
                <w:b/>
                <w:bCs/>
                <w:sz w:val="15"/>
                <w:szCs w:val="15"/>
              </w:rPr>
              <w:t>(</w:t>
            </w:r>
            <w:r>
              <w:rPr>
                <w:rFonts w:ascii="宋体" w:hAnsi="宋体" w:cs="宋体" w:eastAsia="宋体" w:hint="default"/>
                <w:b/>
                <w:bCs/>
                <w:sz w:val="15"/>
                <w:szCs w:val="15"/>
              </w:rPr>
              <w:t>注</w:t>
            </w:r>
            <w:r>
              <w:rPr>
                <w:rFonts w:ascii="Arial" w:hAnsi="Arial" w:cs="Arial" w:eastAsia="Arial" w:hint="default"/>
                <w:b/>
                <w:bCs/>
                <w:sz w:val="15"/>
                <w:szCs w:val="15"/>
              </w:rPr>
              <w:t>)</w:t>
            </w:r>
            <w:r>
              <w:rPr>
                <w:rFonts w:ascii="Arial" w:hAnsi="Arial" w:cs="Arial" w:eastAsia="Arial" w:hint="default"/>
                <w:sz w:val="15"/>
                <w:szCs w:val="15"/>
              </w:rPr>
            </w:r>
          </w:p>
        </w:tc>
        <w:tc>
          <w:tcPr>
            <w:tcW w:w="33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71"/>
              <w:jc w:val="left"/>
              <w:rPr>
                <w:rFonts w:ascii="宋体" w:hAnsi="宋体" w:cs="宋体" w:eastAsia="宋体" w:hint="default"/>
                <w:sz w:val="15"/>
                <w:szCs w:val="15"/>
              </w:rPr>
            </w:pPr>
            <w:r>
              <w:rPr>
                <w:rFonts w:ascii="宋体" w:hAnsi="宋体" w:cs="宋体" w:eastAsia="宋体" w:hint="default"/>
                <w:b/>
                <w:bCs/>
                <w:sz w:val="15"/>
                <w:szCs w:val="15"/>
              </w:rPr>
              <w:t>性</w:t>
            </w:r>
            <w:r>
              <w:rPr>
                <w:rFonts w:ascii="宋体" w:hAnsi="宋体" w:cs="宋体" w:eastAsia="宋体" w:hint="default"/>
                <w:b/>
                <w:bCs/>
                <w:w w:val="100"/>
                <w:sz w:val="15"/>
                <w:szCs w:val="15"/>
              </w:rPr>
              <w:t> </w:t>
            </w:r>
            <w:r>
              <w:rPr>
                <w:rFonts w:ascii="宋体" w:hAnsi="宋体" w:cs="宋体" w:eastAsia="宋体" w:hint="default"/>
                <w:b/>
                <w:bCs/>
                <w:sz w:val="15"/>
                <w:szCs w:val="15"/>
              </w:rPr>
              <w:t>别</w:t>
            </w:r>
            <w:r>
              <w:rPr>
                <w:rFonts w:ascii="宋体" w:hAnsi="宋体" w:cs="宋体" w:eastAsia="宋体" w:hint="default"/>
                <w:sz w:val="15"/>
                <w:szCs w:val="15"/>
              </w:rPr>
            </w:r>
          </w:p>
        </w:tc>
        <w:tc>
          <w:tcPr>
            <w:tcW w:w="39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5" w:right="115"/>
              <w:jc w:val="left"/>
              <w:rPr>
                <w:rFonts w:ascii="宋体" w:hAnsi="宋体" w:cs="宋体" w:eastAsia="宋体" w:hint="default"/>
                <w:sz w:val="15"/>
                <w:szCs w:val="15"/>
              </w:rPr>
            </w:pPr>
            <w:r>
              <w:rPr>
                <w:rFonts w:ascii="宋体" w:hAnsi="宋体" w:cs="宋体" w:eastAsia="宋体" w:hint="default"/>
                <w:b/>
                <w:bCs/>
                <w:sz w:val="15"/>
                <w:szCs w:val="15"/>
              </w:rPr>
              <w:t>年</w:t>
            </w:r>
            <w:r>
              <w:rPr>
                <w:rFonts w:ascii="宋体" w:hAnsi="宋体" w:cs="宋体" w:eastAsia="宋体" w:hint="default"/>
                <w:b/>
                <w:bCs/>
                <w:w w:val="100"/>
                <w:sz w:val="15"/>
                <w:szCs w:val="15"/>
              </w:rPr>
              <w:t> </w:t>
            </w:r>
            <w:r>
              <w:rPr>
                <w:rFonts w:ascii="宋体" w:hAnsi="宋体" w:cs="宋体" w:eastAsia="宋体" w:hint="default"/>
                <w:b/>
                <w:bCs/>
                <w:sz w:val="15"/>
                <w:szCs w:val="15"/>
              </w:rPr>
              <w:t>龄</w:t>
            </w:r>
            <w:r>
              <w:rPr>
                <w:rFonts w:ascii="宋体" w:hAnsi="宋体" w:cs="宋体" w:eastAsia="宋体" w:hint="default"/>
                <w:sz w:val="15"/>
                <w:szCs w:val="15"/>
              </w:rPr>
            </w:r>
          </w:p>
        </w:tc>
        <w:tc>
          <w:tcPr>
            <w:tcW w:w="137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7" w:right="377" w:hanging="152"/>
              <w:jc w:val="left"/>
              <w:rPr>
                <w:rFonts w:ascii="宋体" w:hAnsi="宋体" w:cs="宋体" w:eastAsia="宋体" w:hint="default"/>
                <w:sz w:val="15"/>
                <w:szCs w:val="15"/>
              </w:rPr>
            </w:pPr>
            <w:r>
              <w:rPr>
                <w:rFonts w:ascii="宋体" w:hAnsi="宋体" w:cs="宋体" w:eastAsia="宋体" w:hint="default"/>
                <w:b/>
                <w:bCs/>
                <w:sz w:val="15"/>
                <w:szCs w:val="15"/>
              </w:rPr>
              <w:t>任期起始</w:t>
            </w:r>
            <w:r>
              <w:rPr>
                <w:rFonts w:ascii="宋体" w:hAnsi="宋体" w:cs="宋体" w:eastAsia="宋体" w:hint="default"/>
                <w:b/>
                <w:bCs/>
                <w:spacing w:val="-74"/>
                <w:sz w:val="15"/>
                <w:szCs w:val="15"/>
              </w:rPr>
              <w:t> </w:t>
            </w:r>
            <w:r>
              <w:rPr>
                <w:rFonts w:ascii="宋体" w:hAnsi="宋体" w:cs="宋体" w:eastAsia="宋体" w:hint="default"/>
                <w:b/>
                <w:bCs/>
                <w:sz w:val="15"/>
                <w:szCs w:val="15"/>
              </w:rPr>
              <w:t>日期</w:t>
            </w:r>
            <w:r>
              <w:rPr>
                <w:rFonts w:ascii="宋体" w:hAnsi="宋体" w:cs="宋体" w:eastAsia="宋体" w:hint="default"/>
                <w:sz w:val="15"/>
                <w:szCs w:val="15"/>
              </w:rPr>
            </w:r>
          </w:p>
        </w:tc>
        <w:tc>
          <w:tcPr>
            <w:tcW w:w="138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37" w:right="384" w:hanging="152"/>
              <w:jc w:val="left"/>
              <w:rPr>
                <w:rFonts w:ascii="宋体" w:hAnsi="宋体" w:cs="宋体" w:eastAsia="宋体" w:hint="default"/>
                <w:sz w:val="15"/>
                <w:szCs w:val="15"/>
              </w:rPr>
            </w:pPr>
            <w:r>
              <w:rPr>
                <w:rFonts w:ascii="宋体" w:hAnsi="宋体" w:cs="宋体" w:eastAsia="宋体" w:hint="default"/>
                <w:b/>
                <w:bCs/>
                <w:sz w:val="15"/>
                <w:szCs w:val="15"/>
              </w:rPr>
              <w:t>任期终止</w:t>
            </w:r>
            <w:r>
              <w:rPr>
                <w:rFonts w:ascii="宋体" w:hAnsi="宋体" w:cs="宋体" w:eastAsia="宋体" w:hint="default"/>
                <w:b/>
                <w:bCs/>
                <w:spacing w:val="-74"/>
                <w:sz w:val="15"/>
                <w:szCs w:val="15"/>
              </w:rPr>
              <w:t> </w:t>
            </w:r>
            <w:r>
              <w:rPr>
                <w:rFonts w:ascii="宋体" w:hAnsi="宋体" w:cs="宋体" w:eastAsia="宋体" w:hint="default"/>
                <w:b/>
                <w:bCs/>
                <w:sz w:val="15"/>
                <w:szCs w:val="15"/>
              </w:rPr>
              <w:t>日期</w:t>
            </w:r>
            <w:r>
              <w:rPr>
                <w:rFonts w:ascii="宋体" w:hAnsi="宋体" w:cs="宋体" w:eastAsia="宋体" w:hint="default"/>
                <w:sz w:val="15"/>
                <w:szCs w:val="15"/>
              </w:rPr>
            </w:r>
          </w:p>
        </w:tc>
        <w:tc>
          <w:tcPr>
            <w:tcW w:w="33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74"/>
              <w:ind w:left="103" w:right="71"/>
              <w:jc w:val="both"/>
              <w:rPr>
                <w:rFonts w:ascii="宋体" w:hAnsi="宋体" w:cs="宋体" w:eastAsia="宋体" w:hint="default"/>
                <w:sz w:val="15"/>
                <w:szCs w:val="15"/>
              </w:rPr>
            </w:pPr>
            <w:r>
              <w:rPr>
                <w:rFonts w:ascii="宋体" w:hAnsi="宋体" w:cs="宋体" w:eastAsia="宋体" w:hint="default"/>
                <w:b/>
                <w:bCs/>
                <w:sz w:val="15"/>
                <w:szCs w:val="15"/>
              </w:rPr>
              <w:t>年</w:t>
            </w:r>
            <w:r>
              <w:rPr>
                <w:rFonts w:ascii="宋体" w:hAnsi="宋体" w:cs="宋体" w:eastAsia="宋体" w:hint="default"/>
                <w:b/>
                <w:bCs/>
                <w:w w:val="100"/>
                <w:sz w:val="15"/>
                <w:szCs w:val="15"/>
              </w:rPr>
              <w:t> </w:t>
            </w:r>
            <w:r>
              <w:rPr>
                <w:rFonts w:ascii="宋体" w:hAnsi="宋体" w:cs="宋体" w:eastAsia="宋体" w:hint="default"/>
                <w:b/>
                <w:bCs/>
                <w:sz w:val="15"/>
                <w:szCs w:val="15"/>
              </w:rPr>
              <w:t>初</w:t>
            </w:r>
            <w:r>
              <w:rPr>
                <w:rFonts w:ascii="宋体" w:hAnsi="宋体" w:cs="宋体" w:eastAsia="宋体" w:hint="default"/>
                <w:b/>
                <w:bCs/>
                <w:w w:val="100"/>
                <w:sz w:val="15"/>
                <w:szCs w:val="15"/>
              </w:rPr>
              <w:t> </w:t>
            </w:r>
            <w:r>
              <w:rPr>
                <w:rFonts w:ascii="宋体" w:hAnsi="宋体" w:cs="宋体" w:eastAsia="宋体" w:hint="default"/>
                <w:b/>
                <w:bCs/>
                <w:sz w:val="15"/>
                <w:szCs w:val="15"/>
              </w:rPr>
              <w:t>持</w:t>
            </w:r>
            <w:r>
              <w:rPr>
                <w:rFonts w:ascii="宋体" w:hAnsi="宋体" w:cs="宋体" w:eastAsia="宋体" w:hint="default"/>
                <w:b/>
                <w:bCs/>
                <w:w w:val="100"/>
                <w:sz w:val="15"/>
                <w:szCs w:val="15"/>
              </w:rPr>
              <w:t> </w:t>
            </w:r>
            <w:r>
              <w:rPr>
                <w:rFonts w:ascii="宋体" w:hAnsi="宋体" w:cs="宋体" w:eastAsia="宋体" w:hint="default"/>
                <w:b/>
                <w:bCs/>
                <w:sz w:val="15"/>
                <w:szCs w:val="15"/>
              </w:rPr>
              <w:t>股</w:t>
            </w:r>
            <w:r>
              <w:rPr>
                <w:rFonts w:ascii="宋体" w:hAnsi="宋体" w:cs="宋体" w:eastAsia="宋体" w:hint="default"/>
                <w:b/>
                <w:bCs/>
                <w:w w:val="100"/>
                <w:sz w:val="15"/>
                <w:szCs w:val="15"/>
              </w:rPr>
              <w:t> </w:t>
            </w:r>
            <w:r>
              <w:rPr>
                <w:rFonts w:ascii="宋体" w:hAnsi="宋体" w:cs="宋体" w:eastAsia="宋体" w:hint="default"/>
                <w:b/>
                <w:bCs/>
                <w:sz w:val="15"/>
                <w:szCs w:val="15"/>
              </w:rPr>
              <w:t>数</w:t>
            </w:r>
            <w:r>
              <w:rPr>
                <w:rFonts w:ascii="宋体" w:hAnsi="宋体" w:cs="宋体" w:eastAsia="宋体" w:hint="default"/>
                <w:sz w:val="15"/>
                <w:szCs w:val="15"/>
              </w:rPr>
            </w:r>
          </w:p>
        </w:tc>
        <w:tc>
          <w:tcPr>
            <w:tcW w:w="56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24" w:right="122"/>
              <w:jc w:val="both"/>
              <w:rPr>
                <w:rFonts w:ascii="宋体" w:hAnsi="宋体" w:cs="宋体" w:eastAsia="宋体" w:hint="default"/>
                <w:sz w:val="15"/>
                <w:szCs w:val="15"/>
              </w:rPr>
            </w:pPr>
            <w:r>
              <w:rPr>
                <w:rFonts w:ascii="宋体" w:hAnsi="宋体" w:cs="宋体" w:eastAsia="宋体" w:hint="default"/>
                <w:b/>
                <w:bCs/>
                <w:sz w:val="15"/>
                <w:szCs w:val="15"/>
              </w:rPr>
              <w:t>年末</w:t>
            </w:r>
            <w:r>
              <w:rPr>
                <w:rFonts w:ascii="宋体" w:hAnsi="宋体" w:cs="宋体" w:eastAsia="宋体" w:hint="default"/>
                <w:b/>
                <w:bCs/>
                <w:w w:val="100"/>
                <w:sz w:val="15"/>
                <w:szCs w:val="15"/>
              </w:rPr>
              <w:t> </w:t>
            </w:r>
            <w:r>
              <w:rPr>
                <w:rFonts w:ascii="宋体" w:hAnsi="宋体" w:cs="宋体" w:eastAsia="宋体" w:hint="default"/>
                <w:b/>
                <w:bCs/>
                <w:sz w:val="15"/>
                <w:szCs w:val="15"/>
              </w:rPr>
              <w:t>持股</w:t>
            </w:r>
            <w:r>
              <w:rPr>
                <w:rFonts w:ascii="宋体" w:hAnsi="宋体" w:cs="宋体" w:eastAsia="宋体" w:hint="default"/>
                <w:b/>
                <w:bCs/>
                <w:w w:val="100"/>
                <w:sz w:val="15"/>
                <w:szCs w:val="15"/>
              </w:rPr>
              <w:t> </w:t>
            </w:r>
            <w:r>
              <w:rPr>
                <w:rFonts w:ascii="宋体" w:hAnsi="宋体" w:cs="宋体" w:eastAsia="宋体" w:hint="default"/>
                <w:b/>
                <w:bCs/>
                <w:sz w:val="15"/>
                <w:szCs w:val="15"/>
              </w:rPr>
              <w:t>数</w:t>
            </w:r>
            <w:r>
              <w:rPr>
                <w:rFonts w:ascii="宋体" w:hAnsi="宋体" w:cs="宋体" w:eastAsia="宋体" w:hint="default"/>
                <w:sz w:val="15"/>
                <w:szCs w:val="15"/>
              </w:rPr>
            </w:r>
          </w:p>
        </w:tc>
        <w:tc>
          <w:tcPr>
            <w:tcW w:w="57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74"/>
              <w:ind w:left="131" w:right="127"/>
              <w:jc w:val="both"/>
              <w:rPr>
                <w:rFonts w:ascii="宋体" w:hAnsi="宋体" w:cs="宋体" w:eastAsia="宋体" w:hint="default"/>
                <w:sz w:val="15"/>
                <w:szCs w:val="15"/>
              </w:rPr>
            </w:pPr>
            <w:r>
              <w:rPr>
                <w:rFonts w:ascii="宋体" w:hAnsi="宋体" w:cs="宋体" w:eastAsia="宋体" w:hint="default"/>
                <w:b/>
                <w:bCs/>
                <w:sz w:val="15"/>
                <w:szCs w:val="15"/>
              </w:rPr>
              <w:t>年度</w:t>
            </w:r>
            <w:r>
              <w:rPr>
                <w:rFonts w:ascii="宋体" w:hAnsi="宋体" w:cs="宋体" w:eastAsia="宋体" w:hint="default"/>
                <w:b/>
                <w:bCs/>
                <w:w w:val="100"/>
                <w:sz w:val="15"/>
                <w:szCs w:val="15"/>
              </w:rPr>
              <w:t> </w:t>
            </w:r>
            <w:r>
              <w:rPr>
                <w:rFonts w:ascii="宋体" w:hAnsi="宋体" w:cs="宋体" w:eastAsia="宋体" w:hint="default"/>
                <w:b/>
                <w:bCs/>
                <w:sz w:val="15"/>
                <w:szCs w:val="15"/>
              </w:rPr>
              <w:t>内股</w:t>
            </w:r>
            <w:r>
              <w:rPr>
                <w:rFonts w:ascii="宋体" w:hAnsi="宋体" w:cs="宋体" w:eastAsia="宋体" w:hint="default"/>
                <w:b/>
                <w:bCs/>
                <w:w w:val="100"/>
                <w:sz w:val="15"/>
                <w:szCs w:val="15"/>
              </w:rPr>
              <w:t> </w:t>
            </w:r>
            <w:r>
              <w:rPr>
                <w:rFonts w:ascii="宋体" w:hAnsi="宋体" w:cs="宋体" w:eastAsia="宋体" w:hint="default"/>
                <w:b/>
                <w:bCs/>
                <w:sz w:val="15"/>
                <w:szCs w:val="15"/>
              </w:rPr>
              <w:t>份增</w:t>
            </w:r>
            <w:r>
              <w:rPr>
                <w:rFonts w:ascii="宋体" w:hAnsi="宋体" w:cs="宋体" w:eastAsia="宋体" w:hint="default"/>
                <w:b/>
                <w:bCs/>
                <w:w w:val="100"/>
                <w:sz w:val="15"/>
                <w:szCs w:val="15"/>
              </w:rPr>
              <w:t> </w:t>
            </w:r>
            <w:r>
              <w:rPr>
                <w:rFonts w:ascii="宋体" w:hAnsi="宋体" w:cs="宋体" w:eastAsia="宋体" w:hint="default"/>
                <w:b/>
                <w:bCs/>
                <w:sz w:val="15"/>
                <w:szCs w:val="15"/>
              </w:rPr>
              <w:t>减变</w:t>
            </w:r>
            <w:r>
              <w:rPr>
                <w:rFonts w:ascii="宋体" w:hAnsi="宋体" w:cs="宋体" w:eastAsia="宋体" w:hint="default"/>
                <w:b/>
                <w:bCs/>
                <w:w w:val="100"/>
                <w:sz w:val="15"/>
                <w:szCs w:val="15"/>
              </w:rPr>
              <w:t> </w:t>
            </w:r>
            <w:r>
              <w:rPr>
                <w:rFonts w:ascii="宋体" w:hAnsi="宋体" w:cs="宋体" w:eastAsia="宋体" w:hint="default"/>
                <w:b/>
                <w:bCs/>
                <w:sz w:val="15"/>
                <w:szCs w:val="15"/>
              </w:rPr>
              <w:t>动量</w:t>
            </w:r>
            <w:r>
              <w:rPr>
                <w:rFonts w:ascii="宋体" w:hAnsi="宋体" w:cs="宋体" w:eastAsia="宋体" w:hint="default"/>
                <w:sz w:val="15"/>
                <w:szCs w:val="15"/>
              </w:rPr>
            </w:r>
          </w:p>
        </w:tc>
        <w:tc>
          <w:tcPr>
            <w:tcW w:w="65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72" w:right="170"/>
              <w:jc w:val="both"/>
              <w:rPr>
                <w:rFonts w:ascii="宋体" w:hAnsi="宋体" w:cs="宋体" w:eastAsia="宋体" w:hint="default"/>
                <w:sz w:val="15"/>
                <w:szCs w:val="15"/>
              </w:rPr>
            </w:pPr>
            <w:r>
              <w:rPr>
                <w:rFonts w:ascii="宋体" w:hAnsi="宋体" w:cs="宋体" w:eastAsia="宋体" w:hint="default"/>
                <w:b/>
                <w:bCs/>
                <w:sz w:val="15"/>
                <w:szCs w:val="15"/>
              </w:rPr>
              <w:t>增减</w:t>
            </w:r>
            <w:r>
              <w:rPr>
                <w:rFonts w:ascii="宋体" w:hAnsi="宋体" w:cs="宋体" w:eastAsia="宋体" w:hint="default"/>
                <w:b/>
                <w:bCs/>
                <w:w w:val="100"/>
                <w:sz w:val="15"/>
                <w:szCs w:val="15"/>
              </w:rPr>
              <w:t> </w:t>
            </w:r>
            <w:r>
              <w:rPr>
                <w:rFonts w:ascii="宋体" w:hAnsi="宋体" w:cs="宋体" w:eastAsia="宋体" w:hint="default"/>
                <w:b/>
                <w:bCs/>
                <w:sz w:val="15"/>
                <w:szCs w:val="15"/>
              </w:rPr>
              <w:t>变动</w:t>
            </w:r>
            <w:r>
              <w:rPr>
                <w:rFonts w:ascii="宋体" w:hAnsi="宋体" w:cs="宋体" w:eastAsia="宋体" w:hint="default"/>
                <w:b/>
                <w:bCs/>
                <w:w w:val="100"/>
                <w:sz w:val="15"/>
                <w:szCs w:val="15"/>
              </w:rPr>
              <w:t> </w:t>
            </w:r>
            <w:r>
              <w:rPr>
                <w:rFonts w:ascii="宋体" w:hAnsi="宋体" w:cs="宋体" w:eastAsia="宋体" w:hint="default"/>
                <w:b/>
                <w:bCs/>
                <w:sz w:val="15"/>
                <w:szCs w:val="15"/>
              </w:rPr>
              <w:t>原因</w:t>
            </w:r>
            <w:r>
              <w:rPr>
                <w:rFonts w:ascii="宋体" w:hAnsi="宋体" w:cs="宋体" w:eastAsia="宋体" w:hint="default"/>
                <w:sz w:val="15"/>
                <w:szCs w:val="15"/>
              </w:rPr>
            </w:r>
          </w:p>
        </w:tc>
        <w:tc>
          <w:tcPr>
            <w:tcW w:w="84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b/>
                <w:bCs/>
                <w:spacing w:val="6"/>
                <w:sz w:val="15"/>
                <w:szCs w:val="15"/>
              </w:rPr>
              <w:t>报告期内</w:t>
            </w:r>
            <w:r>
              <w:rPr>
                <w:rFonts w:ascii="宋体" w:hAnsi="宋体" w:cs="宋体" w:eastAsia="宋体" w:hint="default"/>
                <w:sz w:val="15"/>
                <w:szCs w:val="15"/>
              </w:rPr>
            </w:r>
          </w:p>
          <w:p>
            <w:pPr>
              <w:pStyle w:val="TableParagraph"/>
              <w:spacing w:line="240" w:lineRule="auto"/>
              <w:ind w:left="103" w:right="93"/>
              <w:jc w:val="both"/>
              <w:rPr>
                <w:rFonts w:ascii="宋体" w:hAnsi="宋体" w:cs="宋体" w:eastAsia="宋体" w:hint="default"/>
                <w:sz w:val="15"/>
                <w:szCs w:val="15"/>
              </w:rPr>
            </w:pPr>
            <w:r>
              <w:rPr>
                <w:rFonts w:ascii="宋体" w:hAnsi="宋体" w:cs="宋体" w:eastAsia="宋体" w:hint="default"/>
                <w:b/>
                <w:bCs/>
                <w:spacing w:val="6"/>
                <w:sz w:val="15"/>
                <w:szCs w:val="15"/>
              </w:rPr>
              <w:t>从公司领</w:t>
            </w:r>
            <w:r>
              <w:rPr>
                <w:rFonts w:ascii="宋体" w:hAnsi="宋体" w:cs="宋体" w:eastAsia="宋体" w:hint="default"/>
                <w:b/>
                <w:bCs/>
                <w:spacing w:val="-70"/>
                <w:sz w:val="15"/>
                <w:szCs w:val="15"/>
              </w:rPr>
              <w:t> </w:t>
            </w:r>
            <w:r>
              <w:rPr>
                <w:rFonts w:ascii="宋体" w:hAnsi="宋体" w:cs="宋体" w:eastAsia="宋体" w:hint="default"/>
                <w:b/>
                <w:bCs/>
                <w:spacing w:val="6"/>
                <w:sz w:val="15"/>
                <w:szCs w:val="15"/>
              </w:rPr>
              <w:t>取的应付</w:t>
            </w:r>
            <w:r>
              <w:rPr>
                <w:rFonts w:ascii="宋体" w:hAnsi="宋体" w:cs="宋体" w:eastAsia="宋体" w:hint="default"/>
                <w:b/>
                <w:bCs/>
                <w:spacing w:val="-70"/>
                <w:sz w:val="15"/>
                <w:szCs w:val="15"/>
              </w:rPr>
              <w:t> </w:t>
            </w:r>
            <w:r>
              <w:rPr>
                <w:rFonts w:ascii="宋体" w:hAnsi="宋体" w:cs="宋体" w:eastAsia="宋体" w:hint="default"/>
                <w:b/>
                <w:bCs/>
                <w:sz w:val="15"/>
                <w:szCs w:val="15"/>
              </w:rPr>
              <w:t>报酬总额</w:t>
            </w:r>
            <w:r>
              <w:rPr>
                <w:rFonts w:ascii="宋体" w:hAnsi="宋体" w:cs="宋体" w:eastAsia="宋体" w:hint="default"/>
                <w:sz w:val="15"/>
                <w:szCs w:val="15"/>
              </w:rPr>
            </w:r>
          </w:p>
          <w:p>
            <w:pPr>
              <w:pStyle w:val="TableParagraph"/>
              <w:spacing w:line="193" w:lineRule="exact"/>
              <w:ind w:left="103" w:right="0"/>
              <w:jc w:val="both"/>
              <w:rPr>
                <w:rFonts w:ascii="宋体" w:hAnsi="宋体" w:cs="宋体" w:eastAsia="宋体" w:hint="default"/>
                <w:sz w:val="15"/>
                <w:szCs w:val="15"/>
              </w:rPr>
            </w:pPr>
            <w:r>
              <w:rPr>
                <w:rFonts w:ascii="宋体" w:hAnsi="宋体" w:cs="宋体" w:eastAsia="宋体" w:hint="default"/>
                <w:b/>
                <w:bCs/>
                <w:spacing w:val="6"/>
                <w:sz w:val="15"/>
                <w:szCs w:val="15"/>
              </w:rPr>
              <w:t>（万元）</w:t>
            </w:r>
            <w:r>
              <w:rPr>
                <w:rFonts w:ascii="宋体" w:hAnsi="宋体" w:cs="宋体" w:eastAsia="宋体" w:hint="default"/>
                <w:sz w:val="15"/>
                <w:szCs w:val="15"/>
              </w:rPr>
            </w:r>
          </w:p>
          <w:p>
            <w:pPr>
              <w:pStyle w:val="TableParagraph"/>
              <w:spacing w:line="195" w:lineRule="exact"/>
              <w:ind w:left="103" w:right="0"/>
              <w:jc w:val="both"/>
              <w:rPr>
                <w:rFonts w:ascii="宋体" w:hAnsi="宋体" w:cs="宋体" w:eastAsia="宋体" w:hint="default"/>
                <w:sz w:val="15"/>
                <w:szCs w:val="15"/>
              </w:rPr>
            </w:pPr>
            <w:r>
              <w:rPr>
                <w:rFonts w:ascii="宋体" w:hAnsi="宋体" w:cs="宋体" w:eastAsia="宋体" w:hint="default"/>
                <w:b/>
                <w:bCs/>
                <w:sz w:val="15"/>
                <w:szCs w:val="15"/>
              </w:rPr>
              <w:t>（税前）</w:t>
            </w:r>
            <w:r>
              <w:rPr>
                <w:rFonts w:ascii="宋体" w:hAnsi="宋体" w:cs="宋体" w:eastAsia="宋体" w:hint="default"/>
                <w:sz w:val="15"/>
                <w:szCs w:val="15"/>
              </w:rPr>
            </w:r>
          </w:p>
        </w:tc>
        <w:tc>
          <w:tcPr>
            <w:tcW w:w="82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b/>
                <w:bCs/>
                <w:sz w:val="15"/>
                <w:szCs w:val="15"/>
              </w:rPr>
              <w:t>报告期从</w:t>
            </w:r>
            <w:r>
              <w:rPr>
                <w:rFonts w:ascii="宋体" w:hAnsi="宋体" w:cs="宋体" w:eastAsia="宋体" w:hint="default"/>
                <w:sz w:val="15"/>
                <w:szCs w:val="15"/>
              </w:rPr>
            </w:r>
          </w:p>
          <w:p>
            <w:pPr>
              <w:pStyle w:val="TableParagraph"/>
              <w:spacing w:line="240" w:lineRule="auto"/>
              <w:ind w:left="103" w:right="96"/>
              <w:jc w:val="both"/>
              <w:rPr>
                <w:rFonts w:ascii="宋体" w:hAnsi="宋体" w:cs="宋体" w:eastAsia="宋体" w:hint="default"/>
                <w:sz w:val="15"/>
                <w:szCs w:val="15"/>
              </w:rPr>
            </w:pPr>
            <w:r>
              <w:rPr>
                <w:rFonts w:ascii="宋体" w:hAnsi="宋体" w:cs="宋体" w:eastAsia="宋体" w:hint="default"/>
                <w:b/>
                <w:bCs/>
                <w:sz w:val="15"/>
                <w:szCs w:val="15"/>
              </w:rPr>
              <w:t>股东单位</w:t>
            </w:r>
            <w:r>
              <w:rPr>
                <w:rFonts w:ascii="宋体" w:hAnsi="宋体" w:cs="宋体" w:eastAsia="宋体" w:hint="default"/>
                <w:b/>
                <w:bCs/>
                <w:spacing w:val="-66"/>
                <w:sz w:val="15"/>
                <w:szCs w:val="15"/>
              </w:rPr>
              <w:t> </w:t>
            </w:r>
            <w:r>
              <w:rPr>
                <w:rFonts w:ascii="宋体" w:hAnsi="宋体" w:cs="宋体" w:eastAsia="宋体" w:hint="default"/>
                <w:b/>
                <w:bCs/>
                <w:sz w:val="15"/>
                <w:szCs w:val="15"/>
              </w:rPr>
              <w:t>获得的应</w:t>
            </w:r>
            <w:r>
              <w:rPr>
                <w:rFonts w:ascii="宋体" w:hAnsi="宋体" w:cs="宋体" w:eastAsia="宋体" w:hint="default"/>
                <w:b/>
                <w:bCs/>
                <w:spacing w:val="-66"/>
                <w:sz w:val="15"/>
                <w:szCs w:val="15"/>
              </w:rPr>
              <w:t> </w:t>
            </w:r>
            <w:r>
              <w:rPr>
                <w:rFonts w:ascii="宋体" w:hAnsi="宋体" w:cs="宋体" w:eastAsia="宋体" w:hint="default"/>
                <w:b/>
                <w:bCs/>
                <w:sz w:val="15"/>
                <w:szCs w:val="15"/>
              </w:rPr>
              <w:t>付报酬总</w:t>
            </w:r>
            <w:r>
              <w:rPr>
                <w:rFonts w:ascii="宋体" w:hAnsi="宋体" w:cs="宋体" w:eastAsia="宋体" w:hint="default"/>
                <w:b/>
                <w:bCs/>
                <w:spacing w:val="-66"/>
                <w:sz w:val="15"/>
                <w:szCs w:val="15"/>
              </w:rPr>
              <w:t> </w:t>
            </w:r>
            <w:r>
              <w:rPr>
                <w:rFonts w:ascii="宋体" w:hAnsi="宋体" w:cs="宋体" w:eastAsia="宋体" w:hint="default"/>
                <w:b/>
                <w:bCs/>
                <w:sz w:val="15"/>
                <w:szCs w:val="15"/>
              </w:rPr>
              <w:t>额</w:t>
            </w:r>
            <w:r>
              <w:rPr>
                <w:rFonts w:ascii="宋体" w:hAnsi="宋体" w:cs="宋体" w:eastAsia="宋体" w:hint="default"/>
                <w:sz w:val="15"/>
                <w:szCs w:val="15"/>
              </w:rPr>
            </w:r>
          </w:p>
          <w:p>
            <w:pPr>
              <w:pStyle w:val="TableParagraph"/>
              <w:spacing w:line="194" w:lineRule="exact"/>
              <w:ind w:left="103" w:right="0"/>
              <w:jc w:val="both"/>
              <w:rPr>
                <w:rFonts w:ascii="宋体" w:hAnsi="宋体" w:cs="宋体" w:eastAsia="宋体" w:hint="default"/>
                <w:sz w:val="15"/>
                <w:szCs w:val="15"/>
              </w:rPr>
            </w:pPr>
            <w:r>
              <w:rPr>
                <w:rFonts w:ascii="宋体" w:hAnsi="宋体" w:cs="宋体" w:eastAsia="宋体" w:hint="default"/>
                <w:b/>
                <w:bCs/>
                <w:sz w:val="15"/>
                <w:szCs w:val="15"/>
              </w:rPr>
              <w:t>（万元）</w:t>
            </w:r>
            <w:r>
              <w:rPr>
                <w:rFonts w:ascii="宋体" w:hAnsi="宋体" w:cs="宋体" w:eastAsia="宋体" w:hint="default"/>
                <w:sz w:val="15"/>
                <w:szCs w:val="15"/>
              </w:rPr>
            </w:r>
          </w:p>
        </w:tc>
      </w:tr>
      <w:tr>
        <w:trPr>
          <w:trHeight w:val="20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6"/>
              <w:jc w:val="right"/>
              <w:rPr>
                <w:rFonts w:ascii="宋体" w:hAnsi="宋体" w:cs="宋体" w:eastAsia="宋体" w:hint="default"/>
                <w:sz w:val="15"/>
                <w:szCs w:val="15"/>
              </w:rPr>
            </w:pPr>
            <w:r>
              <w:rPr>
                <w:rFonts w:ascii="宋体" w:hAnsi="宋体" w:cs="宋体" w:eastAsia="宋体" w:hint="default"/>
                <w:sz w:val="15"/>
                <w:szCs w:val="15"/>
              </w:rPr>
              <w:t>常小兵</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董事长</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71"/>
              <w:jc w:val="right"/>
              <w:rPr>
                <w:rFonts w:ascii="宋体" w:hAnsi="宋体" w:cs="宋体" w:eastAsia="宋体" w:hint="default"/>
                <w:sz w:val="15"/>
                <w:szCs w:val="15"/>
              </w:rPr>
            </w:pPr>
            <w:r>
              <w:rPr>
                <w:rFonts w:ascii="宋体" w:hAnsi="宋体" w:cs="宋体" w:eastAsia="宋体" w:hint="default"/>
                <w:w w:val="100"/>
                <w:sz w:val="15"/>
                <w:szCs w:val="15"/>
              </w:rPr>
              <w:t>男</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Arial" w:hAnsi="Arial" w:cs="Arial" w:eastAsia="Arial" w:hint="default"/>
                <w:sz w:val="15"/>
                <w:szCs w:val="15"/>
              </w:rPr>
            </w:pPr>
            <w:r>
              <w:rPr>
                <w:rFonts w:ascii="Arial"/>
                <w:sz w:val="15"/>
              </w:rPr>
              <w:t>58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34" w:right="84"/>
              <w:jc w:val="right"/>
              <w:rPr>
                <w:rFonts w:ascii="宋体" w:hAnsi="宋体" w:cs="宋体" w:eastAsia="宋体" w:hint="default"/>
                <w:sz w:val="15"/>
                <w:szCs w:val="15"/>
              </w:rPr>
            </w:pPr>
            <w:r>
              <w:rPr>
                <w:rFonts w:ascii="Arial" w:hAnsi="Arial" w:cs="Arial" w:eastAsia="Arial" w:hint="default"/>
                <w:sz w:val="15"/>
                <w:szCs w:val="15"/>
              </w:rPr>
              <w:t>2004</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12</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23</w:t>
            </w:r>
            <w:r>
              <w:rPr>
                <w:rFonts w:ascii="Arial" w:hAnsi="Arial" w:cs="Arial" w:eastAsia="Arial" w:hint="default"/>
                <w:spacing w:val="-5"/>
                <w:sz w:val="15"/>
                <w:szCs w:val="15"/>
              </w:rPr>
              <w:t> </w:t>
            </w:r>
            <w:r>
              <w:rPr>
                <w:rFonts w:ascii="宋体" w:hAnsi="宋体" w:cs="宋体" w:eastAsia="宋体" w:hint="default"/>
                <w:sz w:val="15"/>
                <w:szCs w:val="15"/>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59"/>
              <w:jc w:val="center"/>
              <w:rPr>
                <w:rFonts w:ascii="宋体" w:hAnsi="宋体" w:cs="宋体" w:eastAsia="宋体" w:hint="default"/>
                <w:sz w:val="15"/>
                <w:szCs w:val="15"/>
              </w:rPr>
            </w:pPr>
            <w:r>
              <w:rPr>
                <w:rFonts w:ascii="Arial" w:hAnsi="Arial" w:cs="Arial" w:eastAsia="Arial" w:hint="default"/>
                <w:sz w:val="15"/>
                <w:szCs w:val="15"/>
              </w:rPr>
              <w:t>2015</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12</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20</w:t>
            </w:r>
            <w:r>
              <w:rPr>
                <w:rFonts w:ascii="Arial" w:hAnsi="Arial" w:cs="Arial" w:eastAsia="Arial" w:hint="default"/>
                <w:spacing w:val="-5"/>
                <w:sz w:val="15"/>
                <w:szCs w:val="15"/>
              </w:rPr>
              <w:t> </w:t>
            </w:r>
            <w:r>
              <w:rPr>
                <w:rFonts w:ascii="宋体" w:hAnsi="宋体" w:cs="宋体" w:eastAsia="宋体" w:hint="default"/>
                <w:sz w:val="15"/>
                <w:szCs w:val="15"/>
              </w:rPr>
              <w:t>日</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Arial" w:hAnsi="Arial" w:cs="Arial" w:eastAsia="Arial" w:hint="default"/>
                <w:sz w:val="15"/>
                <w:szCs w:val="15"/>
              </w:rPr>
            </w:pPr>
            <w:r>
              <w:rPr>
                <w:rFonts w:ascii="Arial"/>
                <w:w w:val="100"/>
                <w:sz w:val="15"/>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Arial" w:hAnsi="Arial" w:cs="Arial" w:eastAsia="Arial" w:hint="default"/>
                <w:sz w:val="15"/>
                <w:szCs w:val="15"/>
              </w:rPr>
            </w:pPr>
            <w:r>
              <w:rPr>
                <w:rFonts w:ascii="Arial"/>
                <w:w w:val="100"/>
                <w:sz w:val="15"/>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Arial" w:hAnsi="Arial" w:cs="Arial" w:eastAsia="Arial" w:hint="default"/>
                <w:sz w:val="15"/>
                <w:szCs w:val="15"/>
              </w:rPr>
            </w:pPr>
            <w:r>
              <w:rPr>
                <w:rFonts w:ascii="Arial"/>
                <w:w w:val="100"/>
                <w:sz w:val="15"/>
              </w:rPr>
              <w:t>-</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见下注</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20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6"/>
              <w:jc w:val="right"/>
              <w:rPr>
                <w:rFonts w:ascii="宋体" w:hAnsi="宋体" w:cs="宋体" w:eastAsia="宋体" w:hint="default"/>
                <w:sz w:val="15"/>
                <w:szCs w:val="15"/>
              </w:rPr>
            </w:pPr>
            <w:r>
              <w:rPr>
                <w:rFonts w:ascii="宋体" w:hAnsi="宋体" w:cs="宋体" w:eastAsia="宋体" w:hint="default"/>
                <w:sz w:val="15"/>
                <w:szCs w:val="15"/>
              </w:rPr>
              <w:t>陆益民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董事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71"/>
              <w:jc w:val="right"/>
              <w:rPr>
                <w:rFonts w:ascii="宋体" w:hAnsi="宋体" w:cs="宋体" w:eastAsia="宋体" w:hint="default"/>
                <w:sz w:val="15"/>
                <w:szCs w:val="15"/>
              </w:rPr>
            </w:pPr>
            <w:r>
              <w:rPr>
                <w:rFonts w:ascii="宋体" w:hAnsi="宋体" w:cs="宋体" w:eastAsia="宋体" w:hint="default"/>
                <w:w w:val="100"/>
                <w:sz w:val="15"/>
                <w:szCs w:val="15"/>
              </w:rPr>
              <w:t>男</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Arial" w:hAnsi="Arial" w:cs="Arial" w:eastAsia="Arial" w:hint="default"/>
                <w:sz w:val="15"/>
                <w:szCs w:val="15"/>
              </w:rPr>
            </w:pPr>
            <w:r>
              <w:rPr>
                <w:rFonts w:ascii="Arial"/>
                <w:sz w:val="15"/>
              </w:rPr>
              <w:t>51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84"/>
              <w:jc w:val="right"/>
              <w:rPr>
                <w:rFonts w:ascii="宋体" w:hAnsi="宋体" w:cs="宋体" w:eastAsia="宋体" w:hint="default"/>
                <w:sz w:val="15"/>
                <w:szCs w:val="15"/>
              </w:rPr>
            </w:pPr>
            <w:r>
              <w:rPr>
                <w:rFonts w:ascii="Arial" w:hAnsi="Arial" w:cs="Arial" w:eastAsia="Arial" w:hint="default"/>
                <w:sz w:val="15"/>
                <w:szCs w:val="15"/>
              </w:rPr>
              <w:t>2009</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5</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26</w:t>
            </w:r>
            <w:r>
              <w:rPr>
                <w:rFonts w:ascii="Arial" w:hAnsi="Arial" w:cs="Arial" w:eastAsia="Arial" w:hint="default"/>
                <w:spacing w:val="-4"/>
                <w:sz w:val="15"/>
                <w:szCs w:val="15"/>
              </w:rPr>
              <w:t> </w:t>
            </w:r>
            <w:r>
              <w:rPr>
                <w:rFonts w:ascii="宋体" w:hAnsi="宋体" w:cs="宋体" w:eastAsia="宋体" w:hint="default"/>
                <w:sz w:val="15"/>
                <w:szCs w:val="15"/>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59"/>
              <w:jc w:val="center"/>
              <w:rPr>
                <w:rFonts w:ascii="宋体" w:hAnsi="宋体" w:cs="宋体" w:eastAsia="宋体" w:hint="default"/>
                <w:sz w:val="15"/>
                <w:szCs w:val="15"/>
              </w:rPr>
            </w:pPr>
            <w:r>
              <w:rPr>
                <w:rFonts w:ascii="Arial" w:hAnsi="Arial" w:cs="Arial" w:eastAsia="Arial" w:hint="default"/>
                <w:sz w:val="15"/>
                <w:szCs w:val="15"/>
              </w:rPr>
              <w:t>2015</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12</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20</w:t>
            </w:r>
            <w:r>
              <w:rPr>
                <w:rFonts w:ascii="Arial" w:hAnsi="Arial" w:cs="Arial" w:eastAsia="Arial" w:hint="default"/>
                <w:spacing w:val="-5"/>
                <w:sz w:val="15"/>
                <w:szCs w:val="15"/>
              </w:rPr>
              <w:t> </w:t>
            </w:r>
            <w:r>
              <w:rPr>
                <w:rFonts w:ascii="宋体" w:hAnsi="宋体" w:cs="宋体" w:eastAsia="宋体" w:hint="default"/>
                <w:sz w:val="15"/>
                <w:szCs w:val="15"/>
              </w:rPr>
              <w:t>日</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Arial" w:hAnsi="Arial" w:cs="Arial" w:eastAsia="Arial" w:hint="default"/>
                <w:sz w:val="15"/>
                <w:szCs w:val="15"/>
              </w:rPr>
            </w:pPr>
            <w:r>
              <w:rPr>
                <w:rFonts w:ascii="Arial"/>
                <w:w w:val="100"/>
                <w:sz w:val="15"/>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Arial" w:hAnsi="Arial" w:cs="Arial" w:eastAsia="Arial" w:hint="default"/>
                <w:sz w:val="15"/>
                <w:szCs w:val="15"/>
              </w:rPr>
            </w:pPr>
            <w:r>
              <w:rPr>
                <w:rFonts w:ascii="Arial"/>
                <w:w w:val="100"/>
                <w:sz w:val="15"/>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Arial" w:hAnsi="Arial" w:cs="Arial" w:eastAsia="Arial" w:hint="default"/>
                <w:sz w:val="15"/>
                <w:szCs w:val="15"/>
              </w:rPr>
            </w:pPr>
            <w:r>
              <w:rPr>
                <w:rFonts w:ascii="Arial"/>
                <w:w w:val="100"/>
                <w:sz w:val="15"/>
              </w:rPr>
              <w:t>-</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见下注</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20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6"/>
              <w:jc w:val="right"/>
              <w:rPr>
                <w:rFonts w:ascii="宋体" w:hAnsi="宋体" w:cs="宋体" w:eastAsia="宋体" w:hint="default"/>
                <w:sz w:val="15"/>
                <w:szCs w:val="15"/>
              </w:rPr>
            </w:pPr>
            <w:r>
              <w:rPr>
                <w:rFonts w:ascii="宋体" w:hAnsi="宋体" w:cs="宋体" w:eastAsia="宋体" w:hint="default"/>
                <w:sz w:val="15"/>
                <w:szCs w:val="15"/>
              </w:rPr>
              <w:t>陆益民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总裁</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71"/>
              <w:jc w:val="right"/>
              <w:rPr>
                <w:rFonts w:ascii="宋体" w:hAnsi="宋体" w:cs="宋体" w:eastAsia="宋体" w:hint="default"/>
                <w:sz w:val="15"/>
                <w:szCs w:val="15"/>
              </w:rPr>
            </w:pPr>
            <w:r>
              <w:rPr>
                <w:rFonts w:ascii="宋体" w:hAnsi="宋体" w:cs="宋体" w:eastAsia="宋体" w:hint="default"/>
                <w:w w:val="100"/>
                <w:sz w:val="15"/>
                <w:szCs w:val="15"/>
              </w:rPr>
              <w:t>男</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Arial" w:hAnsi="Arial" w:cs="Arial" w:eastAsia="Arial" w:hint="default"/>
                <w:sz w:val="15"/>
                <w:szCs w:val="15"/>
              </w:rPr>
            </w:pPr>
            <w:r>
              <w:rPr>
                <w:rFonts w:ascii="Arial"/>
                <w:sz w:val="15"/>
              </w:rPr>
              <w:t>51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84"/>
              <w:jc w:val="right"/>
              <w:rPr>
                <w:rFonts w:ascii="宋体" w:hAnsi="宋体" w:cs="宋体" w:eastAsia="宋体" w:hint="default"/>
                <w:sz w:val="15"/>
                <w:szCs w:val="15"/>
              </w:rPr>
            </w:pPr>
            <w:r>
              <w:rPr>
                <w:rFonts w:ascii="Arial" w:hAnsi="Arial" w:cs="Arial" w:eastAsia="Arial" w:hint="default"/>
                <w:sz w:val="15"/>
                <w:szCs w:val="15"/>
              </w:rPr>
              <w:t>2009</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3</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31</w:t>
            </w:r>
            <w:r>
              <w:rPr>
                <w:rFonts w:ascii="Arial" w:hAnsi="Arial" w:cs="Arial" w:eastAsia="Arial" w:hint="default"/>
                <w:spacing w:val="-4"/>
                <w:sz w:val="15"/>
                <w:szCs w:val="15"/>
              </w:rPr>
              <w:t> </w:t>
            </w:r>
            <w:r>
              <w:rPr>
                <w:rFonts w:ascii="宋体" w:hAnsi="宋体" w:cs="宋体" w:eastAsia="宋体" w:hint="default"/>
                <w:sz w:val="15"/>
                <w:szCs w:val="15"/>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59"/>
              <w:jc w:val="center"/>
              <w:rPr>
                <w:rFonts w:ascii="宋体" w:hAnsi="宋体" w:cs="宋体" w:eastAsia="宋体" w:hint="default"/>
                <w:sz w:val="15"/>
                <w:szCs w:val="15"/>
              </w:rPr>
            </w:pPr>
            <w:r>
              <w:rPr>
                <w:rFonts w:ascii="Arial" w:hAnsi="Arial" w:cs="Arial" w:eastAsia="Arial" w:hint="default"/>
                <w:sz w:val="15"/>
                <w:szCs w:val="15"/>
              </w:rPr>
              <w:t>2015</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12</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20</w:t>
            </w:r>
            <w:r>
              <w:rPr>
                <w:rFonts w:ascii="Arial" w:hAnsi="Arial" w:cs="Arial" w:eastAsia="Arial" w:hint="default"/>
                <w:spacing w:val="-5"/>
                <w:sz w:val="15"/>
                <w:szCs w:val="15"/>
              </w:rPr>
              <w:t> </w:t>
            </w:r>
            <w:r>
              <w:rPr>
                <w:rFonts w:ascii="宋体" w:hAnsi="宋体" w:cs="宋体" w:eastAsia="宋体" w:hint="default"/>
                <w:sz w:val="15"/>
                <w:szCs w:val="15"/>
              </w:rPr>
              <w:t>日</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Arial" w:hAnsi="Arial" w:cs="Arial" w:eastAsia="Arial" w:hint="default"/>
                <w:sz w:val="15"/>
                <w:szCs w:val="15"/>
              </w:rPr>
            </w:pPr>
            <w:r>
              <w:rPr>
                <w:rFonts w:ascii="Arial"/>
                <w:w w:val="100"/>
                <w:sz w:val="15"/>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Arial" w:hAnsi="Arial" w:cs="Arial" w:eastAsia="Arial" w:hint="default"/>
                <w:sz w:val="15"/>
                <w:szCs w:val="15"/>
              </w:rPr>
            </w:pPr>
            <w:r>
              <w:rPr>
                <w:rFonts w:ascii="Arial"/>
                <w:w w:val="100"/>
                <w:sz w:val="15"/>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Arial" w:hAnsi="Arial" w:cs="Arial" w:eastAsia="Arial" w:hint="default"/>
                <w:sz w:val="15"/>
                <w:szCs w:val="15"/>
              </w:rPr>
            </w:pPr>
            <w:r>
              <w:rPr>
                <w:rFonts w:ascii="Arial"/>
                <w:w w:val="100"/>
                <w:sz w:val="15"/>
              </w:rPr>
              <w:t>-</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见下注</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207"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6"/>
              <w:jc w:val="right"/>
              <w:rPr>
                <w:rFonts w:ascii="宋体" w:hAnsi="宋体" w:cs="宋体" w:eastAsia="宋体" w:hint="default"/>
                <w:sz w:val="15"/>
                <w:szCs w:val="15"/>
              </w:rPr>
            </w:pPr>
            <w:r>
              <w:rPr>
                <w:rFonts w:ascii="宋体" w:hAnsi="宋体" w:cs="宋体" w:eastAsia="宋体" w:hint="default"/>
                <w:sz w:val="15"/>
                <w:szCs w:val="15"/>
              </w:rPr>
              <w:t>李福申</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董事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71"/>
              <w:jc w:val="right"/>
              <w:rPr>
                <w:rFonts w:ascii="宋体" w:hAnsi="宋体" w:cs="宋体" w:eastAsia="宋体" w:hint="default"/>
                <w:sz w:val="15"/>
                <w:szCs w:val="15"/>
              </w:rPr>
            </w:pPr>
            <w:r>
              <w:rPr>
                <w:rFonts w:ascii="宋体" w:hAnsi="宋体" w:cs="宋体" w:eastAsia="宋体" w:hint="default"/>
                <w:w w:val="100"/>
                <w:sz w:val="15"/>
                <w:szCs w:val="15"/>
              </w:rPr>
              <w:t>男</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Arial" w:hAnsi="Arial" w:cs="Arial" w:eastAsia="Arial" w:hint="default"/>
                <w:sz w:val="15"/>
                <w:szCs w:val="15"/>
              </w:rPr>
            </w:pPr>
            <w:r>
              <w:rPr>
                <w:rFonts w:ascii="Arial"/>
                <w:sz w:val="15"/>
              </w:rPr>
              <w:t>52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84"/>
              <w:jc w:val="right"/>
              <w:rPr>
                <w:rFonts w:ascii="宋体" w:hAnsi="宋体" w:cs="宋体" w:eastAsia="宋体" w:hint="default"/>
                <w:sz w:val="15"/>
                <w:szCs w:val="15"/>
              </w:rPr>
            </w:pPr>
            <w:r>
              <w:rPr>
                <w:rFonts w:ascii="Arial" w:hAnsi="Arial" w:cs="Arial" w:eastAsia="Arial" w:hint="default"/>
                <w:sz w:val="15"/>
                <w:szCs w:val="15"/>
              </w:rPr>
              <w:t>2011</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5</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24</w:t>
            </w:r>
            <w:r>
              <w:rPr>
                <w:rFonts w:ascii="Arial" w:hAnsi="Arial" w:cs="Arial" w:eastAsia="Arial" w:hint="default"/>
                <w:spacing w:val="-4"/>
                <w:sz w:val="15"/>
                <w:szCs w:val="15"/>
              </w:rPr>
              <w:t> </w:t>
            </w:r>
            <w:r>
              <w:rPr>
                <w:rFonts w:ascii="宋体" w:hAnsi="宋体" w:cs="宋体" w:eastAsia="宋体" w:hint="default"/>
                <w:sz w:val="15"/>
                <w:szCs w:val="15"/>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59"/>
              <w:jc w:val="center"/>
              <w:rPr>
                <w:rFonts w:ascii="宋体" w:hAnsi="宋体" w:cs="宋体" w:eastAsia="宋体" w:hint="default"/>
                <w:sz w:val="15"/>
                <w:szCs w:val="15"/>
              </w:rPr>
            </w:pPr>
            <w:r>
              <w:rPr>
                <w:rFonts w:ascii="Arial" w:hAnsi="Arial" w:cs="Arial" w:eastAsia="Arial" w:hint="default"/>
                <w:sz w:val="15"/>
                <w:szCs w:val="15"/>
              </w:rPr>
              <w:t>2015</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12</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20</w:t>
            </w:r>
            <w:r>
              <w:rPr>
                <w:rFonts w:ascii="Arial" w:hAnsi="Arial" w:cs="Arial" w:eastAsia="Arial" w:hint="default"/>
                <w:spacing w:val="-5"/>
                <w:sz w:val="15"/>
                <w:szCs w:val="15"/>
              </w:rPr>
              <w:t> </w:t>
            </w:r>
            <w:r>
              <w:rPr>
                <w:rFonts w:ascii="宋体" w:hAnsi="宋体" w:cs="宋体" w:eastAsia="宋体" w:hint="default"/>
                <w:sz w:val="15"/>
                <w:szCs w:val="15"/>
              </w:rPr>
              <w:t>日</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Arial" w:hAnsi="Arial" w:cs="Arial" w:eastAsia="Arial" w:hint="default"/>
                <w:sz w:val="15"/>
                <w:szCs w:val="15"/>
              </w:rPr>
            </w:pPr>
            <w:r>
              <w:rPr>
                <w:rFonts w:ascii="Arial"/>
                <w:w w:val="100"/>
                <w:sz w:val="15"/>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Arial" w:hAnsi="Arial" w:cs="Arial" w:eastAsia="Arial" w:hint="default"/>
                <w:sz w:val="15"/>
                <w:szCs w:val="15"/>
              </w:rPr>
            </w:pPr>
            <w:r>
              <w:rPr>
                <w:rFonts w:ascii="Arial"/>
                <w:w w:val="100"/>
                <w:sz w:val="15"/>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Arial" w:hAnsi="Arial" w:cs="Arial" w:eastAsia="Arial" w:hint="default"/>
                <w:sz w:val="15"/>
                <w:szCs w:val="15"/>
              </w:rPr>
            </w:pPr>
            <w:r>
              <w:rPr>
                <w:rFonts w:ascii="Arial"/>
                <w:w w:val="100"/>
                <w:sz w:val="15"/>
              </w:rPr>
              <w:t>-</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0"/>
              <w:jc w:val="center"/>
              <w:rPr>
                <w:rFonts w:ascii="宋体" w:hAnsi="宋体" w:cs="宋体" w:eastAsia="宋体" w:hint="default"/>
                <w:sz w:val="15"/>
                <w:szCs w:val="15"/>
              </w:rPr>
            </w:pPr>
            <w:r>
              <w:rPr>
                <w:rFonts w:ascii="宋体" w:hAnsi="宋体" w:cs="宋体" w:eastAsia="宋体" w:hint="default"/>
                <w:sz w:val="15"/>
                <w:szCs w:val="15"/>
              </w:rPr>
              <w:t>见下注</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206"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6"/>
              <w:jc w:val="right"/>
              <w:rPr>
                <w:rFonts w:ascii="宋体" w:hAnsi="宋体" w:cs="宋体" w:eastAsia="宋体" w:hint="default"/>
                <w:sz w:val="15"/>
                <w:szCs w:val="15"/>
              </w:rPr>
            </w:pPr>
            <w:r>
              <w:rPr>
                <w:rFonts w:ascii="宋体" w:hAnsi="宋体" w:cs="宋体" w:eastAsia="宋体" w:hint="default"/>
                <w:sz w:val="15"/>
                <w:szCs w:val="15"/>
              </w:rPr>
              <w:t>张钧安</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董事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71"/>
              <w:jc w:val="right"/>
              <w:rPr>
                <w:rFonts w:ascii="宋体" w:hAnsi="宋体" w:cs="宋体" w:eastAsia="宋体" w:hint="default"/>
                <w:sz w:val="15"/>
                <w:szCs w:val="15"/>
              </w:rPr>
            </w:pPr>
            <w:r>
              <w:rPr>
                <w:rFonts w:ascii="宋体" w:hAnsi="宋体" w:cs="宋体" w:eastAsia="宋体" w:hint="default"/>
                <w:w w:val="100"/>
                <w:sz w:val="15"/>
                <w:szCs w:val="15"/>
              </w:rPr>
              <w:t>男</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Arial" w:hAnsi="Arial" w:cs="Arial" w:eastAsia="Arial" w:hint="default"/>
                <w:sz w:val="15"/>
                <w:szCs w:val="15"/>
              </w:rPr>
            </w:pPr>
            <w:r>
              <w:rPr>
                <w:rFonts w:ascii="Arial"/>
                <w:sz w:val="15"/>
              </w:rPr>
              <w:t>58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84"/>
              <w:jc w:val="right"/>
              <w:rPr>
                <w:rFonts w:ascii="宋体" w:hAnsi="宋体" w:cs="宋体" w:eastAsia="宋体" w:hint="default"/>
                <w:sz w:val="15"/>
                <w:szCs w:val="15"/>
              </w:rPr>
            </w:pPr>
            <w:r>
              <w:rPr>
                <w:rFonts w:ascii="Arial" w:hAnsi="Arial" w:cs="Arial" w:eastAsia="Arial" w:hint="default"/>
                <w:sz w:val="15"/>
                <w:szCs w:val="15"/>
              </w:rPr>
              <w:t>2014</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11</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Arial" w:hAnsi="Arial" w:cs="Arial" w:eastAsia="Arial" w:hint="default"/>
                <w:sz w:val="15"/>
                <w:szCs w:val="15"/>
              </w:rPr>
              <w:t>6</w:t>
            </w:r>
            <w:r>
              <w:rPr>
                <w:rFonts w:ascii="Arial" w:hAnsi="Arial" w:cs="Arial" w:eastAsia="Arial" w:hint="default"/>
                <w:spacing w:val="-4"/>
                <w:sz w:val="15"/>
                <w:szCs w:val="15"/>
              </w:rPr>
              <w:t> </w:t>
            </w:r>
            <w:r>
              <w:rPr>
                <w:rFonts w:ascii="宋体" w:hAnsi="宋体" w:cs="宋体" w:eastAsia="宋体" w:hint="default"/>
                <w:sz w:val="15"/>
                <w:szCs w:val="15"/>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59"/>
              <w:jc w:val="center"/>
              <w:rPr>
                <w:rFonts w:ascii="宋体" w:hAnsi="宋体" w:cs="宋体" w:eastAsia="宋体" w:hint="default"/>
                <w:sz w:val="15"/>
                <w:szCs w:val="15"/>
              </w:rPr>
            </w:pPr>
            <w:r>
              <w:rPr>
                <w:rFonts w:ascii="Arial" w:hAnsi="Arial" w:cs="Arial" w:eastAsia="Arial" w:hint="default"/>
                <w:sz w:val="15"/>
                <w:szCs w:val="15"/>
              </w:rPr>
              <w:t>2015</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12</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20</w:t>
            </w:r>
            <w:r>
              <w:rPr>
                <w:rFonts w:ascii="Arial" w:hAnsi="Arial" w:cs="Arial" w:eastAsia="Arial" w:hint="default"/>
                <w:spacing w:val="-5"/>
                <w:sz w:val="15"/>
                <w:szCs w:val="15"/>
              </w:rPr>
              <w:t> </w:t>
            </w:r>
            <w:r>
              <w:rPr>
                <w:rFonts w:ascii="宋体" w:hAnsi="宋体" w:cs="宋体" w:eastAsia="宋体" w:hint="default"/>
                <w:sz w:val="15"/>
                <w:szCs w:val="15"/>
              </w:rPr>
              <w:t>日</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Arial" w:hAnsi="Arial" w:cs="Arial" w:eastAsia="Arial" w:hint="default"/>
                <w:sz w:val="15"/>
                <w:szCs w:val="15"/>
              </w:rPr>
            </w:pPr>
            <w:r>
              <w:rPr>
                <w:rFonts w:ascii="Arial"/>
                <w:w w:val="100"/>
                <w:sz w:val="15"/>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Arial" w:hAnsi="Arial" w:cs="Arial" w:eastAsia="Arial" w:hint="default"/>
                <w:sz w:val="15"/>
                <w:szCs w:val="15"/>
              </w:rPr>
            </w:pPr>
            <w:r>
              <w:rPr>
                <w:rFonts w:ascii="Arial"/>
                <w:w w:val="100"/>
                <w:sz w:val="15"/>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Arial" w:hAnsi="Arial" w:cs="Arial" w:eastAsia="Arial" w:hint="default"/>
                <w:sz w:val="15"/>
                <w:szCs w:val="15"/>
              </w:rPr>
            </w:pPr>
            <w:r>
              <w:rPr>
                <w:rFonts w:ascii="Arial"/>
                <w:w w:val="100"/>
                <w:sz w:val="15"/>
              </w:rPr>
              <w:t>-</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0"/>
              <w:jc w:val="center"/>
              <w:rPr>
                <w:rFonts w:ascii="宋体" w:hAnsi="宋体" w:cs="宋体" w:eastAsia="宋体" w:hint="default"/>
                <w:sz w:val="15"/>
                <w:szCs w:val="15"/>
              </w:rPr>
            </w:pPr>
            <w:r>
              <w:rPr>
                <w:rFonts w:ascii="宋体" w:hAnsi="宋体" w:cs="宋体" w:eastAsia="宋体" w:hint="default"/>
                <w:sz w:val="15"/>
                <w:szCs w:val="15"/>
              </w:rPr>
              <w:t>见下注</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206"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hAnsi="宋体" w:cs="宋体" w:eastAsia="宋体" w:hint="default"/>
                <w:sz w:val="15"/>
                <w:szCs w:val="15"/>
              </w:rPr>
              <w:t>刘 </w:t>
            </w:r>
            <w:r>
              <w:rPr>
                <w:rFonts w:ascii="宋体" w:hAnsi="宋体" w:cs="宋体" w:eastAsia="宋体" w:hint="default"/>
                <w:spacing w:val="8"/>
                <w:sz w:val="15"/>
                <w:szCs w:val="15"/>
              </w:rPr>
              <w:t> </w:t>
            </w:r>
            <w:r>
              <w:rPr>
                <w:rFonts w:ascii="宋体" w:hAnsi="宋体" w:cs="宋体" w:eastAsia="宋体" w:hint="default"/>
                <w:sz w:val="15"/>
                <w:szCs w:val="15"/>
              </w:rPr>
              <w:t>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71"/>
              <w:jc w:val="right"/>
              <w:rPr>
                <w:rFonts w:ascii="宋体" w:hAnsi="宋体" w:cs="宋体" w:eastAsia="宋体" w:hint="default"/>
                <w:sz w:val="15"/>
                <w:szCs w:val="15"/>
              </w:rPr>
            </w:pPr>
            <w:r>
              <w:rPr>
                <w:rFonts w:ascii="宋体" w:hAnsi="宋体" w:cs="宋体" w:eastAsia="宋体" w:hint="default"/>
                <w:w w:val="100"/>
                <w:sz w:val="15"/>
                <w:szCs w:val="15"/>
              </w:rPr>
              <w:t>男</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Arial" w:hAnsi="Arial" w:cs="Arial" w:eastAsia="Arial" w:hint="default"/>
                <w:sz w:val="15"/>
                <w:szCs w:val="15"/>
              </w:rPr>
            </w:pPr>
            <w:r>
              <w:rPr>
                <w:rFonts w:ascii="Arial"/>
                <w:sz w:val="15"/>
              </w:rPr>
              <w:t>74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84"/>
              <w:jc w:val="right"/>
              <w:rPr>
                <w:rFonts w:ascii="宋体" w:hAnsi="宋体" w:cs="宋体" w:eastAsia="宋体" w:hint="default"/>
                <w:sz w:val="15"/>
                <w:szCs w:val="15"/>
              </w:rPr>
            </w:pPr>
            <w:r>
              <w:rPr>
                <w:rFonts w:ascii="Arial" w:hAnsi="Arial" w:cs="Arial" w:eastAsia="Arial" w:hint="default"/>
                <w:sz w:val="15"/>
                <w:szCs w:val="15"/>
              </w:rPr>
              <w:t>2009</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11</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Arial" w:hAnsi="Arial" w:cs="Arial" w:eastAsia="Arial" w:hint="default"/>
                <w:sz w:val="15"/>
                <w:szCs w:val="15"/>
              </w:rPr>
              <w:t>3</w:t>
            </w:r>
            <w:r>
              <w:rPr>
                <w:rFonts w:ascii="Arial" w:hAnsi="Arial" w:cs="Arial" w:eastAsia="Arial" w:hint="default"/>
                <w:spacing w:val="-4"/>
                <w:sz w:val="15"/>
                <w:szCs w:val="15"/>
              </w:rPr>
              <w:t> </w:t>
            </w:r>
            <w:r>
              <w:rPr>
                <w:rFonts w:ascii="宋体" w:hAnsi="宋体" w:cs="宋体" w:eastAsia="宋体" w:hint="default"/>
                <w:sz w:val="15"/>
                <w:szCs w:val="15"/>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59"/>
              <w:jc w:val="center"/>
              <w:rPr>
                <w:rFonts w:ascii="宋体" w:hAnsi="宋体" w:cs="宋体" w:eastAsia="宋体" w:hint="default"/>
                <w:sz w:val="15"/>
                <w:szCs w:val="15"/>
              </w:rPr>
            </w:pPr>
            <w:r>
              <w:rPr>
                <w:rFonts w:ascii="Arial" w:hAnsi="Arial" w:cs="Arial" w:eastAsia="Arial" w:hint="default"/>
                <w:sz w:val="15"/>
                <w:szCs w:val="15"/>
              </w:rPr>
              <w:t>2015</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12</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20</w:t>
            </w:r>
            <w:r>
              <w:rPr>
                <w:rFonts w:ascii="Arial" w:hAnsi="Arial" w:cs="Arial" w:eastAsia="Arial" w:hint="default"/>
                <w:spacing w:val="-5"/>
                <w:sz w:val="15"/>
                <w:szCs w:val="15"/>
              </w:rPr>
              <w:t> </w:t>
            </w:r>
            <w:r>
              <w:rPr>
                <w:rFonts w:ascii="宋体" w:hAnsi="宋体" w:cs="宋体" w:eastAsia="宋体" w:hint="default"/>
                <w:sz w:val="15"/>
                <w:szCs w:val="15"/>
              </w:rPr>
              <w:t>日</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Arial" w:hAnsi="Arial" w:cs="Arial" w:eastAsia="Arial" w:hint="default"/>
                <w:sz w:val="15"/>
                <w:szCs w:val="15"/>
              </w:rPr>
            </w:pPr>
            <w:r>
              <w:rPr>
                <w:rFonts w:ascii="Arial"/>
                <w:w w:val="100"/>
                <w:sz w:val="15"/>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Arial" w:hAnsi="Arial" w:cs="Arial" w:eastAsia="Arial" w:hint="default"/>
                <w:sz w:val="15"/>
                <w:szCs w:val="15"/>
              </w:rPr>
            </w:pPr>
            <w:r>
              <w:rPr>
                <w:rFonts w:ascii="Arial"/>
                <w:w w:val="100"/>
                <w:sz w:val="15"/>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Arial" w:hAnsi="Arial" w:cs="Arial" w:eastAsia="Arial" w:hint="default"/>
                <w:sz w:val="15"/>
                <w:szCs w:val="15"/>
              </w:rPr>
            </w:pPr>
            <w:r>
              <w:rPr>
                <w:rFonts w:ascii="Arial"/>
                <w:w w:val="100"/>
                <w:sz w:val="15"/>
              </w:rPr>
              <w:t>-</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Arial" w:hAnsi="Arial" w:cs="Arial" w:eastAsia="Arial" w:hint="default"/>
                <w:sz w:val="15"/>
                <w:szCs w:val="15"/>
              </w:rPr>
            </w:pPr>
            <w:r>
              <w:rPr>
                <w:rFonts w:ascii="Arial"/>
                <w:sz w:val="15"/>
              </w:rPr>
              <w:t>14.3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 w:right="0"/>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20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6"/>
              <w:jc w:val="right"/>
              <w:rPr>
                <w:rFonts w:ascii="宋体" w:hAnsi="宋体" w:cs="宋体" w:eastAsia="宋体" w:hint="default"/>
                <w:sz w:val="15"/>
                <w:szCs w:val="15"/>
              </w:rPr>
            </w:pPr>
            <w:r>
              <w:rPr>
                <w:rFonts w:ascii="宋体" w:hAnsi="宋体" w:cs="宋体" w:eastAsia="宋体" w:hint="default"/>
                <w:sz w:val="15"/>
                <w:szCs w:val="15"/>
              </w:rPr>
              <w:t>赵纯均</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71"/>
              <w:jc w:val="right"/>
              <w:rPr>
                <w:rFonts w:ascii="宋体" w:hAnsi="宋体" w:cs="宋体" w:eastAsia="宋体" w:hint="default"/>
                <w:sz w:val="15"/>
                <w:szCs w:val="15"/>
              </w:rPr>
            </w:pPr>
            <w:r>
              <w:rPr>
                <w:rFonts w:ascii="宋体" w:hAnsi="宋体" w:cs="宋体" w:eastAsia="宋体" w:hint="default"/>
                <w:w w:val="100"/>
                <w:sz w:val="15"/>
                <w:szCs w:val="15"/>
              </w:rPr>
              <w:t>男</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center"/>
              <w:rPr>
                <w:rFonts w:ascii="Arial" w:hAnsi="Arial" w:cs="Arial" w:eastAsia="Arial" w:hint="default"/>
                <w:sz w:val="15"/>
                <w:szCs w:val="15"/>
              </w:rPr>
            </w:pPr>
            <w:r>
              <w:rPr>
                <w:rFonts w:ascii="Arial"/>
                <w:sz w:val="15"/>
              </w:rPr>
              <w:t>73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84"/>
              <w:jc w:val="right"/>
              <w:rPr>
                <w:rFonts w:ascii="宋体" w:hAnsi="宋体" w:cs="宋体" w:eastAsia="宋体" w:hint="default"/>
                <w:sz w:val="15"/>
                <w:szCs w:val="15"/>
              </w:rPr>
            </w:pPr>
            <w:r>
              <w:rPr>
                <w:rFonts w:ascii="Arial" w:hAnsi="Arial" w:cs="Arial" w:eastAsia="Arial" w:hint="default"/>
                <w:sz w:val="15"/>
                <w:szCs w:val="15"/>
              </w:rPr>
              <w:t>2009</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11</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Arial" w:hAnsi="Arial" w:cs="Arial" w:eastAsia="Arial" w:hint="default"/>
                <w:sz w:val="15"/>
                <w:szCs w:val="15"/>
              </w:rPr>
              <w:t>3</w:t>
            </w:r>
            <w:r>
              <w:rPr>
                <w:rFonts w:ascii="Arial" w:hAnsi="Arial" w:cs="Arial" w:eastAsia="Arial" w:hint="default"/>
                <w:spacing w:val="-4"/>
                <w:sz w:val="15"/>
                <w:szCs w:val="15"/>
              </w:rPr>
              <w:t> </w:t>
            </w:r>
            <w:r>
              <w:rPr>
                <w:rFonts w:ascii="宋体" w:hAnsi="宋体" w:cs="宋体" w:eastAsia="宋体" w:hint="default"/>
                <w:sz w:val="15"/>
                <w:szCs w:val="15"/>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59"/>
              <w:jc w:val="center"/>
              <w:rPr>
                <w:rFonts w:ascii="宋体" w:hAnsi="宋体" w:cs="宋体" w:eastAsia="宋体" w:hint="default"/>
                <w:sz w:val="15"/>
                <w:szCs w:val="15"/>
              </w:rPr>
            </w:pPr>
            <w:r>
              <w:rPr>
                <w:rFonts w:ascii="Arial" w:hAnsi="Arial" w:cs="Arial" w:eastAsia="Arial" w:hint="default"/>
                <w:sz w:val="15"/>
                <w:szCs w:val="15"/>
              </w:rPr>
              <w:t>2015</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12</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20</w:t>
            </w:r>
            <w:r>
              <w:rPr>
                <w:rFonts w:ascii="Arial" w:hAnsi="Arial" w:cs="Arial" w:eastAsia="Arial" w:hint="default"/>
                <w:spacing w:val="-5"/>
                <w:sz w:val="15"/>
                <w:szCs w:val="15"/>
              </w:rPr>
              <w:t> </w:t>
            </w:r>
            <w:r>
              <w:rPr>
                <w:rFonts w:ascii="宋体" w:hAnsi="宋体" w:cs="宋体" w:eastAsia="宋体" w:hint="default"/>
                <w:sz w:val="15"/>
                <w:szCs w:val="15"/>
              </w:rPr>
              <w:t>日</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Arial" w:hAnsi="Arial" w:cs="Arial" w:eastAsia="Arial" w:hint="default"/>
                <w:sz w:val="15"/>
                <w:szCs w:val="15"/>
              </w:rPr>
            </w:pPr>
            <w:r>
              <w:rPr>
                <w:rFonts w:ascii="Arial"/>
                <w:w w:val="100"/>
                <w:sz w:val="15"/>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Arial" w:hAnsi="Arial" w:cs="Arial" w:eastAsia="Arial" w:hint="default"/>
                <w:sz w:val="15"/>
                <w:szCs w:val="15"/>
              </w:rPr>
            </w:pPr>
            <w:r>
              <w:rPr>
                <w:rFonts w:ascii="Arial"/>
                <w:w w:val="100"/>
                <w:sz w:val="15"/>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Arial" w:hAnsi="Arial" w:cs="Arial" w:eastAsia="Arial" w:hint="default"/>
                <w:sz w:val="15"/>
                <w:szCs w:val="15"/>
              </w:rPr>
            </w:pPr>
            <w:r>
              <w:rPr>
                <w:rFonts w:ascii="Arial"/>
                <w:w w:val="100"/>
                <w:sz w:val="15"/>
              </w:rPr>
              <w:t>-</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Arial" w:hAnsi="Arial" w:cs="Arial" w:eastAsia="Arial" w:hint="default"/>
                <w:sz w:val="15"/>
                <w:szCs w:val="15"/>
              </w:rPr>
            </w:pPr>
            <w:r>
              <w:rPr>
                <w:rFonts w:ascii="Arial"/>
                <w:sz w:val="15"/>
              </w:rPr>
              <w:t>14.3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20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6"/>
              <w:jc w:val="right"/>
              <w:rPr>
                <w:rFonts w:ascii="宋体" w:hAnsi="宋体" w:cs="宋体" w:eastAsia="宋体" w:hint="default"/>
                <w:sz w:val="15"/>
                <w:szCs w:val="15"/>
              </w:rPr>
            </w:pPr>
            <w:r>
              <w:rPr>
                <w:rFonts w:ascii="宋体" w:hAnsi="宋体" w:cs="宋体" w:eastAsia="宋体" w:hint="default"/>
                <w:sz w:val="15"/>
                <w:szCs w:val="15"/>
              </w:rPr>
              <w:t>张英海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71"/>
              <w:jc w:val="right"/>
              <w:rPr>
                <w:rFonts w:ascii="宋体" w:hAnsi="宋体" w:cs="宋体" w:eastAsia="宋体" w:hint="default"/>
                <w:sz w:val="15"/>
                <w:szCs w:val="15"/>
              </w:rPr>
            </w:pPr>
            <w:r>
              <w:rPr>
                <w:rFonts w:ascii="宋体" w:hAnsi="宋体" w:cs="宋体" w:eastAsia="宋体" w:hint="default"/>
                <w:w w:val="100"/>
                <w:sz w:val="15"/>
                <w:szCs w:val="15"/>
              </w:rPr>
              <w:t>男</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Arial" w:hAnsi="Arial" w:cs="Arial" w:eastAsia="Arial" w:hint="default"/>
                <w:sz w:val="15"/>
                <w:szCs w:val="15"/>
              </w:rPr>
            </w:pPr>
            <w:r>
              <w:rPr>
                <w:rFonts w:ascii="Arial"/>
                <w:sz w:val="15"/>
              </w:rPr>
              <w:t>62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84"/>
              <w:jc w:val="right"/>
              <w:rPr>
                <w:rFonts w:ascii="宋体" w:hAnsi="宋体" w:cs="宋体" w:eastAsia="宋体" w:hint="default"/>
                <w:sz w:val="15"/>
                <w:szCs w:val="15"/>
              </w:rPr>
            </w:pPr>
            <w:r>
              <w:rPr>
                <w:rFonts w:ascii="Arial" w:hAnsi="Arial" w:cs="Arial" w:eastAsia="Arial" w:hint="default"/>
                <w:sz w:val="15"/>
                <w:szCs w:val="15"/>
              </w:rPr>
              <w:t>2009</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11</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Arial" w:hAnsi="Arial" w:cs="Arial" w:eastAsia="Arial" w:hint="default"/>
                <w:sz w:val="15"/>
                <w:szCs w:val="15"/>
              </w:rPr>
              <w:t>3</w:t>
            </w:r>
            <w:r>
              <w:rPr>
                <w:rFonts w:ascii="Arial" w:hAnsi="Arial" w:cs="Arial" w:eastAsia="Arial" w:hint="default"/>
                <w:spacing w:val="-4"/>
                <w:sz w:val="15"/>
                <w:szCs w:val="15"/>
              </w:rPr>
              <w:t> </w:t>
            </w:r>
            <w:r>
              <w:rPr>
                <w:rFonts w:ascii="宋体" w:hAnsi="宋体" w:cs="宋体" w:eastAsia="宋体" w:hint="default"/>
                <w:sz w:val="15"/>
                <w:szCs w:val="15"/>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4" w:right="0"/>
              <w:jc w:val="center"/>
              <w:rPr>
                <w:rFonts w:ascii="宋体" w:hAnsi="宋体" w:cs="宋体" w:eastAsia="宋体" w:hint="default"/>
                <w:sz w:val="15"/>
                <w:szCs w:val="15"/>
              </w:rPr>
            </w:pPr>
            <w:r>
              <w:rPr>
                <w:rFonts w:ascii="Arial" w:hAnsi="Arial" w:cs="Arial" w:eastAsia="Arial" w:hint="default"/>
                <w:sz w:val="15"/>
                <w:szCs w:val="15"/>
              </w:rPr>
              <w:t>2015</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1</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27</w:t>
            </w:r>
            <w:r>
              <w:rPr>
                <w:rFonts w:ascii="Arial" w:hAnsi="Arial" w:cs="Arial" w:eastAsia="Arial" w:hint="default"/>
                <w:spacing w:val="-4"/>
                <w:sz w:val="15"/>
                <w:szCs w:val="15"/>
              </w:rPr>
              <w:t> </w:t>
            </w:r>
            <w:r>
              <w:rPr>
                <w:rFonts w:ascii="宋体" w:hAnsi="宋体" w:cs="宋体" w:eastAsia="宋体" w:hint="default"/>
                <w:sz w:val="15"/>
                <w:szCs w:val="15"/>
              </w:rPr>
              <w:t>日</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Arial" w:hAnsi="Arial" w:cs="Arial" w:eastAsia="Arial" w:hint="default"/>
                <w:sz w:val="15"/>
                <w:szCs w:val="15"/>
              </w:rPr>
            </w:pPr>
            <w:r>
              <w:rPr>
                <w:rFonts w:ascii="Arial"/>
                <w:w w:val="100"/>
                <w:sz w:val="15"/>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Arial" w:hAnsi="Arial" w:cs="Arial" w:eastAsia="Arial" w:hint="default"/>
                <w:sz w:val="15"/>
                <w:szCs w:val="15"/>
              </w:rPr>
            </w:pPr>
            <w:r>
              <w:rPr>
                <w:rFonts w:ascii="Arial"/>
                <w:w w:val="100"/>
                <w:sz w:val="15"/>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Arial" w:hAnsi="Arial" w:cs="Arial" w:eastAsia="Arial" w:hint="default"/>
                <w:sz w:val="15"/>
                <w:szCs w:val="15"/>
              </w:rPr>
            </w:pPr>
            <w:r>
              <w:rPr>
                <w:rFonts w:ascii="Arial"/>
                <w:w w:val="100"/>
                <w:sz w:val="15"/>
              </w:rPr>
              <w:t>-</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Arial" w:hAnsi="Arial" w:cs="Arial" w:eastAsia="Arial" w:hint="default"/>
                <w:sz w:val="15"/>
                <w:szCs w:val="15"/>
              </w:rPr>
            </w:pPr>
            <w:r>
              <w:rPr>
                <w:rFonts w:ascii="Arial"/>
                <w:sz w:val="15"/>
              </w:rPr>
              <w:t>14.3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20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6"/>
              <w:jc w:val="right"/>
              <w:rPr>
                <w:rFonts w:ascii="宋体" w:hAnsi="宋体" w:cs="宋体" w:eastAsia="宋体" w:hint="default"/>
                <w:sz w:val="15"/>
                <w:szCs w:val="15"/>
              </w:rPr>
            </w:pPr>
            <w:r>
              <w:rPr>
                <w:rFonts w:ascii="宋体" w:hAnsi="宋体" w:cs="宋体" w:eastAsia="宋体" w:hint="default"/>
                <w:sz w:val="15"/>
                <w:szCs w:val="15"/>
              </w:rPr>
              <w:t>夏大慰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71"/>
              <w:jc w:val="right"/>
              <w:rPr>
                <w:rFonts w:ascii="宋体" w:hAnsi="宋体" w:cs="宋体" w:eastAsia="宋体" w:hint="default"/>
                <w:sz w:val="15"/>
                <w:szCs w:val="15"/>
              </w:rPr>
            </w:pPr>
            <w:r>
              <w:rPr>
                <w:rFonts w:ascii="宋体" w:hAnsi="宋体" w:cs="宋体" w:eastAsia="宋体" w:hint="default"/>
                <w:w w:val="100"/>
                <w:sz w:val="15"/>
                <w:szCs w:val="15"/>
              </w:rPr>
              <w:t>男</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Arial" w:hAnsi="Arial" w:cs="Arial" w:eastAsia="Arial" w:hint="default"/>
                <w:sz w:val="15"/>
                <w:szCs w:val="15"/>
              </w:rPr>
            </w:pPr>
            <w:r>
              <w:rPr>
                <w:rFonts w:ascii="Arial"/>
                <w:sz w:val="15"/>
              </w:rPr>
              <w:t>61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84"/>
              <w:jc w:val="right"/>
              <w:rPr>
                <w:rFonts w:ascii="宋体" w:hAnsi="宋体" w:cs="宋体" w:eastAsia="宋体" w:hint="default"/>
                <w:sz w:val="15"/>
                <w:szCs w:val="15"/>
              </w:rPr>
            </w:pPr>
            <w:r>
              <w:rPr>
                <w:rFonts w:ascii="Arial" w:hAnsi="Arial" w:cs="Arial" w:eastAsia="Arial" w:hint="default"/>
                <w:sz w:val="15"/>
                <w:szCs w:val="15"/>
              </w:rPr>
              <w:t>2009</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11</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Arial" w:hAnsi="Arial" w:cs="Arial" w:eastAsia="Arial" w:hint="default"/>
                <w:sz w:val="15"/>
                <w:szCs w:val="15"/>
              </w:rPr>
              <w:t>3</w:t>
            </w:r>
            <w:r>
              <w:rPr>
                <w:rFonts w:ascii="Arial" w:hAnsi="Arial" w:cs="Arial" w:eastAsia="Arial" w:hint="default"/>
                <w:spacing w:val="-4"/>
                <w:sz w:val="15"/>
                <w:szCs w:val="15"/>
              </w:rPr>
              <w:t> </w:t>
            </w:r>
            <w:r>
              <w:rPr>
                <w:rFonts w:ascii="宋体" w:hAnsi="宋体" w:cs="宋体" w:eastAsia="宋体" w:hint="default"/>
                <w:sz w:val="15"/>
                <w:szCs w:val="15"/>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59"/>
              <w:jc w:val="center"/>
              <w:rPr>
                <w:rFonts w:ascii="宋体" w:hAnsi="宋体" w:cs="宋体" w:eastAsia="宋体" w:hint="default"/>
                <w:sz w:val="15"/>
                <w:szCs w:val="15"/>
              </w:rPr>
            </w:pPr>
            <w:r>
              <w:rPr>
                <w:rFonts w:ascii="Arial" w:hAnsi="Arial" w:cs="Arial" w:eastAsia="Arial" w:hint="default"/>
                <w:sz w:val="15"/>
                <w:szCs w:val="15"/>
              </w:rPr>
              <w:t>2015</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12</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20</w:t>
            </w:r>
            <w:r>
              <w:rPr>
                <w:rFonts w:ascii="Arial" w:hAnsi="Arial" w:cs="Arial" w:eastAsia="Arial" w:hint="default"/>
                <w:spacing w:val="-5"/>
                <w:sz w:val="15"/>
                <w:szCs w:val="15"/>
              </w:rPr>
              <w:t> </w:t>
            </w:r>
            <w:r>
              <w:rPr>
                <w:rFonts w:ascii="宋体" w:hAnsi="宋体" w:cs="宋体" w:eastAsia="宋体" w:hint="default"/>
                <w:sz w:val="15"/>
                <w:szCs w:val="15"/>
              </w:rPr>
              <w:t>日</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Arial" w:hAnsi="Arial" w:cs="Arial" w:eastAsia="Arial" w:hint="default"/>
                <w:sz w:val="15"/>
                <w:szCs w:val="15"/>
              </w:rPr>
            </w:pPr>
            <w:r>
              <w:rPr>
                <w:rFonts w:ascii="Arial"/>
                <w:w w:val="100"/>
                <w:sz w:val="15"/>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Arial" w:hAnsi="Arial" w:cs="Arial" w:eastAsia="Arial" w:hint="default"/>
                <w:sz w:val="15"/>
                <w:szCs w:val="15"/>
              </w:rPr>
            </w:pPr>
            <w:r>
              <w:rPr>
                <w:rFonts w:ascii="Arial"/>
                <w:w w:val="100"/>
                <w:sz w:val="15"/>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Arial" w:hAnsi="Arial" w:cs="Arial" w:eastAsia="Arial" w:hint="default"/>
                <w:sz w:val="15"/>
                <w:szCs w:val="15"/>
              </w:rPr>
            </w:pPr>
            <w:r>
              <w:rPr>
                <w:rFonts w:ascii="Arial"/>
                <w:w w:val="100"/>
                <w:sz w:val="15"/>
              </w:rPr>
              <w:t>-</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Arial" w:hAnsi="Arial" w:cs="Arial" w:eastAsia="Arial" w:hint="default"/>
                <w:sz w:val="15"/>
                <w:szCs w:val="15"/>
              </w:rPr>
            </w:pPr>
            <w:r>
              <w:rPr>
                <w:rFonts w:ascii="Arial"/>
                <w:sz w:val="15"/>
              </w:rPr>
              <w:t>14.3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20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6"/>
              <w:jc w:val="right"/>
              <w:rPr>
                <w:rFonts w:ascii="宋体" w:hAnsi="宋体" w:cs="宋体" w:eastAsia="宋体" w:hint="default"/>
                <w:sz w:val="15"/>
                <w:szCs w:val="15"/>
              </w:rPr>
            </w:pPr>
            <w:r>
              <w:rPr>
                <w:rFonts w:ascii="宋体" w:hAnsi="宋体" w:cs="宋体" w:eastAsia="宋体" w:hint="default"/>
                <w:sz w:val="15"/>
                <w:szCs w:val="15"/>
              </w:rPr>
              <w:t>李建国</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监事会主席</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71"/>
              <w:jc w:val="right"/>
              <w:rPr>
                <w:rFonts w:ascii="宋体" w:hAnsi="宋体" w:cs="宋体" w:eastAsia="宋体" w:hint="default"/>
                <w:sz w:val="15"/>
                <w:szCs w:val="15"/>
              </w:rPr>
            </w:pPr>
            <w:r>
              <w:rPr>
                <w:rFonts w:ascii="宋体" w:hAnsi="宋体" w:cs="宋体" w:eastAsia="宋体" w:hint="default"/>
                <w:w w:val="100"/>
                <w:sz w:val="15"/>
                <w:szCs w:val="15"/>
              </w:rPr>
              <w:t>女</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Arial" w:hAnsi="Arial" w:cs="Arial" w:eastAsia="Arial" w:hint="default"/>
                <w:sz w:val="15"/>
                <w:szCs w:val="15"/>
              </w:rPr>
            </w:pPr>
            <w:r>
              <w:rPr>
                <w:rFonts w:ascii="Arial"/>
                <w:sz w:val="15"/>
              </w:rPr>
              <w:t>61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84"/>
              <w:jc w:val="right"/>
              <w:rPr>
                <w:rFonts w:ascii="宋体" w:hAnsi="宋体" w:cs="宋体" w:eastAsia="宋体" w:hint="default"/>
                <w:sz w:val="15"/>
                <w:szCs w:val="15"/>
              </w:rPr>
            </w:pPr>
            <w:r>
              <w:rPr>
                <w:rFonts w:ascii="Arial" w:hAnsi="Arial" w:cs="Arial" w:eastAsia="Arial" w:hint="default"/>
                <w:sz w:val="15"/>
                <w:szCs w:val="15"/>
              </w:rPr>
              <w:t>2009</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5</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26</w:t>
            </w:r>
            <w:r>
              <w:rPr>
                <w:rFonts w:ascii="Arial" w:hAnsi="Arial" w:cs="Arial" w:eastAsia="Arial" w:hint="default"/>
                <w:spacing w:val="-4"/>
                <w:sz w:val="15"/>
                <w:szCs w:val="15"/>
              </w:rPr>
              <w:t> </w:t>
            </w:r>
            <w:r>
              <w:rPr>
                <w:rFonts w:ascii="宋体" w:hAnsi="宋体" w:cs="宋体" w:eastAsia="宋体" w:hint="default"/>
                <w:sz w:val="15"/>
                <w:szCs w:val="15"/>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59"/>
              <w:jc w:val="center"/>
              <w:rPr>
                <w:rFonts w:ascii="宋体" w:hAnsi="宋体" w:cs="宋体" w:eastAsia="宋体" w:hint="default"/>
                <w:sz w:val="15"/>
                <w:szCs w:val="15"/>
              </w:rPr>
            </w:pPr>
            <w:r>
              <w:rPr>
                <w:rFonts w:ascii="Arial" w:hAnsi="Arial" w:cs="Arial" w:eastAsia="Arial" w:hint="default"/>
                <w:sz w:val="15"/>
                <w:szCs w:val="15"/>
              </w:rPr>
              <w:t>2015</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12</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20</w:t>
            </w:r>
            <w:r>
              <w:rPr>
                <w:rFonts w:ascii="Arial" w:hAnsi="Arial" w:cs="Arial" w:eastAsia="Arial" w:hint="default"/>
                <w:spacing w:val="-5"/>
                <w:sz w:val="15"/>
                <w:szCs w:val="15"/>
              </w:rPr>
              <w:t> </w:t>
            </w:r>
            <w:r>
              <w:rPr>
                <w:rFonts w:ascii="宋体" w:hAnsi="宋体" w:cs="宋体" w:eastAsia="宋体" w:hint="default"/>
                <w:sz w:val="15"/>
                <w:szCs w:val="15"/>
              </w:rPr>
              <w:t>日</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Arial" w:hAnsi="Arial" w:cs="Arial" w:eastAsia="Arial" w:hint="default"/>
                <w:sz w:val="15"/>
                <w:szCs w:val="15"/>
              </w:rPr>
            </w:pPr>
            <w:r>
              <w:rPr>
                <w:rFonts w:ascii="Arial"/>
                <w:w w:val="100"/>
                <w:sz w:val="15"/>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Arial" w:hAnsi="Arial" w:cs="Arial" w:eastAsia="Arial" w:hint="default"/>
                <w:sz w:val="15"/>
                <w:szCs w:val="15"/>
              </w:rPr>
            </w:pPr>
            <w:r>
              <w:rPr>
                <w:rFonts w:ascii="Arial"/>
                <w:w w:val="100"/>
                <w:sz w:val="15"/>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Arial" w:hAnsi="Arial" w:cs="Arial" w:eastAsia="Arial" w:hint="default"/>
                <w:sz w:val="15"/>
                <w:szCs w:val="15"/>
              </w:rPr>
            </w:pPr>
            <w:r>
              <w:rPr>
                <w:rFonts w:ascii="Arial"/>
                <w:w w:val="100"/>
                <w:sz w:val="15"/>
              </w:rPr>
              <w:t>-</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见下注</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206"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6"/>
              <w:jc w:val="right"/>
              <w:rPr>
                <w:rFonts w:ascii="宋体" w:hAnsi="宋体" w:cs="宋体" w:eastAsia="宋体" w:hint="default"/>
                <w:sz w:val="15"/>
                <w:szCs w:val="15"/>
              </w:rPr>
            </w:pPr>
            <w:r>
              <w:rPr>
                <w:rFonts w:ascii="宋体" w:hAnsi="宋体" w:cs="宋体" w:eastAsia="宋体" w:hint="default"/>
                <w:sz w:val="15"/>
                <w:szCs w:val="15"/>
              </w:rPr>
              <w:t>汪世昌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职工监事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71"/>
              <w:jc w:val="right"/>
              <w:rPr>
                <w:rFonts w:ascii="宋体" w:hAnsi="宋体" w:cs="宋体" w:eastAsia="宋体" w:hint="default"/>
                <w:sz w:val="15"/>
                <w:szCs w:val="15"/>
              </w:rPr>
            </w:pPr>
            <w:r>
              <w:rPr>
                <w:rFonts w:ascii="宋体" w:hAnsi="宋体" w:cs="宋体" w:eastAsia="宋体" w:hint="default"/>
                <w:w w:val="100"/>
                <w:sz w:val="15"/>
                <w:szCs w:val="15"/>
              </w:rPr>
              <w:t>男</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Arial" w:hAnsi="Arial" w:cs="Arial" w:eastAsia="Arial" w:hint="default"/>
                <w:sz w:val="15"/>
                <w:szCs w:val="15"/>
              </w:rPr>
            </w:pPr>
            <w:r>
              <w:rPr>
                <w:rFonts w:ascii="Arial"/>
                <w:sz w:val="15"/>
              </w:rPr>
              <w:t>57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34" w:right="84"/>
              <w:jc w:val="right"/>
              <w:rPr>
                <w:rFonts w:ascii="宋体" w:hAnsi="宋体" w:cs="宋体" w:eastAsia="宋体" w:hint="default"/>
                <w:sz w:val="15"/>
                <w:szCs w:val="15"/>
              </w:rPr>
            </w:pPr>
            <w:r>
              <w:rPr>
                <w:rFonts w:ascii="Arial" w:hAnsi="Arial" w:cs="Arial" w:eastAsia="Arial" w:hint="default"/>
                <w:sz w:val="15"/>
                <w:szCs w:val="15"/>
              </w:rPr>
              <w:t>2014</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11</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24</w:t>
            </w:r>
            <w:r>
              <w:rPr>
                <w:rFonts w:ascii="Arial" w:hAnsi="Arial" w:cs="Arial" w:eastAsia="Arial" w:hint="default"/>
                <w:spacing w:val="-5"/>
                <w:sz w:val="15"/>
                <w:szCs w:val="15"/>
              </w:rPr>
              <w:t> </w:t>
            </w:r>
            <w:r>
              <w:rPr>
                <w:rFonts w:ascii="宋体" w:hAnsi="宋体" w:cs="宋体" w:eastAsia="宋体" w:hint="default"/>
                <w:sz w:val="15"/>
                <w:szCs w:val="15"/>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59"/>
              <w:jc w:val="center"/>
              <w:rPr>
                <w:rFonts w:ascii="宋体" w:hAnsi="宋体" w:cs="宋体" w:eastAsia="宋体" w:hint="default"/>
                <w:sz w:val="15"/>
                <w:szCs w:val="15"/>
              </w:rPr>
            </w:pPr>
            <w:r>
              <w:rPr>
                <w:rFonts w:ascii="Arial" w:hAnsi="Arial" w:cs="Arial" w:eastAsia="Arial" w:hint="default"/>
                <w:sz w:val="15"/>
                <w:szCs w:val="15"/>
              </w:rPr>
              <w:t>2015</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12</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20</w:t>
            </w:r>
            <w:r>
              <w:rPr>
                <w:rFonts w:ascii="Arial" w:hAnsi="Arial" w:cs="Arial" w:eastAsia="Arial" w:hint="default"/>
                <w:spacing w:val="-5"/>
                <w:sz w:val="15"/>
                <w:szCs w:val="15"/>
              </w:rPr>
              <w:t> </w:t>
            </w:r>
            <w:r>
              <w:rPr>
                <w:rFonts w:ascii="宋体" w:hAnsi="宋体" w:cs="宋体" w:eastAsia="宋体" w:hint="default"/>
                <w:sz w:val="15"/>
                <w:szCs w:val="15"/>
              </w:rPr>
              <w:t>日</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Arial" w:hAnsi="Arial" w:cs="Arial" w:eastAsia="Arial" w:hint="default"/>
                <w:sz w:val="15"/>
                <w:szCs w:val="15"/>
              </w:rPr>
            </w:pPr>
            <w:r>
              <w:rPr>
                <w:rFonts w:ascii="Arial"/>
                <w:w w:val="100"/>
                <w:sz w:val="15"/>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Arial" w:hAnsi="Arial" w:cs="Arial" w:eastAsia="Arial" w:hint="default"/>
                <w:sz w:val="15"/>
                <w:szCs w:val="15"/>
              </w:rPr>
            </w:pPr>
            <w:r>
              <w:rPr>
                <w:rFonts w:ascii="Arial"/>
                <w:w w:val="100"/>
                <w:sz w:val="15"/>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Arial" w:hAnsi="Arial" w:cs="Arial" w:eastAsia="Arial" w:hint="default"/>
                <w:sz w:val="15"/>
                <w:szCs w:val="15"/>
              </w:rPr>
            </w:pPr>
            <w:r>
              <w:rPr>
                <w:rFonts w:ascii="Arial"/>
                <w:w w:val="100"/>
                <w:sz w:val="15"/>
              </w:rPr>
              <w:t>-</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0"/>
              <w:jc w:val="center"/>
              <w:rPr>
                <w:rFonts w:ascii="宋体" w:hAnsi="宋体" w:cs="宋体" w:eastAsia="宋体" w:hint="default"/>
                <w:sz w:val="15"/>
                <w:szCs w:val="15"/>
              </w:rPr>
            </w:pPr>
            <w:r>
              <w:rPr>
                <w:rFonts w:ascii="宋体" w:hAnsi="宋体" w:cs="宋体" w:eastAsia="宋体" w:hint="default"/>
                <w:sz w:val="15"/>
                <w:szCs w:val="15"/>
              </w:rPr>
              <w:t>见下注</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20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6"/>
              <w:jc w:val="right"/>
              <w:rPr>
                <w:rFonts w:ascii="宋体" w:hAnsi="宋体" w:cs="宋体" w:eastAsia="宋体" w:hint="default"/>
                <w:sz w:val="15"/>
                <w:szCs w:val="15"/>
              </w:rPr>
            </w:pPr>
            <w:r>
              <w:rPr>
                <w:rFonts w:ascii="宋体" w:hAnsi="宋体" w:cs="宋体" w:eastAsia="宋体" w:hint="default"/>
                <w:sz w:val="15"/>
                <w:szCs w:val="15"/>
              </w:rPr>
              <w:t>蔡全根</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监事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71"/>
              <w:jc w:val="right"/>
              <w:rPr>
                <w:rFonts w:ascii="宋体" w:hAnsi="宋体" w:cs="宋体" w:eastAsia="宋体" w:hint="default"/>
                <w:sz w:val="15"/>
                <w:szCs w:val="15"/>
              </w:rPr>
            </w:pPr>
            <w:r>
              <w:rPr>
                <w:rFonts w:ascii="宋体" w:hAnsi="宋体" w:cs="宋体" w:eastAsia="宋体" w:hint="default"/>
                <w:w w:val="100"/>
                <w:sz w:val="15"/>
                <w:szCs w:val="15"/>
              </w:rPr>
              <w:t>男</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center"/>
              <w:rPr>
                <w:rFonts w:ascii="Arial" w:hAnsi="Arial" w:cs="Arial" w:eastAsia="Arial" w:hint="default"/>
                <w:sz w:val="15"/>
                <w:szCs w:val="15"/>
              </w:rPr>
            </w:pPr>
            <w:r>
              <w:rPr>
                <w:rFonts w:ascii="Arial"/>
                <w:sz w:val="15"/>
              </w:rPr>
              <w:t>57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34" w:right="84"/>
              <w:jc w:val="right"/>
              <w:rPr>
                <w:rFonts w:ascii="宋体" w:hAnsi="宋体" w:cs="宋体" w:eastAsia="宋体" w:hint="default"/>
                <w:sz w:val="15"/>
                <w:szCs w:val="15"/>
              </w:rPr>
            </w:pPr>
            <w:r>
              <w:rPr>
                <w:rFonts w:ascii="Arial" w:hAnsi="Arial" w:cs="Arial" w:eastAsia="Arial" w:hint="default"/>
                <w:sz w:val="15"/>
                <w:szCs w:val="15"/>
              </w:rPr>
              <w:t>2014</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11</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24</w:t>
            </w:r>
            <w:r>
              <w:rPr>
                <w:rFonts w:ascii="Arial" w:hAnsi="Arial" w:cs="Arial" w:eastAsia="Arial" w:hint="default"/>
                <w:spacing w:val="-5"/>
                <w:sz w:val="15"/>
                <w:szCs w:val="15"/>
              </w:rPr>
              <w:t> </w:t>
            </w:r>
            <w:r>
              <w:rPr>
                <w:rFonts w:ascii="宋体" w:hAnsi="宋体" w:cs="宋体" w:eastAsia="宋体" w:hint="default"/>
                <w:sz w:val="15"/>
                <w:szCs w:val="15"/>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59"/>
              <w:jc w:val="center"/>
              <w:rPr>
                <w:rFonts w:ascii="宋体" w:hAnsi="宋体" w:cs="宋体" w:eastAsia="宋体" w:hint="default"/>
                <w:sz w:val="15"/>
                <w:szCs w:val="15"/>
              </w:rPr>
            </w:pPr>
            <w:r>
              <w:rPr>
                <w:rFonts w:ascii="Arial" w:hAnsi="Arial" w:cs="Arial" w:eastAsia="Arial" w:hint="default"/>
                <w:sz w:val="15"/>
                <w:szCs w:val="15"/>
              </w:rPr>
              <w:t>2015</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12</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20</w:t>
            </w:r>
            <w:r>
              <w:rPr>
                <w:rFonts w:ascii="Arial" w:hAnsi="Arial" w:cs="Arial" w:eastAsia="Arial" w:hint="default"/>
                <w:spacing w:val="-5"/>
                <w:sz w:val="15"/>
                <w:szCs w:val="15"/>
              </w:rPr>
              <w:t> </w:t>
            </w:r>
            <w:r>
              <w:rPr>
                <w:rFonts w:ascii="宋体" w:hAnsi="宋体" w:cs="宋体" w:eastAsia="宋体" w:hint="default"/>
                <w:sz w:val="15"/>
                <w:szCs w:val="15"/>
              </w:rPr>
              <w:t>日</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Arial" w:hAnsi="Arial" w:cs="Arial" w:eastAsia="Arial" w:hint="default"/>
                <w:sz w:val="15"/>
                <w:szCs w:val="15"/>
              </w:rPr>
            </w:pPr>
            <w:r>
              <w:rPr>
                <w:rFonts w:ascii="Arial"/>
                <w:w w:val="100"/>
                <w:sz w:val="15"/>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Arial" w:hAnsi="Arial" w:cs="Arial" w:eastAsia="Arial" w:hint="default"/>
                <w:sz w:val="15"/>
                <w:szCs w:val="15"/>
              </w:rPr>
            </w:pPr>
            <w:r>
              <w:rPr>
                <w:rFonts w:ascii="Arial"/>
                <w:w w:val="100"/>
                <w:sz w:val="15"/>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Arial" w:hAnsi="Arial" w:cs="Arial" w:eastAsia="Arial" w:hint="default"/>
                <w:sz w:val="15"/>
                <w:szCs w:val="15"/>
              </w:rPr>
            </w:pPr>
            <w:r>
              <w:rPr>
                <w:rFonts w:ascii="Arial"/>
                <w:w w:val="100"/>
                <w:sz w:val="15"/>
              </w:rPr>
              <w:t>-</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见下注</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593"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hAnsi="宋体" w:cs="宋体" w:eastAsia="宋体" w:hint="default"/>
                <w:sz w:val="15"/>
                <w:szCs w:val="15"/>
              </w:rPr>
              <w:t>李 </w:t>
            </w:r>
            <w:r>
              <w:rPr>
                <w:rFonts w:ascii="宋体" w:hAnsi="宋体" w:cs="宋体" w:eastAsia="宋体" w:hint="default"/>
                <w:spacing w:val="8"/>
                <w:sz w:val="15"/>
                <w:szCs w:val="15"/>
              </w:rPr>
              <w:t> </w:t>
            </w:r>
            <w:r>
              <w:rPr>
                <w:rFonts w:ascii="宋体" w:hAnsi="宋体" w:cs="宋体" w:eastAsia="宋体" w:hint="default"/>
                <w:sz w:val="15"/>
                <w:szCs w:val="15"/>
              </w:rPr>
              <w:t>超</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副总裁、</w:t>
            </w:r>
          </w:p>
          <w:p>
            <w:pPr>
              <w:pStyle w:val="TableParagraph"/>
              <w:spacing w:line="240" w:lineRule="auto"/>
              <w:ind w:left="103" w:right="46"/>
              <w:jc w:val="left"/>
              <w:rPr>
                <w:rFonts w:ascii="宋体" w:hAnsi="宋体" w:cs="宋体" w:eastAsia="宋体" w:hint="default"/>
                <w:sz w:val="15"/>
                <w:szCs w:val="15"/>
              </w:rPr>
            </w:pPr>
            <w:r>
              <w:rPr>
                <w:rFonts w:ascii="宋体" w:hAnsi="宋体" w:cs="宋体" w:eastAsia="宋体" w:hint="default"/>
                <w:sz w:val="15"/>
                <w:szCs w:val="15"/>
              </w:rPr>
              <w:t>财务负责人、</w:t>
            </w:r>
            <w:r>
              <w:rPr>
                <w:rFonts w:ascii="宋体" w:hAnsi="宋体" w:cs="宋体" w:eastAsia="宋体" w:hint="default"/>
                <w:w w:val="100"/>
                <w:sz w:val="15"/>
                <w:szCs w:val="15"/>
              </w:rPr>
              <w:t> </w:t>
            </w:r>
            <w:r>
              <w:rPr>
                <w:rFonts w:ascii="宋体" w:hAnsi="宋体" w:cs="宋体" w:eastAsia="宋体" w:hint="default"/>
                <w:sz w:val="15"/>
                <w:szCs w:val="15"/>
              </w:rPr>
              <w:t>董事会秘书</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71"/>
              <w:jc w:val="right"/>
              <w:rPr>
                <w:rFonts w:ascii="宋体" w:hAnsi="宋体" w:cs="宋体" w:eastAsia="宋体" w:hint="default"/>
                <w:sz w:val="15"/>
                <w:szCs w:val="15"/>
              </w:rPr>
            </w:pPr>
            <w:r>
              <w:rPr>
                <w:rFonts w:ascii="宋体" w:hAnsi="宋体" w:cs="宋体" w:eastAsia="宋体" w:hint="default"/>
                <w:w w:val="100"/>
                <w:sz w:val="15"/>
                <w:szCs w:val="15"/>
              </w:rPr>
              <w:t>男</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Arial" w:hAnsi="Arial" w:cs="Arial" w:eastAsia="Arial" w:hint="default"/>
                <w:sz w:val="15"/>
                <w:szCs w:val="15"/>
              </w:rPr>
            </w:pPr>
            <w:r>
              <w:rPr>
                <w:rFonts w:ascii="Arial"/>
                <w:sz w:val="15"/>
              </w:rPr>
              <w:t>58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5"/>
                <w:szCs w:val="15"/>
              </w:rPr>
            </w:pPr>
            <w:r>
              <w:rPr>
                <w:rFonts w:ascii="Arial" w:hAnsi="Arial" w:cs="Arial" w:eastAsia="Arial" w:hint="default"/>
                <w:sz w:val="15"/>
                <w:szCs w:val="15"/>
              </w:rPr>
              <w:t>2013</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3</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21</w:t>
            </w:r>
            <w:r>
              <w:rPr>
                <w:rFonts w:ascii="Arial" w:hAnsi="Arial" w:cs="Arial" w:eastAsia="Arial" w:hint="default"/>
                <w:spacing w:val="-4"/>
                <w:sz w:val="15"/>
                <w:szCs w:val="15"/>
              </w:rPr>
              <w:t> </w:t>
            </w:r>
            <w:r>
              <w:rPr>
                <w:rFonts w:ascii="宋体" w:hAnsi="宋体" w:cs="宋体" w:eastAsia="宋体" w:hint="default"/>
                <w:sz w:val="15"/>
                <w:szCs w:val="15"/>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59"/>
              <w:jc w:val="center"/>
              <w:rPr>
                <w:rFonts w:ascii="宋体" w:hAnsi="宋体" w:cs="宋体" w:eastAsia="宋体" w:hint="default"/>
                <w:sz w:val="15"/>
                <w:szCs w:val="15"/>
              </w:rPr>
            </w:pPr>
            <w:r>
              <w:rPr>
                <w:rFonts w:ascii="Arial" w:hAnsi="Arial" w:cs="Arial" w:eastAsia="Arial" w:hint="default"/>
                <w:sz w:val="15"/>
                <w:szCs w:val="15"/>
              </w:rPr>
              <w:t>2015</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12</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20</w:t>
            </w:r>
            <w:r>
              <w:rPr>
                <w:rFonts w:ascii="Arial" w:hAnsi="Arial" w:cs="Arial" w:eastAsia="Arial" w:hint="default"/>
                <w:spacing w:val="-5"/>
                <w:sz w:val="15"/>
                <w:szCs w:val="15"/>
              </w:rPr>
              <w:t> </w:t>
            </w:r>
            <w:r>
              <w:rPr>
                <w:rFonts w:ascii="宋体" w:hAnsi="宋体" w:cs="宋体" w:eastAsia="宋体" w:hint="default"/>
                <w:sz w:val="15"/>
                <w:szCs w:val="15"/>
              </w:rPr>
              <w:t>日</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5"/>
                <w:szCs w:val="15"/>
              </w:rPr>
            </w:pPr>
            <w:r>
              <w:rPr>
                <w:rFonts w:ascii="Arial"/>
                <w:w w:val="100"/>
                <w:sz w:val="15"/>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5"/>
                <w:szCs w:val="15"/>
              </w:rPr>
            </w:pPr>
            <w:r>
              <w:rPr>
                <w:rFonts w:ascii="Arial"/>
                <w:w w:val="100"/>
                <w:sz w:val="15"/>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5"/>
                <w:szCs w:val="15"/>
              </w:rPr>
            </w:pPr>
            <w:r>
              <w:rPr>
                <w:rFonts w:ascii="Arial"/>
                <w:w w:val="100"/>
                <w:sz w:val="15"/>
              </w:rPr>
              <w:t>-</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0"/>
              <w:jc w:val="center"/>
              <w:rPr>
                <w:rFonts w:ascii="Arial" w:hAnsi="Arial" w:cs="Arial" w:eastAsia="Arial" w:hint="default"/>
                <w:sz w:val="15"/>
                <w:szCs w:val="15"/>
              </w:rPr>
            </w:pPr>
            <w:r>
              <w:rPr>
                <w:rFonts w:ascii="Arial"/>
                <w:sz w:val="15"/>
              </w:rPr>
              <w:t>61.58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20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6"/>
              <w:jc w:val="right"/>
              <w:rPr>
                <w:rFonts w:ascii="宋体" w:hAnsi="宋体" w:cs="宋体" w:eastAsia="宋体" w:hint="default"/>
                <w:sz w:val="15"/>
                <w:szCs w:val="15"/>
              </w:rPr>
            </w:pPr>
            <w:r>
              <w:rPr>
                <w:rFonts w:ascii="宋体" w:hAnsi="宋体" w:cs="宋体" w:eastAsia="宋体" w:hint="default"/>
                <w:sz w:val="15"/>
                <w:szCs w:val="15"/>
              </w:rPr>
              <w:t>佟吉禄</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离任董事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71"/>
              <w:jc w:val="right"/>
              <w:rPr>
                <w:rFonts w:ascii="宋体" w:hAnsi="宋体" w:cs="宋体" w:eastAsia="宋体" w:hint="default"/>
                <w:sz w:val="15"/>
                <w:szCs w:val="15"/>
              </w:rPr>
            </w:pPr>
            <w:r>
              <w:rPr>
                <w:rFonts w:ascii="宋体" w:hAnsi="宋体" w:cs="宋体" w:eastAsia="宋体" w:hint="default"/>
                <w:w w:val="100"/>
                <w:sz w:val="15"/>
                <w:szCs w:val="15"/>
              </w:rPr>
              <w:t>男</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Arial" w:hAnsi="Arial" w:cs="Arial" w:eastAsia="Arial" w:hint="default"/>
                <w:sz w:val="15"/>
                <w:szCs w:val="15"/>
              </w:rPr>
            </w:pPr>
            <w:r>
              <w:rPr>
                <w:rFonts w:ascii="Arial"/>
                <w:sz w:val="15"/>
              </w:rPr>
              <w:t>56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34" w:right="84"/>
              <w:jc w:val="right"/>
              <w:rPr>
                <w:rFonts w:ascii="宋体" w:hAnsi="宋体" w:cs="宋体" w:eastAsia="宋体" w:hint="default"/>
                <w:sz w:val="15"/>
                <w:szCs w:val="15"/>
              </w:rPr>
            </w:pPr>
            <w:r>
              <w:rPr>
                <w:rFonts w:ascii="Arial" w:hAnsi="Arial" w:cs="Arial" w:eastAsia="Arial" w:hint="default"/>
                <w:sz w:val="15"/>
                <w:szCs w:val="15"/>
              </w:rPr>
              <w:t>2001</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12</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30</w:t>
            </w:r>
            <w:r>
              <w:rPr>
                <w:rFonts w:ascii="Arial" w:hAnsi="Arial" w:cs="Arial" w:eastAsia="Arial" w:hint="default"/>
                <w:spacing w:val="-5"/>
                <w:sz w:val="15"/>
                <w:szCs w:val="15"/>
              </w:rPr>
              <w:t> </w:t>
            </w:r>
            <w:r>
              <w:rPr>
                <w:rFonts w:ascii="宋体" w:hAnsi="宋体" w:cs="宋体" w:eastAsia="宋体" w:hint="default"/>
                <w:sz w:val="15"/>
                <w:szCs w:val="15"/>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59"/>
              <w:jc w:val="center"/>
              <w:rPr>
                <w:rFonts w:ascii="宋体" w:hAnsi="宋体" w:cs="宋体" w:eastAsia="宋体" w:hint="default"/>
                <w:sz w:val="15"/>
                <w:szCs w:val="15"/>
              </w:rPr>
            </w:pPr>
            <w:r>
              <w:rPr>
                <w:rFonts w:ascii="Arial" w:hAnsi="Arial" w:cs="Arial" w:eastAsia="Arial" w:hint="default"/>
                <w:sz w:val="15"/>
                <w:szCs w:val="15"/>
              </w:rPr>
              <w:t>2014</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10</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17</w:t>
            </w:r>
            <w:r>
              <w:rPr>
                <w:rFonts w:ascii="Arial" w:hAnsi="Arial" w:cs="Arial" w:eastAsia="Arial" w:hint="default"/>
                <w:spacing w:val="-5"/>
                <w:sz w:val="15"/>
                <w:szCs w:val="15"/>
              </w:rPr>
              <w:t> </w:t>
            </w:r>
            <w:r>
              <w:rPr>
                <w:rFonts w:ascii="宋体" w:hAnsi="宋体" w:cs="宋体" w:eastAsia="宋体" w:hint="default"/>
                <w:sz w:val="15"/>
                <w:szCs w:val="15"/>
              </w:rPr>
              <w:t>日</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Arial" w:hAnsi="Arial" w:cs="Arial" w:eastAsia="Arial" w:hint="default"/>
                <w:sz w:val="15"/>
                <w:szCs w:val="15"/>
              </w:rPr>
            </w:pPr>
            <w:r>
              <w:rPr>
                <w:rFonts w:ascii="Arial"/>
                <w:w w:val="100"/>
                <w:sz w:val="15"/>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Arial" w:hAnsi="Arial" w:cs="Arial" w:eastAsia="Arial" w:hint="default"/>
                <w:sz w:val="15"/>
                <w:szCs w:val="15"/>
              </w:rPr>
            </w:pPr>
            <w:r>
              <w:rPr>
                <w:rFonts w:ascii="Arial"/>
                <w:w w:val="100"/>
                <w:sz w:val="15"/>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Arial" w:hAnsi="Arial" w:cs="Arial" w:eastAsia="Arial" w:hint="default"/>
                <w:sz w:val="15"/>
                <w:szCs w:val="15"/>
              </w:rPr>
            </w:pPr>
            <w:r>
              <w:rPr>
                <w:rFonts w:ascii="Arial"/>
                <w:w w:val="100"/>
                <w:sz w:val="15"/>
              </w:rPr>
              <w:t>-</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见下注</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401"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6"/>
              <w:jc w:val="right"/>
              <w:rPr>
                <w:rFonts w:ascii="宋体" w:hAnsi="宋体" w:cs="宋体" w:eastAsia="宋体" w:hint="default"/>
                <w:sz w:val="15"/>
                <w:szCs w:val="15"/>
              </w:rPr>
            </w:pPr>
            <w:r>
              <w:rPr>
                <w:rFonts w:ascii="宋体" w:hAnsi="宋体" w:cs="宋体" w:eastAsia="宋体" w:hint="default"/>
                <w:sz w:val="15"/>
                <w:szCs w:val="15"/>
              </w:rPr>
              <w:t>郭小林</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离任监事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71"/>
              <w:jc w:val="right"/>
              <w:rPr>
                <w:rFonts w:ascii="宋体" w:hAnsi="宋体" w:cs="宋体" w:eastAsia="宋体" w:hint="default"/>
                <w:sz w:val="15"/>
                <w:szCs w:val="15"/>
              </w:rPr>
            </w:pPr>
            <w:r>
              <w:rPr>
                <w:rFonts w:ascii="宋体" w:hAnsi="宋体" w:cs="宋体" w:eastAsia="宋体" w:hint="default"/>
                <w:w w:val="100"/>
                <w:sz w:val="15"/>
                <w:szCs w:val="15"/>
              </w:rPr>
              <w:t>女</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Arial" w:hAnsi="Arial" w:cs="Arial" w:eastAsia="Arial" w:hint="default"/>
                <w:sz w:val="15"/>
                <w:szCs w:val="15"/>
              </w:rPr>
            </w:pPr>
            <w:r>
              <w:rPr>
                <w:rFonts w:ascii="Arial"/>
                <w:sz w:val="15"/>
              </w:rPr>
              <w:t>49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84"/>
              <w:jc w:val="right"/>
              <w:rPr>
                <w:rFonts w:ascii="宋体" w:hAnsi="宋体" w:cs="宋体" w:eastAsia="宋体" w:hint="default"/>
                <w:sz w:val="15"/>
                <w:szCs w:val="15"/>
              </w:rPr>
            </w:pPr>
            <w:r>
              <w:rPr>
                <w:rFonts w:ascii="Arial" w:hAnsi="Arial" w:cs="Arial" w:eastAsia="Arial" w:hint="default"/>
                <w:sz w:val="15"/>
                <w:szCs w:val="15"/>
              </w:rPr>
              <w:t>2012</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5</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29</w:t>
            </w:r>
            <w:r>
              <w:rPr>
                <w:rFonts w:ascii="Arial" w:hAnsi="Arial" w:cs="Arial" w:eastAsia="Arial" w:hint="default"/>
                <w:spacing w:val="-4"/>
                <w:sz w:val="15"/>
                <w:szCs w:val="15"/>
              </w:rPr>
              <w:t> </w:t>
            </w:r>
            <w:r>
              <w:rPr>
                <w:rFonts w:ascii="宋体" w:hAnsi="宋体" w:cs="宋体" w:eastAsia="宋体" w:hint="default"/>
                <w:sz w:val="15"/>
                <w:szCs w:val="15"/>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center"/>
              <w:rPr>
                <w:rFonts w:ascii="宋体" w:hAnsi="宋体" w:cs="宋体" w:eastAsia="宋体" w:hint="default"/>
                <w:sz w:val="15"/>
                <w:szCs w:val="15"/>
              </w:rPr>
            </w:pPr>
            <w:r>
              <w:rPr>
                <w:rFonts w:ascii="Arial" w:hAnsi="Arial" w:cs="Arial" w:eastAsia="Arial" w:hint="default"/>
                <w:sz w:val="15"/>
                <w:szCs w:val="15"/>
              </w:rPr>
              <w:t>2014</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11</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Arial" w:hAnsi="Arial" w:cs="Arial" w:eastAsia="Arial" w:hint="default"/>
                <w:sz w:val="15"/>
                <w:szCs w:val="15"/>
              </w:rPr>
              <w:t>6</w:t>
            </w:r>
            <w:r>
              <w:rPr>
                <w:rFonts w:ascii="Arial" w:hAnsi="Arial" w:cs="Arial" w:eastAsia="Arial" w:hint="default"/>
                <w:spacing w:val="-4"/>
                <w:sz w:val="15"/>
                <w:szCs w:val="15"/>
              </w:rPr>
              <w:t> </w:t>
            </w:r>
            <w:r>
              <w:rPr>
                <w:rFonts w:ascii="宋体" w:hAnsi="宋体" w:cs="宋体" w:eastAsia="宋体" w:hint="default"/>
                <w:sz w:val="15"/>
                <w:szCs w:val="15"/>
              </w:rPr>
              <w:t>日</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Arial" w:hAnsi="Arial" w:cs="Arial" w:eastAsia="Arial" w:hint="default"/>
                <w:sz w:val="15"/>
                <w:szCs w:val="15"/>
              </w:rPr>
            </w:pPr>
            <w:r>
              <w:rPr>
                <w:rFonts w:ascii="Arial"/>
                <w:w w:val="100"/>
                <w:sz w:val="15"/>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
              <w:jc w:val="center"/>
              <w:rPr>
                <w:rFonts w:ascii="Arial" w:hAnsi="Arial" w:cs="Arial" w:eastAsia="Arial" w:hint="default"/>
                <w:sz w:val="15"/>
                <w:szCs w:val="15"/>
              </w:rPr>
            </w:pPr>
            <w:r>
              <w:rPr>
                <w:rFonts w:ascii="Arial"/>
                <w:sz w:val="15"/>
              </w:rPr>
              <w:t>17,700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
              <w:jc w:val="center"/>
              <w:rPr>
                <w:rFonts w:ascii="Arial" w:hAnsi="Arial" w:cs="Arial" w:eastAsia="Arial" w:hint="default"/>
                <w:sz w:val="15"/>
                <w:szCs w:val="15"/>
              </w:rPr>
            </w:pPr>
            <w:r>
              <w:rPr>
                <w:rFonts w:ascii="Arial"/>
                <w:sz w:val="15"/>
              </w:rPr>
              <w:t>17,700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35" w:right="0" w:firstLine="74"/>
              <w:jc w:val="left"/>
              <w:rPr>
                <w:rFonts w:ascii="宋体" w:hAnsi="宋体" w:cs="宋体" w:eastAsia="宋体" w:hint="default"/>
                <w:sz w:val="15"/>
                <w:szCs w:val="15"/>
              </w:rPr>
            </w:pPr>
            <w:r>
              <w:rPr>
                <w:rFonts w:ascii="宋体" w:hAnsi="宋体" w:cs="宋体" w:eastAsia="宋体" w:hint="default"/>
                <w:sz w:val="15"/>
                <w:szCs w:val="15"/>
              </w:rPr>
              <w:t>在二级</w:t>
            </w:r>
          </w:p>
          <w:p>
            <w:pPr>
              <w:pStyle w:val="TableParagraph"/>
              <w:spacing w:line="195" w:lineRule="exact"/>
              <w:ind w:left="35" w:right="0"/>
              <w:jc w:val="left"/>
              <w:rPr>
                <w:rFonts w:ascii="宋体" w:hAnsi="宋体" w:cs="宋体" w:eastAsia="宋体" w:hint="default"/>
                <w:sz w:val="15"/>
                <w:szCs w:val="15"/>
              </w:rPr>
            </w:pPr>
            <w:r>
              <w:rPr>
                <w:rFonts w:ascii="宋体" w:hAnsi="宋体" w:cs="宋体" w:eastAsia="宋体" w:hint="default"/>
                <w:sz w:val="15"/>
                <w:szCs w:val="15"/>
              </w:rPr>
              <w:t>市场购买</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sz w:val="15"/>
                <w:szCs w:val="15"/>
              </w:rPr>
              <w:t>见下注</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20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6"/>
              <w:jc w:val="right"/>
              <w:rPr>
                <w:rFonts w:ascii="宋体" w:hAnsi="宋体" w:cs="宋体" w:eastAsia="宋体" w:hint="default"/>
                <w:sz w:val="15"/>
                <w:szCs w:val="15"/>
              </w:rPr>
            </w:pPr>
            <w:r>
              <w:rPr>
                <w:rFonts w:ascii="宋体" w:hAnsi="宋体" w:cs="宋体" w:eastAsia="宋体" w:hint="default"/>
                <w:sz w:val="15"/>
                <w:szCs w:val="15"/>
              </w:rPr>
              <w:t>郭晓科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离任监事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71"/>
              <w:jc w:val="right"/>
              <w:rPr>
                <w:rFonts w:ascii="宋体" w:hAnsi="宋体" w:cs="宋体" w:eastAsia="宋体" w:hint="default"/>
                <w:sz w:val="15"/>
                <w:szCs w:val="15"/>
              </w:rPr>
            </w:pPr>
            <w:r>
              <w:rPr>
                <w:rFonts w:ascii="宋体" w:hAnsi="宋体" w:cs="宋体" w:eastAsia="宋体" w:hint="default"/>
                <w:w w:val="100"/>
                <w:sz w:val="15"/>
                <w:szCs w:val="15"/>
              </w:rPr>
              <w:t>男</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center"/>
              <w:rPr>
                <w:rFonts w:ascii="Arial" w:hAnsi="Arial" w:cs="Arial" w:eastAsia="Arial" w:hint="default"/>
                <w:sz w:val="15"/>
                <w:szCs w:val="15"/>
              </w:rPr>
            </w:pPr>
            <w:r>
              <w:rPr>
                <w:rFonts w:ascii="Arial"/>
                <w:sz w:val="15"/>
              </w:rPr>
              <w:t>51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84"/>
              <w:jc w:val="right"/>
              <w:rPr>
                <w:rFonts w:ascii="宋体" w:hAnsi="宋体" w:cs="宋体" w:eastAsia="宋体" w:hint="default"/>
                <w:sz w:val="15"/>
                <w:szCs w:val="15"/>
              </w:rPr>
            </w:pPr>
            <w:r>
              <w:rPr>
                <w:rFonts w:ascii="Arial" w:hAnsi="Arial" w:cs="Arial" w:eastAsia="Arial" w:hint="default"/>
                <w:sz w:val="15"/>
                <w:szCs w:val="15"/>
              </w:rPr>
              <w:t>2012</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5</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29</w:t>
            </w:r>
            <w:r>
              <w:rPr>
                <w:rFonts w:ascii="Arial" w:hAnsi="Arial" w:cs="Arial" w:eastAsia="Arial" w:hint="default"/>
                <w:spacing w:val="-4"/>
                <w:sz w:val="15"/>
                <w:szCs w:val="15"/>
              </w:rPr>
              <w:t> </w:t>
            </w:r>
            <w:r>
              <w:rPr>
                <w:rFonts w:ascii="宋体" w:hAnsi="宋体" w:cs="宋体" w:eastAsia="宋体" w:hint="default"/>
                <w:sz w:val="15"/>
                <w:szCs w:val="15"/>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59"/>
              <w:jc w:val="center"/>
              <w:rPr>
                <w:rFonts w:ascii="宋体" w:hAnsi="宋体" w:cs="宋体" w:eastAsia="宋体" w:hint="default"/>
                <w:sz w:val="15"/>
                <w:szCs w:val="15"/>
              </w:rPr>
            </w:pPr>
            <w:r>
              <w:rPr>
                <w:rFonts w:ascii="Arial" w:hAnsi="Arial" w:cs="Arial" w:eastAsia="Arial" w:hint="default"/>
                <w:sz w:val="15"/>
                <w:szCs w:val="15"/>
              </w:rPr>
              <w:t>2014</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11</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23</w:t>
            </w:r>
            <w:r>
              <w:rPr>
                <w:rFonts w:ascii="Arial" w:hAnsi="Arial" w:cs="Arial" w:eastAsia="Arial" w:hint="default"/>
                <w:spacing w:val="-5"/>
                <w:sz w:val="15"/>
                <w:szCs w:val="15"/>
              </w:rPr>
              <w:t> </w:t>
            </w:r>
            <w:r>
              <w:rPr>
                <w:rFonts w:ascii="宋体" w:hAnsi="宋体" w:cs="宋体" w:eastAsia="宋体" w:hint="default"/>
                <w:sz w:val="15"/>
                <w:szCs w:val="15"/>
              </w:rPr>
              <w:t>日</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Arial" w:hAnsi="Arial" w:cs="Arial" w:eastAsia="Arial" w:hint="default"/>
                <w:sz w:val="15"/>
                <w:szCs w:val="15"/>
              </w:rPr>
            </w:pPr>
            <w:r>
              <w:rPr>
                <w:rFonts w:ascii="Arial"/>
                <w:w w:val="100"/>
                <w:sz w:val="15"/>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Arial" w:hAnsi="Arial" w:cs="Arial" w:eastAsia="Arial" w:hint="default"/>
                <w:sz w:val="15"/>
                <w:szCs w:val="15"/>
              </w:rPr>
            </w:pPr>
            <w:r>
              <w:rPr>
                <w:rFonts w:ascii="Arial"/>
                <w:w w:val="100"/>
                <w:sz w:val="15"/>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Arial" w:hAnsi="Arial" w:cs="Arial" w:eastAsia="Arial" w:hint="default"/>
                <w:sz w:val="15"/>
                <w:szCs w:val="15"/>
              </w:rPr>
            </w:pPr>
            <w:r>
              <w:rPr>
                <w:rFonts w:ascii="Arial"/>
                <w:w w:val="100"/>
                <w:sz w:val="15"/>
              </w:rPr>
              <w:t>-</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见下注</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20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8"/>
                <w:sz w:val="15"/>
                <w:szCs w:val="15"/>
              </w:rPr>
              <w:t> </w:t>
            </w:r>
            <w:r>
              <w:rPr>
                <w:rFonts w:ascii="宋体" w:hAnsi="宋体" w:cs="宋体" w:eastAsia="宋体" w:hint="default"/>
                <w:sz w:val="15"/>
                <w:szCs w:val="15"/>
              </w:rPr>
              <w:t>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Arial" w:hAnsi="Arial" w:cs="Arial" w:eastAsia="Arial" w:hint="default"/>
                <w:sz w:val="15"/>
                <w:szCs w:val="15"/>
              </w:rPr>
            </w:pPr>
            <w:r>
              <w:rPr>
                <w:rFonts w:ascii="Arial"/>
                <w:w w:val="100"/>
                <w:sz w:val="15"/>
              </w:rPr>
              <w:t>/</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0"/>
              <w:jc w:val="right"/>
              <w:rPr>
                <w:rFonts w:ascii="Arial" w:hAnsi="Arial" w:cs="Arial" w:eastAsia="Arial" w:hint="default"/>
                <w:sz w:val="15"/>
                <w:szCs w:val="15"/>
              </w:rPr>
            </w:pPr>
            <w:r>
              <w:rPr>
                <w:rFonts w:ascii="Arial"/>
                <w:w w:val="100"/>
                <w:sz w:val="15"/>
              </w:rPr>
              <w:t>/</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Arial" w:hAnsi="Arial" w:cs="Arial" w:eastAsia="Arial" w:hint="default"/>
                <w:sz w:val="15"/>
                <w:szCs w:val="15"/>
              </w:rPr>
            </w:pPr>
            <w:r>
              <w:rPr>
                <w:rFonts w:ascii="Arial"/>
                <w:w w:val="100"/>
                <w:sz w:val="15"/>
              </w:rPr>
              <w:t>/</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5"/>
              <w:jc w:val="center"/>
              <w:rPr>
                <w:rFonts w:ascii="Arial" w:hAnsi="Arial" w:cs="Arial" w:eastAsia="Arial" w:hint="default"/>
                <w:sz w:val="15"/>
                <w:szCs w:val="15"/>
              </w:rPr>
            </w:pPr>
            <w:r>
              <w:rPr>
                <w:rFonts w:ascii="Arial"/>
                <w:w w:val="100"/>
                <w:sz w:val="15"/>
              </w:rPr>
              <w:t>/</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2"/>
              <w:jc w:val="center"/>
              <w:rPr>
                <w:rFonts w:ascii="Arial" w:hAnsi="Arial" w:cs="Arial" w:eastAsia="Arial" w:hint="default"/>
                <w:sz w:val="15"/>
                <w:szCs w:val="15"/>
              </w:rPr>
            </w:pPr>
            <w:r>
              <w:rPr>
                <w:rFonts w:ascii="Arial"/>
                <w:w w:val="100"/>
                <w:sz w:val="15"/>
              </w:rPr>
              <w:t>/</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Arial" w:hAnsi="Arial" w:cs="Arial" w:eastAsia="Arial" w:hint="default"/>
                <w:sz w:val="15"/>
                <w:szCs w:val="15"/>
              </w:rPr>
            </w:pPr>
            <w:r>
              <w:rPr>
                <w:rFonts w:ascii="Arial"/>
                <w:w w:val="100"/>
                <w:sz w:val="15"/>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
              <w:jc w:val="center"/>
              <w:rPr>
                <w:rFonts w:ascii="Arial" w:hAnsi="Arial" w:cs="Arial" w:eastAsia="Arial" w:hint="default"/>
                <w:sz w:val="15"/>
                <w:szCs w:val="15"/>
              </w:rPr>
            </w:pPr>
            <w:r>
              <w:rPr>
                <w:rFonts w:ascii="Arial"/>
                <w:sz w:val="15"/>
              </w:rPr>
              <w:t>17,700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center"/>
              <w:rPr>
                <w:rFonts w:ascii="Arial" w:hAnsi="Arial" w:cs="Arial" w:eastAsia="Arial" w:hint="default"/>
                <w:sz w:val="15"/>
                <w:szCs w:val="15"/>
              </w:rPr>
            </w:pPr>
            <w:r>
              <w:rPr>
                <w:rFonts w:ascii="Arial"/>
                <w:sz w:val="15"/>
              </w:rPr>
              <w:t>17,700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Arial" w:hAnsi="Arial" w:cs="Arial" w:eastAsia="Arial" w:hint="default"/>
                <w:sz w:val="15"/>
                <w:szCs w:val="15"/>
              </w:rPr>
            </w:pPr>
            <w:r>
              <w:rPr>
                <w:rFonts w:ascii="Arial"/>
                <w:w w:val="100"/>
                <w:sz w:val="15"/>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
              <w:jc w:val="center"/>
              <w:rPr>
                <w:rFonts w:ascii="Arial" w:hAnsi="Arial" w:cs="Arial" w:eastAsia="Arial" w:hint="default"/>
                <w:sz w:val="15"/>
                <w:szCs w:val="15"/>
              </w:rPr>
            </w:pPr>
            <w:r>
              <w:rPr>
                <w:rFonts w:ascii="Arial"/>
                <w:sz w:val="15"/>
              </w:rPr>
              <w:t>118.78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r>
    </w:tbl>
    <w:p>
      <w:pPr>
        <w:spacing w:line="240" w:lineRule="auto" w:before="10"/>
        <w:rPr>
          <w:rFonts w:ascii="宋体" w:hAnsi="宋体" w:cs="宋体" w:eastAsia="宋体" w:hint="default"/>
          <w:sz w:val="17"/>
          <w:szCs w:val="17"/>
        </w:rPr>
      </w:pPr>
    </w:p>
    <w:p>
      <w:pPr>
        <w:spacing w:before="36"/>
        <w:ind w:left="138" w:right="0"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二</w:t>
      </w:r>
      <w:r>
        <w:rPr>
          <w:rFonts w:ascii="Arial" w:hAnsi="Arial" w:cs="Arial" w:eastAsia="Arial" w:hint="default"/>
          <w:b/>
          <w:bCs/>
          <w:sz w:val="21"/>
          <w:szCs w:val="21"/>
        </w:rPr>
        <w:t>)</w:t>
      </w:r>
      <w:r>
        <w:rPr>
          <w:rFonts w:ascii="Arial" w:hAnsi="Arial" w:cs="Arial" w:eastAsia="Arial" w:hint="default"/>
          <w:b/>
          <w:bCs/>
          <w:spacing w:val="9"/>
          <w:sz w:val="21"/>
          <w:szCs w:val="21"/>
        </w:rPr>
        <w:t> </w:t>
      </w:r>
      <w:r>
        <w:rPr>
          <w:rFonts w:ascii="宋体" w:hAnsi="宋体" w:cs="宋体" w:eastAsia="宋体" w:hint="default"/>
          <w:b/>
          <w:bCs/>
          <w:sz w:val="21"/>
          <w:szCs w:val="21"/>
        </w:rPr>
        <w:t>最近</w:t>
      </w:r>
      <w:r>
        <w:rPr>
          <w:rFonts w:ascii="宋体" w:hAnsi="宋体" w:cs="宋体" w:eastAsia="宋体" w:hint="default"/>
          <w:b/>
          <w:bCs/>
          <w:spacing w:val="-53"/>
          <w:sz w:val="21"/>
          <w:szCs w:val="21"/>
        </w:rPr>
        <w:t> </w:t>
      </w:r>
      <w:r>
        <w:rPr>
          <w:rFonts w:ascii="Arial" w:hAnsi="Arial" w:cs="Arial" w:eastAsia="Arial" w:hint="default"/>
          <w:b/>
          <w:bCs/>
          <w:sz w:val="21"/>
          <w:szCs w:val="21"/>
        </w:rPr>
        <w:t>5</w:t>
      </w:r>
      <w:r>
        <w:rPr>
          <w:rFonts w:ascii="Arial" w:hAnsi="Arial" w:cs="Arial" w:eastAsia="Arial" w:hint="default"/>
          <w:b/>
          <w:bCs/>
          <w:spacing w:val="-7"/>
          <w:sz w:val="21"/>
          <w:szCs w:val="21"/>
        </w:rPr>
        <w:t> </w:t>
      </w:r>
      <w:r>
        <w:rPr>
          <w:rFonts w:ascii="宋体" w:hAnsi="宋体" w:cs="宋体" w:eastAsia="宋体" w:hint="default"/>
          <w:b/>
          <w:bCs/>
          <w:sz w:val="21"/>
          <w:szCs w:val="21"/>
        </w:rPr>
        <w:t>年的主要工作经历：</w:t>
      </w:r>
      <w:r>
        <w:rPr>
          <w:rFonts w:ascii="宋体" w:hAnsi="宋体" w:cs="宋体" w:eastAsia="宋体" w:hint="default"/>
          <w:sz w:val="21"/>
          <w:szCs w:val="21"/>
        </w:rPr>
      </w:r>
    </w:p>
    <w:p>
      <w:pPr>
        <w:spacing w:line="240" w:lineRule="auto" w:before="9"/>
        <w:rPr>
          <w:rFonts w:ascii="宋体" w:hAnsi="宋体" w:cs="宋体" w:eastAsia="宋体" w:hint="default"/>
          <w:b/>
          <w:bCs/>
          <w:sz w:val="21"/>
          <w:szCs w:val="21"/>
        </w:rPr>
      </w:pPr>
    </w:p>
    <w:p>
      <w:pPr>
        <w:spacing w:before="0"/>
        <w:ind w:left="485" w:right="0" w:firstLine="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常小兵</w:t>
      </w:r>
    </w:p>
    <w:p>
      <w:pPr>
        <w:spacing w:line="240" w:lineRule="auto" w:before="9"/>
        <w:rPr>
          <w:rFonts w:ascii="宋体" w:hAnsi="宋体" w:cs="宋体" w:eastAsia="宋体" w:hint="default"/>
          <w:sz w:val="17"/>
          <w:szCs w:val="17"/>
        </w:rPr>
      </w:pPr>
    </w:p>
    <w:p>
      <w:pPr>
        <w:spacing w:line="232" w:lineRule="auto" w:before="0"/>
        <w:ind w:left="846" w:right="285" w:firstLine="0"/>
        <w:jc w:val="both"/>
        <w:rPr>
          <w:rFonts w:ascii="宋体" w:hAnsi="宋体" w:cs="宋体" w:eastAsia="宋体" w:hint="default"/>
          <w:sz w:val="21"/>
          <w:szCs w:val="21"/>
        </w:rPr>
      </w:pPr>
      <w:r>
        <w:rPr>
          <w:rFonts w:ascii="宋体" w:hAnsi="宋体" w:cs="宋体" w:eastAsia="宋体" w:hint="default"/>
          <w:sz w:val="21"/>
          <w:szCs w:val="21"/>
        </w:rPr>
        <w:t>常小兵先生为教授级高级工程师，</w:t>
      </w:r>
      <w:r>
        <w:rPr>
          <w:rFonts w:ascii="Arial" w:hAnsi="Arial" w:cs="Arial" w:eastAsia="Arial" w:hint="default"/>
          <w:sz w:val="21"/>
          <w:szCs w:val="21"/>
        </w:rPr>
        <w:t>1982</w:t>
      </w:r>
      <w:r>
        <w:rPr>
          <w:rFonts w:ascii="Arial" w:hAnsi="Arial" w:cs="Arial" w:eastAsia="Arial" w:hint="default"/>
          <w:spacing w:val="35"/>
          <w:sz w:val="21"/>
          <w:szCs w:val="21"/>
        </w:rPr>
        <w:t> </w:t>
      </w:r>
      <w:r>
        <w:rPr>
          <w:rFonts w:ascii="宋体" w:hAnsi="宋体" w:cs="宋体" w:eastAsia="宋体" w:hint="default"/>
          <w:sz w:val="21"/>
          <w:szCs w:val="21"/>
        </w:rPr>
        <w:t>年毕业于南京邮电学院电信工程系，获得工学学</w:t>
      </w:r>
      <w:r>
        <w:rPr>
          <w:rFonts w:ascii="宋体" w:hAnsi="宋体" w:cs="宋体" w:eastAsia="宋体" w:hint="default"/>
          <w:w w:val="100"/>
          <w:sz w:val="21"/>
          <w:szCs w:val="21"/>
        </w:rPr>
        <w:t> </w:t>
      </w:r>
      <w:r>
        <w:rPr>
          <w:rFonts w:ascii="宋体" w:hAnsi="宋体" w:cs="宋体" w:eastAsia="宋体" w:hint="default"/>
          <w:spacing w:val="-5"/>
          <w:sz w:val="21"/>
          <w:szCs w:val="21"/>
        </w:rPr>
        <w:t>士学位；</w:t>
      </w:r>
      <w:r>
        <w:rPr>
          <w:rFonts w:ascii="Arial" w:hAnsi="Arial" w:cs="Arial" w:eastAsia="Arial" w:hint="default"/>
          <w:spacing w:val="-5"/>
          <w:sz w:val="21"/>
          <w:szCs w:val="21"/>
        </w:rPr>
        <w:t>2001</w:t>
      </w:r>
      <w:r>
        <w:rPr>
          <w:rFonts w:ascii="Arial" w:hAnsi="Arial" w:cs="Arial" w:eastAsia="Arial" w:hint="default"/>
          <w:spacing w:val="10"/>
          <w:sz w:val="21"/>
          <w:szCs w:val="21"/>
        </w:rPr>
        <w:t> </w:t>
      </w:r>
      <w:r>
        <w:rPr>
          <w:rFonts w:ascii="宋体" w:hAnsi="宋体" w:cs="宋体" w:eastAsia="宋体" w:hint="default"/>
          <w:spacing w:val="-3"/>
          <w:sz w:val="21"/>
          <w:szCs w:val="21"/>
        </w:rPr>
        <w:t>年获得清华大学工商管理硕士学位；</w:t>
      </w:r>
      <w:r>
        <w:rPr>
          <w:rFonts w:ascii="Arial" w:hAnsi="Arial" w:cs="Arial" w:eastAsia="Arial" w:hint="default"/>
          <w:spacing w:val="-3"/>
          <w:sz w:val="21"/>
          <w:szCs w:val="21"/>
        </w:rPr>
        <w:t>2005</w:t>
      </w:r>
      <w:r>
        <w:rPr>
          <w:rFonts w:ascii="Arial" w:hAnsi="Arial" w:cs="Arial" w:eastAsia="Arial" w:hint="default"/>
          <w:spacing w:val="7"/>
          <w:sz w:val="21"/>
          <w:szCs w:val="21"/>
        </w:rPr>
        <w:t> </w:t>
      </w:r>
      <w:r>
        <w:rPr>
          <w:rFonts w:ascii="宋体" w:hAnsi="宋体" w:cs="宋体" w:eastAsia="宋体" w:hint="default"/>
          <w:sz w:val="21"/>
          <w:szCs w:val="21"/>
        </w:rPr>
        <w:t>年获得香港理工大学工商管理博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3"/>
          <w:sz w:val="21"/>
          <w:szCs w:val="21"/>
        </w:rPr>
        <w:t>士学位。曾先后任江苏省南京市电信局副局长、中国邮电电信总局副局长、信息产业部电</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4"/>
          <w:sz w:val="21"/>
          <w:szCs w:val="21"/>
        </w:rPr>
        <w:t>信管理局副局长与局长、中国电信集团公司副总经理、中国电信股份有限公司执行董事及</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总裁。自</w:t>
      </w:r>
      <w:r>
        <w:rPr>
          <w:rFonts w:ascii="宋体" w:hAnsi="宋体" w:cs="宋体" w:eastAsia="宋体" w:hint="default"/>
          <w:spacing w:val="-36"/>
          <w:sz w:val="21"/>
          <w:szCs w:val="21"/>
        </w:rPr>
        <w:t> </w:t>
      </w:r>
      <w:r>
        <w:rPr>
          <w:rFonts w:ascii="Arial" w:hAnsi="Arial" w:cs="Arial" w:eastAsia="Arial" w:hint="default"/>
          <w:sz w:val="21"/>
          <w:szCs w:val="21"/>
        </w:rPr>
        <w:t>2004</w:t>
      </w:r>
      <w:r>
        <w:rPr>
          <w:rFonts w:ascii="Arial" w:hAnsi="Arial" w:cs="Arial" w:eastAsia="Arial"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Arial" w:hAnsi="Arial" w:cs="Arial" w:eastAsia="Arial" w:hint="default"/>
          <w:sz w:val="21"/>
          <w:szCs w:val="21"/>
        </w:rPr>
        <w:t>11</w:t>
      </w:r>
      <w:r>
        <w:rPr>
          <w:rFonts w:ascii="Arial" w:hAnsi="Arial" w:cs="Arial" w:eastAsia="Arial" w:hint="default"/>
          <w:spacing w:val="12"/>
          <w:sz w:val="21"/>
          <w:szCs w:val="21"/>
        </w:rPr>
        <w:t> </w:t>
      </w:r>
      <w:r>
        <w:rPr>
          <w:rFonts w:ascii="宋体" w:hAnsi="宋体" w:cs="宋体" w:eastAsia="宋体" w:hint="default"/>
          <w:sz w:val="21"/>
          <w:szCs w:val="21"/>
        </w:rPr>
        <w:t>月加入中国联合通信有限公司担任董事长。中国联合通信有限公司</w:t>
      </w:r>
    </w:p>
    <w:p>
      <w:pPr>
        <w:spacing w:line="273" w:lineRule="exact" w:before="0"/>
        <w:ind w:left="846" w:right="0" w:firstLine="0"/>
        <w:jc w:val="both"/>
        <w:rPr>
          <w:rFonts w:ascii="Arial" w:hAnsi="Arial" w:cs="Arial" w:eastAsia="Arial" w:hint="default"/>
          <w:sz w:val="21"/>
          <w:szCs w:val="21"/>
        </w:rPr>
      </w:pPr>
      <w:r>
        <w:rPr>
          <w:rFonts w:ascii="宋体" w:hAnsi="宋体" w:cs="宋体" w:eastAsia="宋体" w:hint="default"/>
          <w:sz w:val="21"/>
          <w:szCs w:val="21"/>
        </w:rPr>
        <w:t>于</w:t>
      </w:r>
      <w:r>
        <w:rPr>
          <w:rFonts w:ascii="宋体" w:hAnsi="宋体" w:cs="宋体" w:eastAsia="宋体" w:hint="default"/>
          <w:spacing w:val="-39"/>
          <w:sz w:val="21"/>
          <w:szCs w:val="21"/>
        </w:rPr>
        <w:t> </w:t>
      </w:r>
      <w:r>
        <w:rPr>
          <w:rFonts w:ascii="Arial" w:hAnsi="Arial" w:cs="Arial" w:eastAsia="Arial" w:hint="default"/>
          <w:sz w:val="21"/>
          <w:szCs w:val="21"/>
        </w:rPr>
        <w:t>2008</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pacing w:val="-10"/>
          <w:sz w:val="21"/>
          <w:szCs w:val="21"/>
        </w:rPr>
        <w:t>月更名为中国联合网络通信集团有限公司（“联通集团”）。常先生自</w:t>
      </w:r>
      <w:r>
        <w:rPr>
          <w:rFonts w:ascii="宋体" w:hAnsi="宋体" w:cs="宋体" w:eastAsia="宋体" w:hint="default"/>
          <w:spacing w:val="-38"/>
          <w:sz w:val="21"/>
          <w:szCs w:val="21"/>
        </w:rPr>
        <w:t> </w:t>
      </w:r>
      <w:r>
        <w:rPr>
          <w:rFonts w:ascii="Arial" w:hAnsi="Arial" w:cs="Arial" w:eastAsia="Arial" w:hint="default"/>
          <w:sz w:val="21"/>
          <w:szCs w:val="21"/>
        </w:rPr>
        <w:t>2011</w:t>
      </w:r>
    </w:p>
    <w:p>
      <w:pPr>
        <w:spacing w:line="274" w:lineRule="exact" w:before="0"/>
        <w:ind w:left="846" w:right="0" w:firstLine="0"/>
        <w:jc w:val="left"/>
        <w:rPr>
          <w:rFonts w:ascii="宋体" w:hAnsi="宋体" w:cs="宋体" w:eastAsia="宋体" w:hint="default"/>
          <w:sz w:val="21"/>
          <w:szCs w:val="21"/>
        </w:rPr>
      </w:pP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Arial" w:hAnsi="Arial" w:cs="Arial" w:eastAsia="Arial" w:hint="default"/>
          <w:w w:val="100"/>
          <w:sz w:val="21"/>
          <w:szCs w:val="21"/>
        </w:rPr>
        <w:t>5</w:t>
      </w:r>
      <w:r>
        <w:rPr>
          <w:rFonts w:ascii="Arial" w:hAnsi="Arial" w:cs="Arial" w:eastAsia="Arial" w:hint="default"/>
          <w:spacing w:val="-8"/>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起</w:t>
      </w:r>
      <w:r>
        <w:rPr>
          <w:rFonts w:ascii="宋体" w:hAnsi="宋体" w:cs="宋体" w:eastAsia="宋体" w:hint="default"/>
          <w:w w:val="100"/>
          <w:sz w:val="21"/>
          <w:szCs w:val="21"/>
        </w:rPr>
        <w:t>担任</w:t>
      </w:r>
      <w:r>
        <w:rPr>
          <w:rFonts w:ascii="宋体" w:hAnsi="宋体" w:cs="宋体" w:eastAsia="宋体" w:hint="default"/>
          <w:spacing w:val="-55"/>
          <w:sz w:val="21"/>
          <w:szCs w:val="21"/>
        </w:rPr>
        <w:t> </w:t>
      </w:r>
      <w:r>
        <w:rPr>
          <w:rFonts w:ascii="Arial" w:hAnsi="Arial" w:cs="Arial" w:eastAsia="Arial" w:hint="default"/>
          <w:w w:val="100"/>
          <w:sz w:val="21"/>
          <w:szCs w:val="21"/>
        </w:rPr>
        <w:t>T</w:t>
      </w:r>
      <w:r>
        <w:rPr>
          <w:rFonts w:ascii="Arial" w:hAnsi="Arial" w:cs="Arial" w:eastAsia="Arial" w:hint="default"/>
          <w:spacing w:val="-2"/>
          <w:w w:val="100"/>
          <w:sz w:val="21"/>
          <w:szCs w:val="21"/>
        </w:rPr>
        <w:t>e</w:t>
      </w:r>
      <w:r>
        <w:rPr>
          <w:rFonts w:ascii="Arial" w:hAnsi="Arial" w:cs="Arial" w:eastAsia="Arial" w:hint="default"/>
          <w:w w:val="100"/>
          <w:sz w:val="21"/>
          <w:szCs w:val="21"/>
        </w:rPr>
        <w:t>l</w:t>
      </w:r>
      <w:r>
        <w:rPr>
          <w:rFonts w:ascii="Arial" w:hAnsi="Arial" w:cs="Arial" w:eastAsia="Arial" w:hint="default"/>
          <w:spacing w:val="-3"/>
          <w:w w:val="100"/>
          <w:sz w:val="21"/>
          <w:szCs w:val="21"/>
        </w:rPr>
        <w:t>e</w:t>
      </w:r>
      <w:r>
        <w:rPr>
          <w:rFonts w:ascii="Arial" w:hAnsi="Arial" w:cs="Arial" w:eastAsia="Arial" w:hint="default"/>
          <w:spacing w:val="1"/>
          <w:w w:val="100"/>
          <w:sz w:val="21"/>
          <w:szCs w:val="21"/>
        </w:rPr>
        <w:t>f</w:t>
      </w:r>
      <w:r>
        <w:rPr>
          <w:rFonts w:ascii="Arial" w:hAnsi="Arial" w:cs="Arial" w:eastAsia="Arial" w:hint="default"/>
          <w:w w:val="100"/>
          <w:sz w:val="21"/>
          <w:szCs w:val="21"/>
        </w:rPr>
        <w:t>ó</w:t>
      </w:r>
      <w:r>
        <w:rPr>
          <w:rFonts w:ascii="Arial" w:hAnsi="Arial" w:cs="Arial" w:eastAsia="Arial" w:hint="default"/>
          <w:spacing w:val="-3"/>
          <w:w w:val="100"/>
          <w:sz w:val="21"/>
          <w:szCs w:val="21"/>
        </w:rPr>
        <w:t>n</w:t>
      </w:r>
      <w:r>
        <w:rPr>
          <w:rFonts w:ascii="Arial" w:hAnsi="Arial" w:cs="Arial" w:eastAsia="Arial" w:hint="default"/>
          <w:w w:val="100"/>
          <w:sz w:val="21"/>
          <w:szCs w:val="21"/>
        </w:rPr>
        <w:t>i</w:t>
      </w:r>
      <w:r>
        <w:rPr>
          <w:rFonts w:ascii="Arial" w:hAnsi="Arial" w:cs="Arial" w:eastAsia="Arial" w:hint="default"/>
          <w:w w:val="100"/>
          <w:sz w:val="21"/>
          <w:szCs w:val="21"/>
        </w:rPr>
        <w:t>ca</w:t>
      </w:r>
      <w:r>
        <w:rPr>
          <w:rFonts w:ascii="Arial" w:hAnsi="Arial" w:cs="Arial" w:eastAsia="Arial" w:hint="default"/>
          <w:spacing w:val="-11"/>
          <w:sz w:val="21"/>
          <w:szCs w:val="21"/>
        </w:rPr>
        <w:t> </w:t>
      </w:r>
      <w:r>
        <w:rPr>
          <w:rFonts w:ascii="Arial" w:hAnsi="Arial" w:cs="Arial" w:eastAsia="Arial" w:hint="default"/>
          <w:w w:val="100"/>
          <w:sz w:val="21"/>
          <w:szCs w:val="21"/>
        </w:rPr>
        <w:t>S</w:t>
      </w:r>
      <w:r>
        <w:rPr>
          <w:rFonts w:ascii="Arial" w:hAnsi="Arial" w:cs="Arial" w:eastAsia="Arial" w:hint="default"/>
          <w:spacing w:val="-2"/>
          <w:w w:val="100"/>
          <w:sz w:val="21"/>
          <w:szCs w:val="21"/>
        </w:rPr>
        <w:t>.</w:t>
      </w:r>
      <w:r>
        <w:rPr>
          <w:rFonts w:ascii="Arial" w:hAnsi="Arial" w:cs="Arial" w:eastAsia="Arial" w:hint="default"/>
          <w:spacing w:val="-1"/>
          <w:w w:val="100"/>
          <w:sz w:val="21"/>
          <w:szCs w:val="21"/>
        </w:rPr>
        <w:t>A</w:t>
      </w:r>
      <w:r>
        <w:rPr>
          <w:rFonts w:ascii="宋体" w:hAnsi="宋体" w:cs="宋体" w:eastAsia="宋体" w:hint="default"/>
          <w:spacing w:val="-211"/>
          <w:w w:val="100"/>
          <w:sz w:val="21"/>
          <w:szCs w:val="21"/>
        </w:rPr>
        <w:t>（</w:t>
      </w:r>
      <w:r>
        <w:rPr>
          <w:rFonts w:ascii="Arial" w:hAnsi="Arial" w:cs="Arial" w:eastAsia="Arial" w:hint="default"/>
          <w:w w:val="100"/>
          <w:sz w:val="21"/>
          <w:szCs w:val="21"/>
        </w:rPr>
        <w:t>.</w:t>
      </w:r>
      <w:r>
        <w:rPr>
          <w:rFonts w:ascii="Arial" w:hAnsi="Arial" w:cs="Arial" w:eastAsia="Arial" w:hint="default"/>
          <w:sz w:val="21"/>
          <w:szCs w:val="21"/>
        </w:rPr>
        <w:t>  </w:t>
      </w:r>
      <w:r>
        <w:rPr>
          <w:rFonts w:ascii="Arial" w:hAnsi="Arial" w:cs="Arial" w:eastAsia="Arial" w:hint="default"/>
          <w:spacing w:val="-26"/>
          <w:sz w:val="21"/>
          <w:szCs w:val="21"/>
        </w:rPr>
        <w:t> </w:t>
      </w:r>
      <w:r>
        <w:rPr>
          <w:rFonts w:ascii="宋体" w:hAnsi="宋体" w:cs="宋体" w:eastAsia="宋体" w:hint="default"/>
          <w:w w:val="100"/>
          <w:sz w:val="21"/>
          <w:szCs w:val="21"/>
        </w:rPr>
        <w:t>西</w:t>
      </w:r>
      <w:r>
        <w:rPr>
          <w:rFonts w:ascii="宋体" w:hAnsi="宋体" w:cs="宋体" w:eastAsia="宋体" w:hint="default"/>
          <w:spacing w:val="-3"/>
          <w:w w:val="100"/>
          <w:sz w:val="21"/>
          <w:szCs w:val="21"/>
        </w:rPr>
        <w:t>班</w:t>
      </w:r>
      <w:r>
        <w:rPr>
          <w:rFonts w:ascii="宋体" w:hAnsi="宋体" w:cs="宋体" w:eastAsia="宋体" w:hint="default"/>
          <w:w w:val="100"/>
          <w:sz w:val="21"/>
          <w:szCs w:val="21"/>
        </w:rPr>
        <w:t>牙</w:t>
      </w:r>
      <w:r>
        <w:rPr>
          <w:rFonts w:ascii="宋体" w:hAnsi="宋体" w:cs="宋体" w:eastAsia="宋体" w:hint="default"/>
          <w:spacing w:val="-3"/>
          <w:w w:val="100"/>
          <w:sz w:val="21"/>
          <w:szCs w:val="21"/>
        </w:rPr>
        <w:t>电信</w:t>
      </w:r>
      <w:r>
        <w:rPr>
          <w:rFonts w:ascii="宋体" w:hAnsi="宋体" w:cs="宋体" w:eastAsia="宋体" w:hint="default"/>
          <w:spacing w:val="-60"/>
          <w:w w:val="100"/>
          <w:sz w:val="21"/>
          <w:szCs w:val="21"/>
        </w:rPr>
        <w:t>）</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63"/>
          <w:w w:val="100"/>
          <w:sz w:val="21"/>
          <w:szCs w:val="21"/>
        </w:rPr>
        <w:t>。</w:t>
      </w:r>
      <w:r>
        <w:rPr>
          <w:rFonts w:ascii="宋体" w:hAnsi="宋体" w:cs="宋体" w:eastAsia="宋体" w:hint="default"/>
          <w:w w:val="100"/>
          <w:sz w:val="21"/>
          <w:szCs w:val="21"/>
        </w:rPr>
        <w:t>常先</w:t>
      </w:r>
      <w:r>
        <w:rPr>
          <w:rFonts w:ascii="宋体" w:hAnsi="宋体" w:cs="宋体" w:eastAsia="宋体" w:hint="default"/>
          <w:spacing w:val="-3"/>
          <w:w w:val="100"/>
          <w:sz w:val="21"/>
          <w:szCs w:val="21"/>
        </w:rPr>
        <w:t>生</w:t>
      </w:r>
      <w:r>
        <w:rPr>
          <w:rFonts w:ascii="宋体" w:hAnsi="宋体" w:cs="宋体" w:eastAsia="宋体" w:hint="default"/>
          <w:w w:val="100"/>
          <w:sz w:val="21"/>
          <w:szCs w:val="21"/>
        </w:rPr>
        <w:t>目</w:t>
      </w:r>
      <w:r>
        <w:rPr>
          <w:rFonts w:ascii="宋体" w:hAnsi="宋体" w:cs="宋体" w:eastAsia="宋体" w:hint="default"/>
          <w:spacing w:val="-3"/>
          <w:w w:val="100"/>
          <w:sz w:val="21"/>
          <w:szCs w:val="21"/>
        </w:rPr>
        <w:t>前</w:t>
      </w:r>
      <w:r>
        <w:rPr>
          <w:rFonts w:ascii="宋体" w:hAnsi="宋体" w:cs="宋体" w:eastAsia="宋体" w:hint="default"/>
          <w:w w:val="100"/>
          <w:sz w:val="21"/>
          <w:szCs w:val="21"/>
        </w:rPr>
        <w:t>担</w:t>
      </w:r>
      <w:r>
        <w:rPr>
          <w:rFonts w:ascii="宋体" w:hAnsi="宋体" w:cs="宋体" w:eastAsia="宋体" w:hint="default"/>
          <w:spacing w:val="-3"/>
          <w:w w:val="100"/>
          <w:sz w:val="21"/>
          <w:szCs w:val="21"/>
        </w:rPr>
        <w:t>任</w:t>
      </w:r>
      <w:r>
        <w:rPr>
          <w:rFonts w:ascii="宋体" w:hAnsi="宋体" w:cs="宋体" w:eastAsia="宋体" w:hint="default"/>
          <w:w w:val="100"/>
          <w:sz w:val="21"/>
          <w:szCs w:val="21"/>
        </w:rPr>
        <w:t>联</w:t>
      </w:r>
      <w:r>
        <w:rPr>
          <w:rFonts w:ascii="宋体" w:hAnsi="宋体" w:cs="宋体" w:eastAsia="宋体" w:hint="default"/>
          <w:spacing w:val="-3"/>
          <w:w w:val="100"/>
          <w:sz w:val="21"/>
          <w:szCs w:val="21"/>
        </w:rPr>
        <w:t>通</w:t>
      </w:r>
      <w:r>
        <w:rPr>
          <w:rFonts w:ascii="宋体" w:hAnsi="宋体" w:cs="宋体" w:eastAsia="宋体" w:hint="default"/>
          <w:w w:val="100"/>
          <w:sz w:val="21"/>
          <w:szCs w:val="21"/>
        </w:rPr>
        <w:t>集</w:t>
      </w:r>
      <w:r>
        <w:rPr>
          <w:rFonts w:ascii="宋体" w:hAnsi="宋体" w:cs="宋体" w:eastAsia="宋体" w:hint="default"/>
          <w:spacing w:val="-3"/>
          <w:w w:val="100"/>
          <w:sz w:val="21"/>
          <w:szCs w:val="21"/>
        </w:rPr>
        <w:t>团</w:t>
      </w:r>
      <w:r>
        <w:rPr>
          <w:rFonts w:ascii="宋体" w:hAnsi="宋体" w:cs="宋体" w:eastAsia="宋体" w:hint="default"/>
          <w:w w:val="100"/>
          <w:sz w:val="21"/>
          <w:szCs w:val="21"/>
        </w:rPr>
        <w:t>公司</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长</w:t>
      </w:r>
      <w:r>
        <w:rPr>
          <w:rFonts w:ascii="宋体" w:hAnsi="宋体" w:cs="宋体" w:eastAsia="宋体" w:hint="default"/>
          <w:w w:val="100"/>
          <w:sz w:val="21"/>
          <w:szCs w:val="21"/>
        </w:rPr>
        <w:t>，</w:t>
      </w:r>
    </w:p>
    <w:p>
      <w:pPr>
        <w:spacing w:line="263" w:lineRule="exact" w:before="0"/>
        <w:ind w:left="846" w:right="0" w:firstLine="0"/>
        <w:jc w:val="left"/>
        <w:rPr>
          <w:rFonts w:ascii="Arial" w:hAnsi="Arial" w:cs="Arial" w:eastAsia="Arial" w:hint="default"/>
          <w:sz w:val="21"/>
          <w:szCs w:val="21"/>
        </w:rPr>
      </w:pPr>
      <w:r>
        <w:rPr>
          <w:rFonts w:ascii="宋体" w:hAnsi="宋体" w:cs="宋体" w:eastAsia="宋体" w:hint="default"/>
          <w:sz w:val="21"/>
          <w:szCs w:val="21"/>
        </w:rPr>
        <w:t>联通红筹公司执行董事、董事长兼首席执行官，联通运营公司董事长，并自 </w:t>
      </w:r>
      <w:r>
        <w:rPr>
          <w:rFonts w:ascii="Arial" w:hAnsi="Arial" w:cs="Arial" w:eastAsia="Arial" w:hint="default"/>
          <w:sz w:val="21"/>
          <w:szCs w:val="21"/>
        </w:rPr>
        <w:t>2004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Arial" w:hAnsi="Arial" w:cs="Arial" w:eastAsia="Arial" w:hint="default"/>
          <w:sz w:val="21"/>
          <w:szCs w:val="21"/>
        </w:rPr>
        <w:t>12</w:t>
      </w:r>
    </w:p>
    <w:p>
      <w:pPr>
        <w:spacing w:line="267" w:lineRule="exact" w:before="0"/>
        <w:ind w:left="846" w:right="0" w:firstLine="0"/>
        <w:jc w:val="left"/>
        <w:rPr>
          <w:rFonts w:ascii="宋体" w:hAnsi="宋体" w:cs="宋体" w:eastAsia="宋体" w:hint="default"/>
          <w:sz w:val="21"/>
          <w:szCs w:val="21"/>
        </w:rPr>
      </w:pPr>
      <w:r>
        <w:rPr>
          <w:rFonts w:ascii="宋体" w:hAnsi="宋体" w:cs="宋体" w:eastAsia="宋体" w:hint="default"/>
          <w:sz w:val="21"/>
          <w:szCs w:val="21"/>
        </w:rPr>
        <w:t>月起任本公司董事长。常小兵先生有丰富的电信行业管理和从业经验。</w:t>
      </w:r>
    </w:p>
    <w:p>
      <w:pPr>
        <w:spacing w:after="0" w:line="267" w:lineRule="exact"/>
        <w:jc w:val="left"/>
        <w:rPr>
          <w:rFonts w:ascii="宋体" w:hAnsi="宋体" w:cs="宋体" w:eastAsia="宋体" w:hint="default"/>
          <w:sz w:val="21"/>
          <w:szCs w:val="21"/>
        </w:rPr>
        <w:sectPr>
          <w:pgSz w:w="11910" w:h="16840"/>
          <w:pgMar w:header="880" w:footer="1194" w:top="1120" w:bottom="1380" w:left="1660" w:right="980"/>
        </w:sectPr>
      </w:pPr>
    </w:p>
    <w:p>
      <w:pPr>
        <w:spacing w:line="240" w:lineRule="auto" w:before="11"/>
        <w:rPr>
          <w:rFonts w:ascii="宋体" w:hAnsi="宋体" w:cs="宋体" w:eastAsia="宋体" w:hint="default"/>
          <w:sz w:val="29"/>
          <w:szCs w:val="29"/>
        </w:rPr>
      </w:pPr>
    </w:p>
    <w:p>
      <w:pPr>
        <w:spacing w:before="36"/>
        <w:ind w:left="138" w:right="259" w:firstLine="0"/>
        <w:jc w:val="left"/>
        <w:rPr>
          <w:rFonts w:ascii="宋体" w:hAnsi="宋体" w:cs="宋体" w:eastAsia="宋体" w:hint="default"/>
          <w:sz w:val="21"/>
          <w:szCs w:val="21"/>
        </w:rPr>
      </w:pPr>
      <w:r>
        <w:rPr>
          <w:rFonts w:ascii="宋体" w:hAnsi="宋体" w:cs="宋体" w:eastAsia="宋体" w:hint="default"/>
          <w:b/>
          <w:bCs/>
          <w:sz w:val="21"/>
          <w:szCs w:val="21"/>
        </w:rPr>
        <w:t>一、现任及报告期内离任董事、监事和高级管理人员持股变动及报酬情况（续）</w:t>
      </w:r>
      <w:r>
        <w:rPr>
          <w:rFonts w:ascii="宋体" w:hAnsi="宋体" w:cs="宋体" w:eastAsia="宋体" w:hint="default"/>
          <w:sz w:val="21"/>
          <w:szCs w:val="21"/>
        </w:rPr>
      </w:r>
    </w:p>
    <w:p>
      <w:pPr>
        <w:spacing w:line="240" w:lineRule="auto" w:before="11"/>
        <w:rPr>
          <w:rFonts w:ascii="宋体" w:hAnsi="宋体" w:cs="宋体" w:eastAsia="宋体" w:hint="default"/>
          <w:b/>
          <w:bCs/>
          <w:sz w:val="24"/>
          <w:szCs w:val="24"/>
        </w:rPr>
      </w:pPr>
    </w:p>
    <w:p>
      <w:pPr>
        <w:spacing w:before="0"/>
        <w:ind w:left="138" w:right="259" w:firstLine="0"/>
        <w:jc w:val="left"/>
        <w:rPr>
          <w:rFonts w:ascii="宋体" w:hAnsi="宋体" w:cs="宋体" w:eastAsia="宋体" w:hint="default"/>
          <w:sz w:val="21"/>
          <w:szCs w:val="21"/>
        </w:rPr>
      </w:pPr>
      <w:r>
        <w:rPr>
          <w:rFonts w:ascii="Arial" w:hAnsi="Arial" w:cs="Arial" w:eastAsia="Arial" w:hint="default"/>
          <w:b/>
          <w:bCs/>
          <w:spacing w:val="-1"/>
          <w:w w:val="100"/>
          <w:sz w:val="21"/>
          <w:szCs w:val="21"/>
        </w:rPr>
        <w:t>(</w:t>
      </w:r>
      <w:r>
        <w:rPr>
          <w:rFonts w:ascii="宋体" w:hAnsi="宋体" w:cs="宋体" w:eastAsia="宋体" w:hint="default"/>
          <w:b/>
          <w:bCs/>
          <w:spacing w:val="2"/>
          <w:w w:val="100"/>
          <w:sz w:val="21"/>
          <w:szCs w:val="21"/>
        </w:rPr>
        <w:t>二</w:t>
      </w:r>
      <w:r>
        <w:rPr>
          <w:rFonts w:ascii="Arial" w:hAnsi="Arial" w:cs="Arial" w:eastAsia="Arial" w:hint="default"/>
          <w:b/>
          <w:bCs/>
          <w:w w:val="100"/>
          <w:sz w:val="21"/>
          <w:szCs w:val="21"/>
        </w:rPr>
        <w:t>)</w:t>
      </w:r>
      <w:r>
        <w:rPr>
          <w:rFonts w:ascii="Arial" w:hAnsi="Arial" w:cs="Arial" w:eastAsia="Arial" w:hint="default"/>
          <w:b/>
          <w:bCs/>
          <w:spacing w:val="8"/>
          <w:sz w:val="21"/>
          <w:szCs w:val="21"/>
        </w:rPr>
        <w:t> </w:t>
      </w:r>
      <w:r>
        <w:rPr>
          <w:rFonts w:ascii="宋体" w:hAnsi="宋体" w:cs="宋体" w:eastAsia="宋体" w:hint="default"/>
          <w:b/>
          <w:bCs/>
          <w:w w:val="100"/>
          <w:sz w:val="21"/>
          <w:szCs w:val="21"/>
        </w:rPr>
        <w:t>最近</w:t>
      </w:r>
      <w:r>
        <w:rPr>
          <w:rFonts w:ascii="宋体" w:hAnsi="宋体" w:cs="宋体" w:eastAsia="宋体" w:hint="default"/>
          <w:b/>
          <w:bCs/>
          <w:spacing w:val="-54"/>
          <w:sz w:val="21"/>
          <w:szCs w:val="21"/>
        </w:rPr>
        <w:t> </w:t>
      </w:r>
      <w:r>
        <w:rPr>
          <w:rFonts w:ascii="Arial" w:hAnsi="Arial" w:cs="Arial" w:eastAsia="Arial" w:hint="default"/>
          <w:b/>
          <w:bCs/>
          <w:w w:val="100"/>
          <w:sz w:val="21"/>
          <w:szCs w:val="21"/>
        </w:rPr>
        <w:t>5</w:t>
      </w:r>
      <w:r>
        <w:rPr>
          <w:rFonts w:ascii="Arial" w:hAnsi="Arial" w:cs="Arial" w:eastAsia="Arial" w:hint="default"/>
          <w:b/>
          <w:bCs/>
          <w:spacing w:val="-8"/>
          <w:sz w:val="21"/>
          <w:szCs w:val="21"/>
        </w:rPr>
        <w:t> </w:t>
      </w:r>
      <w:r>
        <w:rPr>
          <w:rFonts w:ascii="宋体" w:hAnsi="宋体" w:cs="宋体" w:eastAsia="宋体" w:hint="default"/>
          <w:b/>
          <w:bCs/>
          <w:w w:val="100"/>
          <w:sz w:val="21"/>
          <w:szCs w:val="21"/>
        </w:rPr>
        <w:t>年的主要工作经</w:t>
      </w:r>
      <w:r>
        <w:rPr>
          <w:rFonts w:ascii="宋体" w:hAnsi="宋体" w:cs="宋体" w:eastAsia="宋体" w:hint="default"/>
          <w:b/>
          <w:bCs/>
          <w:spacing w:val="-2"/>
          <w:w w:val="100"/>
          <w:sz w:val="21"/>
          <w:szCs w:val="21"/>
        </w:rPr>
        <w:t>历</w:t>
      </w:r>
      <w:r>
        <w:rPr>
          <w:rFonts w:ascii="宋体" w:hAnsi="宋体" w:cs="宋体" w:eastAsia="宋体" w:hint="default"/>
          <w:b/>
          <w:bCs/>
          <w:w w:val="100"/>
          <w:sz w:val="21"/>
          <w:szCs w:val="21"/>
        </w:rPr>
        <w:t>（续</w:t>
      </w:r>
      <w:r>
        <w:rPr>
          <w:rFonts w:ascii="宋体" w:hAnsi="宋体" w:cs="宋体" w:eastAsia="宋体" w:hint="default"/>
          <w:b/>
          <w:bCs/>
          <w:spacing w:val="-106"/>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p>
      <w:pPr>
        <w:spacing w:line="240" w:lineRule="auto" w:before="1"/>
        <w:rPr>
          <w:rFonts w:ascii="宋体" w:hAnsi="宋体" w:cs="宋体" w:eastAsia="宋体" w:hint="default"/>
          <w:b/>
          <w:bCs/>
          <w:sz w:val="24"/>
          <w:szCs w:val="24"/>
        </w:rPr>
      </w:pPr>
    </w:p>
    <w:p>
      <w:pPr>
        <w:spacing w:before="0"/>
        <w:ind w:left="485" w:right="259" w:firstLine="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陆益民</w:t>
      </w:r>
    </w:p>
    <w:p>
      <w:pPr>
        <w:spacing w:line="240" w:lineRule="auto" w:before="3"/>
        <w:rPr>
          <w:rFonts w:ascii="宋体" w:hAnsi="宋体" w:cs="宋体" w:eastAsia="宋体" w:hint="default"/>
          <w:sz w:val="18"/>
          <w:szCs w:val="18"/>
        </w:rPr>
      </w:pPr>
    </w:p>
    <w:p>
      <w:pPr>
        <w:spacing w:line="225" w:lineRule="auto" w:before="0"/>
        <w:ind w:left="846" w:right="205" w:firstLine="0"/>
        <w:jc w:val="both"/>
        <w:rPr>
          <w:rFonts w:ascii="宋体" w:hAnsi="宋体" w:cs="宋体" w:eastAsia="宋体" w:hint="default"/>
          <w:sz w:val="21"/>
          <w:szCs w:val="21"/>
        </w:rPr>
      </w:pPr>
      <w:r>
        <w:rPr>
          <w:rFonts w:ascii="宋体" w:hAnsi="宋体" w:cs="宋体" w:eastAsia="宋体" w:hint="default"/>
          <w:sz w:val="21"/>
          <w:szCs w:val="21"/>
        </w:rPr>
        <w:t>陆益民先生为研究员级高级工程师，</w:t>
      </w:r>
      <w:r>
        <w:rPr>
          <w:rFonts w:ascii="Arial" w:hAnsi="Arial" w:cs="Arial" w:eastAsia="Arial" w:hint="default"/>
          <w:sz w:val="21"/>
          <w:szCs w:val="21"/>
        </w:rPr>
        <w:t>1985</w:t>
      </w:r>
      <w:r>
        <w:rPr>
          <w:rFonts w:ascii="Arial" w:hAnsi="Arial" w:cs="Arial" w:eastAsia="Arial" w:hint="default"/>
          <w:spacing w:val="36"/>
          <w:sz w:val="21"/>
          <w:szCs w:val="21"/>
        </w:rPr>
        <w:t> </w:t>
      </w:r>
      <w:r>
        <w:rPr>
          <w:rFonts w:ascii="宋体" w:hAnsi="宋体" w:cs="宋体" w:eastAsia="宋体" w:hint="default"/>
          <w:sz w:val="21"/>
          <w:szCs w:val="21"/>
        </w:rPr>
        <w:t>年毕业于上海交通大学计算机科学技术专业并</w:t>
      </w:r>
      <w:r>
        <w:rPr>
          <w:rFonts w:ascii="宋体" w:hAnsi="宋体" w:cs="宋体" w:eastAsia="宋体" w:hint="default"/>
          <w:w w:val="100"/>
          <w:sz w:val="21"/>
          <w:szCs w:val="21"/>
        </w:rPr>
        <w:t> </w:t>
      </w:r>
      <w:r>
        <w:rPr>
          <w:rFonts w:ascii="宋体" w:hAnsi="宋体" w:cs="宋体" w:eastAsia="宋体" w:hint="default"/>
          <w:sz w:val="21"/>
          <w:szCs w:val="21"/>
        </w:rPr>
        <w:t>取得工学学士学位，</w:t>
      </w:r>
      <w:r>
        <w:rPr>
          <w:rFonts w:ascii="Arial" w:hAnsi="Arial" w:cs="Arial" w:eastAsia="Arial" w:hint="default"/>
          <w:sz w:val="21"/>
          <w:szCs w:val="21"/>
        </w:rPr>
        <w:t>2001 </w:t>
      </w:r>
      <w:r>
        <w:rPr>
          <w:rFonts w:ascii="宋体" w:hAnsi="宋体" w:cs="宋体" w:eastAsia="宋体" w:hint="default"/>
          <w:sz w:val="21"/>
          <w:szCs w:val="21"/>
        </w:rPr>
        <w:t>年 </w:t>
      </w:r>
      <w:r>
        <w:rPr>
          <w:rFonts w:ascii="Arial" w:hAnsi="Arial" w:cs="Arial" w:eastAsia="Arial" w:hint="default"/>
          <w:sz w:val="21"/>
          <w:szCs w:val="21"/>
        </w:rPr>
        <w:t>6</w:t>
      </w:r>
      <w:r>
        <w:rPr>
          <w:rFonts w:ascii="Arial" w:hAnsi="Arial" w:cs="Arial" w:eastAsia="Arial" w:hint="default"/>
          <w:spacing w:val="-35"/>
          <w:sz w:val="21"/>
          <w:szCs w:val="21"/>
        </w:rPr>
        <w:t> </w:t>
      </w:r>
      <w:r>
        <w:rPr>
          <w:rFonts w:ascii="宋体" w:hAnsi="宋体" w:cs="宋体" w:eastAsia="宋体" w:hint="default"/>
          <w:sz w:val="21"/>
          <w:szCs w:val="21"/>
        </w:rPr>
        <w:t>月取得美国哈佛大学肯尼迪政府学院公共管理专业硕士学</w:t>
      </w:r>
      <w:r>
        <w:rPr>
          <w:rFonts w:ascii="宋体" w:hAnsi="宋体" w:cs="宋体" w:eastAsia="宋体" w:hint="default"/>
          <w:w w:val="100"/>
          <w:sz w:val="21"/>
          <w:szCs w:val="21"/>
        </w:rPr>
        <w:t> </w:t>
      </w:r>
      <w:r>
        <w:rPr>
          <w:rFonts w:ascii="宋体" w:hAnsi="宋体" w:cs="宋体" w:eastAsia="宋体" w:hint="default"/>
          <w:sz w:val="21"/>
          <w:szCs w:val="21"/>
        </w:rPr>
        <w:t>位。陆先生于</w:t>
      </w:r>
      <w:r>
        <w:rPr>
          <w:rFonts w:ascii="宋体" w:hAnsi="宋体" w:cs="宋体" w:eastAsia="宋体" w:hint="default"/>
          <w:spacing w:val="-35"/>
          <w:sz w:val="21"/>
          <w:szCs w:val="21"/>
        </w:rPr>
        <w:t> </w:t>
      </w:r>
      <w:r>
        <w:rPr>
          <w:rFonts w:ascii="Arial" w:hAnsi="Arial" w:cs="Arial" w:eastAsia="Arial" w:hint="default"/>
          <w:sz w:val="21"/>
          <w:szCs w:val="21"/>
        </w:rPr>
        <w:t>2007</w:t>
      </w:r>
      <w:r>
        <w:rPr>
          <w:rFonts w:ascii="Arial" w:hAnsi="Arial" w:cs="Arial" w:eastAsia="Arial"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Arial" w:hAnsi="Arial" w:cs="Arial" w:eastAsia="Arial" w:hint="default"/>
          <w:sz w:val="21"/>
          <w:szCs w:val="21"/>
        </w:rPr>
        <w:t>12</w:t>
      </w:r>
      <w:r>
        <w:rPr>
          <w:rFonts w:ascii="Arial" w:hAnsi="Arial" w:cs="Arial" w:eastAsia="Arial" w:hint="default"/>
          <w:spacing w:val="11"/>
          <w:sz w:val="21"/>
          <w:szCs w:val="21"/>
        </w:rPr>
        <w:t> </w:t>
      </w:r>
      <w:r>
        <w:rPr>
          <w:rFonts w:ascii="宋体" w:hAnsi="宋体" w:cs="宋体" w:eastAsia="宋体" w:hint="default"/>
          <w:sz w:val="21"/>
          <w:szCs w:val="21"/>
        </w:rPr>
        <w:t>月加入中国网络通信集团公司（“网通集团”）担任高级管理</w:t>
      </w:r>
    </w:p>
    <w:p>
      <w:pPr>
        <w:spacing w:line="225" w:lineRule="auto" w:before="1"/>
        <w:ind w:left="846" w:right="205" w:firstLine="0"/>
        <w:jc w:val="both"/>
        <w:rPr>
          <w:rFonts w:ascii="宋体" w:hAnsi="宋体" w:cs="宋体" w:eastAsia="宋体" w:hint="default"/>
          <w:sz w:val="21"/>
          <w:szCs w:val="21"/>
        </w:rPr>
      </w:pPr>
      <w:r>
        <w:rPr>
          <w:rFonts w:ascii="宋体" w:hAnsi="宋体" w:cs="宋体" w:eastAsia="宋体" w:hint="default"/>
          <w:spacing w:val="-5"/>
          <w:sz w:val="21"/>
          <w:szCs w:val="21"/>
        </w:rPr>
        <w:t>职务，并于</w:t>
      </w:r>
      <w:r>
        <w:rPr>
          <w:rFonts w:ascii="宋体" w:hAnsi="宋体" w:cs="宋体" w:eastAsia="宋体" w:hint="default"/>
          <w:spacing w:val="-44"/>
          <w:sz w:val="21"/>
          <w:szCs w:val="21"/>
        </w:rPr>
        <w:t> </w:t>
      </w:r>
      <w:r>
        <w:rPr>
          <w:rFonts w:ascii="Arial" w:hAnsi="Arial" w:cs="Arial" w:eastAsia="Arial" w:hint="default"/>
          <w:sz w:val="21"/>
          <w:szCs w:val="21"/>
        </w:rPr>
        <w:t>2008</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Arial" w:hAnsi="Arial" w:cs="Arial" w:eastAsia="Arial" w:hint="default"/>
          <w:sz w:val="21"/>
          <w:szCs w:val="21"/>
        </w:rPr>
        <w:t>5</w:t>
      </w:r>
      <w:r>
        <w:rPr>
          <w:rFonts w:ascii="Arial" w:hAnsi="Arial" w:cs="Arial" w:eastAsia="Arial" w:hint="default"/>
          <w:spacing w:val="2"/>
          <w:sz w:val="21"/>
          <w:szCs w:val="21"/>
        </w:rPr>
        <w:t> </w:t>
      </w:r>
      <w:r>
        <w:rPr>
          <w:rFonts w:ascii="宋体" w:hAnsi="宋体" w:cs="宋体" w:eastAsia="宋体" w:hint="default"/>
          <w:spacing w:val="-3"/>
          <w:sz w:val="21"/>
          <w:szCs w:val="21"/>
        </w:rPr>
        <w:t>月起担任香港电讯盈科有限公司非执行董事，</w:t>
      </w:r>
      <w:r>
        <w:rPr>
          <w:rFonts w:ascii="Arial" w:hAnsi="Arial" w:cs="Arial" w:eastAsia="Arial" w:hint="default"/>
          <w:spacing w:val="-3"/>
          <w:sz w:val="21"/>
          <w:szCs w:val="21"/>
        </w:rPr>
        <w:t>2011</w:t>
      </w:r>
      <w:r>
        <w:rPr>
          <w:rFonts w:ascii="Arial" w:hAnsi="Arial" w:cs="Arial" w:eastAsia="Arial"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Arial" w:hAnsi="Arial" w:cs="Arial" w:eastAsia="Arial" w:hint="default"/>
          <w:sz w:val="21"/>
          <w:szCs w:val="21"/>
        </w:rPr>
        <w:t>11</w:t>
      </w:r>
      <w:r>
        <w:rPr>
          <w:rFonts w:ascii="Arial" w:hAnsi="Arial" w:cs="Arial" w:eastAsia="Arial" w:hint="default"/>
          <w:spacing w:val="2"/>
          <w:sz w:val="21"/>
          <w:szCs w:val="21"/>
        </w:rPr>
        <w:t> </w:t>
      </w:r>
      <w:r>
        <w:rPr>
          <w:rFonts w:ascii="宋体" w:hAnsi="宋体" w:cs="宋体" w:eastAsia="宋体" w:hint="default"/>
          <w:sz w:val="21"/>
          <w:szCs w:val="21"/>
        </w:rPr>
        <w:t>月起担任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香港电讯盈科有限公司董事会副主席。</w:t>
      </w:r>
      <w:r>
        <w:rPr>
          <w:rFonts w:ascii="Arial" w:hAnsi="Arial" w:cs="Arial" w:eastAsia="Arial" w:hint="default"/>
          <w:spacing w:val="-4"/>
          <w:sz w:val="21"/>
          <w:szCs w:val="21"/>
        </w:rPr>
        <w:t>2011 </w:t>
      </w:r>
      <w:r>
        <w:rPr>
          <w:rFonts w:ascii="宋体" w:hAnsi="宋体" w:cs="宋体" w:eastAsia="宋体" w:hint="default"/>
          <w:sz w:val="21"/>
          <w:szCs w:val="21"/>
        </w:rPr>
        <w:t>年 </w:t>
      </w:r>
      <w:r>
        <w:rPr>
          <w:rFonts w:ascii="Arial" w:hAnsi="Arial" w:cs="Arial" w:eastAsia="Arial" w:hint="default"/>
          <w:sz w:val="21"/>
          <w:szCs w:val="21"/>
        </w:rPr>
        <w:t>11 </w:t>
      </w:r>
      <w:r>
        <w:rPr>
          <w:rFonts w:ascii="宋体" w:hAnsi="宋体" w:cs="宋体" w:eastAsia="宋体" w:hint="default"/>
          <w:spacing w:val="-4"/>
          <w:sz w:val="21"/>
          <w:szCs w:val="21"/>
        </w:rPr>
        <w:t>月起担任香港电讯管理有限公司（作为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香港电讯信托的托管人</w:t>
      </w:r>
      <w:r>
        <w:rPr>
          <w:rFonts w:ascii="Arial" w:hAnsi="Arial" w:cs="Arial" w:eastAsia="Arial" w:hint="default"/>
          <w:spacing w:val="-3"/>
          <w:sz w:val="21"/>
          <w:szCs w:val="21"/>
        </w:rPr>
        <w:t>—</w:t>
      </w:r>
      <w:r>
        <w:rPr>
          <w:rFonts w:ascii="宋体" w:hAnsi="宋体" w:cs="宋体" w:eastAsia="宋体" w:hint="default"/>
          <w:spacing w:val="-3"/>
          <w:sz w:val="21"/>
          <w:szCs w:val="21"/>
        </w:rPr>
        <w:t>经理）非执行董事。加入网通集团之前，曾在中共中央办公厅秘</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书局工作，自 </w:t>
      </w:r>
      <w:r>
        <w:rPr>
          <w:rFonts w:ascii="Arial" w:hAnsi="Arial" w:cs="Arial" w:eastAsia="Arial" w:hint="default"/>
          <w:sz w:val="21"/>
          <w:szCs w:val="21"/>
        </w:rPr>
        <w:t>1992 </w:t>
      </w:r>
      <w:r>
        <w:rPr>
          <w:rFonts w:ascii="宋体" w:hAnsi="宋体" w:cs="宋体" w:eastAsia="宋体" w:hint="default"/>
          <w:sz w:val="21"/>
          <w:szCs w:val="21"/>
        </w:rPr>
        <w:t>年起先后担任信息处理室副主任及主任，</w:t>
      </w:r>
      <w:r>
        <w:rPr>
          <w:rFonts w:ascii="Arial" w:hAnsi="Arial" w:cs="Arial" w:eastAsia="Arial" w:hint="default"/>
          <w:sz w:val="21"/>
          <w:szCs w:val="21"/>
        </w:rPr>
        <w:t>2001</w:t>
      </w:r>
      <w:r>
        <w:rPr>
          <w:rFonts w:ascii="Arial" w:hAnsi="Arial" w:cs="Arial" w:eastAsia="Arial" w:hint="default"/>
          <w:spacing w:val="34"/>
          <w:sz w:val="21"/>
          <w:szCs w:val="21"/>
        </w:rPr>
        <w:t> </w:t>
      </w:r>
      <w:r>
        <w:rPr>
          <w:rFonts w:ascii="宋体" w:hAnsi="宋体" w:cs="宋体" w:eastAsia="宋体" w:hint="default"/>
          <w:sz w:val="21"/>
          <w:szCs w:val="21"/>
        </w:rPr>
        <w:t>年起担任专职副局级</w:t>
      </w:r>
      <w:r>
        <w:rPr>
          <w:rFonts w:ascii="宋体" w:hAnsi="宋体" w:cs="宋体" w:eastAsia="宋体" w:hint="default"/>
          <w:w w:val="100"/>
          <w:sz w:val="21"/>
          <w:szCs w:val="21"/>
        </w:rPr>
        <w:t> </w:t>
      </w:r>
      <w:r>
        <w:rPr>
          <w:rFonts w:ascii="宋体" w:hAnsi="宋体" w:cs="宋体" w:eastAsia="宋体" w:hint="default"/>
          <w:spacing w:val="-12"/>
          <w:sz w:val="21"/>
          <w:szCs w:val="21"/>
        </w:rPr>
        <w:t>秘书，</w:t>
      </w:r>
      <w:r>
        <w:rPr>
          <w:rFonts w:ascii="Arial" w:hAnsi="Arial" w:cs="Arial" w:eastAsia="Arial" w:hint="default"/>
          <w:spacing w:val="-12"/>
          <w:sz w:val="21"/>
          <w:szCs w:val="21"/>
        </w:rPr>
        <w:t>2005 </w:t>
      </w:r>
      <w:r>
        <w:rPr>
          <w:rFonts w:ascii="宋体" w:hAnsi="宋体" w:cs="宋体" w:eastAsia="宋体" w:hint="default"/>
          <w:spacing w:val="-7"/>
          <w:sz w:val="21"/>
          <w:szCs w:val="21"/>
        </w:rPr>
        <w:t>年起担任专职正局级秘书。</w:t>
      </w:r>
      <w:r>
        <w:rPr>
          <w:rFonts w:ascii="Arial" w:hAnsi="Arial" w:cs="Arial" w:eastAsia="Arial" w:hint="default"/>
          <w:spacing w:val="-7"/>
          <w:sz w:val="21"/>
          <w:szCs w:val="21"/>
        </w:rPr>
        <w:t>2008 </w:t>
      </w:r>
      <w:r>
        <w:rPr>
          <w:rFonts w:ascii="宋体" w:hAnsi="宋体" w:cs="宋体" w:eastAsia="宋体" w:hint="default"/>
          <w:sz w:val="21"/>
          <w:szCs w:val="21"/>
        </w:rPr>
        <w:t>年 </w:t>
      </w:r>
      <w:r>
        <w:rPr>
          <w:rFonts w:ascii="Arial" w:hAnsi="Arial" w:cs="Arial" w:eastAsia="Arial" w:hint="default"/>
          <w:sz w:val="21"/>
          <w:szCs w:val="21"/>
        </w:rPr>
        <w:t>10 </w:t>
      </w:r>
      <w:r>
        <w:rPr>
          <w:rFonts w:ascii="宋体" w:hAnsi="宋体" w:cs="宋体" w:eastAsia="宋体" w:hint="default"/>
          <w:spacing w:val="-6"/>
          <w:sz w:val="21"/>
          <w:szCs w:val="21"/>
        </w:rPr>
        <w:t>月起担任联通红筹公司执行董事。</w:t>
      </w:r>
      <w:r>
        <w:rPr>
          <w:rFonts w:ascii="Arial" w:hAnsi="Arial" w:cs="Arial" w:eastAsia="Arial" w:hint="default"/>
          <w:spacing w:val="-6"/>
          <w:sz w:val="21"/>
          <w:szCs w:val="21"/>
        </w:rPr>
        <w:t>2009</w:t>
      </w:r>
      <w:r>
        <w:rPr>
          <w:rFonts w:ascii="Arial" w:hAnsi="Arial" w:cs="Arial" w:eastAsia="Arial" w:hint="default"/>
          <w:spacing w:val="-39"/>
          <w:sz w:val="21"/>
          <w:szCs w:val="21"/>
        </w:rPr>
        <w:t> </w:t>
      </w:r>
      <w:r>
        <w:rPr>
          <w:rFonts w:ascii="Arial" w:hAnsi="Arial" w:cs="Arial" w:eastAsia="Arial" w:hint="default"/>
          <w:spacing w:val="-39"/>
          <w:sz w:val="21"/>
          <w:szCs w:val="21"/>
        </w:rPr>
      </w:r>
      <w:r>
        <w:rPr>
          <w:rFonts w:ascii="宋体" w:hAnsi="宋体" w:cs="宋体" w:eastAsia="宋体" w:hint="default"/>
          <w:sz w:val="21"/>
          <w:szCs w:val="21"/>
        </w:rPr>
        <w:t>年 </w:t>
      </w:r>
      <w:r>
        <w:rPr>
          <w:rFonts w:ascii="Arial" w:hAnsi="Arial" w:cs="Arial" w:eastAsia="Arial" w:hint="default"/>
          <w:sz w:val="21"/>
          <w:szCs w:val="21"/>
        </w:rPr>
        <w:t>2 </w:t>
      </w:r>
      <w:r>
        <w:rPr>
          <w:rFonts w:ascii="宋体" w:hAnsi="宋体" w:cs="宋体" w:eastAsia="宋体" w:hint="default"/>
          <w:spacing w:val="-4"/>
          <w:sz w:val="21"/>
          <w:szCs w:val="21"/>
        </w:rPr>
        <w:t>月起担任联通红筹公司总裁。陆先生目前担任联通集团副董事长及总经理，联通红筹</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3"/>
          <w:sz w:val="21"/>
          <w:szCs w:val="21"/>
        </w:rPr>
        <w:t>公司执行董事及总裁，联通运营公司董事及总裁。</w:t>
      </w:r>
      <w:r>
        <w:rPr>
          <w:rFonts w:ascii="Arial" w:hAnsi="Arial" w:cs="Arial" w:eastAsia="Arial" w:hint="default"/>
          <w:spacing w:val="-3"/>
          <w:sz w:val="21"/>
          <w:szCs w:val="21"/>
        </w:rPr>
        <w:t>2009</w:t>
      </w:r>
      <w:r>
        <w:rPr>
          <w:rFonts w:ascii="Arial" w:hAnsi="Arial" w:cs="Arial" w:eastAsia="Arial"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Arial" w:hAnsi="Arial" w:cs="Arial" w:eastAsia="Arial" w:hint="default"/>
          <w:sz w:val="21"/>
          <w:szCs w:val="21"/>
        </w:rPr>
        <w:t>3</w:t>
      </w:r>
      <w:r>
        <w:rPr>
          <w:rFonts w:ascii="Arial" w:hAnsi="Arial" w:cs="Arial" w:eastAsia="Arial" w:hint="default"/>
          <w:spacing w:val="3"/>
          <w:sz w:val="21"/>
          <w:szCs w:val="21"/>
        </w:rPr>
        <w:t> </w:t>
      </w:r>
      <w:r>
        <w:rPr>
          <w:rFonts w:ascii="宋体" w:hAnsi="宋体" w:cs="宋体" w:eastAsia="宋体" w:hint="default"/>
          <w:spacing w:val="-3"/>
          <w:sz w:val="21"/>
          <w:szCs w:val="21"/>
        </w:rPr>
        <w:t>月起任本公司总裁。</w:t>
      </w:r>
      <w:r>
        <w:rPr>
          <w:rFonts w:ascii="Arial" w:hAnsi="Arial" w:cs="Arial" w:eastAsia="Arial" w:hint="default"/>
          <w:spacing w:val="-3"/>
          <w:sz w:val="21"/>
          <w:szCs w:val="21"/>
        </w:rPr>
        <w:t>2009</w:t>
      </w:r>
      <w:r>
        <w:rPr>
          <w:rFonts w:ascii="Arial" w:hAnsi="Arial" w:cs="Arial" w:eastAsia="Arial"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101"/>
          <w:sz w:val="21"/>
          <w:szCs w:val="21"/>
        </w:rPr>
        <w:t> </w:t>
      </w:r>
      <w:r>
        <w:rPr>
          <w:rFonts w:ascii="Arial" w:hAnsi="Arial" w:cs="Arial" w:eastAsia="Arial" w:hint="default"/>
          <w:sz w:val="21"/>
          <w:szCs w:val="21"/>
        </w:rPr>
        <w:t>5</w:t>
      </w:r>
      <w:r>
        <w:rPr>
          <w:rFonts w:ascii="Arial" w:hAnsi="Arial" w:cs="Arial" w:eastAsia="Arial" w:hint="default"/>
          <w:spacing w:val="52"/>
          <w:sz w:val="21"/>
          <w:szCs w:val="21"/>
        </w:rPr>
        <w:t> </w:t>
      </w:r>
      <w:r>
        <w:rPr>
          <w:rFonts w:ascii="宋体" w:hAnsi="宋体" w:cs="宋体" w:eastAsia="宋体" w:hint="default"/>
          <w:spacing w:val="-2"/>
          <w:sz w:val="21"/>
          <w:szCs w:val="21"/>
        </w:rPr>
        <w:t>月起任本公司董事。陆益民先生具有丰富的政府工作经历和管理经验。</w:t>
      </w:r>
    </w:p>
    <w:p>
      <w:pPr>
        <w:spacing w:line="240" w:lineRule="auto" w:before="4"/>
        <w:rPr>
          <w:rFonts w:ascii="宋体" w:hAnsi="宋体" w:cs="宋体" w:eastAsia="宋体" w:hint="default"/>
          <w:sz w:val="17"/>
          <w:szCs w:val="17"/>
        </w:rPr>
      </w:pPr>
    </w:p>
    <w:p>
      <w:pPr>
        <w:spacing w:before="0"/>
        <w:ind w:left="485" w:right="259" w:firstLine="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李福申</w:t>
      </w:r>
    </w:p>
    <w:p>
      <w:pPr>
        <w:spacing w:line="240" w:lineRule="auto" w:before="1"/>
        <w:rPr>
          <w:rFonts w:ascii="宋体" w:hAnsi="宋体" w:cs="宋体" w:eastAsia="宋体" w:hint="default"/>
          <w:sz w:val="19"/>
          <w:szCs w:val="19"/>
        </w:rPr>
      </w:pPr>
    </w:p>
    <w:p>
      <w:pPr>
        <w:spacing w:line="274" w:lineRule="exact" w:before="0"/>
        <w:ind w:left="846" w:right="205" w:firstLine="0"/>
        <w:jc w:val="both"/>
        <w:rPr>
          <w:rFonts w:ascii="宋体" w:hAnsi="宋体" w:cs="宋体" w:eastAsia="宋体" w:hint="default"/>
          <w:sz w:val="21"/>
          <w:szCs w:val="21"/>
        </w:rPr>
      </w:pPr>
      <w:r>
        <w:rPr>
          <w:rFonts w:ascii="宋体" w:hAnsi="宋体" w:cs="宋体" w:eastAsia="宋体" w:hint="default"/>
          <w:sz w:val="21"/>
          <w:szCs w:val="21"/>
        </w:rPr>
        <w:t>李福申先生为高级会计师，</w:t>
      </w:r>
      <w:r>
        <w:rPr>
          <w:rFonts w:ascii="Arial" w:hAnsi="Arial" w:cs="Arial" w:eastAsia="Arial" w:hint="default"/>
          <w:sz w:val="21"/>
          <w:szCs w:val="21"/>
        </w:rPr>
        <w:t>1988 </w:t>
      </w:r>
      <w:r>
        <w:rPr>
          <w:rFonts w:ascii="宋体" w:hAnsi="宋体" w:cs="宋体" w:eastAsia="宋体" w:hint="default"/>
          <w:sz w:val="21"/>
          <w:szCs w:val="21"/>
        </w:rPr>
        <w:t>年毕业于吉林工学院管理工程专业，并于 </w:t>
      </w:r>
      <w:r>
        <w:rPr>
          <w:rFonts w:ascii="Arial" w:hAnsi="Arial" w:cs="Arial" w:eastAsia="Arial" w:hint="default"/>
          <w:sz w:val="21"/>
          <w:szCs w:val="21"/>
        </w:rPr>
        <w:t>2004</w:t>
      </w:r>
      <w:r>
        <w:rPr>
          <w:rFonts w:ascii="Arial" w:hAnsi="Arial" w:cs="Arial" w:eastAsia="Arial" w:hint="default"/>
          <w:spacing w:val="34"/>
          <w:sz w:val="21"/>
          <w:szCs w:val="21"/>
        </w:rPr>
        <w:t> </w:t>
      </w:r>
      <w:r>
        <w:rPr>
          <w:rFonts w:ascii="宋体" w:hAnsi="宋体" w:cs="宋体" w:eastAsia="宋体" w:hint="default"/>
          <w:sz w:val="21"/>
          <w:szCs w:val="21"/>
        </w:rPr>
        <w:t>年取得</w:t>
      </w:r>
      <w:r>
        <w:rPr>
          <w:rFonts w:ascii="宋体" w:hAnsi="宋体" w:cs="宋体" w:eastAsia="宋体" w:hint="default"/>
          <w:w w:val="100"/>
          <w:sz w:val="21"/>
          <w:szCs w:val="21"/>
        </w:rPr>
        <w:t> </w:t>
      </w:r>
      <w:r>
        <w:rPr>
          <w:rFonts w:ascii="宋体" w:hAnsi="宋体" w:cs="宋体" w:eastAsia="宋体" w:hint="default"/>
          <w:sz w:val="21"/>
          <w:szCs w:val="21"/>
        </w:rPr>
        <w:t>澳大利亚国立大学管理学硕士学位。</w:t>
      </w:r>
      <w:r>
        <w:rPr>
          <w:rFonts w:ascii="Arial" w:hAnsi="Arial" w:cs="Arial" w:eastAsia="Arial" w:hint="default"/>
          <w:sz w:val="21"/>
          <w:szCs w:val="21"/>
        </w:rPr>
        <w:t>2001</w:t>
      </w:r>
      <w:r>
        <w:rPr>
          <w:rFonts w:ascii="Arial" w:hAnsi="Arial" w:cs="Arial" w:eastAsia="Arial"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Arial" w:hAnsi="Arial" w:cs="Arial" w:eastAsia="Arial" w:hint="default"/>
          <w:sz w:val="21"/>
          <w:szCs w:val="21"/>
        </w:rPr>
        <w:t>11</w:t>
      </w:r>
      <w:r>
        <w:rPr>
          <w:rFonts w:ascii="Arial" w:hAnsi="Arial" w:cs="Arial" w:eastAsia="Arial" w:hint="default"/>
          <w:spacing w:val="-1"/>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Arial" w:hAnsi="Arial" w:cs="Arial" w:eastAsia="Arial" w:hint="default"/>
          <w:sz w:val="21"/>
          <w:szCs w:val="21"/>
        </w:rPr>
        <w:t>2003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Arial" w:hAnsi="Arial" w:cs="Arial" w:eastAsia="Arial" w:hint="default"/>
          <w:sz w:val="21"/>
          <w:szCs w:val="21"/>
        </w:rPr>
        <w:t>10</w:t>
      </w:r>
      <w:r>
        <w:rPr>
          <w:rFonts w:ascii="Arial" w:hAnsi="Arial" w:cs="Arial" w:eastAsia="Arial" w:hint="default"/>
          <w:spacing w:val="1"/>
          <w:sz w:val="21"/>
          <w:szCs w:val="21"/>
        </w:rPr>
        <w:t> </w:t>
      </w:r>
      <w:r>
        <w:rPr>
          <w:rFonts w:ascii="宋体" w:hAnsi="宋体" w:cs="宋体" w:eastAsia="宋体" w:hint="default"/>
          <w:sz w:val="21"/>
          <w:szCs w:val="21"/>
        </w:rPr>
        <w:t>月担任原吉林省电信公</w:t>
      </w:r>
    </w:p>
    <w:p>
      <w:pPr>
        <w:spacing w:line="253" w:lineRule="exact" w:before="0"/>
        <w:ind w:left="846" w:right="0" w:firstLine="0"/>
        <w:jc w:val="both"/>
        <w:rPr>
          <w:rFonts w:ascii="宋体" w:hAnsi="宋体" w:cs="宋体" w:eastAsia="宋体" w:hint="default"/>
          <w:sz w:val="21"/>
          <w:szCs w:val="21"/>
        </w:rPr>
      </w:pPr>
      <w:r>
        <w:rPr>
          <w:rFonts w:ascii="宋体" w:hAnsi="宋体" w:cs="宋体" w:eastAsia="宋体" w:hint="default"/>
          <w:spacing w:val="-4"/>
          <w:sz w:val="21"/>
          <w:szCs w:val="21"/>
        </w:rPr>
        <w:t>司及吉林省通信公司副总经理。</w:t>
      </w:r>
      <w:r>
        <w:rPr>
          <w:rFonts w:ascii="Arial" w:hAnsi="Arial" w:cs="Arial" w:eastAsia="Arial" w:hint="default"/>
          <w:spacing w:val="-4"/>
          <w:sz w:val="21"/>
          <w:szCs w:val="21"/>
        </w:rPr>
        <w:t>2003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Arial" w:hAnsi="Arial" w:cs="Arial" w:eastAsia="Arial" w:hint="default"/>
          <w:sz w:val="21"/>
          <w:szCs w:val="21"/>
        </w:rPr>
        <w:t>10</w:t>
      </w:r>
      <w:r>
        <w:rPr>
          <w:rFonts w:ascii="Arial" w:hAnsi="Arial" w:cs="Arial" w:eastAsia="Arial" w:hint="default"/>
          <w:spacing w:val="-4"/>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Arial" w:hAnsi="Arial" w:cs="Arial" w:eastAsia="Arial" w:hint="default"/>
          <w:sz w:val="21"/>
          <w:szCs w:val="21"/>
        </w:rPr>
        <w:t>2005</w:t>
      </w:r>
      <w:r>
        <w:rPr>
          <w:rFonts w:ascii="Arial" w:hAnsi="Arial" w:cs="Arial" w:eastAsia="Arial"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w:hAnsi="Arial" w:cs="Arial" w:eastAsia="Arial" w:hint="default"/>
          <w:sz w:val="21"/>
          <w:szCs w:val="21"/>
        </w:rPr>
        <w:t>8</w:t>
      </w:r>
      <w:r>
        <w:rPr>
          <w:rFonts w:ascii="Arial" w:hAnsi="Arial" w:cs="Arial" w:eastAsia="Arial" w:hint="default"/>
          <w:spacing w:val="-1"/>
          <w:sz w:val="21"/>
          <w:szCs w:val="21"/>
        </w:rPr>
        <w:t> </w:t>
      </w:r>
      <w:r>
        <w:rPr>
          <w:rFonts w:ascii="宋体" w:hAnsi="宋体" w:cs="宋体" w:eastAsia="宋体" w:hint="default"/>
          <w:sz w:val="21"/>
          <w:szCs w:val="21"/>
        </w:rPr>
        <w:t>月担任中国网络通信集团公司</w:t>
      </w:r>
    </w:p>
    <w:p>
      <w:pPr>
        <w:spacing w:line="272" w:lineRule="exact" w:before="0"/>
        <w:ind w:left="846" w:right="0" w:firstLine="0"/>
        <w:jc w:val="both"/>
        <w:rPr>
          <w:rFonts w:ascii="Arial" w:hAnsi="Arial" w:cs="Arial" w:eastAsia="Arial" w:hint="default"/>
          <w:sz w:val="21"/>
          <w:szCs w:val="21"/>
        </w:rPr>
      </w:pPr>
      <w:r>
        <w:rPr>
          <w:rFonts w:ascii="宋体" w:hAnsi="宋体" w:cs="宋体" w:eastAsia="宋体" w:hint="default"/>
          <w:sz w:val="21"/>
          <w:szCs w:val="21"/>
        </w:rPr>
        <w:t>（“网通集团”）财务部总经理，并自</w:t>
      </w:r>
      <w:r>
        <w:rPr>
          <w:rFonts w:ascii="宋体" w:hAnsi="宋体" w:cs="宋体" w:eastAsia="宋体" w:hint="default"/>
          <w:spacing w:val="-50"/>
          <w:sz w:val="21"/>
          <w:szCs w:val="21"/>
        </w:rPr>
        <w:t> </w:t>
      </w:r>
      <w:r>
        <w:rPr>
          <w:rFonts w:ascii="Arial" w:hAnsi="Arial" w:cs="Arial" w:eastAsia="Arial" w:hint="default"/>
          <w:sz w:val="21"/>
          <w:szCs w:val="21"/>
        </w:rPr>
        <w:t>2005</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w:hAnsi="Arial" w:cs="Arial" w:eastAsia="Arial" w:hint="default"/>
          <w:sz w:val="21"/>
          <w:szCs w:val="21"/>
        </w:rPr>
        <w:t>10</w:t>
      </w:r>
      <w:r>
        <w:rPr>
          <w:rFonts w:ascii="Arial" w:hAnsi="Arial" w:cs="Arial" w:eastAsia="Arial" w:hint="default"/>
          <w:spacing w:val="-6"/>
          <w:sz w:val="21"/>
          <w:szCs w:val="21"/>
        </w:rPr>
        <w:t> </w:t>
      </w:r>
      <w:r>
        <w:rPr>
          <w:rFonts w:ascii="宋体" w:hAnsi="宋体" w:cs="宋体" w:eastAsia="宋体" w:hint="default"/>
          <w:sz w:val="21"/>
          <w:szCs w:val="21"/>
        </w:rPr>
        <w:t>月起任网通集团总会计师。</w:t>
      </w:r>
      <w:r>
        <w:rPr>
          <w:rFonts w:ascii="Arial" w:hAnsi="Arial" w:cs="Arial" w:eastAsia="Arial" w:hint="default"/>
          <w:sz w:val="21"/>
          <w:szCs w:val="21"/>
        </w:rPr>
        <w:t>2005</w:t>
      </w:r>
      <w:r>
        <w:rPr>
          <w:rFonts w:ascii="Arial" w:hAnsi="Arial" w:cs="Arial" w:eastAsia="Arial"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9</w:t>
      </w:r>
    </w:p>
    <w:p>
      <w:pPr>
        <w:spacing w:line="272" w:lineRule="exact" w:before="0"/>
        <w:ind w:left="846" w:right="0" w:firstLine="0"/>
        <w:jc w:val="both"/>
        <w:rPr>
          <w:rFonts w:ascii="Arial" w:hAnsi="Arial" w:cs="Arial" w:eastAsia="Arial" w:hint="default"/>
          <w:sz w:val="21"/>
          <w:szCs w:val="21"/>
        </w:rPr>
      </w:pPr>
      <w:r>
        <w:rPr>
          <w:rFonts w:ascii="宋体" w:hAnsi="宋体" w:cs="宋体" w:eastAsia="宋体" w:hint="default"/>
          <w:sz w:val="21"/>
          <w:szCs w:val="21"/>
        </w:rPr>
        <w:t>月起担任中国网通集团（香港）有限公司（“中国网通”）首席财务官，并自 </w:t>
      </w:r>
      <w:r>
        <w:rPr>
          <w:rFonts w:ascii="Arial" w:hAnsi="Arial" w:cs="Arial" w:eastAsia="Arial" w:hint="default"/>
          <w:sz w:val="21"/>
          <w:szCs w:val="21"/>
        </w:rPr>
        <w:t>2007 </w:t>
      </w:r>
      <w:r>
        <w:rPr>
          <w:rFonts w:ascii="宋体" w:hAnsi="宋体" w:cs="宋体" w:eastAsia="宋体" w:hint="default"/>
          <w:sz w:val="21"/>
          <w:szCs w:val="21"/>
        </w:rPr>
        <w:t>年</w:t>
      </w:r>
      <w:r>
        <w:rPr>
          <w:rFonts w:ascii="宋体" w:hAnsi="宋体" w:cs="宋体" w:eastAsia="宋体" w:hint="default"/>
          <w:spacing w:val="-83"/>
          <w:sz w:val="21"/>
          <w:szCs w:val="21"/>
        </w:rPr>
        <w:t> </w:t>
      </w:r>
      <w:r>
        <w:rPr>
          <w:rFonts w:ascii="Arial" w:hAnsi="Arial" w:cs="Arial" w:eastAsia="Arial" w:hint="default"/>
          <w:sz w:val="21"/>
          <w:szCs w:val="21"/>
        </w:rPr>
        <w:t>1</w:t>
      </w:r>
    </w:p>
    <w:p>
      <w:pPr>
        <w:spacing w:line="273" w:lineRule="exact" w:before="0"/>
        <w:ind w:left="846" w:right="0" w:firstLine="0"/>
        <w:jc w:val="both"/>
        <w:rPr>
          <w:rFonts w:ascii="宋体" w:hAnsi="宋体" w:cs="宋体" w:eastAsia="宋体" w:hint="default"/>
          <w:sz w:val="21"/>
          <w:szCs w:val="21"/>
        </w:rPr>
      </w:pPr>
      <w:r>
        <w:rPr>
          <w:rFonts w:ascii="宋体" w:hAnsi="宋体" w:cs="宋体" w:eastAsia="宋体" w:hint="default"/>
          <w:w w:val="100"/>
          <w:sz w:val="21"/>
          <w:szCs w:val="21"/>
        </w:rPr>
        <w:t>月起</w:t>
      </w:r>
      <w:r>
        <w:rPr>
          <w:rFonts w:ascii="宋体" w:hAnsi="宋体" w:cs="宋体" w:eastAsia="宋体" w:hint="default"/>
          <w:spacing w:val="-3"/>
          <w:w w:val="100"/>
          <w:sz w:val="21"/>
          <w:szCs w:val="21"/>
        </w:rPr>
        <w:t>任</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网</w:t>
      </w:r>
      <w:r>
        <w:rPr>
          <w:rFonts w:ascii="宋体" w:hAnsi="宋体" w:cs="宋体" w:eastAsia="宋体" w:hint="default"/>
          <w:spacing w:val="-3"/>
          <w:w w:val="100"/>
          <w:sz w:val="21"/>
          <w:szCs w:val="21"/>
        </w:rPr>
        <w:t>通</w:t>
      </w:r>
      <w:r>
        <w:rPr>
          <w:rFonts w:ascii="宋体" w:hAnsi="宋体" w:cs="宋体" w:eastAsia="宋体" w:hint="default"/>
          <w:w w:val="100"/>
          <w:sz w:val="21"/>
          <w:szCs w:val="21"/>
        </w:rPr>
        <w:t>执</w:t>
      </w:r>
      <w:r>
        <w:rPr>
          <w:rFonts w:ascii="宋体" w:hAnsi="宋体" w:cs="宋体" w:eastAsia="宋体" w:hint="default"/>
          <w:spacing w:val="-3"/>
          <w:w w:val="100"/>
          <w:sz w:val="21"/>
          <w:szCs w:val="21"/>
        </w:rPr>
        <w:t>行</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spacing w:val="-99"/>
          <w:w w:val="100"/>
          <w:sz w:val="21"/>
          <w:szCs w:val="21"/>
        </w:rPr>
        <w:t>。</w:t>
      </w:r>
      <w:r>
        <w:rPr>
          <w:rFonts w:ascii="宋体" w:hAnsi="宋体" w:cs="宋体" w:eastAsia="宋体" w:hint="default"/>
          <w:w w:val="100"/>
          <w:sz w:val="21"/>
          <w:szCs w:val="21"/>
        </w:rPr>
        <w:t>自</w:t>
      </w:r>
      <w:r>
        <w:rPr>
          <w:rFonts w:ascii="宋体" w:hAnsi="宋体" w:cs="宋体" w:eastAsia="宋体" w:hint="default"/>
          <w:spacing w:val="-52"/>
          <w:sz w:val="21"/>
          <w:szCs w:val="21"/>
        </w:rPr>
        <w:t> </w:t>
      </w:r>
      <w:r>
        <w:rPr>
          <w:rFonts w:ascii="Arial" w:hAnsi="Arial" w:cs="Arial" w:eastAsia="Arial" w:hint="default"/>
          <w:w w:val="100"/>
          <w:sz w:val="21"/>
          <w:szCs w:val="21"/>
        </w:rPr>
        <w:t>2</w:t>
      </w:r>
      <w:r>
        <w:rPr>
          <w:rFonts w:ascii="Arial" w:hAnsi="Arial" w:cs="Arial" w:eastAsia="Arial" w:hint="default"/>
          <w:spacing w:val="-3"/>
          <w:w w:val="100"/>
          <w:sz w:val="21"/>
          <w:szCs w:val="21"/>
        </w:rPr>
        <w:t>0</w:t>
      </w:r>
      <w:r>
        <w:rPr>
          <w:rFonts w:ascii="Arial" w:hAnsi="Arial" w:cs="Arial" w:eastAsia="Arial" w:hint="default"/>
          <w:w w:val="100"/>
          <w:sz w:val="21"/>
          <w:szCs w:val="21"/>
        </w:rPr>
        <w:t>06</w:t>
      </w:r>
      <w:r>
        <w:rPr>
          <w:rFonts w:ascii="Arial" w:hAnsi="Arial" w:cs="Arial" w:eastAsia="Arial" w:hint="default"/>
          <w:spacing w:val="-8"/>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Arial" w:hAnsi="Arial" w:cs="Arial" w:eastAsia="Arial" w:hint="default"/>
          <w:w w:val="100"/>
          <w:sz w:val="21"/>
          <w:szCs w:val="21"/>
        </w:rPr>
        <w:t>12</w:t>
      </w:r>
      <w:r>
        <w:rPr>
          <w:rFonts w:ascii="Arial" w:hAnsi="Arial" w:cs="Arial" w:eastAsia="Arial" w:hint="default"/>
          <w:spacing w:val="-8"/>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至</w:t>
      </w:r>
      <w:r>
        <w:rPr>
          <w:rFonts w:ascii="宋体" w:hAnsi="宋体" w:cs="宋体" w:eastAsia="宋体" w:hint="default"/>
          <w:spacing w:val="-53"/>
          <w:sz w:val="21"/>
          <w:szCs w:val="21"/>
        </w:rPr>
        <w:t> </w:t>
      </w:r>
      <w:r>
        <w:rPr>
          <w:rFonts w:ascii="Arial" w:hAnsi="Arial" w:cs="Arial" w:eastAsia="Arial" w:hint="default"/>
          <w:w w:val="100"/>
          <w:sz w:val="21"/>
          <w:szCs w:val="21"/>
        </w:rPr>
        <w:t>2</w:t>
      </w:r>
      <w:r>
        <w:rPr>
          <w:rFonts w:ascii="Arial" w:hAnsi="Arial" w:cs="Arial" w:eastAsia="Arial" w:hint="default"/>
          <w:spacing w:val="-3"/>
          <w:w w:val="100"/>
          <w:sz w:val="21"/>
          <w:szCs w:val="21"/>
        </w:rPr>
        <w:t>0</w:t>
      </w:r>
      <w:r>
        <w:rPr>
          <w:rFonts w:ascii="Arial" w:hAnsi="Arial" w:cs="Arial" w:eastAsia="Arial" w:hint="default"/>
          <w:w w:val="100"/>
          <w:sz w:val="21"/>
          <w:szCs w:val="21"/>
        </w:rPr>
        <w:t>08</w:t>
      </w:r>
      <w:r>
        <w:rPr>
          <w:rFonts w:ascii="Arial" w:hAnsi="Arial" w:cs="Arial" w:eastAsia="Arial" w:hint="default"/>
          <w:spacing w:val="-8"/>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Arial" w:hAnsi="Arial" w:cs="Arial" w:eastAsia="Arial" w:hint="default"/>
          <w:w w:val="100"/>
          <w:sz w:val="21"/>
          <w:szCs w:val="21"/>
        </w:rPr>
        <w:t>3</w:t>
      </w:r>
      <w:r>
        <w:rPr>
          <w:rFonts w:ascii="Arial" w:hAnsi="Arial" w:cs="Arial" w:eastAsia="Arial" w:hint="default"/>
          <w:spacing w:val="-8"/>
          <w:sz w:val="21"/>
          <w:szCs w:val="21"/>
        </w:rPr>
        <w:t> </w:t>
      </w:r>
      <w:r>
        <w:rPr>
          <w:rFonts w:ascii="宋体" w:hAnsi="宋体" w:cs="宋体" w:eastAsia="宋体" w:hint="default"/>
          <w:w w:val="100"/>
          <w:sz w:val="21"/>
          <w:szCs w:val="21"/>
        </w:rPr>
        <w:t>月</w:t>
      </w:r>
      <w:r>
        <w:rPr>
          <w:rFonts w:ascii="宋体" w:hAnsi="宋体" w:cs="宋体" w:eastAsia="宋体" w:hint="default"/>
          <w:spacing w:val="-99"/>
          <w:w w:val="100"/>
          <w:sz w:val="21"/>
          <w:szCs w:val="21"/>
        </w:rPr>
        <w:t>，</w:t>
      </w:r>
      <w:r>
        <w:rPr>
          <w:rFonts w:ascii="宋体" w:hAnsi="宋体" w:cs="宋体" w:eastAsia="宋体" w:hint="default"/>
          <w:w w:val="100"/>
          <w:sz w:val="21"/>
          <w:szCs w:val="21"/>
        </w:rPr>
        <w:t>担</w:t>
      </w:r>
      <w:r>
        <w:rPr>
          <w:rFonts w:ascii="宋体" w:hAnsi="宋体" w:cs="宋体" w:eastAsia="宋体" w:hint="default"/>
          <w:spacing w:val="-3"/>
          <w:w w:val="100"/>
          <w:sz w:val="21"/>
          <w:szCs w:val="21"/>
        </w:rPr>
        <w:t>任</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网</w:t>
      </w:r>
      <w:r>
        <w:rPr>
          <w:rFonts w:ascii="宋体" w:hAnsi="宋体" w:cs="宋体" w:eastAsia="宋体" w:hint="default"/>
          <w:spacing w:val="-3"/>
          <w:w w:val="100"/>
          <w:sz w:val="21"/>
          <w:szCs w:val="21"/>
        </w:rPr>
        <w:t>通</w:t>
      </w:r>
      <w:r>
        <w:rPr>
          <w:rFonts w:ascii="宋体" w:hAnsi="宋体" w:cs="宋体" w:eastAsia="宋体" w:hint="default"/>
          <w:w w:val="100"/>
          <w:sz w:val="21"/>
          <w:szCs w:val="21"/>
        </w:rPr>
        <w:t>联</w:t>
      </w:r>
      <w:r>
        <w:rPr>
          <w:rFonts w:ascii="宋体" w:hAnsi="宋体" w:cs="宋体" w:eastAsia="宋体" w:hint="default"/>
          <w:spacing w:val="-3"/>
          <w:w w:val="100"/>
          <w:sz w:val="21"/>
          <w:szCs w:val="21"/>
        </w:rPr>
        <w:t>席</w:t>
      </w:r>
      <w:r>
        <w:rPr>
          <w:rFonts w:ascii="宋体" w:hAnsi="宋体" w:cs="宋体" w:eastAsia="宋体" w:hint="default"/>
          <w:w w:val="100"/>
          <w:sz w:val="21"/>
          <w:szCs w:val="21"/>
        </w:rPr>
        <w:t>公司</w:t>
      </w:r>
      <w:r>
        <w:rPr>
          <w:rFonts w:ascii="宋体" w:hAnsi="宋体" w:cs="宋体" w:eastAsia="宋体" w:hint="default"/>
          <w:spacing w:val="-3"/>
          <w:w w:val="100"/>
          <w:sz w:val="21"/>
          <w:szCs w:val="21"/>
        </w:rPr>
        <w:t>秘</w:t>
      </w:r>
      <w:r>
        <w:rPr>
          <w:rFonts w:ascii="宋体" w:hAnsi="宋体" w:cs="宋体" w:eastAsia="宋体" w:hint="default"/>
          <w:w w:val="100"/>
          <w:sz w:val="21"/>
          <w:szCs w:val="21"/>
        </w:rPr>
        <w:t>书。</w:t>
      </w:r>
    </w:p>
    <w:p>
      <w:pPr>
        <w:spacing w:line="273" w:lineRule="exact" w:before="0"/>
        <w:ind w:left="846" w:right="0" w:firstLine="0"/>
        <w:jc w:val="both"/>
        <w:rPr>
          <w:rFonts w:ascii="Arial" w:hAnsi="Arial" w:cs="Arial" w:eastAsia="Arial" w:hint="default"/>
          <w:sz w:val="21"/>
          <w:szCs w:val="21"/>
        </w:rPr>
      </w:pPr>
      <w:r>
        <w:rPr>
          <w:rFonts w:ascii="宋体" w:hAnsi="宋体" w:cs="宋体" w:eastAsia="宋体" w:hint="default"/>
          <w:w w:val="100"/>
          <w:sz w:val="21"/>
          <w:szCs w:val="21"/>
        </w:rPr>
        <w:t>自</w:t>
      </w:r>
      <w:r>
        <w:rPr>
          <w:rFonts w:ascii="宋体" w:hAnsi="宋体" w:cs="宋体" w:eastAsia="宋体" w:hint="default"/>
          <w:spacing w:val="-53"/>
          <w:sz w:val="21"/>
          <w:szCs w:val="21"/>
        </w:rPr>
        <w:t> </w:t>
      </w:r>
      <w:r>
        <w:rPr>
          <w:rFonts w:ascii="Arial" w:hAnsi="Arial" w:cs="Arial" w:eastAsia="Arial" w:hint="default"/>
          <w:w w:val="100"/>
          <w:sz w:val="21"/>
          <w:szCs w:val="21"/>
        </w:rPr>
        <w:t>2</w:t>
      </w:r>
      <w:r>
        <w:rPr>
          <w:rFonts w:ascii="Arial" w:hAnsi="Arial" w:cs="Arial" w:eastAsia="Arial" w:hint="default"/>
          <w:spacing w:val="-3"/>
          <w:w w:val="100"/>
          <w:sz w:val="21"/>
          <w:szCs w:val="21"/>
        </w:rPr>
        <w:t>0</w:t>
      </w:r>
      <w:r>
        <w:rPr>
          <w:rFonts w:ascii="Arial" w:hAnsi="Arial" w:cs="Arial" w:eastAsia="Arial" w:hint="default"/>
          <w:w w:val="100"/>
          <w:sz w:val="21"/>
          <w:szCs w:val="21"/>
        </w:rPr>
        <w:t>07</w:t>
      </w:r>
      <w:r>
        <w:rPr>
          <w:rFonts w:ascii="Arial" w:hAnsi="Arial" w:cs="Arial" w:eastAsia="Arial" w:hint="default"/>
          <w:spacing w:val="-8"/>
          <w:sz w:val="21"/>
          <w:szCs w:val="21"/>
        </w:rPr>
        <w:t> </w:t>
      </w:r>
      <w:r>
        <w:rPr>
          <w:rFonts w:ascii="宋体" w:hAnsi="宋体" w:cs="宋体" w:eastAsia="宋体" w:hint="default"/>
          <w:w w:val="100"/>
          <w:sz w:val="21"/>
          <w:szCs w:val="21"/>
        </w:rPr>
        <w:t>年</w:t>
      </w:r>
      <w:r>
        <w:rPr>
          <w:rFonts w:ascii="宋体" w:hAnsi="宋体" w:cs="宋体" w:eastAsia="宋体" w:hint="default"/>
          <w:spacing w:val="-52"/>
          <w:sz w:val="21"/>
          <w:szCs w:val="21"/>
        </w:rPr>
        <w:t> </w:t>
      </w:r>
      <w:r>
        <w:rPr>
          <w:rFonts w:ascii="Arial" w:hAnsi="Arial" w:cs="Arial" w:eastAsia="Arial" w:hint="default"/>
          <w:w w:val="100"/>
          <w:sz w:val="21"/>
          <w:szCs w:val="21"/>
        </w:rPr>
        <w:t>7</w:t>
      </w:r>
      <w:r>
        <w:rPr>
          <w:rFonts w:ascii="Arial" w:hAnsi="Arial" w:cs="Arial" w:eastAsia="Arial" w:hint="default"/>
          <w:spacing w:val="-8"/>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起</w:t>
      </w:r>
      <w:r>
        <w:rPr>
          <w:rFonts w:ascii="宋体" w:hAnsi="宋体" w:cs="宋体" w:eastAsia="宋体" w:hint="default"/>
          <w:w w:val="100"/>
          <w:sz w:val="21"/>
          <w:szCs w:val="21"/>
        </w:rPr>
        <w:t>亦</w:t>
      </w:r>
      <w:r>
        <w:rPr>
          <w:rFonts w:ascii="宋体" w:hAnsi="宋体" w:cs="宋体" w:eastAsia="宋体" w:hint="default"/>
          <w:spacing w:val="-3"/>
          <w:w w:val="100"/>
          <w:sz w:val="21"/>
          <w:szCs w:val="21"/>
        </w:rPr>
        <w:t>担任</w:t>
      </w:r>
      <w:r>
        <w:rPr>
          <w:rFonts w:ascii="宋体" w:hAnsi="宋体" w:cs="宋体" w:eastAsia="宋体" w:hint="default"/>
          <w:w w:val="100"/>
          <w:sz w:val="21"/>
          <w:szCs w:val="21"/>
        </w:rPr>
        <w:t>香港</w:t>
      </w:r>
      <w:r>
        <w:rPr>
          <w:rFonts w:ascii="宋体" w:hAnsi="宋体" w:cs="宋体" w:eastAsia="宋体" w:hint="default"/>
          <w:spacing w:val="-3"/>
          <w:w w:val="100"/>
          <w:sz w:val="21"/>
          <w:szCs w:val="21"/>
        </w:rPr>
        <w:t>电</w:t>
      </w:r>
      <w:r>
        <w:rPr>
          <w:rFonts w:ascii="宋体" w:hAnsi="宋体" w:cs="宋体" w:eastAsia="宋体" w:hint="default"/>
          <w:w w:val="100"/>
          <w:sz w:val="21"/>
          <w:szCs w:val="21"/>
        </w:rPr>
        <w:t>讯</w:t>
      </w:r>
      <w:r>
        <w:rPr>
          <w:rFonts w:ascii="宋体" w:hAnsi="宋体" w:cs="宋体" w:eastAsia="宋体" w:hint="default"/>
          <w:spacing w:val="-3"/>
          <w:w w:val="100"/>
          <w:sz w:val="21"/>
          <w:szCs w:val="21"/>
        </w:rPr>
        <w:t>盈</w:t>
      </w:r>
      <w:r>
        <w:rPr>
          <w:rFonts w:ascii="宋体" w:hAnsi="宋体" w:cs="宋体" w:eastAsia="宋体" w:hint="default"/>
          <w:w w:val="100"/>
          <w:sz w:val="21"/>
          <w:szCs w:val="21"/>
        </w:rPr>
        <w:t>科</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非</w:t>
      </w:r>
      <w:r>
        <w:rPr>
          <w:rFonts w:ascii="宋体" w:hAnsi="宋体" w:cs="宋体" w:eastAsia="宋体" w:hint="default"/>
          <w:w w:val="100"/>
          <w:sz w:val="21"/>
          <w:szCs w:val="21"/>
        </w:rPr>
        <w:t>执行</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87"/>
          <w:w w:val="100"/>
          <w:sz w:val="21"/>
          <w:szCs w:val="21"/>
        </w:rPr>
        <w:t>。</w:t>
      </w:r>
      <w:r>
        <w:rPr>
          <w:rFonts w:ascii="宋体" w:hAnsi="宋体" w:cs="宋体" w:eastAsia="宋体" w:hint="default"/>
          <w:w w:val="100"/>
          <w:sz w:val="21"/>
          <w:szCs w:val="21"/>
        </w:rPr>
        <w:t>自</w:t>
      </w:r>
      <w:r>
        <w:rPr>
          <w:rFonts w:ascii="宋体" w:hAnsi="宋体" w:cs="宋体" w:eastAsia="宋体" w:hint="default"/>
          <w:spacing w:val="-52"/>
          <w:sz w:val="21"/>
          <w:szCs w:val="21"/>
        </w:rPr>
        <w:t> </w:t>
      </w:r>
      <w:r>
        <w:rPr>
          <w:rFonts w:ascii="Arial" w:hAnsi="Arial" w:cs="Arial" w:eastAsia="Arial" w:hint="default"/>
          <w:w w:val="100"/>
          <w:sz w:val="21"/>
          <w:szCs w:val="21"/>
        </w:rPr>
        <w:t>2</w:t>
      </w:r>
      <w:r>
        <w:rPr>
          <w:rFonts w:ascii="Arial" w:hAnsi="Arial" w:cs="Arial" w:eastAsia="Arial" w:hint="default"/>
          <w:spacing w:val="-3"/>
          <w:w w:val="100"/>
          <w:sz w:val="21"/>
          <w:szCs w:val="21"/>
        </w:rPr>
        <w:t>0</w:t>
      </w:r>
      <w:r>
        <w:rPr>
          <w:rFonts w:ascii="Arial" w:hAnsi="Arial" w:cs="Arial" w:eastAsia="Arial" w:hint="default"/>
          <w:w w:val="100"/>
          <w:sz w:val="21"/>
          <w:szCs w:val="21"/>
        </w:rPr>
        <w:t>09</w:t>
      </w:r>
      <w:r>
        <w:rPr>
          <w:rFonts w:ascii="Arial" w:hAnsi="Arial" w:cs="Arial" w:eastAsia="Arial" w:hint="default"/>
          <w:spacing w:val="-8"/>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Arial" w:hAnsi="Arial" w:cs="Arial" w:eastAsia="Arial" w:hint="default"/>
          <w:w w:val="100"/>
          <w:sz w:val="21"/>
          <w:szCs w:val="21"/>
        </w:rPr>
        <w:t>2</w:t>
      </w:r>
      <w:r>
        <w:rPr>
          <w:rFonts w:ascii="Arial" w:hAnsi="Arial" w:cs="Arial" w:eastAsia="Arial" w:hint="default"/>
          <w:spacing w:val="-8"/>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至</w:t>
      </w:r>
      <w:r>
        <w:rPr>
          <w:rFonts w:ascii="宋体" w:hAnsi="宋体" w:cs="宋体" w:eastAsia="宋体" w:hint="default"/>
          <w:spacing w:val="-53"/>
          <w:sz w:val="21"/>
          <w:szCs w:val="21"/>
        </w:rPr>
        <w:t> </w:t>
      </w:r>
      <w:r>
        <w:rPr>
          <w:rFonts w:ascii="Arial" w:hAnsi="Arial" w:cs="Arial" w:eastAsia="Arial" w:hint="default"/>
          <w:w w:val="100"/>
          <w:sz w:val="21"/>
          <w:szCs w:val="21"/>
        </w:rPr>
        <w:t>2</w:t>
      </w:r>
      <w:r>
        <w:rPr>
          <w:rFonts w:ascii="Arial" w:hAnsi="Arial" w:cs="Arial" w:eastAsia="Arial" w:hint="default"/>
          <w:spacing w:val="-3"/>
          <w:w w:val="100"/>
          <w:sz w:val="21"/>
          <w:szCs w:val="21"/>
        </w:rPr>
        <w:t>0</w:t>
      </w:r>
      <w:r>
        <w:rPr>
          <w:rFonts w:ascii="Arial" w:hAnsi="Arial" w:cs="Arial" w:eastAsia="Arial" w:hint="default"/>
          <w:w w:val="100"/>
          <w:sz w:val="21"/>
          <w:szCs w:val="21"/>
        </w:rPr>
        <w:t>11</w:t>
      </w:r>
      <w:r>
        <w:rPr>
          <w:rFonts w:ascii="Arial" w:hAnsi="Arial" w:cs="Arial" w:eastAsia="Arial" w:hint="default"/>
          <w:spacing w:val="-8"/>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Arial" w:hAnsi="Arial" w:cs="Arial" w:eastAsia="Arial" w:hint="default"/>
          <w:w w:val="100"/>
          <w:sz w:val="21"/>
          <w:szCs w:val="21"/>
        </w:rPr>
        <w:t>3</w:t>
      </w:r>
    </w:p>
    <w:p>
      <w:pPr>
        <w:spacing w:line="230" w:lineRule="auto" w:before="1"/>
        <w:ind w:left="846" w:right="97" w:firstLine="0"/>
        <w:jc w:val="left"/>
        <w:rPr>
          <w:rFonts w:ascii="宋体" w:hAnsi="宋体" w:cs="宋体" w:eastAsia="宋体" w:hint="default"/>
          <w:sz w:val="21"/>
          <w:szCs w:val="21"/>
        </w:rPr>
      </w:pPr>
      <w:r>
        <w:rPr>
          <w:rFonts w:ascii="宋体" w:hAnsi="宋体" w:cs="宋体" w:eastAsia="宋体" w:hint="default"/>
          <w:spacing w:val="-3"/>
          <w:sz w:val="21"/>
          <w:szCs w:val="21"/>
        </w:rPr>
        <w:t>月担任联通红筹公司高级副总裁。于</w:t>
      </w:r>
      <w:r>
        <w:rPr>
          <w:rFonts w:ascii="宋体" w:hAnsi="宋体" w:cs="宋体" w:eastAsia="宋体" w:hint="default"/>
          <w:spacing w:val="-48"/>
          <w:sz w:val="21"/>
          <w:szCs w:val="21"/>
        </w:rPr>
        <w:t> </w:t>
      </w:r>
      <w:r>
        <w:rPr>
          <w:rFonts w:ascii="Arial" w:hAnsi="Arial" w:cs="Arial" w:eastAsia="Arial" w:hint="default"/>
          <w:sz w:val="21"/>
          <w:szCs w:val="21"/>
        </w:rPr>
        <w:t>2011</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2"/>
          <w:sz w:val="21"/>
          <w:szCs w:val="21"/>
        </w:rPr>
        <w:t> </w:t>
      </w:r>
      <w:r>
        <w:rPr>
          <w:rFonts w:ascii="宋体" w:hAnsi="宋体" w:cs="宋体" w:eastAsia="宋体" w:hint="default"/>
          <w:sz w:val="21"/>
          <w:szCs w:val="21"/>
        </w:rPr>
        <w:t>月起担任联通红筹公司执行董事兼首席财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6"/>
          <w:sz w:val="21"/>
          <w:szCs w:val="21"/>
        </w:rPr>
        <w:t>务官。目前亦为香港电讯管理有限公司（作为香港电讯信托的托管人</w:t>
      </w:r>
      <w:r>
        <w:rPr>
          <w:rFonts w:ascii="Arial" w:hAnsi="Arial" w:cs="Arial" w:eastAsia="Arial" w:hint="default"/>
          <w:spacing w:val="-6"/>
          <w:sz w:val="21"/>
          <w:szCs w:val="21"/>
        </w:rPr>
        <w:t>—</w:t>
      </w:r>
      <w:r>
        <w:rPr>
          <w:rFonts w:ascii="宋体" w:hAnsi="宋体" w:cs="宋体" w:eastAsia="宋体" w:hint="default"/>
          <w:spacing w:val="-6"/>
          <w:sz w:val="21"/>
          <w:szCs w:val="21"/>
        </w:rPr>
        <w:t>经理）非执行董事。</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6"/>
          <w:w w:val="100"/>
          <w:sz w:val="21"/>
          <w:szCs w:val="21"/>
        </w:rPr>
        <w:t>李先生目前还担任联通集团董事、副总经理兼总会计师，联通运营公司董事及高级副总裁。</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Arial" w:hAnsi="Arial" w:cs="Arial" w:eastAsia="Arial" w:hint="default"/>
          <w:sz w:val="21"/>
          <w:szCs w:val="21"/>
        </w:rPr>
        <w:t>2011</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月起任本公司董事。李先生长期在电信行业工作，具有丰富的管理经验。</w:t>
      </w:r>
    </w:p>
    <w:p>
      <w:pPr>
        <w:spacing w:line="240" w:lineRule="auto" w:before="3"/>
        <w:rPr>
          <w:rFonts w:ascii="宋体" w:hAnsi="宋体" w:cs="宋体" w:eastAsia="宋体" w:hint="default"/>
          <w:sz w:val="17"/>
          <w:szCs w:val="17"/>
        </w:rPr>
      </w:pPr>
    </w:p>
    <w:p>
      <w:pPr>
        <w:spacing w:before="0"/>
        <w:ind w:left="485" w:right="259" w:firstLine="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张钧安</w:t>
      </w:r>
    </w:p>
    <w:p>
      <w:pPr>
        <w:spacing w:line="240" w:lineRule="auto" w:before="1"/>
        <w:rPr>
          <w:rFonts w:ascii="宋体" w:hAnsi="宋体" w:cs="宋体" w:eastAsia="宋体" w:hint="default"/>
          <w:sz w:val="18"/>
          <w:szCs w:val="18"/>
        </w:rPr>
      </w:pPr>
    </w:p>
    <w:p>
      <w:pPr>
        <w:spacing w:line="228" w:lineRule="auto" w:before="0"/>
        <w:ind w:left="846" w:right="141" w:firstLine="0"/>
        <w:jc w:val="both"/>
        <w:rPr>
          <w:rFonts w:ascii="宋体" w:hAnsi="宋体" w:cs="宋体" w:eastAsia="宋体" w:hint="default"/>
          <w:sz w:val="21"/>
          <w:szCs w:val="21"/>
        </w:rPr>
      </w:pPr>
      <w:r>
        <w:rPr>
          <w:rFonts w:ascii="宋体" w:hAnsi="宋体" w:cs="宋体" w:eastAsia="宋体" w:hint="default"/>
          <w:spacing w:val="-3"/>
          <w:sz w:val="21"/>
          <w:szCs w:val="21"/>
        </w:rPr>
        <w:t>张钧安先生为高级工程师，</w:t>
      </w:r>
      <w:r>
        <w:rPr>
          <w:rFonts w:ascii="Arial" w:hAnsi="Arial" w:cs="Arial" w:eastAsia="Arial" w:hint="default"/>
          <w:spacing w:val="-3"/>
          <w:sz w:val="21"/>
          <w:szCs w:val="21"/>
        </w:rPr>
        <w:t>1982 </w:t>
      </w:r>
      <w:r>
        <w:rPr>
          <w:rFonts w:ascii="宋体" w:hAnsi="宋体" w:cs="宋体" w:eastAsia="宋体" w:hint="default"/>
          <w:spacing w:val="-3"/>
          <w:sz w:val="21"/>
          <w:szCs w:val="21"/>
        </w:rPr>
        <w:t>年毕业于南京邮电学院载波通信专业，</w:t>
      </w:r>
      <w:r>
        <w:rPr>
          <w:rFonts w:ascii="Arial" w:hAnsi="Arial" w:cs="Arial" w:eastAsia="Arial" w:hint="default"/>
          <w:spacing w:val="-3"/>
          <w:sz w:val="21"/>
          <w:szCs w:val="21"/>
        </w:rPr>
        <w:t>2002 </w:t>
      </w:r>
      <w:r>
        <w:rPr>
          <w:rFonts w:ascii="宋体" w:hAnsi="宋体" w:cs="宋体" w:eastAsia="宋体" w:hint="default"/>
          <w:sz w:val="21"/>
          <w:szCs w:val="21"/>
        </w:rPr>
        <w:t>年取得澳洲</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国立大学工商管理硕士学位，并于</w:t>
      </w:r>
      <w:r>
        <w:rPr>
          <w:rFonts w:ascii="宋体" w:hAnsi="宋体" w:cs="宋体" w:eastAsia="宋体" w:hint="default"/>
          <w:spacing w:val="-57"/>
          <w:sz w:val="21"/>
          <w:szCs w:val="21"/>
        </w:rPr>
        <w:t> </w:t>
      </w:r>
      <w:r>
        <w:rPr>
          <w:rFonts w:ascii="Arial" w:hAnsi="Arial" w:cs="Arial" w:eastAsia="Arial" w:hint="default"/>
          <w:sz w:val="21"/>
          <w:szCs w:val="21"/>
        </w:rPr>
        <w:t>2008</w:t>
      </w:r>
      <w:r>
        <w:rPr>
          <w:rFonts w:ascii="Arial" w:hAnsi="Arial" w:cs="Arial" w:eastAsia="Arial" w:hint="default"/>
          <w:spacing w:val="-9"/>
          <w:sz w:val="21"/>
          <w:szCs w:val="21"/>
        </w:rPr>
        <w:t> </w:t>
      </w:r>
      <w:r>
        <w:rPr>
          <w:rFonts w:ascii="宋体" w:hAnsi="宋体" w:cs="宋体" w:eastAsia="宋体" w:hint="default"/>
          <w:sz w:val="21"/>
          <w:szCs w:val="21"/>
        </w:rPr>
        <w:t>年取得香港理工大学工商管理博士学位。张先生</w:t>
      </w:r>
      <w:r>
        <w:rPr>
          <w:rFonts w:ascii="宋体" w:hAnsi="宋体" w:cs="宋体" w:eastAsia="宋体" w:hint="default"/>
          <w:w w:val="100"/>
          <w:sz w:val="21"/>
          <w:szCs w:val="21"/>
        </w:rPr>
        <w:t> </w:t>
      </w:r>
      <w:r>
        <w:rPr>
          <w:rFonts w:ascii="宋体" w:hAnsi="宋体" w:cs="宋体" w:eastAsia="宋体" w:hint="default"/>
          <w:sz w:val="21"/>
          <w:szCs w:val="21"/>
        </w:rPr>
        <w:t>曾经先后担任安徽省蚌埠市邮电局局长及安徽省邮电管理局副局长；</w:t>
      </w:r>
      <w:r>
        <w:rPr>
          <w:rFonts w:ascii="Arial" w:hAnsi="Arial" w:cs="Arial" w:eastAsia="Arial" w:hint="default"/>
          <w:sz w:val="21"/>
          <w:szCs w:val="21"/>
        </w:rPr>
        <w:t>2000 </w:t>
      </w:r>
      <w:r>
        <w:rPr>
          <w:rFonts w:ascii="宋体" w:hAnsi="宋体" w:cs="宋体" w:eastAsia="宋体" w:hint="default"/>
          <w:sz w:val="21"/>
          <w:szCs w:val="21"/>
        </w:rPr>
        <w:t>年至 </w:t>
      </w:r>
      <w:r>
        <w:rPr>
          <w:rFonts w:ascii="Arial" w:hAnsi="Arial" w:cs="Arial" w:eastAsia="Arial" w:hint="default"/>
          <w:sz w:val="21"/>
          <w:szCs w:val="21"/>
        </w:rPr>
        <w:t>2005</w:t>
      </w:r>
      <w:r>
        <w:rPr>
          <w:rFonts w:ascii="Arial" w:hAnsi="Arial" w:cs="Arial" w:eastAsia="Arial" w:hint="default"/>
          <w:spacing w:val="34"/>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pacing w:val="-2"/>
          <w:sz w:val="21"/>
          <w:szCs w:val="21"/>
        </w:rPr>
        <w:t>曾经先后担任安徽省电信公司副总经理、总经理及安徽省电信有限公司董事长、总经理。</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张先生于</w:t>
      </w:r>
      <w:r>
        <w:rPr>
          <w:rFonts w:ascii="宋体" w:hAnsi="宋体" w:cs="宋体" w:eastAsia="宋体" w:hint="default"/>
          <w:spacing w:val="-36"/>
          <w:sz w:val="21"/>
          <w:szCs w:val="21"/>
        </w:rPr>
        <w:t> </w:t>
      </w:r>
      <w:r>
        <w:rPr>
          <w:rFonts w:ascii="Arial" w:hAnsi="Arial" w:cs="Arial" w:eastAsia="Arial" w:hint="default"/>
          <w:sz w:val="21"/>
          <w:szCs w:val="21"/>
        </w:rPr>
        <w:t>2005</w:t>
      </w:r>
      <w:r>
        <w:rPr>
          <w:rFonts w:ascii="Arial" w:hAnsi="Arial" w:cs="Arial" w:eastAsia="Arial"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Arial" w:hAnsi="Arial" w:cs="Arial" w:eastAsia="Arial" w:hint="default"/>
          <w:sz w:val="21"/>
          <w:szCs w:val="21"/>
        </w:rPr>
        <w:t>12</w:t>
      </w:r>
      <w:r>
        <w:rPr>
          <w:rFonts w:ascii="Arial" w:hAnsi="Arial" w:cs="Arial" w:eastAsia="Arial" w:hint="default"/>
          <w:spacing w:val="12"/>
          <w:sz w:val="21"/>
          <w:szCs w:val="21"/>
        </w:rPr>
        <w:t> </w:t>
      </w:r>
      <w:r>
        <w:rPr>
          <w:rFonts w:ascii="宋体" w:hAnsi="宋体" w:cs="宋体" w:eastAsia="宋体" w:hint="default"/>
          <w:sz w:val="21"/>
          <w:szCs w:val="21"/>
        </w:rPr>
        <w:t>月加入中国联合通信有限公司后担任副总经理。中国联合通信有限</w:t>
      </w:r>
    </w:p>
    <w:p>
      <w:pPr>
        <w:spacing w:line="267" w:lineRule="exact" w:before="0"/>
        <w:ind w:left="846" w:right="0" w:firstLine="0"/>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35"/>
          <w:sz w:val="21"/>
          <w:szCs w:val="21"/>
        </w:rPr>
        <w:t> </w:t>
      </w:r>
      <w:r>
        <w:rPr>
          <w:rFonts w:ascii="Arial" w:hAnsi="Arial" w:cs="Arial" w:eastAsia="Arial" w:hint="default"/>
          <w:sz w:val="21"/>
          <w:szCs w:val="21"/>
        </w:rPr>
        <w:t>2008</w:t>
      </w:r>
      <w:r>
        <w:rPr>
          <w:rFonts w:ascii="Arial" w:hAnsi="Arial" w:cs="Arial" w:eastAsia="Arial"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Arial" w:hAnsi="Arial" w:cs="Arial" w:eastAsia="Arial" w:hint="default"/>
          <w:sz w:val="21"/>
          <w:szCs w:val="21"/>
        </w:rPr>
        <w:t>12</w:t>
      </w:r>
      <w:r>
        <w:rPr>
          <w:rFonts w:ascii="Arial" w:hAnsi="Arial" w:cs="Arial" w:eastAsia="Arial" w:hint="default"/>
          <w:spacing w:val="10"/>
          <w:sz w:val="21"/>
          <w:szCs w:val="21"/>
        </w:rPr>
        <w:t> </w:t>
      </w:r>
      <w:r>
        <w:rPr>
          <w:rFonts w:ascii="宋体" w:hAnsi="宋体" w:cs="宋体" w:eastAsia="宋体" w:hint="default"/>
          <w:sz w:val="21"/>
          <w:szCs w:val="21"/>
        </w:rPr>
        <w:t>月更名为中国联合网络通信集团有限公司（“联通集团”）。张先生</w:t>
      </w:r>
    </w:p>
    <w:p>
      <w:pPr>
        <w:spacing w:line="272" w:lineRule="exact" w:before="0"/>
        <w:ind w:left="846" w:right="0" w:firstLine="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1"/>
          <w:sz w:val="21"/>
          <w:szCs w:val="21"/>
        </w:rPr>
        <w:t> </w:t>
      </w:r>
      <w:r>
        <w:rPr>
          <w:rFonts w:ascii="Arial" w:hAnsi="Arial" w:cs="Arial" w:eastAsia="Arial" w:hint="default"/>
          <w:sz w:val="21"/>
          <w:szCs w:val="21"/>
        </w:rPr>
        <w:t>2006</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w:hAnsi="Arial" w:cs="Arial" w:eastAsia="Arial" w:hint="default"/>
          <w:sz w:val="21"/>
          <w:szCs w:val="21"/>
        </w:rPr>
        <w:t>4</w:t>
      </w:r>
      <w:r>
        <w:rPr>
          <w:rFonts w:ascii="Arial" w:hAnsi="Arial" w:cs="Arial" w:eastAsia="Arial" w:hint="default"/>
          <w:spacing w:val="-6"/>
          <w:sz w:val="21"/>
          <w:szCs w:val="21"/>
        </w:rPr>
        <w:t> </w:t>
      </w:r>
      <w:r>
        <w:rPr>
          <w:rFonts w:ascii="宋体" w:hAnsi="宋体" w:cs="宋体" w:eastAsia="宋体" w:hint="default"/>
          <w:spacing w:val="-5"/>
          <w:sz w:val="21"/>
          <w:szCs w:val="21"/>
        </w:rPr>
        <w:t>月起担任联通红筹公司副总裁，于</w:t>
      </w:r>
      <w:r>
        <w:rPr>
          <w:rFonts w:ascii="宋体" w:hAnsi="宋体" w:cs="宋体" w:eastAsia="宋体" w:hint="default"/>
          <w:spacing w:val="-51"/>
          <w:sz w:val="21"/>
          <w:szCs w:val="21"/>
        </w:rPr>
        <w:t> </w:t>
      </w:r>
      <w:r>
        <w:rPr>
          <w:rFonts w:ascii="Arial" w:hAnsi="Arial" w:cs="Arial" w:eastAsia="Arial" w:hint="default"/>
          <w:sz w:val="21"/>
          <w:szCs w:val="21"/>
        </w:rPr>
        <w:t>2006</w:t>
      </w:r>
      <w:r>
        <w:rPr>
          <w:rFonts w:ascii="Arial" w:hAnsi="Arial" w:cs="Arial" w:eastAsia="Arial"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4</w:t>
      </w:r>
      <w:r>
        <w:rPr>
          <w:rFonts w:ascii="Arial" w:hAnsi="Arial" w:cs="Arial" w:eastAsia="Arial" w:hint="default"/>
          <w:spacing w:val="-3"/>
          <w:sz w:val="21"/>
          <w:szCs w:val="21"/>
        </w:rPr>
        <w:t> </w:t>
      </w:r>
      <w:r>
        <w:rPr>
          <w:rFonts w:ascii="宋体" w:hAnsi="宋体" w:cs="宋体" w:eastAsia="宋体" w:hint="default"/>
          <w:sz w:val="21"/>
          <w:szCs w:val="21"/>
        </w:rPr>
        <w:t>月起至</w:t>
      </w:r>
      <w:r>
        <w:rPr>
          <w:rFonts w:ascii="宋体" w:hAnsi="宋体" w:cs="宋体" w:eastAsia="宋体" w:hint="default"/>
          <w:spacing w:val="-53"/>
          <w:sz w:val="21"/>
          <w:szCs w:val="21"/>
        </w:rPr>
        <w:t> </w:t>
      </w:r>
      <w:r>
        <w:rPr>
          <w:rFonts w:ascii="Arial" w:hAnsi="Arial" w:cs="Arial" w:eastAsia="Arial" w:hint="default"/>
          <w:sz w:val="21"/>
          <w:szCs w:val="21"/>
        </w:rPr>
        <w:t>2008</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10</w:t>
      </w:r>
      <w:r>
        <w:rPr>
          <w:rFonts w:ascii="Arial" w:hAnsi="Arial" w:cs="Arial" w:eastAsia="Arial" w:hint="default"/>
          <w:spacing w:val="-4"/>
          <w:sz w:val="21"/>
          <w:szCs w:val="21"/>
        </w:rPr>
        <w:t> </w:t>
      </w:r>
      <w:r>
        <w:rPr>
          <w:rFonts w:ascii="宋体" w:hAnsi="宋体" w:cs="宋体" w:eastAsia="宋体" w:hint="default"/>
          <w:sz w:val="21"/>
          <w:szCs w:val="21"/>
        </w:rPr>
        <w:t>月期间担任</w:t>
      </w:r>
    </w:p>
    <w:p>
      <w:pPr>
        <w:spacing w:line="272" w:lineRule="exact" w:before="0"/>
        <w:ind w:left="846" w:right="0" w:firstLine="0"/>
        <w:jc w:val="both"/>
        <w:rPr>
          <w:rFonts w:ascii="Arial" w:hAnsi="Arial" w:cs="Arial" w:eastAsia="Arial" w:hint="default"/>
          <w:sz w:val="21"/>
          <w:szCs w:val="21"/>
        </w:rPr>
      </w:pPr>
      <w:r>
        <w:rPr>
          <w:rFonts w:ascii="宋体" w:hAnsi="宋体" w:cs="宋体" w:eastAsia="宋体" w:hint="default"/>
          <w:sz w:val="21"/>
          <w:szCs w:val="21"/>
        </w:rPr>
        <w:t>联通红筹公司执行董事。并于 </w:t>
      </w:r>
      <w:r>
        <w:rPr>
          <w:rFonts w:ascii="Arial" w:hAnsi="Arial" w:cs="Arial" w:eastAsia="Arial" w:hint="default"/>
          <w:sz w:val="21"/>
          <w:szCs w:val="21"/>
        </w:rPr>
        <w:t>2009 </w:t>
      </w:r>
      <w:r>
        <w:rPr>
          <w:rFonts w:ascii="宋体" w:hAnsi="宋体" w:cs="宋体" w:eastAsia="宋体" w:hint="default"/>
          <w:sz w:val="21"/>
          <w:szCs w:val="21"/>
        </w:rPr>
        <w:t>年 </w:t>
      </w:r>
      <w:r>
        <w:rPr>
          <w:rFonts w:ascii="Arial" w:hAnsi="Arial" w:cs="Arial" w:eastAsia="Arial" w:hint="default"/>
          <w:sz w:val="21"/>
          <w:szCs w:val="21"/>
        </w:rPr>
        <w:t>2 </w:t>
      </w:r>
      <w:r>
        <w:rPr>
          <w:rFonts w:ascii="宋体" w:hAnsi="宋体" w:cs="宋体" w:eastAsia="宋体" w:hint="default"/>
          <w:sz w:val="21"/>
          <w:szCs w:val="21"/>
        </w:rPr>
        <w:t>月起担任联通红筹公司高级副总裁。</w:t>
      </w:r>
      <w:r>
        <w:rPr>
          <w:rFonts w:ascii="Arial" w:hAnsi="Arial" w:cs="Arial" w:eastAsia="Arial" w:hint="default"/>
          <w:sz w:val="21"/>
          <w:szCs w:val="21"/>
        </w:rPr>
        <w:t>2014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Arial" w:hAnsi="Arial" w:cs="Arial" w:eastAsia="Arial" w:hint="default"/>
          <w:sz w:val="21"/>
          <w:szCs w:val="21"/>
        </w:rPr>
        <w:t>8</w:t>
      </w:r>
    </w:p>
    <w:p>
      <w:pPr>
        <w:spacing w:line="230" w:lineRule="auto" w:before="0"/>
        <w:ind w:left="846" w:right="101" w:firstLine="0"/>
        <w:jc w:val="left"/>
        <w:rPr>
          <w:rFonts w:ascii="宋体" w:hAnsi="宋体" w:cs="宋体" w:eastAsia="宋体" w:hint="default"/>
          <w:sz w:val="21"/>
          <w:szCs w:val="21"/>
        </w:rPr>
      </w:pPr>
      <w:r>
        <w:rPr>
          <w:rFonts w:ascii="宋体" w:hAnsi="宋体" w:cs="宋体" w:eastAsia="宋体" w:hint="default"/>
          <w:sz w:val="21"/>
          <w:szCs w:val="21"/>
        </w:rPr>
        <w:t>月起担任联通红筹公司执行董事。张先生自</w:t>
      </w:r>
      <w:r>
        <w:rPr>
          <w:rFonts w:ascii="宋体" w:hAnsi="宋体" w:cs="宋体" w:eastAsia="宋体" w:hint="default"/>
          <w:spacing w:val="-49"/>
          <w:sz w:val="21"/>
          <w:szCs w:val="21"/>
        </w:rPr>
        <w:t> </w:t>
      </w: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w:hAnsi="Arial" w:cs="Arial" w:eastAsia="Arial" w:hint="default"/>
          <w:sz w:val="21"/>
          <w:szCs w:val="21"/>
        </w:rPr>
        <w:t>8</w:t>
      </w:r>
      <w:r>
        <w:rPr>
          <w:rFonts w:ascii="Arial" w:hAnsi="Arial" w:cs="Arial" w:eastAsia="Arial" w:hint="default"/>
          <w:spacing w:val="-5"/>
          <w:sz w:val="21"/>
          <w:szCs w:val="21"/>
        </w:rPr>
        <w:t> </w:t>
      </w:r>
      <w:r>
        <w:rPr>
          <w:rFonts w:ascii="宋体" w:hAnsi="宋体" w:cs="宋体" w:eastAsia="宋体" w:hint="default"/>
          <w:spacing w:val="-3"/>
          <w:sz w:val="21"/>
          <w:szCs w:val="21"/>
        </w:rPr>
        <w:t>月起担任电讯盈科有限公司（在香</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港联合交易所上市及美国预托证券在</w:t>
      </w:r>
      <w:r>
        <w:rPr>
          <w:rFonts w:ascii="宋体" w:hAnsi="宋体" w:cs="宋体" w:eastAsia="宋体" w:hint="default"/>
          <w:spacing w:val="-50"/>
          <w:sz w:val="21"/>
          <w:szCs w:val="21"/>
        </w:rPr>
        <w:t> </w:t>
      </w:r>
      <w:r>
        <w:rPr>
          <w:rFonts w:ascii="Arial" w:hAnsi="Arial" w:cs="Arial" w:eastAsia="Arial" w:hint="default"/>
          <w:sz w:val="21"/>
          <w:szCs w:val="21"/>
        </w:rPr>
        <w:t>Pink</w:t>
      </w:r>
      <w:r>
        <w:rPr>
          <w:rFonts w:ascii="Arial" w:hAnsi="Arial" w:cs="Arial" w:eastAsia="Arial" w:hint="default"/>
          <w:spacing w:val="-3"/>
          <w:sz w:val="21"/>
          <w:szCs w:val="21"/>
        </w:rPr>
        <w:t> </w:t>
      </w:r>
      <w:r>
        <w:rPr>
          <w:rFonts w:ascii="Arial" w:hAnsi="Arial" w:cs="Arial" w:eastAsia="Arial" w:hint="default"/>
          <w:sz w:val="21"/>
          <w:szCs w:val="21"/>
        </w:rPr>
        <w:t>Sheets</w:t>
      </w:r>
      <w:r>
        <w:rPr>
          <w:rFonts w:ascii="Arial" w:hAnsi="Arial" w:cs="Arial" w:eastAsia="Arial" w:hint="default"/>
          <w:sz w:val="21"/>
          <w:szCs w:val="21"/>
        </w:rPr>
        <w:t>’</w:t>
      </w:r>
      <w:r>
        <w:rPr>
          <w:rFonts w:ascii="Arial" w:hAnsi="Arial" w:cs="Arial" w:eastAsia="Arial" w:hint="default"/>
          <w:sz w:val="21"/>
          <w:szCs w:val="21"/>
        </w:rPr>
        <w:t>OTC</w:t>
      </w:r>
      <w:r>
        <w:rPr>
          <w:rFonts w:ascii="Arial" w:hAnsi="Arial" w:cs="Arial" w:eastAsia="Arial" w:hint="default"/>
          <w:spacing w:val="-4"/>
          <w:sz w:val="21"/>
          <w:szCs w:val="21"/>
        </w:rPr>
        <w:t> </w:t>
      </w:r>
      <w:r>
        <w:rPr>
          <w:rFonts w:ascii="Arial" w:hAnsi="Arial" w:cs="Arial" w:eastAsia="Arial" w:hint="default"/>
          <w:sz w:val="21"/>
          <w:szCs w:val="21"/>
        </w:rPr>
        <w:t>Market</w:t>
      </w:r>
      <w:r>
        <w:rPr>
          <w:rFonts w:ascii="Arial" w:hAnsi="Arial" w:cs="Arial" w:eastAsia="Arial" w:hint="default"/>
          <w:spacing w:val="-6"/>
          <w:sz w:val="21"/>
          <w:szCs w:val="21"/>
        </w:rPr>
        <w:t> </w:t>
      </w:r>
      <w:r>
        <w:rPr>
          <w:rFonts w:ascii="宋体" w:hAnsi="宋体" w:cs="宋体" w:eastAsia="宋体" w:hint="default"/>
          <w:spacing w:val="-6"/>
          <w:sz w:val="21"/>
          <w:szCs w:val="21"/>
        </w:rPr>
        <w:t>上市）非执行董事。此外，</w:t>
      </w:r>
      <w:r>
        <w:rPr>
          <w:rFonts w:ascii="宋体" w:hAnsi="宋体" w:cs="宋体" w:eastAsia="宋体" w:hint="default"/>
          <w:w w:val="100"/>
          <w:sz w:val="21"/>
          <w:szCs w:val="21"/>
        </w:rPr>
        <w:t> </w:t>
      </w:r>
      <w:r>
        <w:rPr>
          <w:rFonts w:ascii="宋体" w:hAnsi="宋体" w:cs="宋体" w:eastAsia="宋体" w:hint="default"/>
          <w:spacing w:val="-3"/>
          <w:sz w:val="21"/>
          <w:szCs w:val="21"/>
        </w:rPr>
        <w:t>张先生现时亦出任中国通信服务股份有限公司（在香港联合交易所上市）非执行董事。张</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4"/>
          <w:sz w:val="21"/>
          <w:szCs w:val="21"/>
        </w:rPr>
        <w:t>先生目前担任联通集团副总经理、工会代主席，联通红筹公司执行董事、高级副总裁，联</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4"/>
          <w:sz w:val="21"/>
          <w:szCs w:val="21"/>
        </w:rPr>
        <w:t>通运营公司董事及高级副总裁。</w:t>
      </w:r>
      <w:r>
        <w:rPr>
          <w:rFonts w:ascii="Arial" w:hAnsi="Arial" w:cs="Arial" w:eastAsia="Arial" w:hint="default"/>
          <w:spacing w:val="-4"/>
          <w:sz w:val="21"/>
          <w:szCs w:val="21"/>
        </w:rPr>
        <w:t>2014</w:t>
      </w:r>
      <w:r>
        <w:rPr>
          <w:rFonts w:ascii="Arial" w:hAnsi="Arial" w:cs="Arial" w:eastAsia="Arial"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Arial" w:hAnsi="Arial" w:cs="Arial" w:eastAsia="Arial" w:hint="default"/>
          <w:sz w:val="21"/>
          <w:szCs w:val="21"/>
        </w:rPr>
        <w:t>11</w:t>
      </w:r>
      <w:r>
        <w:rPr>
          <w:rFonts w:ascii="Arial" w:hAnsi="Arial" w:cs="Arial" w:eastAsia="Arial" w:hint="default"/>
          <w:spacing w:val="3"/>
          <w:sz w:val="21"/>
          <w:szCs w:val="21"/>
        </w:rPr>
        <w:t> </w:t>
      </w:r>
      <w:r>
        <w:rPr>
          <w:rFonts w:ascii="宋体" w:hAnsi="宋体" w:cs="宋体" w:eastAsia="宋体" w:hint="default"/>
          <w:spacing w:val="-4"/>
          <w:sz w:val="21"/>
          <w:szCs w:val="21"/>
        </w:rPr>
        <w:t>月起任本公司董事。张先生长期在电信行业工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作，具有丰富的管理经验。</w:t>
      </w:r>
    </w:p>
    <w:p>
      <w:pPr>
        <w:spacing w:after="0" w:line="230" w:lineRule="auto"/>
        <w:jc w:val="left"/>
        <w:rPr>
          <w:rFonts w:ascii="宋体" w:hAnsi="宋体" w:cs="宋体" w:eastAsia="宋体" w:hint="default"/>
          <w:sz w:val="21"/>
          <w:szCs w:val="21"/>
        </w:rPr>
        <w:sectPr>
          <w:pgSz w:w="11910" w:h="16840"/>
          <w:pgMar w:header="880" w:footer="1194" w:top="1120" w:bottom="1380" w:left="1660" w:right="1060"/>
        </w:sectPr>
      </w:pPr>
    </w:p>
    <w:p>
      <w:pPr>
        <w:spacing w:line="240" w:lineRule="auto" w:before="11"/>
        <w:rPr>
          <w:rFonts w:ascii="宋体" w:hAnsi="宋体" w:cs="宋体" w:eastAsia="宋体" w:hint="default"/>
          <w:sz w:val="29"/>
          <w:szCs w:val="29"/>
        </w:rPr>
      </w:pPr>
    </w:p>
    <w:p>
      <w:pPr>
        <w:spacing w:before="36"/>
        <w:ind w:left="138" w:right="259" w:firstLine="0"/>
        <w:jc w:val="left"/>
        <w:rPr>
          <w:rFonts w:ascii="宋体" w:hAnsi="宋体" w:cs="宋体" w:eastAsia="宋体" w:hint="default"/>
          <w:sz w:val="21"/>
          <w:szCs w:val="21"/>
        </w:rPr>
      </w:pPr>
      <w:r>
        <w:rPr>
          <w:rFonts w:ascii="宋体" w:hAnsi="宋体" w:cs="宋体" w:eastAsia="宋体" w:hint="default"/>
          <w:b/>
          <w:bCs/>
          <w:sz w:val="21"/>
          <w:szCs w:val="21"/>
        </w:rPr>
        <w:t>一、现任及报告期内离任董事、监事和高级管理人员持股变动及报酬情况（续）</w:t>
      </w:r>
      <w:r>
        <w:rPr>
          <w:rFonts w:ascii="宋体" w:hAnsi="宋体" w:cs="宋体" w:eastAsia="宋体" w:hint="default"/>
          <w:sz w:val="21"/>
          <w:szCs w:val="21"/>
        </w:rPr>
      </w:r>
    </w:p>
    <w:p>
      <w:pPr>
        <w:spacing w:line="240" w:lineRule="auto" w:before="11"/>
        <w:rPr>
          <w:rFonts w:ascii="宋体" w:hAnsi="宋体" w:cs="宋体" w:eastAsia="宋体" w:hint="default"/>
          <w:b/>
          <w:bCs/>
          <w:sz w:val="24"/>
          <w:szCs w:val="24"/>
        </w:rPr>
      </w:pPr>
    </w:p>
    <w:p>
      <w:pPr>
        <w:spacing w:before="0"/>
        <w:ind w:left="138" w:right="259" w:firstLine="0"/>
        <w:jc w:val="left"/>
        <w:rPr>
          <w:rFonts w:ascii="宋体" w:hAnsi="宋体" w:cs="宋体" w:eastAsia="宋体" w:hint="default"/>
          <w:sz w:val="21"/>
          <w:szCs w:val="21"/>
        </w:rPr>
      </w:pPr>
      <w:r>
        <w:rPr>
          <w:rFonts w:ascii="Arial" w:hAnsi="Arial" w:cs="Arial" w:eastAsia="Arial" w:hint="default"/>
          <w:b/>
          <w:bCs/>
          <w:spacing w:val="-1"/>
          <w:w w:val="100"/>
          <w:sz w:val="21"/>
          <w:szCs w:val="21"/>
        </w:rPr>
        <w:t>(</w:t>
      </w:r>
      <w:r>
        <w:rPr>
          <w:rFonts w:ascii="宋体" w:hAnsi="宋体" w:cs="宋体" w:eastAsia="宋体" w:hint="default"/>
          <w:b/>
          <w:bCs/>
          <w:spacing w:val="2"/>
          <w:w w:val="100"/>
          <w:sz w:val="21"/>
          <w:szCs w:val="21"/>
        </w:rPr>
        <w:t>二</w:t>
      </w:r>
      <w:r>
        <w:rPr>
          <w:rFonts w:ascii="Arial" w:hAnsi="Arial" w:cs="Arial" w:eastAsia="Arial" w:hint="default"/>
          <w:b/>
          <w:bCs/>
          <w:w w:val="100"/>
          <w:sz w:val="21"/>
          <w:szCs w:val="21"/>
        </w:rPr>
        <w:t>)</w:t>
      </w:r>
      <w:r>
        <w:rPr>
          <w:rFonts w:ascii="Arial" w:hAnsi="Arial" w:cs="Arial" w:eastAsia="Arial" w:hint="default"/>
          <w:b/>
          <w:bCs/>
          <w:spacing w:val="8"/>
          <w:sz w:val="21"/>
          <w:szCs w:val="21"/>
        </w:rPr>
        <w:t> </w:t>
      </w:r>
      <w:r>
        <w:rPr>
          <w:rFonts w:ascii="宋体" w:hAnsi="宋体" w:cs="宋体" w:eastAsia="宋体" w:hint="default"/>
          <w:b/>
          <w:bCs/>
          <w:w w:val="100"/>
          <w:sz w:val="21"/>
          <w:szCs w:val="21"/>
        </w:rPr>
        <w:t>最近</w:t>
      </w:r>
      <w:r>
        <w:rPr>
          <w:rFonts w:ascii="宋体" w:hAnsi="宋体" w:cs="宋体" w:eastAsia="宋体" w:hint="default"/>
          <w:b/>
          <w:bCs/>
          <w:spacing w:val="-54"/>
          <w:sz w:val="21"/>
          <w:szCs w:val="21"/>
        </w:rPr>
        <w:t> </w:t>
      </w:r>
      <w:r>
        <w:rPr>
          <w:rFonts w:ascii="Arial" w:hAnsi="Arial" w:cs="Arial" w:eastAsia="Arial" w:hint="default"/>
          <w:b/>
          <w:bCs/>
          <w:w w:val="100"/>
          <w:sz w:val="21"/>
          <w:szCs w:val="21"/>
        </w:rPr>
        <w:t>5</w:t>
      </w:r>
      <w:r>
        <w:rPr>
          <w:rFonts w:ascii="Arial" w:hAnsi="Arial" w:cs="Arial" w:eastAsia="Arial" w:hint="default"/>
          <w:b/>
          <w:bCs/>
          <w:spacing w:val="-8"/>
          <w:sz w:val="21"/>
          <w:szCs w:val="21"/>
        </w:rPr>
        <w:t> </w:t>
      </w:r>
      <w:r>
        <w:rPr>
          <w:rFonts w:ascii="宋体" w:hAnsi="宋体" w:cs="宋体" w:eastAsia="宋体" w:hint="default"/>
          <w:b/>
          <w:bCs/>
          <w:w w:val="100"/>
          <w:sz w:val="21"/>
          <w:szCs w:val="21"/>
        </w:rPr>
        <w:t>年的主要工作经</w:t>
      </w:r>
      <w:r>
        <w:rPr>
          <w:rFonts w:ascii="宋体" w:hAnsi="宋体" w:cs="宋体" w:eastAsia="宋体" w:hint="default"/>
          <w:b/>
          <w:bCs/>
          <w:spacing w:val="-2"/>
          <w:w w:val="100"/>
          <w:sz w:val="21"/>
          <w:szCs w:val="21"/>
        </w:rPr>
        <w:t>历</w:t>
      </w:r>
      <w:r>
        <w:rPr>
          <w:rFonts w:ascii="宋体" w:hAnsi="宋体" w:cs="宋体" w:eastAsia="宋体" w:hint="default"/>
          <w:b/>
          <w:bCs/>
          <w:w w:val="100"/>
          <w:sz w:val="21"/>
          <w:szCs w:val="21"/>
        </w:rPr>
        <w:t>（续</w:t>
      </w:r>
      <w:r>
        <w:rPr>
          <w:rFonts w:ascii="宋体" w:hAnsi="宋体" w:cs="宋体" w:eastAsia="宋体" w:hint="default"/>
          <w:b/>
          <w:bCs/>
          <w:spacing w:val="-106"/>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p>
      <w:pPr>
        <w:spacing w:line="240" w:lineRule="auto" w:before="2"/>
        <w:rPr>
          <w:rFonts w:ascii="宋体" w:hAnsi="宋体" w:cs="宋体" w:eastAsia="宋体" w:hint="default"/>
          <w:b/>
          <w:bCs/>
          <w:sz w:val="19"/>
          <w:szCs w:val="19"/>
        </w:rPr>
      </w:pPr>
    </w:p>
    <w:p>
      <w:pPr>
        <w:spacing w:before="0"/>
        <w:ind w:left="485" w:right="259" w:firstLine="0"/>
        <w:jc w:val="left"/>
        <w:rPr>
          <w:rFonts w:ascii="宋体" w:hAnsi="宋体" w:cs="宋体" w:eastAsia="宋体" w:hint="default"/>
          <w:sz w:val="21"/>
          <w:szCs w:val="21"/>
        </w:rPr>
      </w:pPr>
      <w:r>
        <w:rPr>
          <w:rFonts w:ascii="Arial" w:hAnsi="Arial" w:cs="Arial" w:eastAsia="Arial" w:hint="default"/>
          <w:sz w:val="21"/>
          <w:szCs w:val="21"/>
        </w:rPr>
        <w:t>5</w:t>
      </w:r>
      <w:r>
        <w:rPr>
          <w:rFonts w:ascii="宋体" w:hAnsi="宋体" w:cs="宋体" w:eastAsia="宋体" w:hint="default"/>
          <w:sz w:val="21"/>
          <w:szCs w:val="21"/>
        </w:rPr>
        <w:t>、</w:t>
      </w:r>
      <w:r>
        <w:rPr>
          <w:rFonts w:ascii="宋体" w:hAnsi="宋体" w:cs="宋体" w:eastAsia="宋体" w:hint="default"/>
          <w:spacing w:val="-70"/>
          <w:sz w:val="21"/>
          <w:szCs w:val="21"/>
        </w:rPr>
        <w:t> </w:t>
      </w:r>
      <w:r>
        <w:rPr>
          <w:rFonts w:ascii="宋体" w:hAnsi="宋体" w:cs="宋体" w:eastAsia="宋体" w:hint="default"/>
          <w:sz w:val="21"/>
          <w:szCs w:val="21"/>
        </w:rPr>
        <w:t>刘彩</w:t>
      </w:r>
    </w:p>
    <w:p>
      <w:pPr>
        <w:spacing w:line="240" w:lineRule="auto" w:before="3"/>
        <w:rPr>
          <w:rFonts w:ascii="宋体" w:hAnsi="宋体" w:cs="宋体" w:eastAsia="宋体" w:hint="default"/>
          <w:sz w:val="18"/>
          <w:szCs w:val="18"/>
        </w:rPr>
      </w:pPr>
    </w:p>
    <w:p>
      <w:pPr>
        <w:spacing w:line="225" w:lineRule="auto" w:before="0"/>
        <w:ind w:left="846" w:right="205" w:firstLine="0"/>
        <w:jc w:val="both"/>
        <w:rPr>
          <w:rFonts w:ascii="Arial" w:hAnsi="Arial" w:cs="Arial" w:eastAsia="Arial" w:hint="default"/>
          <w:sz w:val="21"/>
          <w:szCs w:val="21"/>
        </w:rPr>
      </w:pPr>
      <w:r>
        <w:rPr>
          <w:rFonts w:ascii="宋体" w:hAnsi="宋体" w:cs="宋体" w:eastAsia="宋体" w:hint="default"/>
          <w:sz w:val="21"/>
          <w:szCs w:val="21"/>
        </w:rPr>
        <w:t>刘彩先生为教授级高级工程师，</w:t>
      </w:r>
      <w:r>
        <w:rPr>
          <w:rFonts w:ascii="Arial" w:hAnsi="Arial" w:cs="Arial" w:eastAsia="Arial" w:hint="default"/>
          <w:sz w:val="21"/>
          <w:szCs w:val="21"/>
        </w:rPr>
        <w:t>1963</w:t>
      </w:r>
      <w:r>
        <w:rPr>
          <w:rFonts w:ascii="Arial" w:hAnsi="Arial" w:cs="Arial" w:eastAsia="Arial" w:hint="default"/>
          <w:spacing w:val="36"/>
          <w:sz w:val="21"/>
          <w:szCs w:val="21"/>
        </w:rPr>
        <w:t> </w:t>
      </w:r>
      <w:r>
        <w:rPr>
          <w:rFonts w:ascii="宋体" w:hAnsi="宋体" w:cs="宋体" w:eastAsia="宋体" w:hint="default"/>
          <w:sz w:val="21"/>
          <w:szCs w:val="21"/>
        </w:rPr>
        <w:t>年毕业于北京邮电学院（现北京邮电大学），主修</w:t>
      </w:r>
      <w:r>
        <w:rPr>
          <w:rFonts w:ascii="宋体" w:hAnsi="宋体" w:cs="宋体" w:eastAsia="宋体" w:hint="default"/>
          <w:w w:val="100"/>
          <w:sz w:val="21"/>
          <w:szCs w:val="21"/>
        </w:rPr>
        <w:t> </w:t>
      </w:r>
      <w:r>
        <w:rPr>
          <w:rFonts w:ascii="宋体" w:hAnsi="宋体" w:cs="宋体" w:eastAsia="宋体" w:hint="default"/>
          <w:sz w:val="21"/>
          <w:szCs w:val="21"/>
        </w:rPr>
        <w:t>通信工程。</w:t>
      </w:r>
      <w:r>
        <w:rPr>
          <w:rFonts w:ascii="Arial" w:hAnsi="Arial" w:cs="Arial" w:eastAsia="Arial" w:hint="default"/>
          <w:sz w:val="21"/>
          <w:szCs w:val="21"/>
        </w:rPr>
        <w:t>1963 </w:t>
      </w:r>
      <w:r>
        <w:rPr>
          <w:rFonts w:ascii="宋体" w:hAnsi="宋体" w:cs="宋体" w:eastAsia="宋体" w:hint="default"/>
          <w:sz w:val="21"/>
          <w:szCs w:val="21"/>
        </w:rPr>
        <w:t>年至 </w:t>
      </w:r>
      <w:r>
        <w:rPr>
          <w:rFonts w:ascii="Arial" w:hAnsi="Arial" w:cs="Arial" w:eastAsia="Arial" w:hint="default"/>
          <w:sz w:val="21"/>
          <w:szCs w:val="21"/>
        </w:rPr>
        <w:t>1988</w:t>
      </w:r>
      <w:r>
        <w:rPr>
          <w:rFonts w:ascii="Arial" w:hAnsi="Arial" w:cs="Arial" w:eastAsia="Arial" w:hint="default"/>
          <w:spacing w:val="34"/>
          <w:sz w:val="21"/>
          <w:szCs w:val="21"/>
        </w:rPr>
        <w:t> </w:t>
      </w:r>
      <w:r>
        <w:rPr>
          <w:rFonts w:ascii="宋体" w:hAnsi="宋体" w:cs="宋体" w:eastAsia="宋体" w:hint="default"/>
          <w:sz w:val="21"/>
          <w:szCs w:val="21"/>
        </w:rPr>
        <w:t>年在邮电科学研究院任技术员、工程师、高级工程师。其间</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spacing w:val="-45"/>
          <w:sz w:val="21"/>
          <w:szCs w:val="21"/>
        </w:rPr>
        <w:t> </w:t>
      </w:r>
      <w:r>
        <w:rPr>
          <w:rFonts w:ascii="Arial" w:hAnsi="Arial" w:cs="Arial" w:eastAsia="Arial" w:hint="default"/>
          <w:sz w:val="21"/>
          <w:szCs w:val="21"/>
        </w:rPr>
        <w:t>1984 </w:t>
      </w:r>
      <w:r>
        <w:rPr>
          <w:rFonts w:ascii="宋体" w:hAnsi="宋体" w:cs="宋体" w:eastAsia="宋体" w:hint="default"/>
          <w:sz w:val="21"/>
          <w:szCs w:val="21"/>
        </w:rPr>
        <w:t>年至</w:t>
      </w:r>
      <w:r>
        <w:rPr>
          <w:rFonts w:ascii="宋体" w:hAnsi="宋体" w:cs="宋体" w:eastAsia="宋体" w:hint="default"/>
          <w:spacing w:val="-46"/>
          <w:sz w:val="21"/>
          <w:szCs w:val="21"/>
        </w:rPr>
        <w:t> </w:t>
      </w:r>
      <w:r>
        <w:rPr>
          <w:rFonts w:ascii="Arial" w:hAnsi="Arial" w:cs="Arial" w:eastAsia="Arial" w:hint="default"/>
          <w:sz w:val="21"/>
          <w:szCs w:val="21"/>
        </w:rPr>
        <w:t>1986</w:t>
      </w:r>
      <w:r>
        <w:rPr>
          <w:rFonts w:ascii="Arial" w:hAnsi="Arial" w:cs="Arial" w:eastAsia="Arial" w:hint="default"/>
          <w:spacing w:val="2"/>
          <w:sz w:val="21"/>
          <w:szCs w:val="21"/>
        </w:rPr>
        <w:t> </w:t>
      </w:r>
      <w:r>
        <w:rPr>
          <w:rFonts w:ascii="宋体" w:hAnsi="宋体" w:cs="宋体" w:eastAsia="宋体" w:hint="default"/>
          <w:spacing w:val="-5"/>
          <w:sz w:val="21"/>
          <w:szCs w:val="21"/>
        </w:rPr>
        <w:t>年、</w:t>
      </w:r>
      <w:r>
        <w:rPr>
          <w:rFonts w:ascii="Arial" w:hAnsi="Arial" w:cs="Arial" w:eastAsia="Arial" w:hint="default"/>
          <w:spacing w:val="-5"/>
          <w:sz w:val="21"/>
          <w:szCs w:val="21"/>
        </w:rPr>
        <w:t>1988</w:t>
      </w:r>
      <w:r>
        <w:rPr>
          <w:rFonts w:ascii="Arial" w:hAnsi="Arial" w:cs="Arial" w:eastAsia="Arial" w:hint="default"/>
          <w:spacing w:val="2"/>
          <w:sz w:val="21"/>
          <w:szCs w:val="21"/>
        </w:rPr>
        <w:t> </w:t>
      </w:r>
      <w:r>
        <w:rPr>
          <w:rFonts w:ascii="宋体" w:hAnsi="宋体" w:cs="宋体" w:eastAsia="宋体" w:hint="default"/>
          <w:sz w:val="21"/>
          <w:szCs w:val="21"/>
        </w:rPr>
        <w:t>年至</w:t>
      </w:r>
      <w:r>
        <w:rPr>
          <w:rFonts w:ascii="宋体" w:hAnsi="宋体" w:cs="宋体" w:eastAsia="宋体" w:hint="default"/>
          <w:spacing w:val="-44"/>
          <w:sz w:val="21"/>
          <w:szCs w:val="21"/>
        </w:rPr>
        <w:t> </w:t>
      </w:r>
      <w:r>
        <w:rPr>
          <w:rFonts w:ascii="Arial" w:hAnsi="Arial" w:cs="Arial" w:eastAsia="Arial" w:hint="default"/>
          <w:sz w:val="21"/>
          <w:szCs w:val="21"/>
        </w:rPr>
        <w:t>1989 </w:t>
      </w:r>
      <w:r>
        <w:rPr>
          <w:rFonts w:ascii="宋体" w:hAnsi="宋体" w:cs="宋体" w:eastAsia="宋体" w:hint="default"/>
          <w:spacing w:val="-3"/>
          <w:sz w:val="21"/>
          <w:szCs w:val="21"/>
        </w:rPr>
        <w:t>年先后被选派比利时和美国进修经济管理。</w:t>
      </w:r>
      <w:r>
        <w:rPr>
          <w:rFonts w:ascii="Arial" w:hAnsi="Arial" w:cs="Arial" w:eastAsia="Arial" w:hint="default"/>
          <w:spacing w:val="-3"/>
          <w:sz w:val="21"/>
          <w:szCs w:val="21"/>
        </w:rPr>
        <w:t>1986</w:t>
      </w:r>
    </w:p>
    <w:p>
      <w:pPr>
        <w:spacing w:line="230" w:lineRule="auto" w:before="0"/>
        <w:ind w:left="846" w:right="103" w:firstLine="0"/>
        <w:jc w:val="left"/>
        <w:rPr>
          <w:rFonts w:ascii="宋体" w:hAnsi="宋体" w:cs="宋体" w:eastAsia="宋体" w:hint="default"/>
          <w:sz w:val="21"/>
          <w:szCs w:val="21"/>
        </w:rPr>
      </w:pPr>
      <w:r>
        <w:rPr>
          <w:rFonts w:ascii="宋体" w:hAnsi="宋体" w:cs="宋体" w:eastAsia="宋体" w:hint="default"/>
          <w:sz w:val="21"/>
          <w:szCs w:val="21"/>
        </w:rPr>
        <w:t>年至</w:t>
      </w:r>
      <w:r>
        <w:rPr>
          <w:rFonts w:ascii="宋体" w:hAnsi="宋体" w:cs="宋体" w:eastAsia="宋体" w:hint="default"/>
          <w:spacing w:val="-48"/>
          <w:sz w:val="21"/>
          <w:szCs w:val="21"/>
        </w:rPr>
        <w:t> </w:t>
      </w:r>
      <w:r>
        <w:rPr>
          <w:rFonts w:ascii="Arial" w:hAnsi="Arial" w:cs="Arial" w:eastAsia="Arial" w:hint="default"/>
          <w:sz w:val="21"/>
          <w:szCs w:val="21"/>
        </w:rPr>
        <w:t>1988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w:hAnsi="Arial" w:cs="Arial" w:eastAsia="Arial" w:hint="default"/>
          <w:sz w:val="21"/>
          <w:szCs w:val="21"/>
        </w:rPr>
        <w:t>12</w:t>
      </w:r>
      <w:r>
        <w:rPr>
          <w:rFonts w:ascii="Arial" w:hAnsi="Arial" w:cs="Arial" w:eastAsia="Arial" w:hint="default"/>
          <w:spacing w:val="-3"/>
          <w:sz w:val="21"/>
          <w:szCs w:val="21"/>
        </w:rPr>
        <w:t> </w:t>
      </w:r>
      <w:r>
        <w:rPr>
          <w:rFonts w:ascii="宋体" w:hAnsi="宋体" w:cs="宋体" w:eastAsia="宋体" w:hint="default"/>
          <w:sz w:val="21"/>
          <w:szCs w:val="21"/>
        </w:rPr>
        <w:t>月任邮电部经济技术发展研究中心副主任。</w:t>
      </w:r>
      <w:r>
        <w:rPr>
          <w:rFonts w:ascii="Arial" w:hAnsi="Arial" w:cs="Arial" w:eastAsia="Arial" w:hint="default"/>
          <w:sz w:val="21"/>
          <w:szCs w:val="21"/>
        </w:rPr>
        <w:t>1988</w:t>
      </w:r>
      <w:r>
        <w:rPr>
          <w:rFonts w:ascii="Arial" w:hAnsi="Arial" w:cs="Arial" w:eastAsia="Arial" w:hint="default"/>
          <w:spacing w:val="-3"/>
          <w:sz w:val="21"/>
          <w:szCs w:val="21"/>
        </w:rPr>
        <w:t> </w:t>
      </w:r>
      <w:r>
        <w:rPr>
          <w:rFonts w:ascii="宋体" w:hAnsi="宋体" w:cs="宋体" w:eastAsia="宋体" w:hint="default"/>
          <w:sz w:val="21"/>
          <w:szCs w:val="21"/>
        </w:rPr>
        <w:t>年至</w:t>
      </w:r>
      <w:r>
        <w:rPr>
          <w:rFonts w:ascii="宋体" w:hAnsi="宋体" w:cs="宋体" w:eastAsia="宋体" w:hint="default"/>
          <w:spacing w:val="-48"/>
          <w:sz w:val="21"/>
          <w:szCs w:val="21"/>
        </w:rPr>
        <w:t> </w:t>
      </w:r>
      <w:r>
        <w:rPr>
          <w:rFonts w:ascii="Arial" w:hAnsi="Arial" w:cs="Arial" w:eastAsia="Arial" w:hint="default"/>
          <w:sz w:val="21"/>
          <w:szCs w:val="21"/>
        </w:rPr>
        <w:t>2001</w:t>
      </w:r>
      <w:r>
        <w:rPr>
          <w:rFonts w:ascii="Arial" w:hAnsi="Arial" w:cs="Arial" w:eastAsia="Arial" w:hint="default"/>
          <w:spacing w:val="-3"/>
          <w:sz w:val="21"/>
          <w:szCs w:val="21"/>
        </w:rPr>
        <w:t> </w:t>
      </w:r>
      <w:r>
        <w:rPr>
          <w:rFonts w:ascii="宋体" w:hAnsi="宋体" w:cs="宋体" w:eastAsia="宋体" w:hint="default"/>
          <w:sz w:val="21"/>
          <w:szCs w:val="21"/>
        </w:rPr>
        <w:t>年先后任邮</w:t>
      </w:r>
      <w:r>
        <w:rPr>
          <w:rFonts w:ascii="宋体" w:hAnsi="宋体" w:cs="宋体" w:eastAsia="宋体" w:hint="default"/>
          <w:w w:val="100"/>
          <w:sz w:val="21"/>
          <w:szCs w:val="21"/>
        </w:rPr>
        <w:t> </w:t>
      </w:r>
      <w:r>
        <w:rPr>
          <w:rFonts w:ascii="宋体" w:hAnsi="宋体" w:cs="宋体" w:eastAsia="宋体" w:hint="default"/>
          <w:spacing w:val="-6"/>
          <w:sz w:val="21"/>
          <w:szCs w:val="21"/>
        </w:rPr>
        <w:t>电部、信息产业部政策法规司副司长、司长，负责研究制定通信政策；起草电信改革方案、</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4"/>
          <w:sz w:val="21"/>
          <w:szCs w:val="21"/>
        </w:rPr>
        <w:t>企业重组方案；起草《中华人民共和国电信条例》；作为电信谈判首席代表，参加我国加</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入 </w:t>
      </w:r>
      <w:r>
        <w:rPr>
          <w:rFonts w:ascii="Arial" w:hAnsi="Arial" w:cs="Arial" w:eastAsia="Arial" w:hint="default"/>
          <w:sz w:val="21"/>
          <w:szCs w:val="21"/>
        </w:rPr>
        <w:t>WTO </w:t>
      </w:r>
      <w:r>
        <w:rPr>
          <w:rFonts w:ascii="宋体" w:hAnsi="宋体" w:cs="宋体" w:eastAsia="宋体" w:hint="default"/>
          <w:sz w:val="21"/>
          <w:szCs w:val="21"/>
        </w:rPr>
        <w:t>谈判。</w:t>
      </w:r>
      <w:r>
        <w:rPr>
          <w:rFonts w:ascii="Arial" w:hAnsi="Arial" w:cs="Arial" w:eastAsia="Arial" w:hint="default"/>
          <w:sz w:val="21"/>
          <w:szCs w:val="21"/>
        </w:rPr>
        <w:t>2001</w:t>
      </w:r>
      <w:r>
        <w:rPr>
          <w:rFonts w:ascii="Arial" w:hAnsi="Arial" w:cs="Arial" w:eastAsia="Arial" w:hint="default"/>
          <w:spacing w:val="10"/>
          <w:sz w:val="21"/>
          <w:szCs w:val="21"/>
        </w:rPr>
        <w:t> </w:t>
      </w:r>
      <w:r>
        <w:rPr>
          <w:rFonts w:ascii="宋体" w:hAnsi="宋体" w:cs="宋体" w:eastAsia="宋体" w:hint="default"/>
          <w:sz w:val="21"/>
          <w:szCs w:val="21"/>
        </w:rPr>
        <w:t>年后曾任中国通信学会副理事长兼秘书长，中国科协第六、第七届</w:t>
      </w:r>
      <w:r>
        <w:rPr>
          <w:rFonts w:ascii="宋体" w:hAnsi="宋体" w:cs="宋体" w:eastAsia="宋体" w:hint="default"/>
          <w:w w:val="100"/>
          <w:sz w:val="21"/>
          <w:szCs w:val="21"/>
        </w:rPr>
        <w:t> </w:t>
      </w:r>
      <w:r>
        <w:rPr>
          <w:rFonts w:ascii="宋体" w:hAnsi="宋体" w:cs="宋体" w:eastAsia="宋体" w:hint="default"/>
          <w:sz w:val="21"/>
          <w:szCs w:val="21"/>
        </w:rPr>
        <w:t>全委会委员，电信法起草专家咨询委员会主任委员。</w:t>
      </w:r>
      <w:r>
        <w:rPr>
          <w:rFonts w:ascii="Arial" w:hAnsi="Arial" w:cs="Arial" w:eastAsia="Arial" w:hint="default"/>
          <w:sz w:val="21"/>
          <w:szCs w:val="21"/>
        </w:rPr>
        <w:t>2006</w:t>
      </w:r>
      <w:r>
        <w:rPr>
          <w:rFonts w:ascii="Arial" w:hAnsi="Arial" w:cs="Arial" w:eastAsia="Arial" w:hint="default"/>
          <w:spacing w:val="38"/>
          <w:sz w:val="21"/>
          <w:szCs w:val="21"/>
        </w:rPr>
        <w:t> </w:t>
      </w:r>
      <w:r>
        <w:rPr>
          <w:rFonts w:ascii="宋体" w:hAnsi="宋体" w:cs="宋体" w:eastAsia="宋体" w:hint="default"/>
          <w:sz w:val="21"/>
          <w:szCs w:val="21"/>
        </w:rPr>
        <w:t>年代表中国担任联合国信息与</w:t>
      </w:r>
      <w:r>
        <w:rPr>
          <w:rFonts w:ascii="宋体" w:hAnsi="宋体" w:cs="宋体" w:eastAsia="宋体" w:hint="default"/>
          <w:w w:val="100"/>
          <w:sz w:val="21"/>
          <w:szCs w:val="21"/>
        </w:rPr>
        <w:t> </w:t>
      </w:r>
      <w:r>
        <w:rPr>
          <w:rFonts w:ascii="宋体" w:hAnsi="宋体" w:cs="宋体" w:eastAsia="宋体" w:hint="default"/>
          <w:sz w:val="21"/>
          <w:szCs w:val="21"/>
        </w:rPr>
        <w:t>通信技术促进发展全球联盟（</w:t>
      </w:r>
      <w:r>
        <w:rPr>
          <w:rFonts w:ascii="Arial" w:hAnsi="Arial" w:cs="Arial" w:eastAsia="Arial" w:hint="default"/>
          <w:sz w:val="21"/>
          <w:szCs w:val="21"/>
        </w:rPr>
        <w:t>GAID</w:t>
      </w:r>
      <w:r>
        <w:rPr>
          <w:rFonts w:ascii="宋体" w:hAnsi="宋体" w:cs="宋体" w:eastAsia="宋体" w:hint="default"/>
          <w:sz w:val="21"/>
          <w:szCs w:val="21"/>
        </w:rPr>
        <w:t>）第一届战略理事会理事。目前担任香港京信通信系</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统公司独立非执行董事。刘彩先生自</w:t>
      </w:r>
      <w:r>
        <w:rPr>
          <w:rFonts w:ascii="宋体" w:hAnsi="宋体" w:cs="宋体" w:eastAsia="宋体" w:hint="default"/>
          <w:spacing w:val="-53"/>
          <w:sz w:val="21"/>
          <w:szCs w:val="21"/>
        </w:rPr>
        <w:t> </w:t>
      </w:r>
      <w:r>
        <w:rPr>
          <w:rFonts w:ascii="Arial" w:hAnsi="Arial" w:cs="Arial" w:eastAsia="Arial" w:hint="default"/>
          <w:sz w:val="21"/>
          <w:szCs w:val="21"/>
        </w:rPr>
        <w:t>2009</w:t>
      </w:r>
      <w:r>
        <w:rPr>
          <w:rFonts w:ascii="Arial" w:hAnsi="Arial" w:cs="Arial" w:eastAsia="Arial"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11</w:t>
      </w:r>
      <w:r>
        <w:rPr>
          <w:rFonts w:ascii="Arial" w:hAnsi="Arial" w:cs="Arial" w:eastAsia="Arial" w:hint="default"/>
          <w:spacing w:val="-9"/>
          <w:sz w:val="21"/>
          <w:szCs w:val="21"/>
        </w:rPr>
        <w:t> </w:t>
      </w:r>
      <w:r>
        <w:rPr>
          <w:rFonts w:ascii="宋体" w:hAnsi="宋体" w:cs="宋体" w:eastAsia="宋体" w:hint="default"/>
          <w:sz w:val="21"/>
          <w:szCs w:val="21"/>
        </w:rPr>
        <w:t>月起担任本公司独立董事。</w:t>
      </w:r>
    </w:p>
    <w:p>
      <w:pPr>
        <w:spacing w:line="240" w:lineRule="auto" w:before="3"/>
        <w:rPr>
          <w:rFonts w:ascii="宋体" w:hAnsi="宋体" w:cs="宋体" w:eastAsia="宋体" w:hint="default"/>
          <w:sz w:val="17"/>
          <w:szCs w:val="17"/>
        </w:rPr>
      </w:pPr>
    </w:p>
    <w:p>
      <w:pPr>
        <w:spacing w:before="0"/>
        <w:ind w:left="485" w:right="259" w:firstLine="0"/>
        <w:jc w:val="left"/>
        <w:rPr>
          <w:rFonts w:ascii="宋体" w:hAnsi="宋体" w:cs="宋体" w:eastAsia="宋体" w:hint="default"/>
          <w:sz w:val="21"/>
          <w:szCs w:val="21"/>
        </w:rPr>
      </w:pPr>
      <w:r>
        <w:rPr>
          <w:rFonts w:ascii="Arial" w:hAnsi="Arial" w:cs="Arial" w:eastAsia="Arial" w:hint="default"/>
          <w:sz w:val="21"/>
          <w:szCs w:val="21"/>
        </w:rPr>
        <w:t>6</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赵纯均</w:t>
      </w:r>
    </w:p>
    <w:p>
      <w:pPr>
        <w:spacing w:line="240" w:lineRule="auto" w:before="1"/>
        <w:rPr>
          <w:rFonts w:ascii="宋体" w:hAnsi="宋体" w:cs="宋体" w:eastAsia="宋体" w:hint="default"/>
          <w:sz w:val="17"/>
          <w:szCs w:val="17"/>
        </w:rPr>
      </w:pPr>
    </w:p>
    <w:p>
      <w:pPr>
        <w:spacing w:line="280" w:lineRule="exact" w:before="0"/>
        <w:ind w:left="846" w:right="97" w:firstLine="0"/>
        <w:jc w:val="left"/>
        <w:rPr>
          <w:rFonts w:ascii="Arial" w:hAnsi="Arial" w:cs="Arial" w:eastAsia="Arial" w:hint="default"/>
          <w:sz w:val="21"/>
          <w:szCs w:val="21"/>
        </w:rPr>
      </w:pPr>
      <w:r>
        <w:rPr>
          <w:rFonts w:ascii="宋体" w:hAnsi="宋体" w:cs="宋体" w:eastAsia="宋体" w:hint="default"/>
          <w:sz w:val="21"/>
          <w:szCs w:val="21"/>
        </w:rPr>
        <w:t>赵纯均先生</w:t>
      </w:r>
      <w:r>
        <w:rPr>
          <w:rFonts w:ascii="宋体" w:hAnsi="宋体" w:cs="宋体" w:eastAsia="宋体" w:hint="default"/>
          <w:spacing w:val="-46"/>
          <w:sz w:val="21"/>
          <w:szCs w:val="21"/>
        </w:rPr>
        <w:t> </w:t>
      </w:r>
      <w:r>
        <w:rPr>
          <w:rFonts w:ascii="Arial" w:hAnsi="Arial" w:cs="Arial" w:eastAsia="Arial" w:hint="default"/>
          <w:sz w:val="21"/>
          <w:szCs w:val="21"/>
        </w:rPr>
        <w:t>1965</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Arial" w:hAnsi="Arial" w:cs="Arial" w:eastAsia="Arial" w:hint="default"/>
          <w:sz w:val="21"/>
          <w:szCs w:val="21"/>
        </w:rPr>
        <w:t>7</w:t>
      </w:r>
      <w:r>
        <w:rPr>
          <w:rFonts w:ascii="Arial" w:hAnsi="Arial" w:cs="Arial" w:eastAsia="Arial" w:hint="default"/>
          <w:spacing w:val="-2"/>
          <w:sz w:val="21"/>
          <w:szCs w:val="21"/>
        </w:rPr>
        <w:t> </w:t>
      </w:r>
      <w:r>
        <w:rPr>
          <w:rFonts w:ascii="宋体" w:hAnsi="宋体" w:cs="宋体" w:eastAsia="宋体" w:hint="default"/>
          <w:spacing w:val="-4"/>
          <w:sz w:val="21"/>
          <w:szCs w:val="21"/>
        </w:rPr>
        <w:t>月于清华大学电机系工业企业电气化与自动化本科毕业。</w:t>
      </w:r>
      <w:r>
        <w:rPr>
          <w:rFonts w:ascii="Arial" w:hAnsi="Arial" w:cs="Arial" w:eastAsia="Arial" w:hint="default"/>
          <w:spacing w:val="-4"/>
          <w:sz w:val="21"/>
          <w:szCs w:val="21"/>
        </w:rPr>
        <w:t>1965</w:t>
      </w:r>
      <w:r>
        <w:rPr>
          <w:rFonts w:ascii="Arial" w:hAnsi="Arial" w:cs="Arial" w:eastAsia="Arial"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Arial" w:hAnsi="Arial" w:cs="Arial" w:eastAsia="Arial" w:hint="default"/>
          <w:sz w:val="21"/>
          <w:szCs w:val="21"/>
        </w:rPr>
        <w:t>9</w:t>
      </w:r>
    </w:p>
    <w:p>
      <w:pPr>
        <w:spacing w:line="272" w:lineRule="exact" w:before="0"/>
        <w:ind w:left="846" w:right="97" w:firstLine="0"/>
        <w:jc w:val="left"/>
        <w:rPr>
          <w:rFonts w:ascii="Arial" w:hAnsi="Arial" w:cs="Arial" w:eastAsia="Arial" w:hint="default"/>
          <w:sz w:val="21"/>
          <w:szCs w:val="21"/>
        </w:rPr>
      </w:pPr>
      <w:r>
        <w:rPr>
          <w:rFonts w:ascii="宋体" w:hAnsi="宋体" w:cs="宋体" w:eastAsia="宋体" w:hint="default"/>
          <w:spacing w:val="-7"/>
          <w:sz w:val="21"/>
          <w:szCs w:val="21"/>
        </w:rPr>
        <w:t>月起先后在清华大学、清华大学绵阳分校、清华大学自动化系任教，</w:t>
      </w:r>
      <w:r>
        <w:rPr>
          <w:rFonts w:ascii="Arial" w:hAnsi="Arial" w:cs="Arial" w:eastAsia="Arial" w:hint="default"/>
          <w:spacing w:val="-7"/>
          <w:sz w:val="21"/>
          <w:szCs w:val="21"/>
        </w:rPr>
        <w:t>1984 </w:t>
      </w:r>
      <w:r>
        <w:rPr>
          <w:rFonts w:ascii="宋体" w:hAnsi="宋体" w:cs="宋体" w:eastAsia="宋体" w:hint="default"/>
          <w:sz w:val="21"/>
          <w:szCs w:val="21"/>
        </w:rPr>
        <w:t>年 </w:t>
      </w:r>
      <w:r>
        <w:rPr>
          <w:rFonts w:ascii="Arial" w:hAnsi="Arial" w:cs="Arial" w:eastAsia="Arial" w:hint="default"/>
          <w:sz w:val="21"/>
          <w:szCs w:val="21"/>
        </w:rPr>
        <w:t>10 </w:t>
      </w:r>
      <w:r>
        <w:rPr>
          <w:rFonts w:ascii="宋体" w:hAnsi="宋体" w:cs="宋体" w:eastAsia="宋体" w:hint="default"/>
          <w:sz w:val="21"/>
          <w:szCs w:val="21"/>
        </w:rPr>
        <w:t>月至</w:t>
      </w:r>
      <w:r>
        <w:rPr>
          <w:rFonts w:ascii="宋体" w:hAnsi="宋体" w:cs="宋体" w:eastAsia="宋体" w:hint="default"/>
          <w:spacing w:val="-63"/>
          <w:sz w:val="21"/>
          <w:szCs w:val="21"/>
        </w:rPr>
        <w:t> </w:t>
      </w:r>
      <w:r>
        <w:rPr>
          <w:rFonts w:ascii="Arial" w:hAnsi="Arial" w:cs="Arial" w:eastAsia="Arial" w:hint="default"/>
          <w:sz w:val="21"/>
          <w:szCs w:val="21"/>
        </w:rPr>
        <w:t>1986</w:t>
      </w:r>
    </w:p>
    <w:p>
      <w:pPr>
        <w:spacing w:line="272" w:lineRule="exact" w:before="0"/>
        <w:ind w:left="846" w:right="97"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Arial" w:hAnsi="Arial" w:cs="Arial" w:eastAsia="Arial" w:hint="default"/>
          <w:sz w:val="21"/>
          <w:szCs w:val="21"/>
        </w:rPr>
        <w:t>2</w:t>
      </w:r>
      <w:r>
        <w:rPr>
          <w:rFonts w:ascii="Arial" w:hAnsi="Arial" w:cs="Arial" w:eastAsia="Arial" w:hint="default"/>
          <w:spacing w:val="4"/>
          <w:sz w:val="21"/>
          <w:szCs w:val="21"/>
        </w:rPr>
        <w:t> </w:t>
      </w:r>
      <w:r>
        <w:rPr>
          <w:rFonts w:ascii="宋体" w:hAnsi="宋体" w:cs="宋体" w:eastAsia="宋体" w:hint="default"/>
          <w:spacing w:val="-5"/>
          <w:sz w:val="21"/>
          <w:szCs w:val="21"/>
        </w:rPr>
        <w:t>月奥地利国际应用系统分析研究所（</w:t>
      </w:r>
      <w:r>
        <w:rPr>
          <w:rFonts w:ascii="Arial" w:hAnsi="Arial" w:cs="Arial" w:eastAsia="Arial" w:hint="default"/>
          <w:spacing w:val="-5"/>
          <w:sz w:val="21"/>
          <w:szCs w:val="21"/>
        </w:rPr>
        <w:t>IIASA</w:t>
      </w:r>
      <w:r>
        <w:rPr>
          <w:rFonts w:ascii="宋体" w:hAnsi="宋体" w:cs="宋体" w:eastAsia="宋体" w:hint="default"/>
          <w:spacing w:val="-5"/>
          <w:sz w:val="21"/>
          <w:szCs w:val="21"/>
        </w:rPr>
        <w:t>），做研究学者，</w:t>
      </w:r>
      <w:r>
        <w:rPr>
          <w:rFonts w:ascii="Arial" w:hAnsi="Arial" w:cs="Arial" w:eastAsia="Arial" w:hint="default"/>
          <w:spacing w:val="-5"/>
          <w:sz w:val="21"/>
          <w:szCs w:val="21"/>
        </w:rPr>
        <w:t>1986</w:t>
      </w:r>
      <w:r>
        <w:rPr>
          <w:rFonts w:ascii="Arial" w:hAnsi="Arial" w:cs="Arial" w:eastAsia="Arial"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Arial" w:hAnsi="Arial" w:cs="Arial" w:eastAsia="Arial" w:hint="default"/>
          <w:sz w:val="21"/>
          <w:szCs w:val="21"/>
        </w:rPr>
        <w:t>2</w:t>
      </w:r>
      <w:r>
        <w:rPr>
          <w:rFonts w:ascii="Arial" w:hAnsi="Arial" w:cs="Arial" w:eastAsia="Arial" w:hint="default"/>
          <w:spacing w:val="4"/>
          <w:sz w:val="21"/>
          <w:szCs w:val="21"/>
        </w:rPr>
        <w:t> </w:t>
      </w:r>
      <w:r>
        <w:rPr>
          <w:rFonts w:ascii="宋体" w:hAnsi="宋体" w:cs="宋体" w:eastAsia="宋体" w:hint="default"/>
          <w:sz w:val="21"/>
          <w:szCs w:val="21"/>
        </w:rPr>
        <w:t>月起先后任清</w:t>
      </w:r>
    </w:p>
    <w:p>
      <w:pPr>
        <w:spacing w:line="272" w:lineRule="exact" w:before="0"/>
        <w:ind w:left="846" w:right="97" w:firstLine="0"/>
        <w:jc w:val="left"/>
        <w:rPr>
          <w:rFonts w:ascii="Arial" w:hAnsi="Arial" w:cs="Arial" w:eastAsia="Arial" w:hint="default"/>
          <w:sz w:val="21"/>
          <w:szCs w:val="21"/>
        </w:rPr>
      </w:pPr>
      <w:r>
        <w:rPr>
          <w:rFonts w:ascii="宋体" w:hAnsi="宋体" w:cs="宋体" w:eastAsia="宋体" w:hint="default"/>
          <w:sz w:val="21"/>
          <w:szCs w:val="21"/>
        </w:rPr>
        <w:t>华大学经济管理学院院长助理、系主任、常务</w:t>
      </w:r>
      <w:r>
        <w:rPr>
          <w:rFonts w:ascii="Arial" w:hAnsi="Arial" w:cs="Arial" w:eastAsia="Arial" w:hint="default"/>
          <w:sz w:val="21"/>
          <w:szCs w:val="21"/>
        </w:rPr>
        <w:t>/</w:t>
      </w:r>
      <w:r>
        <w:rPr>
          <w:rFonts w:ascii="宋体" w:hAnsi="宋体" w:cs="宋体" w:eastAsia="宋体" w:hint="default"/>
          <w:sz w:val="21"/>
          <w:szCs w:val="21"/>
        </w:rPr>
        <w:t>第一副院长，</w:t>
      </w:r>
      <w:r>
        <w:rPr>
          <w:rFonts w:ascii="Arial" w:hAnsi="Arial" w:cs="Arial" w:eastAsia="Arial" w:hint="default"/>
          <w:sz w:val="21"/>
          <w:szCs w:val="21"/>
        </w:rPr>
        <w:t>2001 </w:t>
      </w:r>
      <w:r>
        <w:rPr>
          <w:rFonts w:ascii="宋体" w:hAnsi="宋体" w:cs="宋体" w:eastAsia="宋体" w:hint="default"/>
          <w:sz w:val="21"/>
          <w:szCs w:val="21"/>
        </w:rPr>
        <w:t>年 </w:t>
      </w:r>
      <w:r>
        <w:rPr>
          <w:rFonts w:ascii="Arial" w:hAnsi="Arial" w:cs="Arial" w:eastAsia="Arial" w:hint="default"/>
          <w:sz w:val="21"/>
          <w:szCs w:val="21"/>
        </w:rPr>
        <w:t>6 </w:t>
      </w:r>
      <w:r>
        <w:rPr>
          <w:rFonts w:ascii="宋体" w:hAnsi="宋体" w:cs="宋体" w:eastAsia="宋体" w:hint="default"/>
          <w:sz w:val="21"/>
          <w:szCs w:val="21"/>
        </w:rPr>
        <w:t>月至 </w:t>
      </w:r>
      <w:r>
        <w:rPr>
          <w:rFonts w:ascii="Arial" w:hAnsi="Arial" w:cs="Arial" w:eastAsia="Arial" w:hint="default"/>
          <w:sz w:val="21"/>
          <w:szCs w:val="21"/>
        </w:rPr>
        <w:t>2005 </w:t>
      </w:r>
      <w:r>
        <w:rPr>
          <w:rFonts w:ascii="宋体" w:hAnsi="宋体" w:cs="宋体" w:eastAsia="宋体" w:hint="default"/>
          <w:sz w:val="21"/>
          <w:szCs w:val="21"/>
        </w:rPr>
        <w:t>年</w:t>
      </w:r>
      <w:r>
        <w:rPr>
          <w:rFonts w:ascii="宋体" w:hAnsi="宋体" w:cs="宋体" w:eastAsia="宋体" w:hint="default"/>
          <w:spacing w:val="-13"/>
          <w:sz w:val="21"/>
          <w:szCs w:val="21"/>
        </w:rPr>
        <w:t> </w:t>
      </w:r>
      <w:r>
        <w:rPr>
          <w:rFonts w:ascii="Arial" w:hAnsi="Arial" w:cs="Arial" w:eastAsia="Arial" w:hint="default"/>
          <w:sz w:val="21"/>
          <w:szCs w:val="21"/>
        </w:rPr>
        <w:t>10</w:t>
      </w:r>
    </w:p>
    <w:p>
      <w:pPr>
        <w:spacing w:line="232" w:lineRule="auto" w:before="0"/>
        <w:ind w:left="846" w:right="97" w:firstLine="0"/>
        <w:jc w:val="left"/>
        <w:rPr>
          <w:rFonts w:ascii="Arial" w:hAnsi="Arial" w:cs="Arial" w:eastAsia="Arial" w:hint="default"/>
          <w:sz w:val="21"/>
          <w:szCs w:val="21"/>
        </w:rPr>
      </w:pPr>
      <w:r>
        <w:rPr>
          <w:rFonts w:ascii="宋体" w:hAnsi="宋体" w:cs="宋体" w:eastAsia="宋体" w:hint="default"/>
          <w:spacing w:val="-4"/>
          <w:sz w:val="21"/>
          <w:szCs w:val="21"/>
        </w:rPr>
        <w:t>月清华大学经济管理学院任院长。</w:t>
      </w:r>
      <w:r>
        <w:rPr>
          <w:rFonts w:ascii="Arial" w:hAnsi="Arial" w:cs="Arial" w:eastAsia="Arial" w:hint="default"/>
          <w:spacing w:val="-4"/>
          <w:sz w:val="21"/>
          <w:szCs w:val="21"/>
        </w:rPr>
        <w:t>2005</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w:hAnsi="Arial" w:cs="Arial" w:eastAsia="Arial" w:hint="default"/>
          <w:sz w:val="21"/>
          <w:szCs w:val="21"/>
        </w:rPr>
        <w:t>10</w:t>
      </w:r>
      <w:r>
        <w:rPr>
          <w:rFonts w:ascii="Arial" w:hAnsi="Arial" w:cs="Arial" w:eastAsia="Arial" w:hint="default"/>
          <w:spacing w:val="-2"/>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Arial" w:hAnsi="Arial" w:cs="Arial" w:eastAsia="Arial" w:hint="default"/>
          <w:sz w:val="21"/>
          <w:szCs w:val="21"/>
        </w:rPr>
        <w:t>2009</w:t>
      </w:r>
      <w:r>
        <w:rPr>
          <w:rFonts w:ascii="Arial" w:hAnsi="Arial" w:cs="Arial" w:eastAsia="Arial"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w:hAnsi="Arial" w:cs="Arial" w:eastAsia="Arial" w:hint="default"/>
          <w:sz w:val="21"/>
          <w:szCs w:val="21"/>
        </w:rPr>
        <w:t>4</w:t>
      </w:r>
      <w:r>
        <w:rPr>
          <w:rFonts w:ascii="Arial" w:hAnsi="Arial" w:cs="Arial" w:eastAsia="Arial" w:hint="default"/>
          <w:spacing w:val="-2"/>
          <w:sz w:val="21"/>
          <w:szCs w:val="21"/>
        </w:rPr>
        <w:t> </w:t>
      </w:r>
      <w:r>
        <w:rPr>
          <w:rFonts w:ascii="宋体" w:hAnsi="宋体" w:cs="宋体" w:eastAsia="宋体" w:hint="default"/>
          <w:sz w:val="21"/>
          <w:szCs w:val="21"/>
        </w:rPr>
        <w:t>月任清华大学经济管理学院</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5"/>
          <w:sz w:val="21"/>
          <w:szCs w:val="21"/>
        </w:rPr>
        <w:t>教授。</w:t>
      </w:r>
      <w:r>
        <w:rPr>
          <w:rFonts w:ascii="Arial" w:hAnsi="Arial" w:cs="Arial" w:eastAsia="Arial" w:hint="default"/>
          <w:spacing w:val="-5"/>
          <w:sz w:val="21"/>
          <w:szCs w:val="21"/>
        </w:rPr>
        <w:t>2005</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Arial" w:hAnsi="Arial" w:cs="Arial" w:eastAsia="Arial" w:hint="default"/>
          <w:sz w:val="21"/>
          <w:szCs w:val="21"/>
        </w:rPr>
        <w:t>10</w:t>
      </w:r>
      <w:r>
        <w:rPr>
          <w:rFonts w:ascii="Arial" w:hAnsi="Arial" w:cs="Arial" w:eastAsia="Arial" w:hint="default"/>
          <w:spacing w:val="6"/>
          <w:sz w:val="21"/>
          <w:szCs w:val="21"/>
        </w:rPr>
        <w:t> </w:t>
      </w:r>
      <w:r>
        <w:rPr>
          <w:rFonts w:ascii="宋体" w:hAnsi="宋体" w:cs="宋体" w:eastAsia="宋体" w:hint="default"/>
          <w:spacing w:val="-4"/>
          <w:sz w:val="21"/>
          <w:szCs w:val="21"/>
        </w:rPr>
        <w:t>月至今，任清华大学经济管理学院顾问委员会委员，清华大学校务委员</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会、教育部社科委管理学部召集人。曾任全国</w:t>
      </w:r>
      <w:r>
        <w:rPr>
          <w:rFonts w:ascii="宋体" w:hAnsi="宋体" w:cs="宋体" w:eastAsia="宋体" w:hint="default"/>
          <w:spacing w:val="-50"/>
          <w:sz w:val="21"/>
          <w:szCs w:val="21"/>
        </w:rPr>
        <w:t> </w:t>
      </w:r>
      <w:r>
        <w:rPr>
          <w:rFonts w:ascii="Arial" w:hAnsi="Arial" w:cs="Arial" w:eastAsia="Arial" w:hint="default"/>
          <w:spacing w:val="-2"/>
          <w:sz w:val="21"/>
          <w:szCs w:val="21"/>
        </w:rPr>
        <w:t>MBA</w:t>
      </w:r>
      <w:r>
        <w:rPr>
          <w:rFonts w:ascii="Arial" w:hAnsi="Arial" w:cs="Arial" w:eastAsia="Arial" w:hint="default"/>
          <w:spacing w:val="-5"/>
          <w:sz w:val="21"/>
          <w:szCs w:val="21"/>
        </w:rPr>
        <w:t> </w:t>
      </w:r>
      <w:r>
        <w:rPr>
          <w:rFonts w:ascii="宋体" w:hAnsi="宋体" w:cs="宋体" w:eastAsia="宋体" w:hint="default"/>
          <w:sz w:val="21"/>
          <w:szCs w:val="21"/>
        </w:rPr>
        <w:t>教育指导委员会副主任、清华大学学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w w:val="100"/>
          <w:sz w:val="21"/>
          <w:szCs w:val="21"/>
        </w:rPr>
        <w:t>术委员会副主任、大恒新纪元科技股份有限公司独立董事、清华同方股份有限公司监事长、</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3"/>
          <w:sz w:val="21"/>
          <w:szCs w:val="21"/>
        </w:rPr>
        <w:t>中银国际基金管理有限公司独立董事。目前还兼任中国管理现代化研究会理事长、中国企</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3"/>
          <w:sz w:val="21"/>
          <w:szCs w:val="21"/>
        </w:rPr>
        <w:t>业研究会副会长、中国工业经济联合会高级副会长、中国企业联合会常务理事，并担任中</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6"/>
          <w:w w:val="100"/>
          <w:sz w:val="21"/>
          <w:szCs w:val="21"/>
        </w:rPr>
        <w:t>国通信服务股份有限公司独立董事、东方电气股份有限公司独立董事。赵纯均先生自</w:t>
      </w:r>
      <w:r>
        <w:rPr>
          <w:rFonts w:ascii="宋体" w:hAnsi="宋体" w:cs="宋体" w:eastAsia="宋体" w:hint="default"/>
          <w:spacing w:val="-45"/>
          <w:w w:val="100"/>
          <w:sz w:val="21"/>
          <w:szCs w:val="21"/>
        </w:rPr>
        <w:t> </w:t>
      </w:r>
      <w:r>
        <w:rPr>
          <w:rFonts w:ascii="Arial" w:hAnsi="Arial" w:cs="Arial" w:eastAsia="Arial" w:hint="default"/>
          <w:spacing w:val="-1"/>
          <w:w w:val="100"/>
          <w:sz w:val="21"/>
          <w:szCs w:val="21"/>
        </w:rPr>
        <w:t>2009</w:t>
      </w:r>
    </w:p>
    <w:p>
      <w:pPr>
        <w:spacing w:line="273" w:lineRule="exact" w:before="0"/>
        <w:ind w:left="846" w:right="259"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8"/>
          <w:sz w:val="21"/>
          <w:szCs w:val="21"/>
        </w:rPr>
        <w:t> </w:t>
      </w:r>
      <w:r>
        <w:rPr>
          <w:rFonts w:ascii="宋体" w:hAnsi="宋体" w:cs="宋体" w:eastAsia="宋体" w:hint="default"/>
          <w:sz w:val="21"/>
          <w:szCs w:val="21"/>
        </w:rPr>
        <w:t>月起担任本公司独立董事。</w:t>
      </w:r>
    </w:p>
    <w:p>
      <w:pPr>
        <w:spacing w:line="240" w:lineRule="auto" w:before="1"/>
        <w:rPr>
          <w:rFonts w:ascii="宋体" w:hAnsi="宋体" w:cs="宋体" w:eastAsia="宋体" w:hint="default"/>
          <w:sz w:val="17"/>
          <w:szCs w:val="17"/>
        </w:rPr>
      </w:pPr>
    </w:p>
    <w:p>
      <w:pPr>
        <w:spacing w:before="0"/>
        <w:ind w:left="485" w:right="259" w:firstLine="0"/>
        <w:jc w:val="left"/>
        <w:rPr>
          <w:rFonts w:ascii="宋体" w:hAnsi="宋体" w:cs="宋体" w:eastAsia="宋体" w:hint="default"/>
          <w:sz w:val="21"/>
          <w:szCs w:val="21"/>
        </w:rPr>
      </w:pPr>
      <w:r>
        <w:rPr>
          <w:rFonts w:ascii="Arial" w:hAnsi="Arial" w:cs="Arial" w:eastAsia="Arial" w:hint="default"/>
          <w:sz w:val="21"/>
          <w:szCs w:val="21"/>
        </w:rPr>
        <w:t>7</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张英海</w:t>
      </w:r>
    </w:p>
    <w:p>
      <w:pPr>
        <w:spacing w:line="240" w:lineRule="auto" w:before="1"/>
        <w:rPr>
          <w:rFonts w:ascii="宋体" w:hAnsi="宋体" w:cs="宋体" w:eastAsia="宋体" w:hint="default"/>
          <w:sz w:val="18"/>
          <w:szCs w:val="18"/>
        </w:rPr>
      </w:pPr>
    </w:p>
    <w:p>
      <w:pPr>
        <w:spacing w:line="228" w:lineRule="auto" w:before="0"/>
        <w:ind w:left="846" w:right="205" w:firstLine="0"/>
        <w:jc w:val="both"/>
        <w:rPr>
          <w:rFonts w:ascii="宋体" w:hAnsi="宋体" w:cs="宋体" w:eastAsia="宋体" w:hint="default"/>
          <w:sz w:val="21"/>
          <w:szCs w:val="21"/>
        </w:rPr>
      </w:pPr>
      <w:r>
        <w:rPr>
          <w:rFonts w:ascii="宋体" w:hAnsi="宋体" w:cs="宋体" w:eastAsia="宋体" w:hint="default"/>
          <w:sz w:val="21"/>
          <w:szCs w:val="21"/>
        </w:rPr>
        <w:t>张英海先生于</w:t>
      </w:r>
      <w:r>
        <w:rPr>
          <w:rFonts w:ascii="宋体" w:hAnsi="宋体" w:cs="宋体" w:eastAsia="宋体" w:hint="default"/>
          <w:spacing w:val="-48"/>
          <w:sz w:val="21"/>
          <w:szCs w:val="21"/>
        </w:rPr>
        <w:t> </w:t>
      </w:r>
      <w:r>
        <w:rPr>
          <w:rFonts w:ascii="Arial" w:hAnsi="Arial" w:cs="Arial" w:eastAsia="Arial" w:hint="default"/>
          <w:sz w:val="21"/>
          <w:szCs w:val="21"/>
        </w:rPr>
        <w:t>1975</w:t>
      </w:r>
      <w:r>
        <w:rPr>
          <w:rFonts w:ascii="Arial" w:hAnsi="Arial" w:cs="Arial" w:eastAsia="Arial" w:hint="default"/>
          <w:spacing w:val="-2"/>
          <w:sz w:val="21"/>
          <w:szCs w:val="21"/>
        </w:rPr>
        <w:t> </w:t>
      </w:r>
      <w:r>
        <w:rPr>
          <w:rFonts w:ascii="宋体" w:hAnsi="宋体" w:cs="宋体" w:eastAsia="宋体" w:hint="default"/>
          <w:spacing w:val="-4"/>
          <w:sz w:val="21"/>
          <w:szCs w:val="21"/>
        </w:rPr>
        <w:t>年北京邮电学院大学毕业，</w:t>
      </w:r>
      <w:r>
        <w:rPr>
          <w:rFonts w:ascii="Arial" w:hAnsi="Arial" w:cs="Arial" w:eastAsia="Arial" w:hint="default"/>
          <w:spacing w:val="-4"/>
          <w:sz w:val="21"/>
          <w:szCs w:val="21"/>
        </w:rPr>
        <w:t>1981</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w:hAnsi="Arial" w:cs="Arial" w:eastAsia="Arial" w:hint="default"/>
          <w:sz w:val="21"/>
          <w:szCs w:val="21"/>
        </w:rPr>
        <w:t>12 </w:t>
      </w:r>
      <w:r>
        <w:rPr>
          <w:rFonts w:ascii="宋体" w:hAnsi="宋体" w:cs="宋体" w:eastAsia="宋体" w:hint="default"/>
          <w:sz w:val="21"/>
          <w:szCs w:val="21"/>
        </w:rPr>
        <w:t>月北京邮电学院应用物理系硕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士毕业并获得硕士学位，</w:t>
      </w:r>
      <w:r>
        <w:rPr>
          <w:rFonts w:ascii="Arial" w:hAnsi="Arial" w:cs="Arial" w:eastAsia="Arial" w:hint="default"/>
          <w:sz w:val="21"/>
          <w:szCs w:val="21"/>
        </w:rPr>
        <w:t>2007 </w:t>
      </w:r>
      <w:r>
        <w:rPr>
          <w:rFonts w:ascii="宋体" w:hAnsi="宋体" w:cs="宋体" w:eastAsia="宋体" w:hint="default"/>
          <w:sz w:val="21"/>
          <w:szCs w:val="21"/>
        </w:rPr>
        <w:t>年 </w:t>
      </w:r>
      <w:r>
        <w:rPr>
          <w:rFonts w:ascii="Arial" w:hAnsi="Arial" w:cs="Arial" w:eastAsia="Arial" w:hint="default"/>
          <w:sz w:val="21"/>
          <w:szCs w:val="21"/>
        </w:rPr>
        <w:t>7</w:t>
      </w:r>
      <w:r>
        <w:rPr>
          <w:rFonts w:ascii="Arial" w:hAnsi="Arial" w:cs="Arial" w:eastAsia="Arial" w:hint="default"/>
          <w:spacing w:val="-36"/>
          <w:sz w:val="21"/>
          <w:szCs w:val="21"/>
        </w:rPr>
        <w:t> </w:t>
      </w:r>
      <w:r>
        <w:rPr>
          <w:rFonts w:ascii="宋体" w:hAnsi="宋体" w:cs="宋体" w:eastAsia="宋体" w:hint="default"/>
          <w:sz w:val="21"/>
          <w:szCs w:val="21"/>
        </w:rPr>
        <w:t>月年获得北京邮电大学电子工程学院电路与系统专业</w:t>
      </w:r>
      <w:r>
        <w:rPr>
          <w:rFonts w:ascii="宋体" w:hAnsi="宋体" w:cs="宋体" w:eastAsia="宋体" w:hint="default"/>
          <w:w w:val="100"/>
          <w:sz w:val="21"/>
          <w:szCs w:val="21"/>
        </w:rPr>
        <w:t> </w:t>
      </w:r>
      <w:r>
        <w:rPr>
          <w:rFonts w:ascii="宋体" w:hAnsi="宋体" w:cs="宋体" w:eastAsia="宋体" w:hint="default"/>
          <w:spacing w:val="-3"/>
          <w:sz w:val="21"/>
          <w:szCs w:val="21"/>
        </w:rPr>
        <w:t>毕业博士学位。</w:t>
      </w:r>
      <w:r>
        <w:rPr>
          <w:rFonts w:ascii="Arial" w:hAnsi="Arial" w:cs="Arial" w:eastAsia="Arial" w:hint="default"/>
          <w:spacing w:val="-3"/>
          <w:sz w:val="21"/>
          <w:szCs w:val="21"/>
        </w:rPr>
        <w:t>1987 </w:t>
      </w:r>
      <w:r>
        <w:rPr>
          <w:rFonts w:ascii="宋体" w:hAnsi="宋体" w:cs="宋体" w:eastAsia="宋体" w:hint="default"/>
          <w:sz w:val="21"/>
          <w:szCs w:val="21"/>
        </w:rPr>
        <w:t>年赴日本东北大学进修电子工学专业，</w:t>
      </w:r>
      <w:r>
        <w:rPr>
          <w:rFonts w:ascii="Arial" w:hAnsi="Arial" w:cs="Arial" w:eastAsia="Arial" w:hint="default"/>
          <w:sz w:val="21"/>
          <w:szCs w:val="21"/>
        </w:rPr>
        <w:t>1990 </w:t>
      </w:r>
      <w:r>
        <w:rPr>
          <w:rFonts w:ascii="宋体" w:hAnsi="宋体" w:cs="宋体" w:eastAsia="宋体" w:hint="default"/>
          <w:spacing w:val="-4"/>
          <w:sz w:val="21"/>
          <w:szCs w:val="21"/>
        </w:rPr>
        <w:t>年回国。先后参加美国</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Arial" w:hAnsi="Arial" w:cs="Arial" w:eastAsia="Arial" w:hint="default"/>
          <w:sz w:val="21"/>
          <w:szCs w:val="21"/>
        </w:rPr>
        <w:t>AT&amp;T </w:t>
      </w:r>
      <w:r>
        <w:rPr>
          <w:rFonts w:ascii="宋体" w:hAnsi="宋体" w:cs="宋体" w:eastAsia="宋体" w:hint="default"/>
          <w:sz w:val="21"/>
          <w:szCs w:val="21"/>
        </w:rPr>
        <w:t>高级电信管理人员培训、邮电部局长学习班、教育部校长海外培训班。</w:t>
      </w:r>
      <w:r>
        <w:rPr>
          <w:rFonts w:ascii="Arial" w:hAnsi="Arial" w:cs="Arial" w:eastAsia="Arial" w:hint="default"/>
          <w:sz w:val="21"/>
          <w:szCs w:val="21"/>
        </w:rPr>
        <w:t>1997</w:t>
      </w:r>
      <w:r>
        <w:rPr>
          <w:rFonts w:ascii="Arial" w:hAnsi="Arial" w:cs="Arial" w:eastAsia="Arial" w:hint="default"/>
          <w:spacing w:val="14"/>
          <w:sz w:val="21"/>
          <w:szCs w:val="21"/>
        </w:rPr>
        <w:t> </w:t>
      </w:r>
      <w:r>
        <w:rPr>
          <w:rFonts w:ascii="宋体" w:hAnsi="宋体" w:cs="宋体" w:eastAsia="宋体" w:hint="default"/>
          <w:spacing w:val="-3"/>
          <w:sz w:val="21"/>
          <w:szCs w:val="21"/>
        </w:rPr>
        <w:t>年晋</w:t>
      </w:r>
      <w:r>
        <w:rPr>
          <w:rFonts w:ascii="宋体" w:hAnsi="宋体" w:cs="宋体" w:eastAsia="宋体" w:hint="default"/>
          <w:spacing w:val="-3"/>
          <w:w w:val="100"/>
          <w:sz w:val="21"/>
          <w:szCs w:val="21"/>
        </w:rPr>
        <w:t> </w:t>
      </w:r>
      <w:r>
        <w:rPr>
          <w:rFonts w:ascii="宋体" w:hAnsi="宋体" w:cs="宋体" w:eastAsia="宋体" w:hint="default"/>
          <w:sz w:val="21"/>
          <w:szCs w:val="21"/>
        </w:rPr>
        <w:t>升为教授。</w:t>
      </w:r>
      <w:r>
        <w:rPr>
          <w:rFonts w:ascii="Arial" w:hAnsi="Arial" w:cs="Arial" w:eastAsia="Arial" w:hint="default"/>
          <w:sz w:val="21"/>
          <w:szCs w:val="21"/>
        </w:rPr>
        <w:t>1971 </w:t>
      </w:r>
      <w:r>
        <w:rPr>
          <w:rFonts w:ascii="宋体" w:hAnsi="宋体" w:cs="宋体" w:eastAsia="宋体" w:hint="default"/>
          <w:sz w:val="21"/>
          <w:szCs w:val="21"/>
        </w:rPr>
        <w:t>年至 </w:t>
      </w:r>
      <w:r>
        <w:rPr>
          <w:rFonts w:ascii="Arial" w:hAnsi="Arial" w:cs="Arial" w:eastAsia="Arial" w:hint="default"/>
          <w:sz w:val="21"/>
          <w:szCs w:val="21"/>
        </w:rPr>
        <w:t>1996</w:t>
      </w:r>
      <w:r>
        <w:rPr>
          <w:rFonts w:ascii="Arial" w:hAnsi="Arial" w:cs="Arial" w:eastAsia="Arial" w:hint="default"/>
          <w:spacing w:val="34"/>
          <w:sz w:val="21"/>
          <w:szCs w:val="21"/>
        </w:rPr>
        <w:t> </w:t>
      </w:r>
      <w:r>
        <w:rPr>
          <w:rFonts w:ascii="宋体" w:hAnsi="宋体" w:cs="宋体" w:eastAsia="宋体" w:hint="default"/>
          <w:sz w:val="21"/>
          <w:szCs w:val="21"/>
        </w:rPr>
        <w:t>年先后在中央广播事业局科学研究所、北京邮电学院工作、</w:t>
      </w:r>
      <w:r>
        <w:rPr>
          <w:rFonts w:ascii="宋体" w:hAnsi="宋体" w:cs="宋体" w:eastAsia="宋体" w:hint="default"/>
          <w:w w:val="100"/>
          <w:sz w:val="21"/>
          <w:szCs w:val="21"/>
        </w:rPr>
        <w:t> </w:t>
      </w:r>
      <w:r>
        <w:rPr>
          <w:rFonts w:ascii="宋体" w:hAnsi="宋体" w:cs="宋体" w:eastAsia="宋体" w:hint="default"/>
          <w:sz w:val="21"/>
          <w:szCs w:val="21"/>
        </w:rPr>
        <w:t>学习。</w:t>
      </w:r>
      <w:r>
        <w:rPr>
          <w:rFonts w:ascii="Arial" w:hAnsi="Arial" w:cs="Arial" w:eastAsia="Arial" w:hint="default"/>
          <w:sz w:val="21"/>
          <w:szCs w:val="21"/>
        </w:rPr>
        <w:t>1996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9</w:t>
      </w:r>
      <w:r>
        <w:rPr>
          <w:rFonts w:ascii="Arial" w:hAnsi="Arial" w:cs="Arial" w:eastAsia="Arial" w:hint="default"/>
          <w:spacing w:val="-5"/>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Arial" w:hAnsi="Arial" w:cs="Arial" w:eastAsia="Arial" w:hint="default"/>
          <w:sz w:val="21"/>
          <w:szCs w:val="21"/>
        </w:rPr>
        <w:t>2008</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5</w:t>
      </w:r>
      <w:r>
        <w:rPr>
          <w:rFonts w:ascii="Arial" w:hAnsi="Arial" w:cs="Arial" w:eastAsia="Arial" w:hint="default"/>
          <w:spacing w:val="-4"/>
          <w:sz w:val="21"/>
          <w:szCs w:val="21"/>
        </w:rPr>
        <w:t> </w:t>
      </w:r>
      <w:r>
        <w:rPr>
          <w:rFonts w:ascii="宋体" w:hAnsi="宋体" w:cs="宋体" w:eastAsia="宋体" w:hint="default"/>
          <w:sz w:val="21"/>
          <w:szCs w:val="21"/>
        </w:rPr>
        <w:t>月任北京邮电大学副校长。</w:t>
      </w:r>
      <w:r>
        <w:rPr>
          <w:rFonts w:ascii="Arial" w:hAnsi="Arial" w:cs="Arial" w:eastAsia="Arial" w:hint="default"/>
          <w:sz w:val="21"/>
          <w:szCs w:val="21"/>
        </w:rPr>
        <w:t>2008</w:t>
      </w:r>
      <w:r>
        <w:rPr>
          <w:rFonts w:ascii="Arial" w:hAnsi="Arial" w:cs="Arial" w:eastAsia="Arial"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Arial" w:hAnsi="Arial" w:cs="Arial" w:eastAsia="Arial" w:hint="default"/>
          <w:sz w:val="21"/>
          <w:szCs w:val="21"/>
        </w:rPr>
        <w:t>2012</w:t>
      </w:r>
      <w:r>
        <w:rPr>
          <w:rFonts w:ascii="Arial" w:hAnsi="Arial" w:cs="Arial" w:eastAsia="Arial"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6</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任北京邮电大学副校长兼研究生院院长。</w:t>
      </w:r>
      <w:r>
        <w:rPr>
          <w:rFonts w:ascii="Arial" w:hAnsi="Arial" w:cs="Arial" w:eastAsia="Arial" w:hint="default"/>
          <w:sz w:val="21"/>
          <w:szCs w:val="21"/>
        </w:rPr>
        <w:t>2012 </w:t>
      </w:r>
      <w:r>
        <w:rPr>
          <w:rFonts w:ascii="宋体" w:hAnsi="宋体" w:cs="宋体" w:eastAsia="宋体" w:hint="default"/>
          <w:sz w:val="21"/>
          <w:szCs w:val="21"/>
        </w:rPr>
        <w:t>年 </w:t>
      </w:r>
      <w:r>
        <w:rPr>
          <w:rFonts w:ascii="Arial" w:hAnsi="Arial" w:cs="Arial" w:eastAsia="Arial" w:hint="default"/>
          <w:sz w:val="21"/>
          <w:szCs w:val="21"/>
        </w:rPr>
        <w:t>6</w:t>
      </w:r>
      <w:r>
        <w:rPr>
          <w:rFonts w:ascii="Arial" w:hAnsi="Arial" w:cs="Arial" w:eastAsia="Arial" w:hint="default"/>
          <w:spacing w:val="-33"/>
          <w:sz w:val="21"/>
          <w:szCs w:val="21"/>
        </w:rPr>
        <w:t> </w:t>
      </w:r>
      <w:r>
        <w:rPr>
          <w:rFonts w:ascii="宋体" w:hAnsi="宋体" w:cs="宋体" w:eastAsia="宋体" w:hint="default"/>
          <w:sz w:val="21"/>
          <w:szCs w:val="21"/>
        </w:rPr>
        <w:t>月至今担任北京邮电大学校学术委员</w:t>
      </w:r>
      <w:r>
        <w:rPr>
          <w:rFonts w:ascii="宋体" w:hAnsi="宋体" w:cs="宋体" w:eastAsia="宋体" w:hint="default"/>
          <w:w w:val="100"/>
          <w:sz w:val="21"/>
          <w:szCs w:val="21"/>
        </w:rPr>
        <w:t> </w:t>
      </w:r>
      <w:r>
        <w:rPr>
          <w:rFonts w:ascii="宋体" w:hAnsi="宋体" w:cs="宋体" w:eastAsia="宋体" w:hint="default"/>
          <w:spacing w:val="-4"/>
          <w:sz w:val="21"/>
          <w:szCs w:val="21"/>
        </w:rPr>
        <w:t>会主任。目前还担任北京梅泰诺通信技术股份公司独立董事、珠海世纪鼎利通信科技股份</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4"/>
          <w:sz w:val="21"/>
          <w:szCs w:val="21"/>
        </w:rPr>
        <w:t>有限公司独立董事、大唐电信科技股份有限公司独立董事、北京掌趣科技股份有限公司独</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立董事。张英海先生自</w:t>
      </w:r>
      <w:r>
        <w:rPr>
          <w:rFonts w:ascii="宋体" w:hAnsi="宋体" w:cs="宋体" w:eastAsia="宋体" w:hint="default"/>
          <w:spacing w:val="-52"/>
          <w:sz w:val="21"/>
          <w:szCs w:val="21"/>
        </w:rPr>
        <w:t> </w:t>
      </w:r>
      <w:r>
        <w:rPr>
          <w:rFonts w:ascii="Arial" w:hAnsi="Arial" w:cs="Arial" w:eastAsia="Arial" w:hint="default"/>
          <w:sz w:val="21"/>
          <w:szCs w:val="21"/>
        </w:rPr>
        <w:t>2009</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11</w:t>
      </w:r>
      <w:r>
        <w:rPr>
          <w:rFonts w:ascii="Arial" w:hAnsi="Arial" w:cs="Arial" w:eastAsia="Arial" w:hint="default"/>
          <w:spacing w:val="-8"/>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Arial" w:hAnsi="Arial" w:cs="Arial" w:eastAsia="Arial" w:hint="default"/>
          <w:sz w:val="21"/>
          <w:szCs w:val="21"/>
        </w:rPr>
        <w:t>2015</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w:t>
      </w:r>
      <w:r>
        <w:rPr>
          <w:rFonts w:ascii="Arial" w:hAnsi="Arial" w:cs="Arial" w:eastAsia="Arial" w:hint="default"/>
          <w:spacing w:val="-8"/>
          <w:sz w:val="21"/>
          <w:szCs w:val="21"/>
        </w:rPr>
        <w:t> </w:t>
      </w:r>
      <w:r>
        <w:rPr>
          <w:rFonts w:ascii="宋体" w:hAnsi="宋体" w:cs="宋体" w:eastAsia="宋体" w:hint="default"/>
          <w:sz w:val="21"/>
          <w:szCs w:val="21"/>
        </w:rPr>
        <w:t>月担任本公司独立董事。</w:t>
      </w:r>
    </w:p>
    <w:p>
      <w:pPr>
        <w:spacing w:after="0" w:line="228" w:lineRule="auto"/>
        <w:jc w:val="both"/>
        <w:rPr>
          <w:rFonts w:ascii="宋体" w:hAnsi="宋体" w:cs="宋体" w:eastAsia="宋体" w:hint="default"/>
          <w:sz w:val="21"/>
          <w:szCs w:val="21"/>
        </w:rPr>
        <w:sectPr>
          <w:pgSz w:w="11910" w:h="16840"/>
          <w:pgMar w:header="880" w:footer="1194" w:top="1120" w:bottom="1380" w:left="1660" w:right="1060"/>
        </w:sectPr>
      </w:pPr>
    </w:p>
    <w:p>
      <w:pPr>
        <w:spacing w:line="240" w:lineRule="auto" w:before="11"/>
        <w:rPr>
          <w:rFonts w:ascii="宋体" w:hAnsi="宋体" w:cs="宋体" w:eastAsia="宋体" w:hint="default"/>
          <w:sz w:val="29"/>
          <w:szCs w:val="29"/>
        </w:rPr>
      </w:pPr>
    </w:p>
    <w:p>
      <w:pPr>
        <w:spacing w:before="36"/>
        <w:ind w:left="138" w:right="259" w:firstLine="0"/>
        <w:jc w:val="left"/>
        <w:rPr>
          <w:rFonts w:ascii="宋体" w:hAnsi="宋体" w:cs="宋体" w:eastAsia="宋体" w:hint="default"/>
          <w:sz w:val="21"/>
          <w:szCs w:val="21"/>
        </w:rPr>
      </w:pPr>
      <w:r>
        <w:rPr>
          <w:rFonts w:ascii="宋体" w:hAnsi="宋体" w:cs="宋体" w:eastAsia="宋体" w:hint="default"/>
          <w:b/>
          <w:bCs/>
          <w:sz w:val="21"/>
          <w:szCs w:val="21"/>
        </w:rPr>
        <w:t>一、现任及报告期内离任董事、监事和高级管理人员持股变动及报酬情况（续）</w:t>
      </w:r>
      <w:r>
        <w:rPr>
          <w:rFonts w:ascii="宋体" w:hAnsi="宋体" w:cs="宋体" w:eastAsia="宋体" w:hint="default"/>
          <w:sz w:val="21"/>
          <w:szCs w:val="21"/>
        </w:rPr>
      </w:r>
    </w:p>
    <w:p>
      <w:pPr>
        <w:spacing w:line="240" w:lineRule="auto" w:before="11"/>
        <w:rPr>
          <w:rFonts w:ascii="宋体" w:hAnsi="宋体" w:cs="宋体" w:eastAsia="宋体" w:hint="default"/>
          <w:b/>
          <w:bCs/>
          <w:sz w:val="24"/>
          <w:szCs w:val="24"/>
        </w:rPr>
      </w:pPr>
    </w:p>
    <w:p>
      <w:pPr>
        <w:spacing w:before="0"/>
        <w:ind w:left="138" w:right="259" w:firstLine="0"/>
        <w:jc w:val="left"/>
        <w:rPr>
          <w:rFonts w:ascii="宋体" w:hAnsi="宋体" w:cs="宋体" w:eastAsia="宋体" w:hint="default"/>
          <w:sz w:val="21"/>
          <w:szCs w:val="21"/>
        </w:rPr>
      </w:pPr>
      <w:r>
        <w:rPr>
          <w:rFonts w:ascii="Arial" w:hAnsi="Arial" w:cs="Arial" w:eastAsia="Arial" w:hint="default"/>
          <w:b/>
          <w:bCs/>
          <w:spacing w:val="-1"/>
          <w:w w:val="100"/>
          <w:sz w:val="21"/>
          <w:szCs w:val="21"/>
        </w:rPr>
        <w:t>(</w:t>
      </w:r>
      <w:r>
        <w:rPr>
          <w:rFonts w:ascii="宋体" w:hAnsi="宋体" w:cs="宋体" w:eastAsia="宋体" w:hint="default"/>
          <w:b/>
          <w:bCs/>
          <w:spacing w:val="2"/>
          <w:w w:val="100"/>
          <w:sz w:val="21"/>
          <w:szCs w:val="21"/>
        </w:rPr>
        <w:t>二</w:t>
      </w:r>
      <w:r>
        <w:rPr>
          <w:rFonts w:ascii="Arial" w:hAnsi="Arial" w:cs="Arial" w:eastAsia="Arial" w:hint="default"/>
          <w:b/>
          <w:bCs/>
          <w:w w:val="100"/>
          <w:sz w:val="21"/>
          <w:szCs w:val="21"/>
        </w:rPr>
        <w:t>)</w:t>
      </w:r>
      <w:r>
        <w:rPr>
          <w:rFonts w:ascii="Arial" w:hAnsi="Arial" w:cs="Arial" w:eastAsia="Arial" w:hint="default"/>
          <w:b/>
          <w:bCs/>
          <w:spacing w:val="8"/>
          <w:sz w:val="21"/>
          <w:szCs w:val="21"/>
        </w:rPr>
        <w:t> </w:t>
      </w:r>
      <w:r>
        <w:rPr>
          <w:rFonts w:ascii="宋体" w:hAnsi="宋体" w:cs="宋体" w:eastAsia="宋体" w:hint="default"/>
          <w:b/>
          <w:bCs/>
          <w:w w:val="100"/>
          <w:sz w:val="21"/>
          <w:szCs w:val="21"/>
        </w:rPr>
        <w:t>最近</w:t>
      </w:r>
      <w:r>
        <w:rPr>
          <w:rFonts w:ascii="宋体" w:hAnsi="宋体" w:cs="宋体" w:eastAsia="宋体" w:hint="default"/>
          <w:b/>
          <w:bCs/>
          <w:spacing w:val="-54"/>
          <w:sz w:val="21"/>
          <w:szCs w:val="21"/>
        </w:rPr>
        <w:t> </w:t>
      </w:r>
      <w:r>
        <w:rPr>
          <w:rFonts w:ascii="Arial" w:hAnsi="Arial" w:cs="Arial" w:eastAsia="Arial" w:hint="default"/>
          <w:b/>
          <w:bCs/>
          <w:w w:val="100"/>
          <w:sz w:val="21"/>
          <w:szCs w:val="21"/>
        </w:rPr>
        <w:t>5</w:t>
      </w:r>
      <w:r>
        <w:rPr>
          <w:rFonts w:ascii="Arial" w:hAnsi="Arial" w:cs="Arial" w:eastAsia="Arial" w:hint="default"/>
          <w:b/>
          <w:bCs/>
          <w:spacing w:val="-8"/>
          <w:sz w:val="21"/>
          <w:szCs w:val="21"/>
        </w:rPr>
        <w:t> </w:t>
      </w:r>
      <w:r>
        <w:rPr>
          <w:rFonts w:ascii="宋体" w:hAnsi="宋体" w:cs="宋体" w:eastAsia="宋体" w:hint="default"/>
          <w:b/>
          <w:bCs/>
          <w:w w:val="100"/>
          <w:sz w:val="21"/>
          <w:szCs w:val="21"/>
        </w:rPr>
        <w:t>年的主要工作经</w:t>
      </w:r>
      <w:r>
        <w:rPr>
          <w:rFonts w:ascii="宋体" w:hAnsi="宋体" w:cs="宋体" w:eastAsia="宋体" w:hint="default"/>
          <w:b/>
          <w:bCs/>
          <w:spacing w:val="-2"/>
          <w:w w:val="100"/>
          <w:sz w:val="21"/>
          <w:szCs w:val="21"/>
        </w:rPr>
        <w:t>历</w:t>
      </w:r>
      <w:r>
        <w:rPr>
          <w:rFonts w:ascii="宋体" w:hAnsi="宋体" w:cs="宋体" w:eastAsia="宋体" w:hint="default"/>
          <w:b/>
          <w:bCs/>
          <w:w w:val="100"/>
          <w:sz w:val="21"/>
          <w:szCs w:val="21"/>
        </w:rPr>
        <w:t>（续</w:t>
      </w:r>
      <w:r>
        <w:rPr>
          <w:rFonts w:ascii="宋体" w:hAnsi="宋体" w:cs="宋体" w:eastAsia="宋体" w:hint="default"/>
          <w:b/>
          <w:bCs/>
          <w:spacing w:val="-106"/>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p>
      <w:pPr>
        <w:spacing w:line="240" w:lineRule="auto" w:before="2"/>
        <w:rPr>
          <w:rFonts w:ascii="宋体" w:hAnsi="宋体" w:cs="宋体" w:eastAsia="宋体" w:hint="default"/>
          <w:b/>
          <w:bCs/>
          <w:sz w:val="19"/>
          <w:szCs w:val="19"/>
        </w:rPr>
      </w:pPr>
    </w:p>
    <w:p>
      <w:pPr>
        <w:spacing w:before="0"/>
        <w:ind w:left="485" w:right="259" w:firstLine="0"/>
        <w:jc w:val="left"/>
        <w:rPr>
          <w:rFonts w:ascii="宋体" w:hAnsi="宋体" w:cs="宋体" w:eastAsia="宋体" w:hint="default"/>
          <w:sz w:val="21"/>
          <w:szCs w:val="21"/>
        </w:rPr>
      </w:pPr>
      <w:r>
        <w:rPr>
          <w:rFonts w:ascii="Arial" w:hAnsi="Arial" w:cs="Arial" w:eastAsia="Arial" w:hint="default"/>
          <w:sz w:val="21"/>
          <w:szCs w:val="21"/>
        </w:rPr>
        <w:t>8</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夏大慰</w:t>
      </w:r>
    </w:p>
    <w:p>
      <w:pPr>
        <w:spacing w:line="240" w:lineRule="auto" w:before="6"/>
        <w:rPr>
          <w:rFonts w:ascii="宋体" w:hAnsi="宋体" w:cs="宋体" w:eastAsia="宋体" w:hint="default"/>
          <w:sz w:val="17"/>
          <w:szCs w:val="17"/>
        </w:rPr>
      </w:pPr>
    </w:p>
    <w:p>
      <w:pPr>
        <w:spacing w:line="235" w:lineRule="auto" w:before="0"/>
        <w:ind w:left="846" w:right="97" w:firstLine="0"/>
        <w:jc w:val="left"/>
        <w:rPr>
          <w:rFonts w:ascii="宋体" w:hAnsi="宋体" w:cs="宋体" w:eastAsia="宋体" w:hint="default"/>
          <w:sz w:val="21"/>
          <w:szCs w:val="21"/>
        </w:rPr>
      </w:pPr>
      <w:r>
        <w:rPr>
          <w:rFonts w:ascii="宋体" w:hAnsi="宋体" w:cs="宋体" w:eastAsia="宋体" w:hint="default"/>
          <w:sz w:val="21"/>
          <w:szCs w:val="21"/>
        </w:rPr>
        <w:t>夏大慰先生 </w:t>
      </w:r>
      <w:r>
        <w:rPr>
          <w:rFonts w:ascii="Arial" w:hAnsi="Arial" w:cs="Arial" w:eastAsia="Arial" w:hint="default"/>
          <w:sz w:val="21"/>
          <w:szCs w:val="21"/>
        </w:rPr>
        <w:t>1982 </w:t>
      </w:r>
      <w:r>
        <w:rPr>
          <w:rFonts w:ascii="宋体" w:hAnsi="宋体" w:cs="宋体" w:eastAsia="宋体" w:hint="default"/>
          <w:sz w:val="21"/>
          <w:szCs w:val="21"/>
        </w:rPr>
        <w:t>年毕业于长春工业大学获工学学士学位，</w:t>
      </w:r>
      <w:r>
        <w:rPr>
          <w:rFonts w:ascii="Arial" w:hAnsi="Arial" w:cs="Arial" w:eastAsia="Arial" w:hint="default"/>
          <w:sz w:val="21"/>
          <w:szCs w:val="21"/>
        </w:rPr>
        <w:t>1985</w:t>
      </w:r>
      <w:r>
        <w:rPr>
          <w:rFonts w:ascii="Arial" w:hAnsi="Arial" w:cs="Arial" w:eastAsia="Arial" w:hint="default"/>
          <w:spacing w:val="34"/>
          <w:sz w:val="21"/>
          <w:szCs w:val="21"/>
        </w:rPr>
        <w:t> </w:t>
      </w:r>
      <w:r>
        <w:rPr>
          <w:rFonts w:ascii="宋体" w:hAnsi="宋体" w:cs="宋体" w:eastAsia="宋体" w:hint="default"/>
          <w:sz w:val="21"/>
          <w:szCs w:val="21"/>
        </w:rPr>
        <w:t>年毕业于上海财经大学</w:t>
      </w:r>
      <w:r>
        <w:rPr>
          <w:rFonts w:ascii="宋体" w:hAnsi="宋体" w:cs="宋体" w:eastAsia="宋体" w:hint="default"/>
          <w:w w:val="100"/>
          <w:sz w:val="21"/>
          <w:szCs w:val="21"/>
        </w:rPr>
        <w:t> </w:t>
      </w:r>
      <w:r>
        <w:rPr>
          <w:rFonts w:ascii="宋体" w:hAnsi="宋体" w:cs="宋体" w:eastAsia="宋体" w:hint="default"/>
          <w:sz w:val="21"/>
          <w:szCs w:val="21"/>
        </w:rPr>
        <w:t>获经济学硕士学位。</w:t>
      </w:r>
      <w:r>
        <w:rPr>
          <w:rFonts w:ascii="Arial" w:hAnsi="Arial" w:cs="Arial" w:eastAsia="Arial" w:hint="default"/>
          <w:sz w:val="21"/>
          <w:szCs w:val="21"/>
        </w:rPr>
        <w:t>1985 </w:t>
      </w:r>
      <w:r>
        <w:rPr>
          <w:rFonts w:ascii="宋体" w:hAnsi="宋体" w:cs="宋体" w:eastAsia="宋体" w:hint="default"/>
          <w:sz w:val="21"/>
          <w:szCs w:val="21"/>
        </w:rPr>
        <w:t>年起在上海财经大学任教。自 </w:t>
      </w:r>
      <w:r>
        <w:rPr>
          <w:rFonts w:ascii="Arial" w:hAnsi="Arial" w:cs="Arial" w:eastAsia="Arial" w:hint="default"/>
          <w:sz w:val="21"/>
          <w:szCs w:val="21"/>
        </w:rPr>
        <w:t>1993</w:t>
      </w:r>
      <w:r>
        <w:rPr>
          <w:rFonts w:ascii="Arial" w:hAnsi="Arial" w:cs="Arial" w:eastAsia="Arial" w:hint="default"/>
          <w:spacing w:val="34"/>
          <w:sz w:val="21"/>
          <w:szCs w:val="21"/>
        </w:rPr>
        <w:t> </w:t>
      </w:r>
      <w:r>
        <w:rPr>
          <w:rFonts w:ascii="宋体" w:hAnsi="宋体" w:cs="宋体" w:eastAsia="宋体" w:hint="default"/>
          <w:sz w:val="21"/>
          <w:szCs w:val="21"/>
        </w:rPr>
        <w:t>年起曾先后担任上海财经</w:t>
      </w:r>
      <w:r>
        <w:rPr>
          <w:rFonts w:ascii="宋体" w:hAnsi="宋体" w:cs="宋体" w:eastAsia="宋体" w:hint="default"/>
          <w:w w:val="100"/>
          <w:sz w:val="21"/>
          <w:szCs w:val="21"/>
        </w:rPr>
        <w:t> </w:t>
      </w:r>
      <w:r>
        <w:rPr>
          <w:rFonts w:ascii="宋体" w:hAnsi="宋体" w:cs="宋体" w:eastAsia="宋体" w:hint="default"/>
          <w:spacing w:val="-3"/>
          <w:sz w:val="21"/>
          <w:szCs w:val="21"/>
        </w:rPr>
        <w:t>大学国际经济管理学院院长、校长助理、副校长，上海国家会计学院院长、党委书记等职</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4"/>
          <w:sz w:val="21"/>
          <w:szCs w:val="21"/>
        </w:rPr>
        <w:t>务。现任上海国家会计学院教授、博士生导师，享受国务院政府津贴。目前兼任中国工业</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6"/>
          <w:w w:val="100"/>
          <w:sz w:val="21"/>
          <w:szCs w:val="21"/>
        </w:rPr>
        <w:t>经济学会副会长，财政部会计准则委员会咨询专家，财政部企业内部控制标准委员会委员，</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香港中文大学名誉教授，上海证券交易所上市公司专家委员会委员。目前还担任联华超市</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股份有限公司独立董事、上海电力股份有限公司独立董事和中国熔盛重工集团控股有限公</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司独立董事。夏大慰先生自</w:t>
      </w:r>
      <w:r>
        <w:rPr>
          <w:rFonts w:ascii="宋体" w:hAnsi="宋体" w:cs="宋体" w:eastAsia="宋体" w:hint="default"/>
          <w:spacing w:val="-52"/>
          <w:sz w:val="21"/>
          <w:szCs w:val="21"/>
        </w:rPr>
        <w:t> </w:t>
      </w:r>
      <w:r>
        <w:rPr>
          <w:rFonts w:ascii="Arial" w:hAnsi="Arial" w:cs="Arial" w:eastAsia="Arial" w:hint="default"/>
          <w:sz w:val="21"/>
          <w:szCs w:val="21"/>
        </w:rPr>
        <w:t>2009</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11</w:t>
      </w:r>
      <w:r>
        <w:rPr>
          <w:rFonts w:ascii="Arial" w:hAnsi="Arial" w:cs="Arial" w:eastAsia="Arial" w:hint="default"/>
          <w:spacing w:val="-8"/>
          <w:sz w:val="21"/>
          <w:szCs w:val="21"/>
        </w:rPr>
        <w:t> </w:t>
      </w:r>
      <w:r>
        <w:rPr>
          <w:rFonts w:ascii="宋体" w:hAnsi="宋体" w:cs="宋体" w:eastAsia="宋体" w:hint="default"/>
          <w:sz w:val="21"/>
          <w:szCs w:val="21"/>
        </w:rPr>
        <w:t>月起担任本公司独立董事。</w:t>
      </w:r>
    </w:p>
    <w:p>
      <w:pPr>
        <w:spacing w:line="240" w:lineRule="auto" w:before="2"/>
        <w:rPr>
          <w:rFonts w:ascii="宋体" w:hAnsi="宋体" w:cs="宋体" w:eastAsia="宋体" w:hint="default"/>
          <w:sz w:val="17"/>
          <w:szCs w:val="17"/>
        </w:rPr>
      </w:pPr>
    </w:p>
    <w:p>
      <w:pPr>
        <w:spacing w:before="0"/>
        <w:ind w:left="485" w:right="259" w:firstLine="0"/>
        <w:jc w:val="left"/>
        <w:rPr>
          <w:rFonts w:ascii="宋体" w:hAnsi="宋体" w:cs="宋体" w:eastAsia="宋体" w:hint="default"/>
          <w:sz w:val="21"/>
          <w:szCs w:val="21"/>
        </w:rPr>
      </w:pPr>
      <w:r>
        <w:rPr>
          <w:rFonts w:ascii="Arial" w:hAnsi="Arial" w:cs="Arial" w:eastAsia="Arial" w:hint="default"/>
          <w:sz w:val="21"/>
          <w:szCs w:val="21"/>
        </w:rPr>
        <w:t>9</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李建国</w:t>
      </w:r>
    </w:p>
    <w:p>
      <w:pPr>
        <w:spacing w:line="240" w:lineRule="auto" w:before="3"/>
        <w:rPr>
          <w:rFonts w:ascii="宋体" w:hAnsi="宋体" w:cs="宋体" w:eastAsia="宋体" w:hint="default"/>
          <w:sz w:val="18"/>
          <w:szCs w:val="18"/>
        </w:rPr>
      </w:pPr>
    </w:p>
    <w:p>
      <w:pPr>
        <w:spacing w:line="225" w:lineRule="auto" w:before="0"/>
        <w:ind w:left="846" w:right="205" w:firstLine="0"/>
        <w:jc w:val="both"/>
        <w:rPr>
          <w:rFonts w:ascii="宋体" w:hAnsi="宋体" w:cs="宋体" w:eastAsia="宋体" w:hint="default"/>
          <w:sz w:val="21"/>
          <w:szCs w:val="21"/>
        </w:rPr>
      </w:pPr>
      <w:r>
        <w:rPr>
          <w:rFonts w:ascii="宋体" w:hAnsi="宋体" w:cs="宋体" w:eastAsia="宋体" w:hint="default"/>
          <w:spacing w:val="-3"/>
          <w:sz w:val="21"/>
          <w:szCs w:val="21"/>
        </w:rPr>
        <w:t>李建国女士是一位高级经济师，于</w:t>
      </w:r>
      <w:r>
        <w:rPr>
          <w:rFonts w:ascii="宋体" w:hAnsi="宋体" w:cs="宋体" w:eastAsia="宋体" w:hint="default"/>
          <w:spacing w:val="-52"/>
          <w:sz w:val="21"/>
          <w:szCs w:val="21"/>
        </w:rPr>
        <w:t> </w:t>
      </w:r>
      <w:r>
        <w:rPr>
          <w:rFonts w:ascii="Arial" w:hAnsi="Arial" w:cs="Arial" w:eastAsia="Arial" w:hint="default"/>
          <w:sz w:val="21"/>
          <w:szCs w:val="21"/>
        </w:rPr>
        <w:t>1982</w:t>
      </w:r>
      <w:r>
        <w:rPr>
          <w:rFonts w:ascii="Arial" w:hAnsi="Arial" w:cs="Arial" w:eastAsia="Arial" w:hint="default"/>
          <w:spacing w:val="-2"/>
          <w:sz w:val="21"/>
          <w:szCs w:val="21"/>
        </w:rPr>
        <w:t> </w:t>
      </w:r>
      <w:r>
        <w:rPr>
          <w:rFonts w:ascii="宋体" w:hAnsi="宋体" w:cs="宋体" w:eastAsia="宋体" w:hint="default"/>
          <w:sz w:val="21"/>
          <w:szCs w:val="21"/>
        </w:rPr>
        <w:t>年毕业于湘潭大学化工专修科。</w:t>
      </w:r>
      <w:r>
        <w:rPr>
          <w:rFonts w:ascii="Arial" w:hAnsi="Arial" w:cs="Arial" w:eastAsia="Arial" w:hint="default"/>
          <w:sz w:val="21"/>
          <w:szCs w:val="21"/>
        </w:rPr>
        <w:t>2006</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月获</w:t>
      </w:r>
      <w:r>
        <w:rPr>
          <w:rFonts w:ascii="宋体" w:hAnsi="宋体" w:cs="宋体" w:eastAsia="宋体" w:hint="default"/>
          <w:w w:val="100"/>
          <w:sz w:val="21"/>
          <w:szCs w:val="21"/>
        </w:rPr>
        <w:t> </w:t>
      </w:r>
      <w:r>
        <w:rPr>
          <w:rFonts w:ascii="宋体" w:hAnsi="宋体" w:cs="宋体" w:eastAsia="宋体" w:hint="default"/>
          <w:sz w:val="21"/>
          <w:szCs w:val="21"/>
        </w:rPr>
        <w:t>得香港理工大学工商管理专业硕士。</w:t>
      </w:r>
      <w:r>
        <w:rPr>
          <w:rFonts w:ascii="Arial" w:hAnsi="Arial" w:cs="Arial" w:eastAsia="Arial" w:hint="default"/>
          <w:sz w:val="21"/>
          <w:szCs w:val="21"/>
        </w:rPr>
        <w:t>1982 </w:t>
      </w:r>
      <w:r>
        <w:rPr>
          <w:rFonts w:ascii="宋体" w:hAnsi="宋体" w:cs="宋体" w:eastAsia="宋体" w:hint="default"/>
          <w:sz w:val="21"/>
          <w:szCs w:val="21"/>
        </w:rPr>
        <w:t>年至 </w:t>
      </w:r>
      <w:r>
        <w:rPr>
          <w:rFonts w:ascii="Arial" w:hAnsi="Arial" w:cs="Arial" w:eastAsia="Arial" w:hint="default"/>
          <w:sz w:val="21"/>
          <w:szCs w:val="21"/>
        </w:rPr>
        <w:t>1983</w:t>
      </w:r>
      <w:r>
        <w:rPr>
          <w:rFonts w:ascii="Arial" w:hAnsi="Arial" w:cs="Arial" w:eastAsia="Arial" w:hint="default"/>
          <w:spacing w:val="34"/>
          <w:sz w:val="21"/>
          <w:szCs w:val="21"/>
        </w:rPr>
        <w:t> </w:t>
      </w:r>
      <w:r>
        <w:rPr>
          <w:rFonts w:ascii="宋体" w:hAnsi="宋体" w:cs="宋体" w:eastAsia="宋体" w:hint="default"/>
          <w:sz w:val="21"/>
          <w:szCs w:val="21"/>
        </w:rPr>
        <w:t>年曾经先后担任湖南岳化总厂涤纶</w:t>
      </w:r>
      <w:r>
        <w:rPr>
          <w:rFonts w:ascii="宋体" w:hAnsi="宋体" w:cs="宋体" w:eastAsia="宋体" w:hint="default"/>
          <w:w w:val="100"/>
          <w:sz w:val="21"/>
          <w:szCs w:val="21"/>
        </w:rPr>
        <w:t> </w:t>
      </w:r>
      <w:r>
        <w:rPr>
          <w:rFonts w:ascii="宋体" w:hAnsi="宋体" w:cs="宋体" w:eastAsia="宋体" w:hint="default"/>
          <w:sz w:val="21"/>
          <w:szCs w:val="21"/>
        </w:rPr>
        <w:t>厂党委副书记、书记。</w:t>
      </w:r>
      <w:r>
        <w:rPr>
          <w:rFonts w:ascii="Arial" w:hAnsi="Arial" w:cs="Arial" w:eastAsia="Arial" w:hint="default"/>
          <w:sz w:val="21"/>
          <w:szCs w:val="21"/>
        </w:rPr>
        <w:t>1983 </w:t>
      </w:r>
      <w:r>
        <w:rPr>
          <w:rFonts w:ascii="宋体" w:hAnsi="宋体" w:cs="宋体" w:eastAsia="宋体" w:hint="default"/>
          <w:sz w:val="21"/>
          <w:szCs w:val="21"/>
        </w:rPr>
        <w:t>年至 </w:t>
      </w:r>
      <w:r>
        <w:rPr>
          <w:rFonts w:ascii="Arial" w:hAnsi="Arial" w:cs="Arial" w:eastAsia="Arial" w:hint="default"/>
          <w:sz w:val="21"/>
          <w:szCs w:val="21"/>
        </w:rPr>
        <w:t>1993</w:t>
      </w:r>
      <w:r>
        <w:rPr>
          <w:rFonts w:ascii="Arial" w:hAnsi="Arial" w:cs="Arial" w:eastAsia="Arial" w:hint="default"/>
          <w:spacing w:val="34"/>
          <w:sz w:val="21"/>
          <w:szCs w:val="21"/>
        </w:rPr>
        <w:t> </w:t>
      </w:r>
      <w:r>
        <w:rPr>
          <w:rFonts w:ascii="宋体" w:hAnsi="宋体" w:cs="宋体" w:eastAsia="宋体" w:hint="default"/>
          <w:sz w:val="21"/>
          <w:szCs w:val="21"/>
        </w:rPr>
        <w:t>年曾经担任湖南第八、九届团省委书记、共青团</w:t>
      </w:r>
      <w:r>
        <w:rPr>
          <w:rFonts w:ascii="宋体" w:hAnsi="宋体" w:cs="宋体" w:eastAsia="宋体" w:hint="default"/>
          <w:w w:val="100"/>
          <w:sz w:val="21"/>
          <w:szCs w:val="21"/>
        </w:rPr>
        <w:t> </w:t>
      </w:r>
      <w:r>
        <w:rPr>
          <w:rFonts w:ascii="宋体" w:hAnsi="宋体" w:cs="宋体" w:eastAsia="宋体" w:hint="default"/>
          <w:sz w:val="21"/>
          <w:szCs w:val="21"/>
        </w:rPr>
        <w:t>第十一届中央委员会委员、共青团第十二届中央委员会常委、湖南省委常委。</w:t>
      </w:r>
      <w:r>
        <w:rPr>
          <w:rFonts w:ascii="Arial" w:hAnsi="Arial" w:cs="Arial" w:eastAsia="Arial" w:hint="default"/>
          <w:sz w:val="21"/>
          <w:szCs w:val="21"/>
        </w:rPr>
        <w:t>1993</w:t>
      </w:r>
      <w:r>
        <w:rPr>
          <w:rFonts w:ascii="Arial" w:hAnsi="Arial" w:cs="Arial" w:eastAsia="Arial" w:hint="default"/>
          <w:spacing w:val="40"/>
          <w:sz w:val="21"/>
          <w:szCs w:val="21"/>
        </w:rPr>
        <w:t> </w:t>
      </w:r>
      <w:r>
        <w:rPr>
          <w:rFonts w:ascii="宋体" w:hAnsi="宋体" w:cs="宋体" w:eastAsia="宋体" w:hint="default"/>
          <w:spacing w:val="-3"/>
          <w:sz w:val="21"/>
          <w:szCs w:val="21"/>
        </w:rPr>
        <w:t>年至</w:t>
      </w:r>
      <w:r>
        <w:rPr>
          <w:rFonts w:ascii="宋体" w:hAnsi="宋体" w:cs="宋体" w:eastAsia="宋体" w:hint="default"/>
          <w:spacing w:val="-3"/>
          <w:w w:val="100"/>
          <w:sz w:val="21"/>
          <w:szCs w:val="21"/>
        </w:rPr>
        <w:t> </w:t>
      </w:r>
      <w:r>
        <w:rPr>
          <w:rFonts w:ascii="Arial" w:hAnsi="Arial" w:cs="Arial" w:eastAsia="Arial" w:hint="default"/>
          <w:sz w:val="21"/>
          <w:szCs w:val="21"/>
        </w:rPr>
        <w:t>1997</w:t>
      </w:r>
      <w:r>
        <w:rPr>
          <w:rFonts w:ascii="Arial" w:hAnsi="Arial" w:cs="Arial" w:eastAsia="Arial" w:hint="default"/>
          <w:spacing w:val="-10"/>
          <w:sz w:val="21"/>
          <w:szCs w:val="21"/>
        </w:rPr>
        <w:t> </w:t>
      </w:r>
      <w:r>
        <w:rPr>
          <w:rFonts w:ascii="宋体" w:hAnsi="宋体" w:cs="宋体" w:eastAsia="宋体" w:hint="default"/>
          <w:sz w:val="21"/>
          <w:szCs w:val="21"/>
        </w:rPr>
        <w:t>年初担任化工管理干部学院党委书记。</w:t>
      </w:r>
      <w:r>
        <w:rPr>
          <w:rFonts w:ascii="Arial" w:hAnsi="Arial" w:cs="Arial" w:eastAsia="Arial" w:hint="default"/>
          <w:sz w:val="21"/>
          <w:szCs w:val="21"/>
        </w:rPr>
        <w:t>1997</w:t>
      </w:r>
      <w:r>
        <w:rPr>
          <w:rFonts w:ascii="Arial" w:hAnsi="Arial" w:cs="Arial" w:eastAsia="Arial" w:hint="default"/>
          <w:spacing w:val="-8"/>
          <w:sz w:val="21"/>
          <w:szCs w:val="21"/>
        </w:rPr>
        <w:t> </w:t>
      </w:r>
      <w:r>
        <w:rPr>
          <w:rFonts w:ascii="宋体" w:hAnsi="宋体" w:cs="宋体" w:eastAsia="宋体" w:hint="default"/>
          <w:sz w:val="21"/>
          <w:szCs w:val="21"/>
        </w:rPr>
        <w:t>年初至</w:t>
      </w:r>
      <w:r>
        <w:rPr>
          <w:rFonts w:ascii="宋体" w:hAnsi="宋体" w:cs="宋体" w:eastAsia="宋体" w:hint="default"/>
          <w:spacing w:val="-54"/>
          <w:sz w:val="21"/>
          <w:szCs w:val="21"/>
        </w:rPr>
        <w:t> </w:t>
      </w:r>
      <w:r>
        <w:rPr>
          <w:rFonts w:ascii="Arial" w:hAnsi="Arial" w:cs="Arial" w:eastAsia="Arial" w:hint="default"/>
          <w:sz w:val="21"/>
          <w:szCs w:val="21"/>
        </w:rPr>
        <w:t>2000</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Arial" w:hAnsi="Arial" w:cs="Arial" w:eastAsia="Arial" w:hint="default"/>
          <w:sz w:val="21"/>
          <w:szCs w:val="21"/>
        </w:rPr>
        <w:t>5</w:t>
      </w:r>
      <w:r>
        <w:rPr>
          <w:rFonts w:ascii="Arial" w:hAnsi="Arial" w:cs="Arial" w:eastAsia="Arial" w:hint="default"/>
          <w:spacing w:val="-8"/>
          <w:sz w:val="21"/>
          <w:szCs w:val="21"/>
        </w:rPr>
        <w:t> </w:t>
      </w:r>
      <w:r>
        <w:rPr>
          <w:rFonts w:ascii="宋体" w:hAnsi="宋体" w:cs="宋体" w:eastAsia="宋体" w:hint="default"/>
          <w:sz w:val="21"/>
          <w:szCs w:val="21"/>
        </w:rPr>
        <w:t>月担任中央纪委、监</w:t>
      </w:r>
    </w:p>
    <w:p>
      <w:pPr>
        <w:spacing w:line="266" w:lineRule="exact" w:before="0"/>
        <w:ind w:left="846" w:right="0" w:firstLine="0"/>
        <w:jc w:val="both"/>
        <w:rPr>
          <w:rFonts w:ascii="Arial" w:hAnsi="Arial" w:cs="Arial" w:eastAsia="Arial" w:hint="default"/>
          <w:sz w:val="21"/>
          <w:szCs w:val="21"/>
        </w:rPr>
      </w:pPr>
      <w:r>
        <w:rPr>
          <w:rFonts w:ascii="宋体" w:hAnsi="宋体" w:cs="宋体" w:eastAsia="宋体" w:hint="default"/>
          <w:sz w:val="21"/>
          <w:szCs w:val="21"/>
        </w:rPr>
        <w:t>察部驻国家石化局纪检组副组长、监察局局长。</w:t>
      </w:r>
      <w:r>
        <w:rPr>
          <w:rFonts w:ascii="Arial" w:hAnsi="Arial" w:cs="Arial" w:eastAsia="Arial" w:hint="default"/>
          <w:sz w:val="21"/>
          <w:szCs w:val="21"/>
        </w:rPr>
        <w:t>2000</w:t>
      </w:r>
      <w:r>
        <w:rPr>
          <w:rFonts w:ascii="Arial" w:hAnsi="Arial" w:cs="Arial" w:eastAsia="Arial"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Arial" w:hAnsi="Arial" w:cs="Arial" w:eastAsia="Arial" w:hint="default"/>
          <w:sz w:val="21"/>
          <w:szCs w:val="21"/>
        </w:rPr>
        <w:t>6</w:t>
      </w:r>
      <w:r>
        <w:rPr>
          <w:rFonts w:ascii="Arial" w:hAnsi="Arial" w:cs="Arial" w:eastAsia="Arial" w:hint="default"/>
          <w:spacing w:val="-11"/>
          <w:sz w:val="21"/>
          <w:szCs w:val="21"/>
        </w:rPr>
        <w:t> </w:t>
      </w:r>
      <w:r>
        <w:rPr>
          <w:rFonts w:ascii="宋体" w:hAnsi="宋体" w:cs="宋体" w:eastAsia="宋体" w:hint="default"/>
          <w:sz w:val="21"/>
          <w:szCs w:val="21"/>
        </w:rPr>
        <w:t>月起加入联通集团。</w:t>
      </w:r>
      <w:r>
        <w:rPr>
          <w:rFonts w:ascii="Arial" w:hAnsi="Arial" w:cs="Arial" w:eastAsia="Arial" w:hint="default"/>
          <w:sz w:val="21"/>
          <w:szCs w:val="21"/>
        </w:rPr>
        <w:t>2000</w:t>
      </w:r>
      <w:r>
        <w:rPr>
          <w:rFonts w:ascii="Arial" w:hAnsi="Arial" w:cs="Arial" w:eastAsia="Arial"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Arial" w:hAnsi="Arial" w:cs="Arial" w:eastAsia="Arial" w:hint="default"/>
          <w:sz w:val="21"/>
          <w:szCs w:val="21"/>
        </w:rPr>
        <w:t>6</w:t>
      </w:r>
    </w:p>
    <w:p>
      <w:pPr>
        <w:spacing w:line="272" w:lineRule="exact" w:before="0"/>
        <w:ind w:left="846" w:right="0" w:firstLine="0"/>
        <w:jc w:val="both"/>
        <w:rPr>
          <w:rFonts w:ascii="宋体" w:hAnsi="宋体" w:cs="宋体" w:eastAsia="宋体" w:hint="default"/>
          <w:sz w:val="21"/>
          <w:szCs w:val="21"/>
        </w:rPr>
      </w:pPr>
      <w:r>
        <w:rPr>
          <w:rFonts w:ascii="宋体" w:hAnsi="宋体" w:cs="宋体" w:eastAsia="宋体" w:hint="default"/>
          <w:sz w:val="21"/>
          <w:szCs w:val="21"/>
        </w:rPr>
        <w:t>月至 </w:t>
      </w:r>
      <w:r>
        <w:rPr>
          <w:rFonts w:ascii="Arial" w:hAnsi="Arial" w:cs="Arial" w:eastAsia="Arial" w:hint="default"/>
          <w:sz w:val="21"/>
          <w:szCs w:val="21"/>
        </w:rPr>
        <w:t>2007 </w:t>
      </w:r>
      <w:r>
        <w:rPr>
          <w:rFonts w:ascii="宋体" w:hAnsi="宋体" w:cs="宋体" w:eastAsia="宋体" w:hint="default"/>
          <w:sz w:val="21"/>
          <w:szCs w:val="21"/>
        </w:rPr>
        <w:t>年 </w:t>
      </w:r>
      <w:r>
        <w:rPr>
          <w:rFonts w:ascii="Arial" w:hAnsi="Arial" w:cs="Arial" w:eastAsia="Arial" w:hint="default"/>
          <w:sz w:val="21"/>
          <w:szCs w:val="21"/>
        </w:rPr>
        <w:t>7 </w:t>
      </w:r>
      <w:r>
        <w:rPr>
          <w:rFonts w:ascii="宋体" w:hAnsi="宋体" w:cs="宋体" w:eastAsia="宋体" w:hint="default"/>
          <w:sz w:val="21"/>
          <w:szCs w:val="21"/>
        </w:rPr>
        <w:t>月任联通集团党组成员、纪检组长。</w:t>
      </w:r>
      <w:r>
        <w:rPr>
          <w:rFonts w:ascii="Arial" w:hAnsi="Arial" w:cs="Arial" w:eastAsia="Arial" w:hint="default"/>
          <w:sz w:val="21"/>
          <w:szCs w:val="21"/>
        </w:rPr>
        <w:t>2001</w:t>
      </w:r>
      <w:r>
        <w:rPr>
          <w:rFonts w:ascii="Arial" w:hAnsi="Arial" w:cs="Arial" w:eastAsia="Arial" w:hint="default"/>
          <w:spacing w:val="-35"/>
          <w:sz w:val="21"/>
          <w:szCs w:val="21"/>
        </w:rPr>
        <w:t> </w:t>
      </w:r>
      <w:r>
        <w:rPr>
          <w:rFonts w:ascii="宋体" w:hAnsi="宋体" w:cs="宋体" w:eastAsia="宋体" w:hint="default"/>
          <w:sz w:val="21"/>
          <w:szCs w:val="21"/>
        </w:rPr>
        <w:t>年起兼任联通集团工会主席。</w:t>
      </w:r>
    </w:p>
    <w:p>
      <w:pPr>
        <w:spacing w:line="272" w:lineRule="exact" w:before="0"/>
        <w:ind w:left="846" w:right="0" w:firstLine="0"/>
        <w:jc w:val="both"/>
        <w:rPr>
          <w:rFonts w:ascii="宋体" w:hAnsi="宋体" w:cs="宋体" w:eastAsia="宋体" w:hint="default"/>
          <w:sz w:val="21"/>
          <w:szCs w:val="21"/>
        </w:rPr>
      </w:pPr>
      <w:r>
        <w:rPr>
          <w:rFonts w:ascii="Arial" w:hAnsi="Arial" w:cs="Arial" w:eastAsia="Arial" w:hint="default"/>
          <w:sz w:val="21"/>
          <w:szCs w:val="21"/>
        </w:rPr>
        <w:t>2003</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Arial" w:hAnsi="Arial" w:cs="Arial" w:eastAsia="Arial" w:hint="default"/>
          <w:sz w:val="21"/>
          <w:szCs w:val="21"/>
        </w:rPr>
        <w:t>9</w:t>
      </w:r>
      <w:r>
        <w:rPr>
          <w:rFonts w:ascii="Arial" w:hAnsi="Arial" w:cs="Arial" w:eastAsia="Arial" w:hint="default"/>
          <w:spacing w:val="4"/>
          <w:sz w:val="21"/>
          <w:szCs w:val="21"/>
        </w:rPr>
        <w:t> </w:t>
      </w:r>
      <w:r>
        <w:rPr>
          <w:rFonts w:ascii="宋体" w:hAnsi="宋体" w:cs="宋体" w:eastAsia="宋体" w:hint="default"/>
          <w:sz w:val="21"/>
          <w:szCs w:val="21"/>
        </w:rPr>
        <w:t>月至</w:t>
      </w:r>
      <w:r>
        <w:rPr>
          <w:rFonts w:ascii="宋体" w:hAnsi="宋体" w:cs="宋体" w:eastAsia="宋体" w:hint="default"/>
          <w:spacing w:val="-43"/>
          <w:sz w:val="21"/>
          <w:szCs w:val="21"/>
        </w:rPr>
        <w:t> </w:t>
      </w:r>
      <w:r>
        <w:rPr>
          <w:rFonts w:ascii="Arial" w:hAnsi="Arial" w:cs="Arial" w:eastAsia="Arial" w:hint="default"/>
          <w:sz w:val="21"/>
          <w:szCs w:val="21"/>
        </w:rPr>
        <w:t>2007</w:t>
      </w:r>
      <w:r>
        <w:rPr>
          <w:rFonts w:ascii="Arial" w:hAnsi="Arial" w:cs="Arial" w:eastAsia="Arial"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Arial" w:hAnsi="Arial" w:cs="Arial" w:eastAsia="Arial" w:hint="default"/>
          <w:sz w:val="21"/>
          <w:szCs w:val="21"/>
        </w:rPr>
        <w:t>7</w:t>
      </w:r>
      <w:r>
        <w:rPr>
          <w:rFonts w:ascii="Arial" w:hAnsi="Arial" w:cs="Arial" w:eastAsia="Arial" w:hint="default"/>
          <w:spacing w:val="4"/>
          <w:sz w:val="21"/>
          <w:szCs w:val="21"/>
        </w:rPr>
        <w:t> </w:t>
      </w:r>
      <w:r>
        <w:rPr>
          <w:rFonts w:ascii="宋体" w:hAnsi="宋体" w:cs="宋体" w:eastAsia="宋体" w:hint="default"/>
          <w:sz w:val="21"/>
          <w:szCs w:val="21"/>
        </w:rPr>
        <w:t>月曾任联通集团董事、联通运营公司董事、联通红筹公司执行</w:t>
      </w:r>
    </w:p>
    <w:p>
      <w:pPr>
        <w:spacing w:line="273" w:lineRule="exact" w:before="0"/>
        <w:ind w:left="846" w:right="0" w:firstLine="0"/>
        <w:jc w:val="both"/>
        <w:rPr>
          <w:rFonts w:ascii="Arial" w:hAnsi="Arial" w:cs="Arial" w:eastAsia="Arial" w:hint="default"/>
          <w:sz w:val="21"/>
          <w:szCs w:val="21"/>
        </w:rPr>
      </w:pPr>
      <w:r>
        <w:rPr>
          <w:rFonts w:ascii="宋体" w:hAnsi="宋体" w:cs="宋体" w:eastAsia="宋体" w:hint="default"/>
          <w:spacing w:val="-8"/>
          <w:sz w:val="21"/>
          <w:szCs w:val="21"/>
        </w:rPr>
        <w:t>董事。</w:t>
      </w:r>
      <w:r>
        <w:rPr>
          <w:rFonts w:ascii="Arial" w:hAnsi="Arial" w:cs="Arial" w:eastAsia="Arial" w:hint="default"/>
          <w:spacing w:val="-8"/>
          <w:sz w:val="21"/>
          <w:szCs w:val="21"/>
        </w:rPr>
        <w:t>2001</w:t>
      </w:r>
      <w:r>
        <w:rPr>
          <w:rFonts w:ascii="Arial" w:hAnsi="Arial" w:cs="Arial" w:eastAsia="Arial"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4"/>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Arial" w:hAnsi="Arial" w:cs="Arial" w:eastAsia="Arial" w:hint="default"/>
          <w:sz w:val="21"/>
          <w:szCs w:val="21"/>
        </w:rPr>
        <w:t>2007</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7</w:t>
      </w:r>
      <w:r>
        <w:rPr>
          <w:rFonts w:ascii="Arial" w:hAnsi="Arial" w:cs="Arial" w:eastAsia="Arial" w:hint="default"/>
          <w:spacing w:val="-1"/>
          <w:sz w:val="21"/>
          <w:szCs w:val="21"/>
        </w:rPr>
        <w:t> </w:t>
      </w:r>
      <w:r>
        <w:rPr>
          <w:rFonts w:ascii="宋体" w:hAnsi="宋体" w:cs="宋体" w:eastAsia="宋体" w:hint="default"/>
          <w:spacing w:val="-5"/>
          <w:sz w:val="21"/>
          <w:szCs w:val="21"/>
        </w:rPr>
        <w:t>月曾任本公司监事会主席。并曾于</w:t>
      </w:r>
      <w:r>
        <w:rPr>
          <w:rFonts w:ascii="宋体" w:hAnsi="宋体" w:cs="宋体" w:eastAsia="宋体" w:hint="default"/>
          <w:spacing w:val="-52"/>
          <w:sz w:val="21"/>
          <w:szCs w:val="21"/>
        </w:rPr>
        <w:t> </w:t>
      </w:r>
      <w:r>
        <w:rPr>
          <w:rFonts w:ascii="Arial" w:hAnsi="Arial" w:cs="Arial" w:eastAsia="Arial" w:hint="default"/>
          <w:sz w:val="21"/>
          <w:szCs w:val="21"/>
        </w:rPr>
        <w:t>2006</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4</w:t>
      </w:r>
      <w:r>
        <w:rPr>
          <w:rFonts w:ascii="Arial" w:hAnsi="Arial" w:cs="Arial" w:eastAsia="Arial" w:hint="default"/>
          <w:spacing w:val="-4"/>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Arial" w:hAnsi="Arial" w:cs="Arial" w:eastAsia="Arial" w:hint="default"/>
          <w:sz w:val="21"/>
          <w:szCs w:val="21"/>
        </w:rPr>
        <w:t>2007</w:t>
      </w:r>
    </w:p>
    <w:p>
      <w:pPr>
        <w:spacing w:line="225" w:lineRule="auto" w:before="5"/>
        <w:ind w:left="846" w:right="205" w:firstLine="0"/>
        <w:jc w:val="both"/>
        <w:rPr>
          <w:rFonts w:ascii="Arial" w:hAnsi="Arial" w:cs="Arial" w:eastAsia="Arial" w:hint="default"/>
          <w:sz w:val="21"/>
          <w:szCs w:val="21"/>
        </w:rPr>
      </w:pP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Arial" w:hAnsi="Arial" w:cs="Arial" w:eastAsia="Arial" w:hint="default"/>
          <w:sz w:val="21"/>
          <w:szCs w:val="21"/>
        </w:rPr>
        <w:t>7</w:t>
      </w:r>
      <w:r>
        <w:rPr>
          <w:rFonts w:ascii="Arial" w:hAnsi="Arial" w:cs="Arial" w:eastAsia="Arial" w:hint="default"/>
          <w:spacing w:val="1"/>
          <w:sz w:val="21"/>
          <w:szCs w:val="21"/>
        </w:rPr>
        <w:t> </w:t>
      </w:r>
      <w:r>
        <w:rPr>
          <w:rFonts w:ascii="宋体" w:hAnsi="宋体" w:cs="宋体" w:eastAsia="宋体" w:hint="default"/>
          <w:sz w:val="21"/>
          <w:szCs w:val="21"/>
        </w:rPr>
        <w:t>月期间担任联通红筹公司执行董事。</w:t>
      </w:r>
      <w:r>
        <w:rPr>
          <w:rFonts w:ascii="Arial" w:hAnsi="Arial" w:cs="Arial" w:eastAsia="Arial" w:hint="default"/>
          <w:sz w:val="21"/>
          <w:szCs w:val="21"/>
        </w:rPr>
        <w:t>2007</w:t>
      </w:r>
      <w:r>
        <w:rPr>
          <w:rFonts w:ascii="Arial" w:hAnsi="Arial" w:cs="Arial" w:eastAsia="Arial"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Arial" w:hAnsi="Arial" w:cs="Arial" w:eastAsia="Arial" w:hint="default"/>
          <w:sz w:val="21"/>
          <w:szCs w:val="21"/>
        </w:rPr>
        <w:t>7</w:t>
      </w:r>
      <w:r>
        <w:rPr>
          <w:rFonts w:ascii="Arial" w:hAnsi="Arial" w:cs="Arial" w:eastAsia="Arial" w:hint="default"/>
          <w:spacing w:val="-1"/>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Arial" w:hAnsi="Arial" w:cs="Arial" w:eastAsia="Arial" w:hint="default"/>
          <w:sz w:val="21"/>
          <w:szCs w:val="21"/>
        </w:rPr>
        <w:t>2008</w:t>
      </w:r>
      <w:r>
        <w:rPr>
          <w:rFonts w:ascii="Arial" w:hAnsi="Arial" w:cs="Arial" w:eastAsia="Arial"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Arial" w:hAnsi="Arial" w:cs="Arial" w:eastAsia="Arial" w:hint="default"/>
          <w:sz w:val="21"/>
          <w:szCs w:val="21"/>
        </w:rPr>
        <w:t>5</w:t>
      </w:r>
      <w:r>
        <w:rPr>
          <w:rFonts w:ascii="Arial" w:hAnsi="Arial" w:cs="Arial" w:eastAsia="Arial" w:hint="default"/>
          <w:spacing w:val="1"/>
          <w:sz w:val="21"/>
          <w:szCs w:val="21"/>
        </w:rPr>
        <w:t> </w:t>
      </w:r>
      <w:r>
        <w:rPr>
          <w:rFonts w:ascii="宋体" w:hAnsi="宋体" w:cs="宋体" w:eastAsia="宋体" w:hint="default"/>
          <w:sz w:val="21"/>
          <w:szCs w:val="21"/>
        </w:rPr>
        <w:t>月曾任网通集团党组</w:t>
      </w:r>
      <w:r>
        <w:rPr>
          <w:rFonts w:ascii="宋体" w:hAnsi="宋体" w:cs="宋体" w:eastAsia="宋体" w:hint="default"/>
          <w:w w:val="100"/>
          <w:sz w:val="21"/>
          <w:szCs w:val="21"/>
        </w:rPr>
        <w:t> </w:t>
      </w:r>
      <w:r>
        <w:rPr>
          <w:rFonts w:ascii="宋体" w:hAnsi="宋体" w:cs="宋体" w:eastAsia="宋体" w:hint="default"/>
          <w:sz w:val="21"/>
          <w:szCs w:val="21"/>
        </w:rPr>
        <w:t>成员、党组纪检组组长，中国网通（集团）有限公司董事，中国网通执行董事。</w:t>
      </w:r>
      <w:r>
        <w:rPr>
          <w:rFonts w:ascii="Arial" w:hAnsi="Arial" w:cs="Arial" w:eastAsia="Arial" w:hint="default"/>
          <w:sz w:val="21"/>
          <w:szCs w:val="21"/>
        </w:rPr>
        <w:t>2008</w:t>
      </w:r>
      <w:r>
        <w:rPr>
          <w:rFonts w:ascii="Arial" w:hAnsi="Arial" w:cs="Arial" w:eastAsia="Arial" w:hint="default"/>
          <w:spacing w:val="36"/>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Arial" w:hAnsi="Arial" w:cs="Arial" w:eastAsia="Arial" w:hint="default"/>
          <w:sz w:val="21"/>
          <w:szCs w:val="21"/>
        </w:rPr>
        <w:t>11 </w:t>
      </w:r>
      <w:r>
        <w:rPr>
          <w:rFonts w:ascii="宋体" w:hAnsi="宋体" w:cs="宋体" w:eastAsia="宋体" w:hint="default"/>
          <w:sz w:val="21"/>
          <w:szCs w:val="21"/>
        </w:rPr>
        <w:t>月起任联通运营公司董事。</w:t>
      </w:r>
      <w:r>
        <w:rPr>
          <w:rFonts w:ascii="Arial" w:hAnsi="Arial" w:cs="Arial" w:eastAsia="Arial" w:hint="default"/>
          <w:sz w:val="21"/>
          <w:szCs w:val="21"/>
        </w:rPr>
        <w:t>2009 </w:t>
      </w:r>
      <w:r>
        <w:rPr>
          <w:rFonts w:ascii="宋体" w:hAnsi="宋体" w:cs="宋体" w:eastAsia="宋体" w:hint="default"/>
          <w:sz w:val="21"/>
          <w:szCs w:val="21"/>
        </w:rPr>
        <w:t>年 </w:t>
      </w:r>
      <w:r>
        <w:rPr>
          <w:rFonts w:ascii="Arial" w:hAnsi="Arial" w:cs="Arial" w:eastAsia="Arial" w:hint="default"/>
          <w:sz w:val="21"/>
          <w:szCs w:val="21"/>
        </w:rPr>
        <w:t>2 </w:t>
      </w:r>
      <w:r>
        <w:rPr>
          <w:rFonts w:ascii="宋体" w:hAnsi="宋体" w:cs="宋体" w:eastAsia="宋体" w:hint="default"/>
          <w:sz w:val="21"/>
          <w:szCs w:val="21"/>
        </w:rPr>
        <w:t>月起担任联通红筹公司高级副总裁。曾于</w:t>
      </w:r>
      <w:r>
        <w:rPr>
          <w:rFonts w:ascii="宋体" w:hAnsi="宋体" w:cs="宋体" w:eastAsia="宋体" w:hint="default"/>
          <w:spacing w:val="-61"/>
          <w:sz w:val="21"/>
          <w:szCs w:val="21"/>
        </w:rPr>
        <w:t> </w:t>
      </w:r>
      <w:r>
        <w:rPr>
          <w:rFonts w:ascii="Arial" w:hAnsi="Arial" w:cs="Arial" w:eastAsia="Arial" w:hint="default"/>
          <w:sz w:val="21"/>
          <w:szCs w:val="21"/>
        </w:rPr>
        <w:t>2009</w:t>
      </w:r>
    </w:p>
    <w:p>
      <w:pPr>
        <w:spacing w:line="267" w:lineRule="exact" w:before="0"/>
        <w:ind w:left="846"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4"/>
          <w:sz w:val="21"/>
          <w:szCs w:val="21"/>
        </w:rPr>
        <w:t> </w:t>
      </w:r>
      <w:r>
        <w:rPr>
          <w:rFonts w:ascii="宋体" w:hAnsi="宋体" w:cs="宋体" w:eastAsia="宋体" w:hint="default"/>
          <w:sz w:val="21"/>
          <w:szCs w:val="21"/>
        </w:rPr>
        <w:t>月担任联通集团党组成员、纪检组长、工会主席。于</w:t>
      </w:r>
      <w:r>
        <w:rPr>
          <w:rFonts w:ascii="宋体" w:hAnsi="宋体" w:cs="宋体" w:eastAsia="宋体" w:hint="default"/>
          <w:spacing w:val="-54"/>
          <w:sz w:val="21"/>
          <w:szCs w:val="21"/>
        </w:rPr>
        <w:t> </w:t>
      </w:r>
      <w:r>
        <w:rPr>
          <w:rFonts w:ascii="Arial" w:hAnsi="Arial" w:cs="Arial" w:eastAsia="Arial" w:hint="default"/>
          <w:sz w:val="21"/>
          <w:szCs w:val="21"/>
        </w:rPr>
        <w:t>2009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2</w:t>
      </w:r>
      <w:r>
        <w:rPr>
          <w:rFonts w:ascii="Arial" w:hAnsi="Arial" w:cs="Arial" w:eastAsia="Arial" w:hint="default"/>
          <w:spacing w:val="-4"/>
          <w:sz w:val="21"/>
          <w:szCs w:val="21"/>
        </w:rPr>
        <w:t> </w:t>
      </w:r>
      <w:r>
        <w:rPr>
          <w:rFonts w:ascii="宋体" w:hAnsi="宋体" w:cs="宋体" w:eastAsia="宋体" w:hint="default"/>
          <w:spacing w:val="-3"/>
          <w:sz w:val="21"/>
          <w:szCs w:val="21"/>
        </w:rPr>
        <w:t>月至</w:t>
      </w:r>
      <w:r>
        <w:rPr>
          <w:rFonts w:ascii="宋体" w:hAnsi="宋体" w:cs="宋体" w:eastAsia="宋体" w:hint="default"/>
          <w:sz w:val="21"/>
          <w:szCs w:val="21"/>
        </w:rPr>
      </w:r>
    </w:p>
    <w:p>
      <w:pPr>
        <w:spacing w:line="272" w:lineRule="exact" w:before="0"/>
        <w:ind w:left="846" w:right="0" w:firstLine="0"/>
        <w:jc w:val="both"/>
        <w:rPr>
          <w:rFonts w:ascii="宋体" w:hAnsi="宋体" w:cs="宋体" w:eastAsia="宋体" w:hint="default"/>
          <w:sz w:val="21"/>
          <w:szCs w:val="21"/>
        </w:rPr>
      </w:pPr>
      <w:r>
        <w:rPr>
          <w:rFonts w:ascii="Arial" w:hAnsi="Arial" w:cs="Arial" w:eastAsia="Arial" w:hint="default"/>
          <w:w w:val="100"/>
          <w:sz w:val="21"/>
          <w:szCs w:val="21"/>
        </w:rPr>
        <w:t>2014</w:t>
      </w:r>
      <w:r>
        <w:rPr>
          <w:rFonts w:ascii="Arial" w:hAnsi="Arial" w:cs="Arial" w:eastAsia="Arial" w:hint="default"/>
          <w:spacing w:val="-8"/>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Arial" w:hAnsi="Arial" w:cs="Arial" w:eastAsia="Arial" w:hint="default"/>
          <w:spacing w:val="-3"/>
          <w:w w:val="100"/>
          <w:sz w:val="21"/>
          <w:szCs w:val="21"/>
        </w:rPr>
        <w:t>1</w:t>
      </w:r>
      <w:r>
        <w:rPr>
          <w:rFonts w:ascii="Arial" w:hAnsi="Arial" w:cs="Arial" w:eastAsia="Arial" w:hint="default"/>
          <w:w w:val="100"/>
          <w:sz w:val="21"/>
          <w:szCs w:val="21"/>
        </w:rPr>
        <w:t>0</w:t>
      </w:r>
      <w:r>
        <w:rPr>
          <w:rFonts w:ascii="Arial" w:hAnsi="Arial" w:cs="Arial" w:eastAsia="Arial" w:hint="default"/>
          <w:spacing w:val="-5"/>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任</w:t>
      </w:r>
      <w:r>
        <w:rPr>
          <w:rFonts w:ascii="宋体" w:hAnsi="宋体" w:cs="宋体" w:eastAsia="宋体" w:hint="default"/>
          <w:spacing w:val="-3"/>
          <w:w w:val="100"/>
          <w:sz w:val="21"/>
          <w:szCs w:val="21"/>
        </w:rPr>
        <w:t>联</w:t>
      </w:r>
      <w:r>
        <w:rPr>
          <w:rFonts w:ascii="宋体" w:hAnsi="宋体" w:cs="宋体" w:eastAsia="宋体" w:hint="default"/>
          <w:w w:val="100"/>
          <w:sz w:val="21"/>
          <w:szCs w:val="21"/>
        </w:rPr>
        <w:t>通</w:t>
      </w:r>
      <w:r>
        <w:rPr>
          <w:rFonts w:ascii="宋体" w:hAnsi="宋体" w:cs="宋体" w:eastAsia="宋体" w:hint="default"/>
          <w:spacing w:val="-3"/>
          <w:w w:val="100"/>
          <w:sz w:val="21"/>
          <w:szCs w:val="21"/>
        </w:rPr>
        <w:t>红筹</w:t>
      </w:r>
      <w:r>
        <w:rPr>
          <w:rFonts w:ascii="宋体" w:hAnsi="宋体" w:cs="宋体" w:eastAsia="宋体" w:hint="default"/>
          <w:w w:val="100"/>
          <w:sz w:val="21"/>
          <w:szCs w:val="21"/>
        </w:rPr>
        <w:t>公司</w:t>
      </w:r>
      <w:r>
        <w:rPr>
          <w:rFonts w:ascii="宋体" w:hAnsi="宋体" w:cs="宋体" w:eastAsia="宋体" w:hint="default"/>
          <w:spacing w:val="-3"/>
          <w:w w:val="100"/>
          <w:sz w:val="21"/>
          <w:szCs w:val="21"/>
        </w:rPr>
        <w:t>高</w:t>
      </w:r>
      <w:r>
        <w:rPr>
          <w:rFonts w:ascii="宋体" w:hAnsi="宋体" w:cs="宋体" w:eastAsia="宋体" w:hint="default"/>
          <w:w w:val="100"/>
          <w:sz w:val="21"/>
          <w:szCs w:val="21"/>
        </w:rPr>
        <w:t>级</w:t>
      </w:r>
      <w:r>
        <w:rPr>
          <w:rFonts w:ascii="宋体" w:hAnsi="宋体" w:cs="宋体" w:eastAsia="宋体" w:hint="default"/>
          <w:spacing w:val="-3"/>
          <w:w w:val="100"/>
          <w:sz w:val="21"/>
          <w:szCs w:val="21"/>
        </w:rPr>
        <w:t>副</w:t>
      </w:r>
      <w:r>
        <w:rPr>
          <w:rFonts w:ascii="宋体" w:hAnsi="宋体" w:cs="宋体" w:eastAsia="宋体" w:hint="default"/>
          <w:w w:val="100"/>
          <w:sz w:val="21"/>
          <w:szCs w:val="21"/>
        </w:rPr>
        <w:t>总</w:t>
      </w:r>
      <w:r>
        <w:rPr>
          <w:rFonts w:ascii="宋体" w:hAnsi="宋体" w:cs="宋体" w:eastAsia="宋体" w:hint="default"/>
          <w:spacing w:val="-3"/>
          <w:w w:val="100"/>
          <w:sz w:val="21"/>
          <w:szCs w:val="21"/>
        </w:rPr>
        <w:t>裁</w:t>
      </w:r>
      <w:r>
        <w:rPr>
          <w:rFonts w:ascii="宋体" w:hAnsi="宋体" w:cs="宋体" w:eastAsia="宋体" w:hint="default"/>
          <w:spacing w:val="-85"/>
          <w:w w:val="100"/>
          <w:sz w:val="21"/>
          <w:szCs w:val="21"/>
        </w:rPr>
        <w:t>。</w:t>
      </w:r>
      <w:r>
        <w:rPr>
          <w:rFonts w:ascii="宋体" w:hAnsi="宋体" w:cs="宋体" w:eastAsia="宋体" w:hint="default"/>
          <w:w w:val="100"/>
          <w:sz w:val="21"/>
          <w:szCs w:val="21"/>
        </w:rPr>
        <w:t>李</w:t>
      </w:r>
      <w:r>
        <w:rPr>
          <w:rFonts w:ascii="宋体" w:hAnsi="宋体" w:cs="宋体" w:eastAsia="宋体" w:hint="default"/>
          <w:spacing w:val="-3"/>
          <w:w w:val="100"/>
          <w:sz w:val="21"/>
          <w:szCs w:val="21"/>
        </w:rPr>
        <w:t>女</w:t>
      </w:r>
      <w:r>
        <w:rPr>
          <w:rFonts w:ascii="宋体" w:hAnsi="宋体" w:cs="宋体" w:eastAsia="宋体" w:hint="default"/>
          <w:w w:val="100"/>
          <w:sz w:val="21"/>
          <w:szCs w:val="21"/>
        </w:rPr>
        <w:t>士</w:t>
      </w:r>
      <w:r>
        <w:rPr>
          <w:rFonts w:ascii="宋体" w:hAnsi="宋体" w:cs="宋体" w:eastAsia="宋体" w:hint="default"/>
          <w:spacing w:val="-3"/>
          <w:w w:val="100"/>
          <w:sz w:val="21"/>
          <w:szCs w:val="21"/>
        </w:rPr>
        <w:t>目</w:t>
      </w:r>
      <w:r>
        <w:rPr>
          <w:rFonts w:ascii="宋体" w:hAnsi="宋体" w:cs="宋体" w:eastAsia="宋体" w:hint="default"/>
          <w:w w:val="100"/>
          <w:sz w:val="21"/>
          <w:szCs w:val="21"/>
        </w:rPr>
        <w:t>前担</w:t>
      </w:r>
      <w:r>
        <w:rPr>
          <w:rFonts w:ascii="宋体" w:hAnsi="宋体" w:cs="宋体" w:eastAsia="宋体" w:hint="default"/>
          <w:spacing w:val="-3"/>
          <w:w w:val="100"/>
          <w:sz w:val="21"/>
          <w:szCs w:val="21"/>
        </w:rPr>
        <w:t>任</w:t>
      </w:r>
      <w:r>
        <w:rPr>
          <w:rFonts w:ascii="宋体" w:hAnsi="宋体" w:cs="宋体" w:eastAsia="宋体" w:hint="default"/>
          <w:w w:val="100"/>
          <w:sz w:val="21"/>
          <w:szCs w:val="21"/>
        </w:rPr>
        <w:t>联</w:t>
      </w:r>
      <w:r>
        <w:rPr>
          <w:rFonts w:ascii="宋体" w:hAnsi="宋体" w:cs="宋体" w:eastAsia="宋体" w:hint="default"/>
          <w:spacing w:val="-3"/>
          <w:w w:val="100"/>
          <w:sz w:val="21"/>
          <w:szCs w:val="21"/>
        </w:rPr>
        <w:t>通</w:t>
      </w:r>
      <w:r>
        <w:rPr>
          <w:rFonts w:ascii="宋体" w:hAnsi="宋体" w:cs="宋体" w:eastAsia="宋体" w:hint="default"/>
          <w:w w:val="100"/>
          <w:sz w:val="21"/>
          <w:szCs w:val="21"/>
        </w:rPr>
        <w:t>运</w:t>
      </w:r>
      <w:r>
        <w:rPr>
          <w:rFonts w:ascii="宋体" w:hAnsi="宋体" w:cs="宋体" w:eastAsia="宋体" w:hint="default"/>
          <w:spacing w:val="-3"/>
          <w:w w:val="100"/>
          <w:sz w:val="21"/>
          <w:szCs w:val="21"/>
        </w:rPr>
        <w:t>营</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及高</w:t>
      </w:r>
      <w:r>
        <w:rPr>
          <w:rFonts w:ascii="宋体" w:hAnsi="宋体" w:cs="宋体" w:eastAsia="宋体" w:hint="default"/>
          <w:spacing w:val="-3"/>
          <w:w w:val="100"/>
          <w:sz w:val="21"/>
          <w:szCs w:val="21"/>
        </w:rPr>
        <w:t>级</w:t>
      </w:r>
      <w:r>
        <w:rPr>
          <w:rFonts w:ascii="宋体" w:hAnsi="宋体" w:cs="宋体" w:eastAsia="宋体" w:hint="default"/>
          <w:w w:val="100"/>
          <w:sz w:val="21"/>
          <w:szCs w:val="21"/>
        </w:rPr>
        <w:t>副总</w:t>
      </w:r>
    </w:p>
    <w:p>
      <w:pPr>
        <w:spacing w:line="272" w:lineRule="exact" w:before="19"/>
        <w:ind w:left="846" w:right="205" w:firstLine="0"/>
        <w:jc w:val="both"/>
        <w:rPr>
          <w:rFonts w:ascii="宋体" w:hAnsi="宋体" w:cs="宋体" w:eastAsia="宋体" w:hint="default"/>
          <w:sz w:val="21"/>
          <w:szCs w:val="21"/>
        </w:rPr>
      </w:pPr>
      <w:r>
        <w:rPr>
          <w:rFonts w:ascii="宋体" w:hAnsi="宋体" w:cs="宋体" w:eastAsia="宋体" w:hint="default"/>
          <w:sz w:val="21"/>
          <w:szCs w:val="21"/>
        </w:rPr>
        <w:t>裁。自</w:t>
      </w:r>
      <w:r>
        <w:rPr>
          <w:rFonts w:ascii="宋体" w:hAnsi="宋体" w:cs="宋体" w:eastAsia="宋体" w:hint="default"/>
          <w:spacing w:val="-60"/>
          <w:sz w:val="21"/>
          <w:szCs w:val="21"/>
        </w:rPr>
        <w:t> </w:t>
      </w:r>
      <w:r>
        <w:rPr>
          <w:rFonts w:ascii="Arial" w:hAnsi="Arial" w:cs="Arial" w:eastAsia="Arial" w:hint="default"/>
          <w:sz w:val="21"/>
          <w:szCs w:val="21"/>
        </w:rPr>
        <w:t>2009</w:t>
      </w:r>
      <w:r>
        <w:rPr>
          <w:rFonts w:ascii="Arial" w:hAnsi="Arial" w:cs="Arial" w:eastAsia="Arial"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Arial" w:hAnsi="Arial" w:cs="Arial" w:eastAsia="Arial" w:hint="default"/>
          <w:sz w:val="21"/>
          <w:szCs w:val="21"/>
        </w:rPr>
        <w:t>5</w:t>
      </w:r>
      <w:r>
        <w:rPr>
          <w:rFonts w:ascii="Arial" w:hAnsi="Arial" w:cs="Arial" w:eastAsia="Arial" w:hint="default"/>
          <w:spacing w:val="-11"/>
          <w:sz w:val="21"/>
          <w:szCs w:val="21"/>
        </w:rPr>
        <w:t> </w:t>
      </w:r>
      <w:r>
        <w:rPr>
          <w:rFonts w:ascii="宋体" w:hAnsi="宋体" w:cs="宋体" w:eastAsia="宋体" w:hint="default"/>
          <w:sz w:val="21"/>
          <w:szCs w:val="21"/>
        </w:rPr>
        <w:t>月起担任本公司监事、监事会主席。李建国女士长期在企业、地方政府</w:t>
      </w:r>
      <w:r>
        <w:rPr>
          <w:rFonts w:ascii="宋体" w:hAnsi="宋体" w:cs="宋体" w:eastAsia="宋体" w:hint="default"/>
          <w:w w:val="100"/>
          <w:sz w:val="21"/>
          <w:szCs w:val="21"/>
        </w:rPr>
        <w:t> </w:t>
      </w:r>
      <w:r>
        <w:rPr>
          <w:rFonts w:ascii="宋体" w:hAnsi="宋体" w:cs="宋体" w:eastAsia="宋体" w:hint="default"/>
          <w:sz w:val="21"/>
          <w:szCs w:val="21"/>
        </w:rPr>
        <w:t>和国家部委担任领导职务，具有丰富的政府、企业工作经历和管理经验。</w:t>
      </w:r>
    </w:p>
    <w:p>
      <w:pPr>
        <w:spacing w:line="240" w:lineRule="auto" w:before="5"/>
        <w:rPr>
          <w:rFonts w:ascii="宋体" w:hAnsi="宋体" w:cs="宋体" w:eastAsia="宋体" w:hint="default"/>
          <w:sz w:val="16"/>
          <w:szCs w:val="16"/>
        </w:rPr>
      </w:pPr>
    </w:p>
    <w:p>
      <w:pPr>
        <w:spacing w:before="0"/>
        <w:ind w:left="421" w:right="259" w:firstLine="0"/>
        <w:jc w:val="left"/>
        <w:rPr>
          <w:rFonts w:ascii="宋体" w:hAnsi="宋体" w:cs="宋体" w:eastAsia="宋体" w:hint="default"/>
          <w:sz w:val="21"/>
          <w:szCs w:val="21"/>
        </w:rPr>
      </w:pPr>
      <w:r>
        <w:rPr>
          <w:rFonts w:ascii="Arial" w:hAnsi="Arial" w:cs="Arial" w:eastAsia="Arial" w:hint="default"/>
          <w:sz w:val="21"/>
          <w:szCs w:val="21"/>
        </w:rPr>
        <w:t>10</w:t>
      </w:r>
      <w:r>
        <w:rPr>
          <w:rFonts w:ascii="宋体" w:hAnsi="宋体" w:cs="宋体" w:eastAsia="宋体" w:hint="default"/>
          <w:sz w:val="21"/>
          <w:szCs w:val="21"/>
        </w:rPr>
        <w:t>、汪世昌</w:t>
      </w:r>
    </w:p>
    <w:p>
      <w:pPr>
        <w:spacing w:line="240" w:lineRule="auto" w:before="1"/>
        <w:rPr>
          <w:rFonts w:ascii="宋体" w:hAnsi="宋体" w:cs="宋体" w:eastAsia="宋体" w:hint="default"/>
          <w:sz w:val="17"/>
          <w:szCs w:val="17"/>
        </w:rPr>
      </w:pPr>
    </w:p>
    <w:p>
      <w:pPr>
        <w:spacing w:line="282" w:lineRule="exact" w:before="0"/>
        <w:ind w:left="846" w:right="0" w:firstLine="0"/>
        <w:jc w:val="both"/>
        <w:rPr>
          <w:rFonts w:ascii="宋体" w:hAnsi="宋体" w:cs="宋体" w:eastAsia="宋体" w:hint="default"/>
          <w:sz w:val="21"/>
          <w:szCs w:val="21"/>
        </w:rPr>
      </w:pPr>
      <w:r>
        <w:rPr>
          <w:rFonts w:ascii="宋体" w:hAnsi="宋体" w:cs="宋体" w:eastAsia="宋体" w:hint="default"/>
          <w:sz w:val="21"/>
          <w:szCs w:val="21"/>
        </w:rPr>
        <w:t>汪世昌先生为高级工程师，于</w:t>
      </w:r>
      <w:r>
        <w:rPr>
          <w:rFonts w:ascii="宋体" w:hAnsi="宋体" w:cs="宋体" w:eastAsia="宋体" w:hint="default"/>
          <w:spacing w:val="-60"/>
          <w:sz w:val="21"/>
          <w:szCs w:val="21"/>
        </w:rPr>
        <w:t> </w:t>
      </w:r>
      <w:r>
        <w:rPr>
          <w:rFonts w:ascii="Arial" w:hAnsi="Arial" w:cs="Arial" w:eastAsia="Arial" w:hint="default"/>
          <w:sz w:val="21"/>
          <w:szCs w:val="21"/>
        </w:rPr>
        <w:t>1982</w:t>
      </w:r>
      <w:r>
        <w:rPr>
          <w:rFonts w:ascii="Arial" w:hAnsi="Arial" w:cs="Arial" w:eastAsia="Arial" w:hint="default"/>
          <w:spacing w:val="-11"/>
          <w:sz w:val="21"/>
          <w:szCs w:val="21"/>
        </w:rPr>
        <w:t> </w:t>
      </w:r>
      <w:r>
        <w:rPr>
          <w:rFonts w:ascii="宋体" w:hAnsi="宋体" w:cs="宋体" w:eastAsia="宋体" w:hint="default"/>
          <w:sz w:val="21"/>
          <w:szCs w:val="21"/>
        </w:rPr>
        <w:t>年毕业于南京邮电学院有线系程控交换本科专业，于</w:t>
      </w:r>
    </w:p>
    <w:p>
      <w:pPr>
        <w:spacing w:line="230" w:lineRule="auto" w:before="1"/>
        <w:ind w:left="846" w:right="206" w:firstLine="0"/>
        <w:jc w:val="both"/>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9"/>
          <w:sz w:val="21"/>
          <w:szCs w:val="21"/>
        </w:rPr>
        <w:t> </w:t>
      </w:r>
      <w:r>
        <w:rPr>
          <w:rFonts w:ascii="宋体" w:hAnsi="宋体" w:cs="宋体" w:eastAsia="宋体" w:hint="default"/>
          <w:sz w:val="21"/>
          <w:szCs w:val="21"/>
        </w:rPr>
        <w:t>年获得剑桥商学院管理学博士学位。曾先后担任长沙电信局总工室副主任、长沙市</w:t>
      </w:r>
      <w:r>
        <w:rPr>
          <w:rFonts w:ascii="宋体" w:hAnsi="宋体" w:cs="宋体" w:eastAsia="宋体" w:hint="default"/>
          <w:w w:val="100"/>
          <w:sz w:val="21"/>
          <w:szCs w:val="21"/>
        </w:rPr>
        <w:t> </w:t>
      </w:r>
      <w:r>
        <w:rPr>
          <w:rFonts w:ascii="宋体" w:hAnsi="宋体" w:cs="宋体" w:eastAsia="宋体" w:hint="default"/>
          <w:spacing w:val="-2"/>
          <w:sz w:val="21"/>
          <w:szCs w:val="21"/>
        </w:rPr>
        <w:t>电信局程控办副主任、湖南省电信局总工办工程师、湖南省“</w:t>
      </w:r>
      <w:r>
        <w:rPr>
          <w:rFonts w:ascii="Arial" w:hAnsi="Arial" w:cs="Arial" w:eastAsia="Arial" w:hint="default"/>
          <w:spacing w:val="-2"/>
          <w:sz w:val="21"/>
          <w:szCs w:val="21"/>
        </w:rPr>
        <w:t>165</w:t>
      </w:r>
      <w:r>
        <w:rPr>
          <w:rFonts w:ascii="宋体" w:hAnsi="宋体" w:cs="宋体" w:eastAsia="宋体" w:hint="default"/>
          <w:spacing w:val="-2"/>
          <w:sz w:val="21"/>
          <w:szCs w:val="21"/>
        </w:rPr>
        <w:t>”重点通信工程办公室</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3"/>
          <w:sz w:val="21"/>
          <w:szCs w:val="21"/>
        </w:rPr>
        <w:t>工程师、湖南省电信局计划处副主任工程师、湖南省数据通信局局长、湖南省多媒体通信</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局局长。</w:t>
      </w:r>
      <w:r>
        <w:rPr>
          <w:rFonts w:ascii="Arial" w:hAnsi="Arial" w:cs="Arial" w:eastAsia="Arial" w:hint="default"/>
          <w:sz w:val="21"/>
          <w:szCs w:val="21"/>
        </w:rPr>
        <w:t>2000</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9</w:t>
      </w:r>
      <w:r>
        <w:rPr>
          <w:rFonts w:ascii="Arial" w:hAnsi="Arial" w:cs="Arial" w:eastAsia="Arial" w:hint="default"/>
          <w:spacing w:val="-6"/>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Arial" w:hAnsi="Arial" w:cs="Arial" w:eastAsia="Arial" w:hint="default"/>
          <w:sz w:val="21"/>
          <w:szCs w:val="21"/>
        </w:rPr>
        <w:t>2003</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月任中国联通湖南分公司副总经理。</w:t>
      </w:r>
      <w:r>
        <w:rPr>
          <w:rFonts w:ascii="Arial" w:hAnsi="Arial" w:cs="Arial" w:eastAsia="Arial" w:hint="default"/>
          <w:sz w:val="21"/>
          <w:szCs w:val="21"/>
        </w:rPr>
        <w:t>2003</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44"/>
          <w:sz w:val="21"/>
          <w:szCs w:val="21"/>
        </w:rPr>
        <w:t> </w:t>
      </w:r>
      <w:r>
        <w:rPr>
          <w:rFonts w:ascii="宋体" w:hAnsi="宋体" w:cs="宋体" w:eastAsia="宋体" w:hint="default"/>
          <w:sz w:val="21"/>
          <w:szCs w:val="21"/>
        </w:rPr>
        <w:t>月</w:t>
      </w:r>
    </w:p>
    <w:p>
      <w:pPr>
        <w:spacing w:line="266" w:lineRule="exact" w:before="0"/>
        <w:ind w:left="846" w:right="0" w:firstLine="0"/>
        <w:jc w:val="both"/>
        <w:rPr>
          <w:rFonts w:ascii="Arial" w:hAnsi="Arial" w:cs="Arial" w:eastAsia="Arial" w:hint="default"/>
          <w:sz w:val="21"/>
          <w:szCs w:val="21"/>
        </w:rPr>
      </w:pP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Arial" w:hAnsi="Arial" w:cs="Arial" w:eastAsia="Arial" w:hint="default"/>
          <w:sz w:val="21"/>
          <w:szCs w:val="21"/>
        </w:rPr>
        <w:t>2008</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8"/>
          <w:sz w:val="21"/>
          <w:szCs w:val="21"/>
        </w:rPr>
        <w:t> </w:t>
      </w:r>
      <w:r>
        <w:rPr>
          <w:rFonts w:ascii="宋体" w:hAnsi="宋体" w:cs="宋体" w:eastAsia="宋体" w:hint="default"/>
          <w:sz w:val="21"/>
          <w:szCs w:val="21"/>
        </w:rPr>
        <w:t>月任中国联通湖南分公司总经理、党委书记。</w:t>
      </w:r>
      <w:r>
        <w:rPr>
          <w:rFonts w:ascii="Arial" w:hAnsi="Arial" w:cs="Arial" w:eastAsia="Arial" w:hint="default"/>
          <w:sz w:val="21"/>
          <w:szCs w:val="21"/>
        </w:rPr>
        <w:t>2008</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11</w:t>
      </w:r>
      <w:r>
        <w:rPr>
          <w:rFonts w:ascii="Arial" w:hAnsi="Arial" w:cs="Arial" w:eastAsia="Arial" w:hint="default"/>
          <w:spacing w:val="-6"/>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Arial" w:hAnsi="Arial" w:cs="Arial" w:eastAsia="Arial" w:hint="default"/>
          <w:sz w:val="21"/>
          <w:szCs w:val="21"/>
        </w:rPr>
        <w:t>2009</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3</w:t>
      </w:r>
    </w:p>
    <w:p>
      <w:pPr>
        <w:spacing w:line="272" w:lineRule="exact" w:before="0"/>
        <w:ind w:left="846" w:right="0" w:firstLine="0"/>
        <w:jc w:val="both"/>
        <w:rPr>
          <w:rFonts w:ascii="宋体" w:hAnsi="宋体" w:cs="宋体" w:eastAsia="宋体" w:hint="default"/>
          <w:sz w:val="21"/>
          <w:szCs w:val="21"/>
        </w:rPr>
      </w:pPr>
      <w:r>
        <w:rPr>
          <w:rFonts w:ascii="宋体" w:hAnsi="宋体" w:cs="宋体" w:eastAsia="宋体" w:hint="default"/>
          <w:sz w:val="21"/>
          <w:szCs w:val="21"/>
        </w:rPr>
        <w:t>月任中国联通湖南省分公司筹备组组长。</w:t>
      </w:r>
      <w:r>
        <w:rPr>
          <w:rFonts w:ascii="Arial" w:hAnsi="Arial" w:cs="Arial" w:eastAsia="Arial" w:hint="default"/>
          <w:sz w:val="21"/>
          <w:szCs w:val="21"/>
        </w:rPr>
        <w:t>2009</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3</w:t>
      </w:r>
      <w:r>
        <w:rPr>
          <w:rFonts w:ascii="Arial" w:hAnsi="Arial" w:cs="Arial" w:eastAsia="Arial" w:hint="default"/>
          <w:spacing w:val="-8"/>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Arial" w:hAnsi="Arial" w:cs="Arial" w:eastAsia="Arial" w:hint="default"/>
          <w:sz w:val="21"/>
          <w:szCs w:val="21"/>
        </w:rPr>
        <w:t>2012</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月任中国联通湖南省</w:t>
      </w:r>
    </w:p>
    <w:p>
      <w:pPr>
        <w:spacing w:line="272" w:lineRule="exact" w:before="0"/>
        <w:ind w:left="846" w:right="0" w:firstLine="0"/>
        <w:jc w:val="both"/>
        <w:rPr>
          <w:rFonts w:ascii="宋体" w:hAnsi="宋体" w:cs="宋体" w:eastAsia="宋体" w:hint="default"/>
          <w:sz w:val="21"/>
          <w:szCs w:val="21"/>
        </w:rPr>
      </w:pPr>
      <w:r>
        <w:rPr>
          <w:rFonts w:ascii="宋体" w:hAnsi="宋体" w:cs="宋体" w:eastAsia="宋体" w:hint="default"/>
          <w:spacing w:val="-3"/>
          <w:sz w:val="21"/>
          <w:szCs w:val="21"/>
        </w:rPr>
        <w:t>分公司总经理、党委书记。</w:t>
      </w:r>
      <w:r>
        <w:rPr>
          <w:rFonts w:ascii="Arial" w:hAnsi="Arial" w:cs="Arial" w:eastAsia="Arial" w:hint="default"/>
          <w:spacing w:val="-3"/>
          <w:sz w:val="21"/>
          <w:szCs w:val="21"/>
        </w:rPr>
        <w:t>2012</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Arial" w:hAnsi="Arial" w:cs="Arial" w:eastAsia="Arial" w:hint="default"/>
          <w:sz w:val="21"/>
          <w:szCs w:val="21"/>
        </w:rPr>
        <w:t>2013</w:t>
      </w:r>
      <w:r>
        <w:rPr>
          <w:rFonts w:ascii="Arial" w:hAnsi="Arial" w:cs="Arial" w:eastAsia="Arial"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4</w:t>
      </w:r>
      <w:r>
        <w:rPr>
          <w:rFonts w:ascii="Arial" w:hAnsi="Arial" w:cs="Arial" w:eastAsia="Arial" w:hint="default"/>
          <w:spacing w:val="-3"/>
          <w:sz w:val="21"/>
          <w:szCs w:val="21"/>
        </w:rPr>
        <w:t> </w:t>
      </w:r>
      <w:r>
        <w:rPr>
          <w:rFonts w:ascii="宋体" w:hAnsi="宋体" w:cs="宋体" w:eastAsia="宋体" w:hint="default"/>
          <w:sz w:val="21"/>
          <w:szCs w:val="21"/>
        </w:rPr>
        <w:t>月任中国联通北京市分公司总经理、</w:t>
      </w:r>
    </w:p>
    <w:p>
      <w:pPr>
        <w:spacing w:line="272" w:lineRule="exact" w:before="0"/>
        <w:ind w:left="846" w:right="0" w:firstLine="0"/>
        <w:jc w:val="both"/>
        <w:rPr>
          <w:rFonts w:ascii="宋体" w:hAnsi="宋体" w:cs="宋体" w:eastAsia="宋体" w:hint="default"/>
          <w:sz w:val="21"/>
          <w:szCs w:val="21"/>
        </w:rPr>
      </w:pPr>
      <w:r>
        <w:rPr>
          <w:rFonts w:ascii="宋体" w:hAnsi="宋体" w:cs="宋体" w:eastAsia="宋体" w:hint="default"/>
          <w:sz w:val="21"/>
          <w:szCs w:val="21"/>
        </w:rPr>
        <w:t>党委副书记。</w:t>
      </w:r>
      <w:r>
        <w:rPr>
          <w:rFonts w:ascii="Arial" w:hAnsi="Arial" w:cs="Arial" w:eastAsia="Arial" w:hint="default"/>
          <w:sz w:val="21"/>
          <w:szCs w:val="21"/>
        </w:rPr>
        <w:t>2013</w:t>
      </w:r>
      <w:r>
        <w:rPr>
          <w:rFonts w:ascii="Arial" w:hAnsi="Arial" w:cs="Arial" w:eastAsia="Arial"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9"/>
          <w:sz w:val="21"/>
          <w:szCs w:val="21"/>
        </w:rPr>
        <w:t> </w:t>
      </w:r>
      <w:r>
        <w:rPr>
          <w:rFonts w:ascii="宋体" w:hAnsi="宋体" w:cs="宋体" w:eastAsia="宋体" w:hint="default"/>
          <w:sz w:val="21"/>
          <w:szCs w:val="21"/>
        </w:rPr>
        <w:t>月至今任中国联通北京市分公司总经理、党委书记。自</w:t>
      </w:r>
      <w:r>
        <w:rPr>
          <w:rFonts w:ascii="宋体" w:hAnsi="宋体" w:cs="宋体" w:eastAsia="宋体" w:hint="default"/>
          <w:spacing w:val="-54"/>
          <w:sz w:val="21"/>
          <w:szCs w:val="21"/>
        </w:rPr>
        <w:t> </w:t>
      </w:r>
      <w:r>
        <w:rPr>
          <w:rFonts w:ascii="Arial" w:hAnsi="Arial" w:cs="Arial" w:eastAsia="Arial" w:hint="default"/>
          <w:sz w:val="21"/>
          <w:szCs w:val="21"/>
        </w:rPr>
        <w:t>2014</w:t>
      </w:r>
      <w:r>
        <w:rPr>
          <w:rFonts w:ascii="Arial" w:hAnsi="Arial" w:cs="Arial" w:eastAsia="Arial" w:hint="default"/>
          <w:spacing w:val="-9"/>
          <w:sz w:val="21"/>
          <w:szCs w:val="21"/>
        </w:rPr>
        <w:t> </w:t>
      </w:r>
      <w:r>
        <w:rPr>
          <w:rFonts w:ascii="宋体" w:hAnsi="宋体" w:cs="宋体" w:eastAsia="宋体" w:hint="default"/>
          <w:sz w:val="21"/>
          <w:szCs w:val="21"/>
        </w:rPr>
        <w:t>年</w:t>
      </w:r>
    </w:p>
    <w:p>
      <w:pPr>
        <w:spacing w:line="282" w:lineRule="exact" w:before="0"/>
        <w:ind w:left="846" w:right="0" w:firstLine="0"/>
        <w:jc w:val="both"/>
        <w:rPr>
          <w:rFonts w:ascii="宋体" w:hAnsi="宋体" w:cs="宋体" w:eastAsia="宋体" w:hint="default"/>
          <w:sz w:val="21"/>
          <w:szCs w:val="21"/>
        </w:rPr>
      </w:pPr>
      <w:r>
        <w:rPr>
          <w:rFonts w:ascii="Arial" w:hAnsi="Arial" w:cs="Arial" w:eastAsia="Arial" w:hint="default"/>
          <w:sz w:val="21"/>
          <w:szCs w:val="21"/>
        </w:rPr>
        <w:t>11 </w:t>
      </w:r>
      <w:r>
        <w:rPr>
          <w:rFonts w:ascii="Arial" w:hAnsi="Arial" w:cs="Arial" w:eastAsia="Arial" w:hint="default"/>
          <w:spacing w:val="5"/>
          <w:sz w:val="21"/>
          <w:szCs w:val="21"/>
        </w:rPr>
        <w:t> </w:t>
      </w:r>
      <w:r>
        <w:rPr>
          <w:rFonts w:ascii="宋体" w:hAnsi="宋体" w:cs="宋体" w:eastAsia="宋体" w:hint="default"/>
          <w:spacing w:val="-3"/>
          <w:sz w:val="21"/>
          <w:szCs w:val="21"/>
        </w:rPr>
        <w:t>月起任本公司监事。汪世昌先生长期在电信行业工作，具有丰富的电信行业管理经验。</w:t>
      </w:r>
    </w:p>
    <w:p>
      <w:pPr>
        <w:spacing w:after="0" w:line="282" w:lineRule="exact"/>
        <w:jc w:val="both"/>
        <w:rPr>
          <w:rFonts w:ascii="宋体" w:hAnsi="宋体" w:cs="宋体" w:eastAsia="宋体" w:hint="default"/>
          <w:sz w:val="21"/>
          <w:szCs w:val="21"/>
        </w:rPr>
        <w:sectPr>
          <w:pgSz w:w="11910" w:h="16840"/>
          <w:pgMar w:header="880" w:footer="1194" w:top="1120" w:bottom="1380" w:left="1660" w:right="1060"/>
        </w:sectPr>
      </w:pPr>
    </w:p>
    <w:p>
      <w:pPr>
        <w:spacing w:line="240" w:lineRule="auto" w:before="11"/>
        <w:rPr>
          <w:rFonts w:ascii="宋体" w:hAnsi="宋体" w:cs="宋体" w:eastAsia="宋体" w:hint="default"/>
          <w:sz w:val="29"/>
          <w:szCs w:val="29"/>
        </w:rPr>
      </w:pPr>
    </w:p>
    <w:p>
      <w:pPr>
        <w:spacing w:before="36"/>
        <w:ind w:left="138" w:right="259" w:firstLine="0"/>
        <w:jc w:val="left"/>
        <w:rPr>
          <w:rFonts w:ascii="宋体" w:hAnsi="宋体" w:cs="宋体" w:eastAsia="宋体" w:hint="default"/>
          <w:sz w:val="21"/>
          <w:szCs w:val="21"/>
        </w:rPr>
      </w:pPr>
      <w:r>
        <w:rPr>
          <w:rFonts w:ascii="宋体" w:hAnsi="宋体" w:cs="宋体" w:eastAsia="宋体" w:hint="default"/>
          <w:b/>
          <w:bCs/>
          <w:sz w:val="21"/>
          <w:szCs w:val="21"/>
        </w:rPr>
        <w:t>一、现任及报告期内离任董事、监事和高级管理人员持股变动及报酬情况（续）</w:t>
      </w:r>
      <w:r>
        <w:rPr>
          <w:rFonts w:ascii="宋体" w:hAnsi="宋体" w:cs="宋体" w:eastAsia="宋体" w:hint="default"/>
          <w:sz w:val="21"/>
          <w:szCs w:val="21"/>
        </w:rPr>
      </w:r>
    </w:p>
    <w:p>
      <w:pPr>
        <w:spacing w:line="240" w:lineRule="auto" w:before="11"/>
        <w:rPr>
          <w:rFonts w:ascii="宋体" w:hAnsi="宋体" w:cs="宋体" w:eastAsia="宋体" w:hint="default"/>
          <w:b/>
          <w:bCs/>
          <w:sz w:val="24"/>
          <w:szCs w:val="24"/>
        </w:rPr>
      </w:pPr>
    </w:p>
    <w:p>
      <w:pPr>
        <w:spacing w:before="0"/>
        <w:ind w:left="138" w:right="259" w:firstLine="0"/>
        <w:jc w:val="left"/>
        <w:rPr>
          <w:rFonts w:ascii="宋体" w:hAnsi="宋体" w:cs="宋体" w:eastAsia="宋体" w:hint="default"/>
          <w:sz w:val="21"/>
          <w:szCs w:val="21"/>
        </w:rPr>
      </w:pPr>
      <w:r>
        <w:rPr>
          <w:rFonts w:ascii="Arial" w:hAnsi="Arial" w:cs="Arial" w:eastAsia="Arial" w:hint="default"/>
          <w:b/>
          <w:bCs/>
          <w:spacing w:val="-1"/>
          <w:w w:val="100"/>
          <w:sz w:val="21"/>
          <w:szCs w:val="21"/>
        </w:rPr>
        <w:t>(</w:t>
      </w:r>
      <w:r>
        <w:rPr>
          <w:rFonts w:ascii="宋体" w:hAnsi="宋体" w:cs="宋体" w:eastAsia="宋体" w:hint="default"/>
          <w:b/>
          <w:bCs/>
          <w:spacing w:val="2"/>
          <w:w w:val="100"/>
          <w:sz w:val="21"/>
          <w:szCs w:val="21"/>
        </w:rPr>
        <w:t>二</w:t>
      </w:r>
      <w:r>
        <w:rPr>
          <w:rFonts w:ascii="Arial" w:hAnsi="Arial" w:cs="Arial" w:eastAsia="Arial" w:hint="default"/>
          <w:b/>
          <w:bCs/>
          <w:w w:val="100"/>
          <w:sz w:val="21"/>
          <w:szCs w:val="21"/>
        </w:rPr>
        <w:t>)</w:t>
      </w:r>
      <w:r>
        <w:rPr>
          <w:rFonts w:ascii="Arial" w:hAnsi="Arial" w:cs="Arial" w:eastAsia="Arial" w:hint="default"/>
          <w:b/>
          <w:bCs/>
          <w:spacing w:val="8"/>
          <w:sz w:val="21"/>
          <w:szCs w:val="21"/>
        </w:rPr>
        <w:t> </w:t>
      </w:r>
      <w:r>
        <w:rPr>
          <w:rFonts w:ascii="宋体" w:hAnsi="宋体" w:cs="宋体" w:eastAsia="宋体" w:hint="default"/>
          <w:b/>
          <w:bCs/>
          <w:w w:val="100"/>
          <w:sz w:val="21"/>
          <w:szCs w:val="21"/>
        </w:rPr>
        <w:t>最近</w:t>
      </w:r>
      <w:r>
        <w:rPr>
          <w:rFonts w:ascii="宋体" w:hAnsi="宋体" w:cs="宋体" w:eastAsia="宋体" w:hint="default"/>
          <w:b/>
          <w:bCs/>
          <w:spacing w:val="-54"/>
          <w:sz w:val="21"/>
          <w:szCs w:val="21"/>
        </w:rPr>
        <w:t> </w:t>
      </w:r>
      <w:r>
        <w:rPr>
          <w:rFonts w:ascii="Arial" w:hAnsi="Arial" w:cs="Arial" w:eastAsia="Arial" w:hint="default"/>
          <w:b/>
          <w:bCs/>
          <w:w w:val="100"/>
          <w:sz w:val="21"/>
          <w:szCs w:val="21"/>
        </w:rPr>
        <w:t>5</w:t>
      </w:r>
      <w:r>
        <w:rPr>
          <w:rFonts w:ascii="Arial" w:hAnsi="Arial" w:cs="Arial" w:eastAsia="Arial" w:hint="default"/>
          <w:b/>
          <w:bCs/>
          <w:spacing w:val="-8"/>
          <w:sz w:val="21"/>
          <w:szCs w:val="21"/>
        </w:rPr>
        <w:t> </w:t>
      </w:r>
      <w:r>
        <w:rPr>
          <w:rFonts w:ascii="宋体" w:hAnsi="宋体" w:cs="宋体" w:eastAsia="宋体" w:hint="default"/>
          <w:b/>
          <w:bCs/>
          <w:w w:val="100"/>
          <w:sz w:val="21"/>
          <w:szCs w:val="21"/>
        </w:rPr>
        <w:t>年的主要工作经</w:t>
      </w:r>
      <w:r>
        <w:rPr>
          <w:rFonts w:ascii="宋体" w:hAnsi="宋体" w:cs="宋体" w:eastAsia="宋体" w:hint="default"/>
          <w:b/>
          <w:bCs/>
          <w:spacing w:val="-2"/>
          <w:w w:val="100"/>
          <w:sz w:val="21"/>
          <w:szCs w:val="21"/>
        </w:rPr>
        <w:t>历</w:t>
      </w:r>
      <w:r>
        <w:rPr>
          <w:rFonts w:ascii="宋体" w:hAnsi="宋体" w:cs="宋体" w:eastAsia="宋体" w:hint="default"/>
          <w:b/>
          <w:bCs/>
          <w:w w:val="100"/>
          <w:sz w:val="21"/>
          <w:szCs w:val="21"/>
        </w:rPr>
        <w:t>（续</w:t>
      </w:r>
      <w:r>
        <w:rPr>
          <w:rFonts w:ascii="宋体" w:hAnsi="宋体" w:cs="宋体" w:eastAsia="宋体" w:hint="default"/>
          <w:b/>
          <w:bCs/>
          <w:spacing w:val="-106"/>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p>
      <w:pPr>
        <w:spacing w:line="240" w:lineRule="auto" w:before="9"/>
        <w:rPr>
          <w:rFonts w:ascii="宋体" w:hAnsi="宋体" w:cs="宋体" w:eastAsia="宋体" w:hint="default"/>
          <w:b/>
          <w:bCs/>
          <w:sz w:val="21"/>
          <w:szCs w:val="21"/>
        </w:rPr>
      </w:pPr>
    </w:p>
    <w:p>
      <w:pPr>
        <w:spacing w:before="0"/>
        <w:ind w:left="421" w:right="259" w:firstLine="0"/>
        <w:jc w:val="left"/>
        <w:rPr>
          <w:rFonts w:ascii="宋体" w:hAnsi="宋体" w:cs="宋体" w:eastAsia="宋体" w:hint="default"/>
          <w:sz w:val="21"/>
          <w:szCs w:val="21"/>
        </w:rPr>
      </w:pPr>
      <w:r>
        <w:rPr>
          <w:rFonts w:ascii="Arial" w:hAnsi="Arial" w:cs="Arial" w:eastAsia="Arial" w:hint="default"/>
          <w:sz w:val="21"/>
          <w:szCs w:val="21"/>
        </w:rPr>
        <w:t>11</w:t>
      </w:r>
      <w:r>
        <w:rPr>
          <w:rFonts w:ascii="宋体" w:hAnsi="宋体" w:cs="宋体" w:eastAsia="宋体" w:hint="default"/>
          <w:sz w:val="21"/>
          <w:szCs w:val="21"/>
        </w:rPr>
        <w:t>、蔡全根</w:t>
      </w:r>
    </w:p>
    <w:p>
      <w:pPr>
        <w:spacing w:line="240" w:lineRule="auto" w:before="4"/>
        <w:rPr>
          <w:rFonts w:ascii="宋体" w:hAnsi="宋体" w:cs="宋体" w:eastAsia="宋体" w:hint="default"/>
          <w:sz w:val="17"/>
          <w:szCs w:val="17"/>
        </w:rPr>
      </w:pPr>
    </w:p>
    <w:p>
      <w:pPr>
        <w:spacing w:line="280" w:lineRule="exact" w:before="0"/>
        <w:ind w:left="846" w:right="0" w:firstLine="0"/>
        <w:jc w:val="both"/>
        <w:rPr>
          <w:rFonts w:ascii="宋体" w:hAnsi="宋体" w:cs="宋体" w:eastAsia="宋体" w:hint="default"/>
          <w:sz w:val="21"/>
          <w:szCs w:val="21"/>
        </w:rPr>
      </w:pPr>
      <w:r>
        <w:rPr>
          <w:rFonts w:ascii="宋体" w:hAnsi="宋体" w:cs="宋体" w:eastAsia="宋体" w:hint="default"/>
          <w:sz w:val="21"/>
          <w:szCs w:val="21"/>
        </w:rPr>
        <w:t>蔡全根先生为高级政工师、高级工程师，于</w:t>
      </w:r>
      <w:r>
        <w:rPr>
          <w:rFonts w:ascii="宋体" w:hAnsi="宋体" w:cs="宋体" w:eastAsia="宋体" w:hint="default"/>
          <w:spacing w:val="-57"/>
          <w:sz w:val="21"/>
          <w:szCs w:val="21"/>
        </w:rPr>
        <w:t> </w:t>
      </w:r>
      <w:r>
        <w:rPr>
          <w:rFonts w:ascii="Arial" w:hAnsi="Arial" w:cs="Arial" w:eastAsia="Arial" w:hint="default"/>
          <w:sz w:val="21"/>
          <w:szCs w:val="21"/>
        </w:rPr>
        <w:t>1977</w:t>
      </w:r>
      <w:r>
        <w:rPr>
          <w:rFonts w:ascii="Arial" w:hAnsi="Arial" w:cs="Arial" w:eastAsia="Arial" w:hint="default"/>
          <w:spacing w:val="-13"/>
          <w:sz w:val="21"/>
          <w:szCs w:val="21"/>
        </w:rPr>
        <w:t> </w:t>
      </w:r>
      <w:r>
        <w:rPr>
          <w:rFonts w:ascii="宋体" w:hAnsi="宋体" w:cs="宋体" w:eastAsia="宋体" w:hint="default"/>
          <w:sz w:val="21"/>
          <w:szCs w:val="21"/>
        </w:rPr>
        <w:t>年毕业于浙江省邮电学校电报专业，于</w:t>
      </w:r>
    </w:p>
    <w:p>
      <w:pPr>
        <w:spacing w:line="232" w:lineRule="auto" w:before="0"/>
        <w:ind w:left="846" w:right="97" w:firstLine="0"/>
        <w:jc w:val="left"/>
        <w:rPr>
          <w:rFonts w:ascii="宋体" w:hAnsi="宋体" w:cs="宋体" w:eastAsia="宋体" w:hint="default"/>
          <w:sz w:val="21"/>
          <w:szCs w:val="21"/>
        </w:rPr>
      </w:pPr>
      <w:r>
        <w:rPr>
          <w:rFonts w:ascii="Arial" w:hAnsi="Arial" w:cs="Arial" w:eastAsia="Arial" w:hint="default"/>
          <w:sz w:val="21"/>
          <w:szCs w:val="21"/>
        </w:rPr>
        <w:t>2000</w:t>
      </w:r>
      <w:r>
        <w:rPr>
          <w:rFonts w:ascii="Arial" w:hAnsi="Arial" w:cs="Arial" w:eastAsia="Arial"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月毕业于中央党校成人教育学院企业政工本科专业，于</w:t>
      </w:r>
      <w:r>
        <w:rPr>
          <w:rFonts w:ascii="宋体" w:hAnsi="宋体" w:cs="宋体" w:eastAsia="宋体" w:hint="default"/>
          <w:spacing w:val="-54"/>
          <w:sz w:val="21"/>
          <w:szCs w:val="21"/>
        </w:rPr>
        <w:t> </w:t>
      </w:r>
      <w:r>
        <w:rPr>
          <w:rFonts w:ascii="Arial" w:hAnsi="Arial" w:cs="Arial" w:eastAsia="Arial" w:hint="default"/>
          <w:sz w:val="21"/>
          <w:szCs w:val="21"/>
        </w:rPr>
        <w:t>2006</w:t>
      </w:r>
      <w:r>
        <w:rPr>
          <w:rFonts w:ascii="Arial" w:hAnsi="Arial" w:cs="Arial" w:eastAsia="Arial" w:hint="default"/>
          <w:spacing w:val="-9"/>
          <w:sz w:val="21"/>
          <w:szCs w:val="21"/>
        </w:rPr>
        <w:t> </w:t>
      </w:r>
      <w:r>
        <w:rPr>
          <w:rFonts w:ascii="宋体" w:hAnsi="宋体" w:cs="宋体" w:eastAsia="宋体" w:hint="default"/>
          <w:sz w:val="21"/>
          <w:szCs w:val="21"/>
        </w:rPr>
        <w:t>年获香港大学</w:t>
      </w:r>
      <w:r>
        <w:rPr>
          <w:rFonts w:ascii="宋体" w:hAnsi="宋体" w:cs="宋体" w:eastAsia="宋体" w:hint="default"/>
          <w:w w:val="100"/>
          <w:sz w:val="21"/>
          <w:szCs w:val="21"/>
        </w:rPr>
        <w:t> </w:t>
      </w:r>
      <w:r>
        <w:rPr>
          <w:rFonts w:ascii="Arial" w:hAnsi="Arial" w:cs="Arial" w:eastAsia="Arial" w:hint="default"/>
          <w:spacing w:val="-1"/>
          <w:sz w:val="21"/>
          <w:szCs w:val="21"/>
        </w:rPr>
        <w:t>EMBA</w:t>
      </w:r>
      <w:r>
        <w:rPr>
          <w:rFonts w:ascii="Arial" w:hAnsi="Arial" w:cs="Arial" w:eastAsia="Arial" w:hint="default"/>
          <w:sz w:val="21"/>
          <w:szCs w:val="21"/>
        </w:rPr>
        <w:t> </w:t>
      </w:r>
      <w:r>
        <w:rPr>
          <w:rFonts w:ascii="宋体" w:hAnsi="宋体" w:cs="宋体" w:eastAsia="宋体" w:hint="default"/>
          <w:spacing w:val="-2"/>
          <w:sz w:val="21"/>
          <w:szCs w:val="21"/>
        </w:rPr>
        <w:t>学位。曾先后任浙江省舟山市邮电局副局长（主持工作）、电信局副局长、局长、</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党委书记，浙江省电信公司舟山市分公司总经理、党委书记、台州市分公司总经理、党委</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4"/>
          <w:sz w:val="21"/>
          <w:szCs w:val="21"/>
        </w:rPr>
        <w:t>书记，浙江省通信股份有限公司副总经理，中国网通集团南方通信有限公司浙江分公司筹</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2"/>
          <w:sz w:val="21"/>
          <w:szCs w:val="21"/>
        </w:rPr>
        <w:t>备组副组长、中国网络通信集团公司浙江省分公司筹备组副组长、副总经理、党组成员，</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3"/>
          <w:sz w:val="21"/>
          <w:szCs w:val="21"/>
        </w:rPr>
        <w:t>中国网络通信集团公司陕西省分公司总经理、党组书记。</w:t>
      </w:r>
      <w:r>
        <w:rPr>
          <w:rFonts w:ascii="Arial" w:hAnsi="Arial" w:cs="Arial" w:eastAsia="Arial" w:hint="default"/>
          <w:spacing w:val="-3"/>
          <w:sz w:val="21"/>
          <w:szCs w:val="21"/>
        </w:rPr>
        <w:t>2008</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Arial" w:hAnsi="Arial" w:cs="Arial" w:eastAsia="Arial" w:hint="default"/>
          <w:sz w:val="21"/>
          <w:szCs w:val="21"/>
        </w:rPr>
        <w:t>11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Arial" w:hAnsi="Arial" w:cs="Arial" w:eastAsia="Arial" w:hint="default"/>
          <w:sz w:val="21"/>
          <w:szCs w:val="21"/>
        </w:rPr>
        <w:t>2009</w:t>
      </w:r>
      <w:r>
        <w:rPr>
          <w:rFonts w:ascii="Arial" w:hAnsi="Arial" w:cs="Arial" w:eastAsia="Arial"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w:hAnsi="Arial" w:cs="Arial" w:eastAsia="Arial" w:hint="default"/>
          <w:sz w:val="21"/>
          <w:szCs w:val="21"/>
        </w:rPr>
        <w:t>3 </w:t>
      </w:r>
      <w:r>
        <w:rPr>
          <w:rFonts w:ascii="宋体" w:hAnsi="宋体" w:cs="宋体" w:eastAsia="宋体" w:hint="default"/>
          <w:spacing w:val="-3"/>
          <w:sz w:val="21"/>
          <w:szCs w:val="21"/>
        </w:rPr>
        <w:t>月任</w:t>
      </w:r>
      <w:r>
        <w:rPr>
          <w:rFonts w:ascii="宋体" w:hAnsi="宋体" w:cs="宋体" w:eastAsia="宋体" w:hint="default"/>
          <w:sz w:val="21"/>
          <w:szCs w:val="21"/>
        </w:rPr>
      </w:r>
    </w:p>
    <w:p>
      <w:pPr>
        <w:spacing w:line="225" w:lineRule="auto" w:before="0"/>
        <w:ind w:left="846" w:right="239" w:firstLine="0"/>
        <w:jc w:val="both"/>
        <w:rPr>
          <w:rFonts w:ascii="宋体" w:hAnsi="宋体" w:cs="宋体" w:eastAsia="宋体" w:hint="default"/>
          <w:sz w:val="21"/>
          <w:szCs w:val="21"/>
        </w:rPr>
      </w:pPr>
      <w:r>
        <w:rPr>
          <w:rFonts w:ascii="宋体" w:hAnsi="宋体" w:cs="宋体" w:eastAsia="宋体" w:hint="default"/>
          <w:sz w:val="21"/>
          <w:szCs w:val="21"/>
        </w:rPr>
        <w:t>中国联通上海分公司筹备组组长，</w:t>
      </w:r>
      <w:r>
        <w:rPr>
          <w:rFonts w:ascii="Arial" w:hAnsi="Arial" w:cs="Arial" w:eastAsia="Arial" w:hint="default"/>
          <w:sz w:val="21"/>
          <w:szCs w:val="21"/>
        </w:rPr>
        <w:t>2009</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3</w:t>
      </w:r>
      <w:r>
        <w:rPr>
          <w:rFonts w:ascii="Arial" w:hAnsi="Arial" w:cs="Arial" w:eastAsia="Arial" w:hint="default"/>
          <w:spacing w:val="-6"/>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Arial" w:hAnsi="Arial" w:cs="Arial" w:eastAsia="Arial" w:hint="default"/>
          <w:sz w:val="21"/>
          <w:szCs w:val="21"/>
        </w:rPr>
        <w:t>2010</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5</w:t>
      </w:r>
      <w:r>
        <w:rPr>
          <w:rFonts w:ascii="Arial" w:hAnsi="Arial" w:cs="Arial" w:eastAsia="Arial" w:hint="default"/>
          <w:spacing w:val="-8"/>
          <w:sz w:val="21"/>
          <w:szCs w:val="21"/>
        </w:rPr>
        <w:t> </w:t>
      </w:r>
      <w:r>
        <w:rPr>
          <w:rFonts w:ascii="宋体" w:hAnsi="宋体" w:cs="宋体" w:eastAsia="宋体" w:hint="default"/>
          <w:sz w:val="21"/>
          <w:szCs w:val="21"/>
        </w:rPr>
        <w:t>月任中国联通上海市分公司</w:t>
      </w:r>
      <w:r>
        <w:rPr>
          <w:rFonts w:ascii="宋体" w:hAnsi="宋体" w:cs="宋体" w:eastAsia="宋体" w:hint="default"/>
          <w:w w:val="100"/>
          <w:sz w:val="21"/>
          <w:szCs w:val="21"/>
        </w:rPr>
        <w:t> </w:t>
      </w:r>
      <w:r>
        <w:rPr>
          <w:rFonts w:ascii="宋体" w:hAnsi="宋体" w:cs="宋体" w:eastAsia="宋体" w:hint="default"/>
          <w:sz w:val="21"/>
          <w:szCs w:val="21"/>
        </w:rPr>
        <w:t>总经理、党委副书记，</w:t>
      </w: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5</w:t>
      </w:r>
      <w:r>
        <w:rPr>
          <w:rFonts w:ascii="Arial" w:hAnsi="Arial" w:cs="Arial" w:eastAsia="Arial" w:hint="default"/>
          <w:spacing w:val="-6"/>
          <w:sz w:val="21"/>
          <w:szCs w:val="21"/>
        </w:rPr>
        <w:t> </w:t>
      </w:r>
      <w:r>
        <w:rPr>
          <w:rFonts w:ascii="宋体" w:hAnsi="宋体" w:cs="宋体" w:eastAsia="宋体" w:hint="default"/>
          <w:sz w:val="21"/>
          <w:szCs w:val="21"/>
        </w:rPr>
        <w:t>月至今担任中国联通上海市分公司总经理、党委书记。</w:t>
      </w:r>
      <w:r>
        <w:rPr>
          <w:rFonts w:ascii="宋体" w:hAnsi="宋体" w:cs="宋体" w:eastAsia="宋体" w:hint="default"/>
          <w:w w:val="100"/>
          <w:sz w:val="21"/>
          <w:szCs w:val="21"/>
        </w:rPr>
        <w:t> </w:t>
      </w:r>
      <w:r>
        <w:rPr>
          <w:rFonts w:ascii="宋体" w:hAnsi="宋体" w:cs="宋体" w:eastAsia="宋体" w:hint="default"/>
          <w:sz w:val="21"/>
          <w:szCs w:val="21"/>
        </w:rPr>
        <w:t>自</w:t>
      </w:r>
      <w:r>
        <w:rPr>
          <w:rFonts w:ascii="宋体" w:hAnsi="宋体" w:cs="宋体" w:eastAsia="宋体" w:hint="default"/>
          <w:spacing w:val="-54"/>
          <w:sz w:val="21"/>
          <w:szCs w:val="21"/>
        </w:rPr>
        <w:t> </w:t>
      </w:r>
      <w:r>
        <w:rPr>
          <w:rFonts w:ascii="Arial" w:hAnsi="Arial" w:cs="Arial" w:eastAsia="Arial" w:hint="default"/>
          <w:sz w:val="21"/>
          <w:szCs w:val="21"/>
        </w:rPr>
        <w:t>2014</w:t>
      </w:r>
      <w:r>
        <w:rPr>
          <w:rFonts w:ascii="Arial" w:hAnsi="Arial" w:cs="Arial" w:eastAsia="Arial"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11</w:t>
      </w:r>
      <w:r>
        <w:rPr>
          <w:rFonts w:ascii="Arial" w:hAnsi="Arial" w:cs="Arial" w:eastAsia="Arial" w:hint="default"/>
          <w:spacing w:val="-9"/>
          <w:sz w:val="21"/>
          <w:szCs w:val="21"/>
        </w:rPr>
        <w:t> </w:t>
      </w:r>
      <w:r>
        <w:rPr>
          <w:rFonts w:ascii="宋体" w:hAnsi="宋体" w:cs="宋体" w:eastAsia="宋体" w:hint="default"/>
          <w:sz w:val="21"/>
          <w:szCs w:val="21"/>
        </w:rPr>
        <w:t>月起任本公司监事。蔡全根先生长期在电信行业工作，具有丰富的电信行</w:t>
      </w:r>
      <w:r>
        <w:rPr>
          <w:rFonts w:ascii="宋体" w:hAnsi="宋体" w:cs="宋体" w:eastAsia="宋体" w:hint="default"/>
          <w:w w:val="100"/>
          <w:sz w:val="21"/>
          <w:szCs w:val="21"/>
        </w:rPr>
        <w:t> </w:t>
      </w:r>
      <w:r>
        <w:rPr>
          <w:rFonts w:ascii="宋体" w:hAnsi="宋体" w:cs="宋体" w:eastAsia="宋体" w:hint="default"/>
          <w:sz w:val="21"/>
          <w:szCs w:val="21"/>
        </w:rPr>
        <w:t>业管理经验。</w:t>
      </w:r>
    </w:p>
    <w:p>
      <w:pPr>
        <w:spacing w:line="240" w:lineRule="auto" w:before="5"/>
        <w:rPr>
          <w:rFonts w:ascii="宋体" w:hAnsi="宋体" w:cs="宋体" w:eastAsia="宋体" w:hint="default"/>
          <w:sz w:val="18"/>
          <w:szCs w:val="18"/>
        </w:rPr>
      </w:pPr>
    </w:p>
    <w:p>
      <w:pPr>
        <w:spacing w:before="0"/>
        <w:ind w:left="421" w:right="259" w:firstLine="0"/>
        <w:jc w:val="left"/>
        <w:rPr>
          <w:rFonts w:ascii="宋体" w:hAnsi="宋体" w:cs="宋体" w:eastAsia="宋体" w:hint="default"/>
          <w:sz w:val="21"/>
          <w:szCs w:val="21"/>
        </w:rPr>
      </w:pPr>
      <w:r>
        <w:rPr>
          <w:rFonts w:ascii="Arial" w:hAnsi="Arial" w:cs="Arial" w:eastAsia="Arial" w:hint="default"/>
          <w:sz w:val="21"/>
          <w:szCs w:val="21"/>
        </w:rPr>
        <w:t>12</w:t>
      </w:r>
      <w:r>
        <w:rPr>
          <w:rFonts w:ascii="宋体" w:hAnsi="宋体" w:cs="宋体" w:eastAsia="宋体" w:hint="default"/>
          <w:sz w:val="21"/>
          <w:szCs w:val="21"/>
        </w:rPr>
        <w:t>、李超</w:t>
      </w:r>
    </w:p>
    <w:p>
      <w:pPr>
        <w:spacing w:line="240" w:lineRule="auto" w:before="9"/>
        <w:rPr>
          <w:rFonts w:ascii="宋体" w:hAnsi="宋体" w:cs="宋体" w:eastAsia="宋体" w:hint="default"/>
          <w:sz w:val="17"/>
          <w:szCs w:val="17"/>
        </w:rPr>
      </w:pPr>
    </w:p>
    <w:p>
      <w:pPr>
        <w:spacing w:line="232" w:lineRule="auto" w:before="0"/>
        <w:ind w:left="846" w:right="99" w:firstLine="0"/>
        <w:jc w:val="both"/>
        <w:rPr>
          <w:rFonts w:ascii="宋体" w:hAnsi="宋体" w:cs="宋体" w:eastAsia="宋体" w:hint="default"/>
          <w:sz w:val="21"/>
          <w:szCs w:val="21"/>
        </w:rPr>
      </w:pPr>
      <w:r>
        <w:rPr>
          <w:rFonts w:ascii="宋体" w:hAnsi="宋体" w:cs="宋体" w:eastAsia="宋体" w:hint="default"/>
          <w:spacing w:val="-3"/>
          <w:sz w:val="21"/>
          <w:szCs w:val="21"/>
        </w:rPr>
        <w:t>李超先生为教授级高工，</w:t>
      </w:r>
      <w:r>
        <w:rPr>
          <w:rFonts w:ascii="Arial" w:hAnsi="Arial" w:cs="Arial" w:eastAsia="Arial" w:hint="default"/>
          <w:spacing w:val="-3"/>
          <w:sz w:val="21"/>
          <w:szCs w:val="21"/>
        </w:rPr>
        <w:t>1980 </w:t>
      </w:r>
      <w:r>
        <w:rPr>
          <w:rFonts w:ascii="宋体" w:hAnsi="宋体" w:cs="宋体" w:eastAsia="宋体" w:hint="default"/>
          <w:spacing w:val="-3"/>
          <w:sz w:val="21"/>
          <w:szCs w:val="21"/>
        </w:rPr>
        <w:t>年毕业于南京邮电学院有线通信专业，</w:t>
      </w:r>
      <w:r>
        <w:rPr>
          <w:rFonts w:ascii="Arial" w:hAnsi="Arial" w:cs="Arial" w:eastAsia="Arial" w:hint="default"/>
          <w:spacing w:val="-3"/>
          <w:sz w:val="21"/>
          <w:szCs w:val="21"/>
        </w:rPr>
        <w:t>2002 </w:t>
      </w:r>
      <w:r>
        <w:rPr>
          <w:rFonts w:ascii="宋体" w:hAnsi="宋体" w:cs="宋体" w:eastAsia="宋体" w:hint="default"/>
          <w:sz w:val="21"/>
          <w:szCs w:val="21"/>
        </w:rPr>
        <w:t>年获得复旦大</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学</w:t>
      </w:r>
      <w:r>
        <w:rPr>
          <w:rFonts w:ascii="Arial" w:hAnsi="Arial" w:cs="Arial" w:eastAsia="Arial" w:hint="default"/>
          <w:sz w:val="21"/>
          <w:szCs w:val="21"/>
        </w:rPr>
        <w:t>-</w:t>
      </w:r>
      <w:r>
        <w:rPr>
          <w:rFonts w:ascii="宋体" w:hAnsi="宋体" w:cs="宋体" w:eastAsia="宋体" w:hint="default"/>
          <w:sz w:val="21"/>
          <w:szCs w:val="21"/>
        </w:rPr>
        <w:t>挪威管理学院信息通信管理专业硕士学位。曾任江苏省邮电管理局农话处副科长，引</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4"/>
          <w:sz w:val="21"/>
          <w:szCs w:val="21"/>
        </w:rPr>
        <w:t>进办主任科员、副主任、主任，计划建设处副处长，运行维护部主任，江苏省邮电管理局</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4"/>
          <w:sz w:val="21"/>
          <w:szCs w:val="21"/>
        </w:rPr>
        <w:t>副局长、党组成员，江苏省电信公司副总经理、党组成员，江苏省通信股份有限公司总经</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理、党组书记。</w:t>
      </w:r>
      <w:r>
        <w:rPr>
          <w:rFonts w:ascii="Arial" w:hAnsi="Arial" w:cs="Arial" w:eastAsia="Arial" w:hint="default"/>
          <w:sz w:val="21"/>
          <w:szCs w:val="21"/>
        </w:rPr>
        <w:t>2003</w:t>
      </w:r>
      <w:r>
        <w:rPr>
          <w:rFonts w:ascii="Arial" w:hAnsi="Arial" w:cs="Arial" w:eastAsia="Arial"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Arial" w:hAnsi="Arial" w:cs="Arial" w:eastAsia="Arial" w:hint="default"/>
          <w:sz w:val="21"/>
          <w:szCs w:val="21"/>
        </w:rPr>
        <w:t>9</w:t>
      </w:r>
      <w:r>
        <w:rPr>
          <w:rFonts w:ascii="Arial" w:hAnsi="Arial" w:cs="Arial" w:eastAsia="Arial" w:hint="default"/>
          <w:spacing w:val="4"/>
          <w:sz w:val="21"/>
          <w:szCs w:val="21"/>
        </w:rPr>
        <w:t> </w:t>
      </w:r>
      <w:r>
        <w:rPr>
          <w:rFonts w:ascii="宋体" w:hAnsi="宋体" w:cs="宋体" w:eastAsia="宋体" w:hint="default"/>
          <w:sz w:val="21"/>
          <w:szCs w:val="21"/>
        </w:rPr>
        <w:t>月至</w:t>
      </w:r>
      <w:r>
        <w:rPr>
          <w:rFonts w:ascii="宋体" w:hAnsi="宋体" w:cs="宋体" w:eastAsia="宋体" w:hint="default"/>
          <w:spacing w:val="-43"/>
          <w:sz w:val="21"/>
          <w:szCs w:val="21"/>
        </w:rPr>
        <w:t> </w:t>
      </w:r>
      <w:r>
        <w:rPr>
          <w:rFonts w:ascii="Arial" w:hAnsi="Arial" w:cs="Arial" w:eastAsia="Arial" w:hint="default"/>
          <w:sz w:val="21"/>
          <w:szCs w:val="21"/>
        </w:rPr>
        <w:t>2006</w:t>
      </w:r>
      <w:r>
        <w:rPr>
          <w:rFonts w:ascii="Arial" w:hAnsi="Arial" w:cs="Arial" w:eastAsia="Arial"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月先后担任中国网通集团南方通信有限公司副</w:t>
      </w:r>
      <w:r>
        <w:rPr>
          <w:rFonts w:ascii="宋体" w:hAnsi="宋体" w:cs="宋体" w:eastAsia="宋体" w:hint="default"/>
          <w:w w:val="100"/>
          <w:sz w:val="21"/>
          <w:szCs w:val="21"/>
        </w:rPr>
        <w:t> </w:t>
      </w:r>
      <w:r>
        <w:rPr>
          <w:rFonts w:ascii="宋体" w:hAnsi="宋体" w:cs="宋体" w:eastAsia="宋体" w:hint="default"/>
          <w:spacing w:val="-4"/>
          <w:sz w:val="21"/>
          <w:szCs w:val="21"/>
        </w:rPr>
        <w:t>总经理、党组成员、中国网通（集团）有限公司上海分公司党委书记、上海紫竹科学园区</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8"/>
          <w:sz w:val="21"/>
          <w:szCs w:val="21"/>
        </w:rPr>
        <w:t>分公司总经理。</w:t>
      </w:r>
      <w:r>
        <w:rPr>
          <w:rFonts w:ascii="Arial" w:hAnsi="Arial" w:cs="Arial" w:eastAsia="Arial" w:hint="default"/>
          <w:spacing w:val="-8"/>
          <w:sz w:val="21"/>
          <w:szCs w:val="21"/>
        </w:rPr>
        <w:t>2006</w:t>
      </w:r>
      <w:r>
        <w:rPr>
          <w:rFonts w:ascii="Arial" w:hAnsi="Arial" w:cs="Arial" w:eastAsia="Arial"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Arial" w:hAnsi="Arial" w:cs="Arial" w:eastAsia="Arial" w:hint="default"/>
          <w:sz w:val="21"/>
          <w:szCs w:val="21"/>
        </w:rPr>
        <w:t>1</w:t>
      </w:r>
      <w:r>
        <w:rPr>
          <w:rFonts w:ascii="Arial" w:hAnsi="Arial" w:cs="Arial" w:eastAsia="Arial" w:hint="default"/>
          <w:spacing w:val="-1"/>
          <w:sz w:val="21"/>
          <w:szCs w:val="21"/>
        </w:rPr>
        <w:t> </w:t>
      </w:r>
      <w:r>
        <w:rPr>
          <w:rFonts w:ascii="宋体" w:hAnsi="宋体" w:cs="宋体" w:eastAsia="宋体" w:hint="default"/>
          <w:sz w:val="21"/>
          <w:szCs w:val="21"/>
        </w:rPr>
        <w:t>月至</w:t>
      </w:r>
      <w:r>
        <w:rPr>
          <w:rFonts w:ascii="宋体" w:hAnsi="宋体" w:cs="宋体" w:eastAsia="宋体" w:hint="default"/>
          <w:spacing w:val="-46"/>
          <w:sz w:val="21"/>
          <w:szCs w:val="21"/>
        </w:rPr>
        <w:t> </w:t>
      </w:r>
      <w:r>
        <w:rPr>
          <w:rFonts w:ascii="Arial" w:hAnsi="Arial" w:cs="Arial" w:eastAsia="Arial" w:hint="default"/>
          <w:sz w:val="21"/>
          <w:szCs w:val="21"/>
        </w:rPr>
        <w:t>2008</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Arial" w:hAnsi="Arial" w:cs="Arial" w:eastAsia="Arial" w:hint="default"/>
          <w:sz w:val="21"/>
          <w:szCs w:val="21"/>
        </w:rPr>
        <w:t>11</w:t>
      </w:r>
      <w:r>
        <w:rPr>
          <w:rFonts w:ascii="Arial" w:hAnsi="Arial" w:cs="Arial" w:eastAsia="Arial" w:hint="default"/>
          <w:spacing w:val="1"/>
          <w:sz w:val="21"/>
          <w:szCs w:val="21"/>
        </w:rPr>
        <w:t> </w:t>
      </w:r>
      <w:r>
        <w:rPr>
          <w:rFonts w:ascii="宋体" w:hAnsi="宋体" w:cs="宋体" w:eastAsia="宋体" w:hint="default"/>
          <w:spacing w:val="-5"/>
          <w:sz w:val="21"/>
          <w:szCs w:val="21"/>
        </w:rPr>
        <w:t>月任中国联通云南分公司总经理、党委副书记。</w:t>
      </w:r>
    </w:p>
    <w:p>
      <w:pPr>
        <w:spacing w:line="266" w:lineRule="exact" w:before="0"/>
        <w:ind w:left="846" w:right="0" w:firstLine="0"/>
        <w:jc w:val="both"/>
        <w:rPr>
          <w:rFonts w:ascii="Arial" w:hAnsi="Arial" w:cs="Arial" w:eastAsia="Arial" w:hint="default"/>
          <w:sz w:val="21"/>
          <w:szCs w:val="21"/>
        </w:rPr>
      </w:pPr>
      <w:r>
        <w:rPr>
          <w:rFonts w:ascii="Arial" w:hAnsi="Arial" w:cs="Arial" w:eastAsia="Arial" w:hint="default"/>
          <w:w w:val="100"/>
          <w:sz w:val="21"/>
          <w:szCs w:val="21"/>
        </w:rPr>
        <w:t>2008</w:t>
      </w:r>
      <w:r>
        <w:rPr>
          <w:rFonts w:ascii="Arial" w:hAnsi="Arial" w:cs="Arial" w:eastAsia="Arial" w:hint="default"/>
          <w:spacing w:val="-8"/>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Arial" w:hAnsi="Arial" w:cs="Arial" w:eastAsia="Arial" w:hint="default"/>
          <w:spacing w:val="-3"/>
          <w:w w:val="100"/>
          <w:sz w:val="21"/>
          <w:szCs w:val="21"/>
        </w:rPr>
        <w:t>1</w:t>
      </w:r>
      <w:r>
        <w:rPr>
          <w:rFonts w:ascii="Arial" w:hAnsi="Arial" w:cs="Arial" w:eastAsia="Arial" w:hint="default"/>
          <w:w w:val="100"/>
          <w:sz w:val="21"/>
          <w:szCs w:val="21"/>
        </w:rPr>
        <w:t>1</w:t>
      </w:r>
      <w:r>
        <w:rPr>
          <w:rFonts w:ascii="Arial" w:hAnsi="Arial" w:cs="Arial" w:eastAsia="Arial" w:hint="default"/>
          <w:spacing w:val="-5"/>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至</w:t>
      </w:r>
      <w:r>
        <w:rPr>
          <w:rFonts w:ascii="宋体" w:hAnsi="宋体" w:cs="宋体" w:eastAsia="宋体" w:hint="default"/>
          <w:spacing w:val="-53"/>
          <w:sz w:val="21"/>
          <w:szCs w:val="21"/>
        </w:rPr>
        <w:t> </w:t>
      </w:r>
      <w:r>
        <w:rPr>
          <w:rFonts w:ascii="Arial" w:hAnsi="Arial" w:cs="Arial" w:eastAsia="Arial" w:hint="default"/>
          <w:spacing w:val="-3"/>
          <w:w w:val="100"/>
          <w:sz w:val="21"/>
          <w:szCs w:val="21"/>
        </w:rPr>
        <w:t>2</w:t>
      </w:r>
      <w:r>
        <w:rPr>
          <w:rFonts w:ascii="Arial" w:hAnsi="Arial" w:cs="Arial" w:eastAsia="Arial" w:hint="default"/>
          <w:w w:val="100"/>
          <w:sz w:val="21"/>
          <w:szCs w:val="21"/>
        </w:rPr>
        <w:t>010</w:t>
      </w:r>
      <w:r>
        <w:rPr>
          <w:rFonts w:ascii="Arial" w:hAnsi="Arial" w:cs="Arial" w:eastAsia="Arial" w:hint="default"/>
          <w:spacing w:val="-8"/>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Arial" w:hAnsi="Arial" w:cs="Arial" w:eastAsia="Arial" w:hint="default"/>
          <w:w w:val="100"/>
          <w:sz w:val="21"/>
          <w:szCs w:val="21"/>
        </w:rPr>
        <w:t>1</w:t>
      </w:r>
      <w:r>
        <w:rPr>
          <w:rFonts w:ascii="Arial" w:hAnsi="Arial" w:cs="Arial" w:eastAsia="Arial" w:hint="default"/>
          <w:spacing w:val="-6"/>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任</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联</w:t>
      </w:r>
      <w:r>
        <w:rPr>
          <w:rFonts w:ascii="宋体" w:hAnsi="宋体" w:cs="宋体" w:eastAsia="宋体" w:hint="default"/>
          <w:spacing w:val="-3"/>
          <w:w w:val="100"/>
          <w:sz w:val="21"/>
          <w:szCs w:val="21"/>
        </w:rPr>
        <w:t>通</w:t>
      </w:r>
      <w:r>
        <w:rPr>
          <w:rFonts w:ascii="宋体" w:hAnsi="宋体" w:cs="宋体" w:eastAsia="宋体" w:hint="default"/>
          <w:w w:val="100"/>
          <w:sz w:val="21"/>
          <w:szCs w:val="21"/>
        </w:rPr>
        <w:t>云</w:t>
      </w:r>
      <w:r>
        <w:rPr>
          <w:rFonts w:ascii="宋体" w:hAnsi="宋体" w:cs="宋体" w:eastAsia="宋体" w:hint="default"/>
          <w:spacing w:val="-3"/>
          <w:w w:val="100"/>
          <w:sz w:val="21"/>
          <w:szCs w:val="21"/>
        </w:rPr>
        <w:t>南</w:t>
      </w:r>
      <w:r>
        <w:rPr>
          <w:rFonts w:ascii="宋体" w:hAnsi="宋体" w:cs="宋体" w:eastAsia="宋体" w:hint="default"/>
          <w:w w:val="100"/>
          <w:sz w:val="21"/>
          <w:szCs w:val="21"/>
        </w:rPr>
        <w:t>分</w:t>
      </w:r>
      <w:r>
        <w:rPr>
          <w:rFonts w:ascii="宋体" w:hAnsi="宋体" w:cs="宋体" w:eastAsia="宋体" w:hint="default"/>
          <w:spacing w:val="-3"/>
          <w:w w:val="100"/>
          <w:sz w:val="21"/>
          <w:szCs w:val="21"/>
        </w:rPr>
        <w:t>公</w:t>
      </w:r>
      <w:r>
        <w:rPr>
          <w:rFonts w:ascii="宋体" w:hAnsi="宋体" w:cs="宋体" w:eastAsia="宋体" w:hint="default"/>
          <w:w w:val="100"/>
          <w:sz w:val="21"/>
          <w:szCs w:val="21"/>
        </w:rPr>
        <w:t>司筹</w:t>
      </w:r>
      <w:r>
        <w:rPr>
          <w:rFonts w:ascii="宋体" w:hAnsi="宋体" w:cs="宋体" w:eastAsia="宋体" w:hint="default"/>
          <w:spacing w:val="-3"/>
          <w:w w:val="100"/>
          <w:sz w:val="21"/>
          <w:szCs w:val="21"/>
        </w:rPr>
        <w:t>备</w:t>
      </w:r>
      <w:r>
        <w:rPr>
          <w:rFonts w:ascii="宋体" w:hAnsi="宋体" w:cs="宋体" w:eastAsia="宋体" w:hint="default"/>
          <w:w w:val="100"/>
          <w:sz w:val="21"/>
          <w:szCs w:val="21"/>
        </w:rPr>
        <w:t>组</w:t>
      </w:r>
      <w:r>
        <w:rPr>
          <w:rFonts w:ascii="宋体" w:hAnsi="宋体" w:cs="宋体" w:eastAsia="宋体" w:hint="default"/>
          <w:spacing w:val="-3"/>
          <w:w w:val="100"/>
          <w:sz w:val="21"/>
          <w:szCs w:val="21"/>
        </w:rPr>
        <w:t>组</w:t>
      </w:r>
      <w:r>
        <w:rPr>
          <w:rFonts w:ascii="宋体" w:hAnsi="宋体" w:cs="宋体" w:eastAsia="宋体" w:hint="default"/>
          <w:w w:val="100"/>
          <w:sz w:val="21"/>
          <w:szCs w:val="21"/>
        </w:rPr>
        <w:t>长</w:t>
      </w:r>
      <w:r>
        <w:rPr>
          <w:rFonts w:ascii="宋体" w:hAnsi="宋体" w:cs="宋体" w:eastAsia="宋体" w:hint="default"/>
          <w:spacing w:val="-101"/>
          <w:w w:val="100"/>
          <w:sz w:val="21"/>
          <w:szCs w:val="21"/>
        </w:rPr>
        <w:t>、</w:t>
      </w:r>
      <w:r>
        <w:rPr>
          <w:rFonts w:ascii="宋体" w:hAnsi="宋体" w:cs="宋体" w:eastAsia="宋体" w:hint="default"/>
          <w:w w:val="100"/>
          <w:sz w:val="21"/>
          <w:szCs w:val="21"/>
        </w:rPr>
        <w:t>总</w:t>
      </w:r>
      <w:r>
        <w:rPr>
          <w:rFonts w:ascii="宋体" w:hAnsi="宋体" w:cs="宋体" w:eastAsia="宋体" w:hint="default"/>
          <w:spacing w:val="-3"/>
          <w:w w:val="100"/>
          <w:sz w:val="21"/>
          <w:szCs w:val="21"/>
        </w:rPr>
        <w:t>经</w:t>
      </w:r>
      <w:r>
        <w:rPr>
          <w:rFonts w:ascii="宋体" w:hAnsi="宋体" w:cs="宋体" w:eastAsia="宋体" w:hint="default"/>
          <w:w w:val="100"/>
          <w:sz w:val="21"/>
          <w:szCs w:val="21"/>
        </w:rPr>
        <w:t>理</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党</w:t>
      </w:r>
      <w:r>
        <w:rPr>
          <w:rFonts w:ascii="宋体" w:hAnsi="宋体" w:cs="宋体" w:eastAsia="宋体" w:hint="default"/>
          <w:w w:val="100"/>
          <w:sz w:val="21"/>
          <w:szCs w:val="21"/>
        </w:rPr>
        <w:t>委书</w:t>
      </w:r>
      <w:r>
        <w:rPr>
          <w:rFonts w:ascii="宋体" w:hAnsi="宋体" w:cs="宋体" w:eastAsia="宋体" w:hint="default"/>
          <w:spacing w:val="-3"/>
          <w:w w:val="100"/>
          <w:sz w:val="21"/>
          <w:szCs w:val="21"/>
        </w:rPr>
        <w:t>记</w:t>
      </w:r>
      <w:r>
        <w:rPr>
          <w:rFonts w:ascii="宋体" w:hAnsi="宋体" w:cs="宋体" w:eastAsia="宋体" w:hint="default"/>
          <w:spacing w:val="-98"/>
          <w:w w:val="100"/>
          <w:sz w:val="21"/>
          <w:szCs w:val="21"/>
        </w:rPr>
        <w:t>。</w:t>
      </w:r>
      <w:r>
        <w:rPr>
          <w:rFonts w:ascii="Arial" w:hAnsi="Arial" w:cs="Arial" w:eastAsia="Arial" w:hint="default"/>
          <w:w w:val="100"/>
          <w:sz w:val="21"/>
          <w:szCs w:val="21"/>
        </w:rPr>
        <w:t>2</w:t>
      </w:r>
      <w:r>
        <w:rPr>
          <w:rFonts w:ascii="Arial" w:hAnsi="Arial" w:cs="Arial" w:eastAsia="Arial" w:hint="default"/>
          <w:spacing w:val="-3"/>
          <w:w w:val="100"/>
          <w:sz w:val="21"/>
          <w:szCs w:val="21"/>
        </w:rPr>
        <w:t>0</w:t>
      </w:r>
      <w:r>
        <w:rPr>
          <w:rFonts w:ascii="Arial" w:hAnsi="Arial" w:cs="Arial" w:eastAsia="Arial" w:hint="default"/>
          <w:w w:val="100"/>
          <w:sz w:val="21"/>
          <w:szCs w:val="21"/>
        </w:rPr>
        <w:t>10</w:t>
      </w:r>
    </w:p>
    <w:p>
      <w:pPr>
        <w:spacing w:line="232" w:lineRule="auto" w:before="0"/>
        <w:ind w:left="846" w:right="205"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Arial" w:hAnsi="Arial" w:cs="Arial" w:eastAsia="Arial" w:hint="default"/>
          <w:sz w:val="21"/>
          <w:szCs w:val="21"/>
        </w:rPr>
        <w:t>1 </w:t>
      </w:r>
      <w:r>
        <w:rPr>
          <w:rFonts w:ascii="宋体" w:hAnsi="宋体" w:cs="宋体" w:eastAsia="宋体" w:hint="default"/>
          <w:sz w:val="21"/>
          <w:szCs w:val="21"/>
        </w:rPr>
        <w:t>月至</w:t>
      </w:r>
      <w:r>
        <w:rPr>
          <w:rFonts w:ascii="宋体" w:hAnsi="宋体" w:cs="宋体" w:eastAsia="宋体" w:hint="default"/>
          <w:spacing w:val="-46"/>
          <w:sz w:val="21"/>
          <w:szCs w:val="21"/>
        </w:rPr>
        <w:t> </w:t>
      </w:r>
      <w:r>
        <w:rPr>
          <w:rFonts w:ascii="Arial" w:hAnsi="Arial" w:cs="Arial" w:eastAsia="Arial" w:hint="default"/>
          <w:sz w:val="21"/>
          <w:szCs w:val="21"/>
        </w:rPr>
        <w:t>2013</w:t>
      </w:r>
      <w:r>
        <w:rPr>
          <w:rFonts w:ascii="Arial" w:hAnsi="Arial" w:cs="Arial" w:eastAsia="Arial"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w:hAnsi="Arial" w:cs="Arial" w:eastAsia="Arial" w:hint="default"/>
          <w:sz w:val="21"/>
          <w:szCs w:val="21"/>
        </w:rPr>
        <w:t>3 </w:t>
      </w:r>
      <w:r>
        <w:rPr>
          <w:rFonts w:ascii="宋体" w:hAnsi="宋体" w:cs="宋体" w:eastAsia="宋体" w:hint="default"/>
          <w:sz w:val="21"/>
          <w:szCs w:val="21"/>
        </w:rPr>
        <w:t>月任中国联通安徽省分公司总经理、党委书记。</w:t>
      </w:r>
      <w:r>
        <w:rPr>
          <w:rFonts w:ascii="Arial" w:hAnsi="Arial" w:cs="Arial" w:eastAsia="Arial" w:hint="default"/>
          <w:sz w:val="21"/>
          <w:szCs w:val="21"/>
        </w:rPr>
        <w:t>2013</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Arial" w:hAnsi="Arial" w:cs="Arial" w:eastAsia="Arial" w:hint="default"/>
          <w:sz w:val="21"/>
          <w:szCs w:val="21"/>
        </w:rPr>
        <w:t>3 </w:t>
      </w:r>
      <w:r>
        <w:rPr>
          <w:rFonts w:ascii="宋体" w:hAnsi="宋体" w:cs="宋体" w:eastAsia="宋体" w:hint="default"/>
          <w:sz w:val="21"/>
          <w:szCs w:val="21"/>
        </w:rPr>
        <w:t>月至今，</w:t>
      </w:r>
      <w:r>
        <w:rPr>
          <w:rFonts w:ascii="宋体" w:hAnsi="宋体" w:cs="宋体" w:eastAsia="宋体" w:hint="default"/>
          <w:w w:val="100"/>
          <w:sz w:val="21"/>
          <w:szCs w:val="21"/>
        </w:rPr>
        <w:t> </w:t>
      </w:r>
      <w:r>
        <w:rPr>
          <w:rFonts w:ascii="宋体" w:hAnsi="宋体" w:cs="宋体" w:eastAsia="宋体" w:hint="default"/>
          <w:spacing w:val="-3"/>
          <w:sz w:val="21"/>
          <w:szCs w:val="21"/>
        </w:rPr>
        <w:t>担任本公司副总裁、财务负责人兼董事会秘书。李超先生长期在电信行业工作，具有丰富</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的电信行业管理经验。</w:t>
      </w:r>
    </w:p>
    <w:p>
      <w:pPr>
        <w:spacing w:line="240" w:lineRule="auto" w:before="7"/>
        <w:rPr>
          <w:rFonts w:ascii="宋体" w:hAnsi="宋体" w:cs="宋体" w:eastAsia="宋体" w:hint="default"/>
          <w:sz w:val="18"/>
          <w:szCs w:val="18"/>
        </w:rPr>
      </w:pPr>
    </w:p>
    <w:p>
      <w:pPr>
        <w:spacing w:line="237" w:lineRule="auto" w:before="0"/>
        <w:ind w:left="846" w:right="97" w:hanging="425"/>
        <w:jc w:val="left"/>
        <w:rPr>
          <w:rFonts w:ascii="宋体" w:hAnsi="宋体" w:cs="宋体" w:eastAsia="宋体" w:hint="default"/>
          <w:sz w:val="21"/>
          <w:szCs w:val="21"/>
        </w:rPr>
      </w:pPr>
      <w:r>
        <w:rPr>
          <w:rFonts w:ascii="宋体" w:hAnsi="宋体" w:cs="宋体" w:eastAsia="宋体" w:hint="default"/>
          <w:spacing w:val="-6"/>
          <w:sz w:val="21"/>
          <w:szCs w:val="21"/>
        </w:rPr>
        <w:t>注：本公司董事长常小兵、董事兼总裁陆益民、董事张钧安、董事李福申、监事会主席李建国、</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汪世昌监事和蔡全根监事均在本公司的子公司联通红筹公司或其全资子公司联通运营公</w:t>
      </w:r>
      <w:r>
        <w:rPr>
          <w:rFonts w:ascii="宋体" w:hAnsi="宋体" w:cs="宋体" w:eastAsia="宋体" w:hint="default"/>
          <w:w w:val="100"/>
          <w:sz w:val="21"/>
          <w:szCs w:val="21"/>
        </w:rPr>
        <w:t> </w:t>
      </w:r>
      <w:r>
        <w:rPr>
          <w:rFonts w:ascii="宋体" w:hAnsi="宋体" w:cs="宋体" w:eastAsia="宋体" w:hint="default"/>
          <w:sz w:val="21"/>
          <w:szCs w:val="21"/>
        </w:rPr>
        <w:t>司领取报酬。报告期内，常小兵先生的薪酬为人民币 </w:t>
      </w:r>
      <w:r>
        <w:rPr>
          <w:rFonts w:ascii="Arial" w:hAnsi="Arial" w:cs="Arial" w:eastAsia="Arial" w:hint="default"/>
          <w:sz w:val="21"/>
          <w:szCs w:val="21"/>
        </w:rPr>
        <w:t>107.5</w:t>
      </w:r>
      <w:r>
        <w:rPr>
          <w:rFonts w:ascii="Arial" w:hAnsi="Arial" w:cs="Arial" w:eastAsia="Arial" w:hint="default"/>
          <w:spacing w:val="45"/>
          <w:sz w:val="21"/>
          <w:szCs w:val="21"/>
        </w:rPr>
        <w:t> </w:t>
      </w:r>
      <w:r>
        <w:rPr>
          <w:rFonts w:ascii="宋体" w:hAnsi="宋体" w:cs="宋体" w:eastAsia="宋体" w:hint="default"/>
          <w:sz w:val="21"/>
          <w:szCs w:val="21"/>
        </w:rPr>
        <w:t>万元，陆益民先生的薪酬为</w:t>
      </w:r>
    </w:p>
    <w:p>
      <w:pPr>
        <w:spacing w:line="265" w:lineRule="exact" w:before="0"/>
        <w:ind w:left="846" w:right="0" w:firstLine="0"/>
        <w:jc w:val="both"/>
        <w:rPr>
          <w:rFonts w:ascii="宋体" w:hAnsi="宋体" w:cs="宋体" w:eastAsia="宋体" w:hint="default"/>
          <w:sz w:val="21"/>
          <w:szCs w:val="21"/>
        </w:rPr>
      </w:pPr>
      <w:r>
        <w:rPr>
          <w:rFonts w:ascii="宋体" w:hAnsi="宋体" w:cs="宋体" w:eastAsia="宋体" w:hint="default"/>
          <w:sz w:val="21"/>
          <w:szCs w:val="21"/>
        </w:rPr>
        <w:t>人民币 </w:t>
      </w:r>
      <w:r>
        <w:rPr>
          <w:rFonts w:ascii="Arial" w:hAnsi="Arial" w:cs="Arial" w:eastAsia="Arial" w:hint="default"/>
          <w:sz w:val="21"/>
          <w:szCs w:val="21"/>
        </w:rPr>
        <w:t>101.3  </w:t>
      </w:r>
      <w:r>
        <w:rPr>
          <w:rFonts w:ascii="宋体" w:hAnsi="宋体" w:cs="宋体" w:eastAsia="宋体" w:hint="default"/>
          <w:sz w:val="21"/>
          <w:szCs w:val="21"/>
        </w:rPr>
        <w:t>万元，李福申先生的薪酬为人民币 </w:t>
      </w:r>
      <w:r>
        <w:rPr>
          <w:rFonts w:ascii="Arial" w:hAnsi="Arial" w:cs="Arial" w:eastAsia="Arial" w:hint="default"/>
          <w:sz w:val="21"/>
          <w:szCs w:val="21"/>
        </w:rPr>
        <w:t>90.2</w:t>
      </w:r>
      <w:r>
        <w:rPr>
          <w:rFonts w:ascii="Arial" w:hAnsi="Arial" w:cs="Arial" w:eastAsia="Arial" w:hint="default"/>
          <w:spacing w:val="29"/>
          <w:sz w:val="21"/>
          <w:szCs w:val="21"/>
        </w:rPr>
        <w:t> </w:t>
      </w:r>
      <w:r>
        <w:rPr>
          <w:rFonts w:ascii="宋体" w:hAnsi="宋体" w:cs="宋体" w:eastAsia="宋体" w:hint="default"/>
          <w:sz w:val="21"/>
          <w:szCs w:val="21"/>
        </w:rPr>
        <w:t>万元，张钧安先生的薪酬为人民</w:t>
      </w:r>
    </w:p>
    <w:p>
      <w:pPr>
        <w:spacing w:line="272" w:lineRule="exact" w:before="0"/>
        <w:ind w:left="846" w:right="0" w:firstLine="0"/>
        <w:jc w:val="both"/>
        <w:rPr>
          <w:rFonts w:ascii="Arial" w:hAnsi="Arial" w:cs="Arial" w:eastAsia="Arial" w:hint="default"/>
          <w:sz w:val="21"/>
          <w:szCs w:val="21"/>
        </w:rPr>
      </w:pPr>
      <w:r>
        <w:rPr>
          <w:rFonts w:ascii="宋体" w:hAnsi="宋体" w:cs="宋体" w:eastAsia="宋体" w:hint="default"/>
          <w:sz w:val="21"/>
          <w:szCs w:val="21"/>
        </w:rPr>
        <w:t>币 </w:t>
      </w:r>
      <w:r>
        <w:rPr>
          <w:rFonts w:ascii="Arial" w:hAnsi="Arial" w:cs="Arial" w:eastAsia="Arial" w:hint="default"/>
          <w:sz w:val="21"/>
          <w:szCs w:val="21"/>
        </w:rPr>
        <w:t>23.1 </w:t>
      </w:r>
      <w:r>
        <w:rPr>
          <w:rFonts w:ascii="宋体" w:hAnsi="宋体" w:cs="宋体" w:eastAsia="宋体" w:hint="default"/>
          <w:spacing w:val="-5"/>
          <w:sz w:val="21"/>
          <w:szCs w:val="21"/>
        </w:rPr>
        <w:t>万元，李建国女士的薪酬为人民币 </w:t>
      </w:r>
      <w:r>
        <w:rPr>
          <w:rFonts w:ascii="Arial" w:hAnsi="Arial" w:cs="Arial" w:eastAsia="Arial" w:hint="default"/>
          <w:sz w:val="21"/>
          <w:szCs w:val="21"/>
        </w:rPr>
        <w:t>67.6  </w:t>
      </w:r>
      <w:r>
        <w:rPr>
          <w:rFonts w:ascii="宋体" w:hAnsi="宋体" w:cs="宋体" w:eastAsia="宋体" w:hint="default"/>
          <w:spacing w:val="-5"/>
          <w:sz w:val="21"/>
          <w:szCs w:val="21"/>
        </w:rPr>
        <w:t>万元。汪世昌先生的薪酬为人民币</w:t>
      </w:r>
      <w:r>
        <w:rPr>
          <w:rFonts w:ascii="宋体" w:hAnsi="宋体" w:cs="宋体" w:eastAsia="宋体" w:hint="default"/>
          <w:spacing w:val="46"/>
          <w:sz w:val="21"/>
          <w:szCs w:val="21"/>
        </w:rPr>
        <w:t> </w:t>
      </w:r>
      <w:r>
        <w:rPr>
          <w:rFonts w:ascii="Arial" w:hAnsi="Arial" w:cs="Arial" w:eastAsia="Arial" w:hint="default"/>
          <w:sz w:val="21"/>
          <w:szCs w:val="21"/>
        </w:rPr>
        <w:t>14.6</w:t>
      </w:r>
    </w:p>
    <w:p>
      <w:pPr>
        <w:spacing w:line="272" w:lineRule="exact" w:before="0"/>
        <w:ind w:left="846" w:right="0" w:firstLine="0"/>
        <w:jc w:val="both"/>
        <w:rPr>
          <w:rFonts w:ascii="Arial" w:hAnsi="Arial" w:cs="Arial" w:eastAsia="Arial" w:hint="default"/>
          <w:sz w:val="21"/>
          <w:szCs w:val="21"/>
        </w:rPr>
      </w:pPr>
      <w:r>
        <w:rPr>
          <w:rFonts w:ascii="宋体" w:hAnsi="宋体" w:cs="宋体" w:eastAsia="宋体" w:hint="default"/>
          <w:spacing w:val="-3"/>
          <w:sz w:val="21"/>
          <w:szCs w:val="21"/>
        </w:rPr>
        <w:t>万元，蔡全根先生的薪酬为人民币 </w:t>
      </w:r>
      <w:r>
        <w:rPr>
          <w:rFonts w:ascii="Arial" w:hAnsi="Arial" w:cs="Arial" w:eastAsia="Arial" w:hint="default"/>
          <w:sz w:val="21"/>
          <w:szCs w:val="21"/>
        </w:rPr>
        <w:t>7.4  </w:t>
      </w:r>
      <w:r>
        <w:rPr>
          <w:rFonts w:ascii="宋体" w:hAnsi="宋体" w:cs="宋体" w:eastAsia="宋体" w:hint="default"/>
          <w:sz w:val="21"/>
          <w:szCs w:val="21"/>
        </w:rPr>
        <w:t>万元。离任董事佟吉禄先生的薪酬为人民币</w:t>
      </w:r>
      <w:r>
        <w:rPr>
          <w:rFonts w:ascii="宋体" w:hAnsi="宋体" w:cs="宋体" w:eastAsia="宋体" w:hint="default"/>
          <w:spacing w:val="-2"/>
          <w:sz w:val="21"/>
          <w:szCs w:val="21"/>
        </w:rPr>
        <w:t> </w:t>
      </w:r>
      <w:r>
        <w:rPr>
          <w:rFonts w:ascii="Arial" w:hAnsi="Arial" w:cs="Arial" w:eastAsia="Arial" w:hint="default"/>
          <w:sz w:val="21"/>
          <w:szCs w:val="21"/>
        </w:rPr>
        <w:t>44.3</w:t>
      </w:r>
    </w:p>
    <w:p>
      <w:pPr>
        <w:spacing w:line="273" w:lineRule="exact" w:before="0"/>
        <w:ind w:left="846" w:right="0" w:firstLine="0"/>
        <w:jc w:val="both"/>
        <w:rPr>
          <w:rFonts w:ascii="宋体" w:hAnsi="宋体" w:cs="宋体" w:eastAsia="宋体" w:hint="default"/>
          <w:sz w:val="21"/>
          <w:szCs w:val="21"/>
        </w:rPr>
      </w:pPr>
      <w:r>
        <w:rPr>
          <w:rFonts w:ascii="宋体" w:hAnsi="宋体" w:cs="宋体" w:eastAsia="宋体" w:hint="default"/>
          <w:spacing w:val="-4"/>
          <w:sz w:val="21"/>
          <w:szCs w:val="21"/>
        </w:rPr>
        <w:t>万元，离任监事郭小林女士的薪酬为人民币 </w:t>
      </w:r>
      <w:r>
        <w:rPr>
          <w:rFonts w:ascii="Arial" w:hAnsi="Arial" w:cs="Arial" w:eastAsia="Arial" w:hint="default"/>
          <w:sz w:val="21"/>
          <w:szCs w:val="21"/>
        </w:rPr>
        <w:t>57 </w:t>
      </w:r>
      <w:r>
        <w:rPr>
          <w:rFonts w:ascii="Arial" w:hAnsi="Arial" w:cs="Arial" w:eastAsia="Arial" w:hint="default"/>
          <w:spacing w:val="40"/>
          <w:sz w:val="21"/>
          <w:szCs w:val="21"/>
        </w:rPr>
        <w:t> </w:t>
      </w:r>
      <w:r>
        <w:rPr>
          <w:rFonts w:ascii="宋体" w:hAnsi="宋体" w:cs="宋体" w:eastAsia="宋体" w:hint="default"/>
          <w:spacing w:val="-4"/>
          <w:sz w:val="21"/>
          <w:szCs w:val="21"/>
        </w:rPr>
        <w:t>万元，离任监事郭晓科先生的薪酬为人民</w:t>
      </w:r>
    </w:p>
    <w:p>
      <w:pPr>
        <w:spacing w:line="282" w:lineRule="exact" w:before="0"/>
        <w:ind w:left="846" w:right="0" w:firstLine="0"/>
        <w:jc w:val="both"/>
        <w:rPr>
          <w:rFonts w:ascii="宋体" w:hAnsi="宋体" w:cs="宋体" w:eastAsia="宋体" w:hint="default"/>
          <w:sz w:val="21"/>
          <w:szCs w:val="21"/>
        </w:rPr>
      </w:pPr>
      <w:r>
        <w:rPr>
          <w:rFonts w:ascii="宋体" w:hAnsi="宋体" w:cs="宋体" w:eastAsia="宋体" w:hint="default"/>
          <w:sz w:val="21"/>
          <w:szCs w:val="21"/>
        </w:rPr>
        <w:t>币 </w:t>
      </w:r>
      <w:r>
        <w:rPr>
          <w:rFonts w:ascii="Arial" w:hAnsi="Arial" w:cs="Arial" w:eastAsia="Arial" w:hint="default"/>
          <w:sz w:val="21"/>
          <w:szCs w:val="21"/>
        </w:rPr>
        <w:t>57.4</w:t>
      </w:r>
      <w:r>
        <w:rPr>
          <w:rFonts w:ascii="Arial" w:hAnsi="Arial" w:cs="Arial" w:eastAsia="Arial" w:hint="default"/>
          <w:spacing w:val="49"/>
          <w:sz w:val="21"/>
          <w:szCs w:val="21"/>
        </w:rPr>
        <w:t> </w:t>
      </w:r>
      <w:r>
        <w:rPr>
          <w:rFonts w:ascii="宋体" w:hAnsi="宋体" w:cs="宋体" w:eastAsia="宋体" w:hint="default"/>
          <w:sz w:val="21"/>
          <w:szCs w:val="21"/>
        </w:rPr>
        <w:t>万元。</w:t>
      </w:r>
    </w:p>
    <w:p>
      <w:pPr>
        <w:spacing w:line="240" w:lineRule="auto" w:before="9"/>
        <w:rPr>
          <w:rFonts w:ascii="宋体" w:hAnsi="宋体" w:cs="宋体" w:eastAsia="宋体" w:hint="default"/>
          <w:sz w:val="21"/>
          <w:szCs w:val="21"/>
        </w:rPr>
      </w:pPr>
    </w:p>
    <w:p>
      <w:pPr>
        <w:spacing w:before="0"/>
        <w:ind w:left="138" w:right="259"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三</w:t>
      </w:r>
      <w:r>
        <w:rPr>
          <w:rFonts w:ascii="Arial" w:hAnsi="Arial" w:cs="Arial" w:eastAsia="Arial" w:hint="default"/>
          <w:b/>
          <w:bCs/>
          <w:sz w:val="21"/>
          <w:szCs w:val="21"/>
        </w:rPr>
        <w:t>)</w:t>
      </w:r>
      <w:r>
        <w:rPr>
          <w:rFonts w:ascii="Arial" w:hAnsi="Arial" w:cs="Arial" w:eastAsia="Arial" w:hint="default"/>
          <w:b/>
          <w:bCs/>
          <w:spacing w:val="8"/>
          <w:sz w:val="21"/>
          <w:szCs w:val="21"/>
        </w:rPr>
        <w:t> </w:t>
      </w:r>
      <w:r>
        <w:rPr>
          <w:rFonts w:ascii="宋体" w:hAnsi="宋体" w:cs="宋体" w:eastAsia="宋体" w:hint="default"/>
          <w:b/>
          <w:bCs/>
          <w:sz w:val="21"/>
          <w:szCs w:val="21"/>
        </w:rPr>
        <w:t>董事、监事、高级管理人员报告期内被授予的股权激励情况</w:t>
      </w:r>
      <w:r>
        <w:rPr>
          <w:rFonts w:ascii="宋体" w:hAnsi="宋体" w:cs="宋体" w:eastAsia="宋体" w:hint="default"/>
          <w:sz w:val="21"/>
          <w:szCs w:val="21"/>
        </w:rPr>
      </w:r>
    </w:p>
    <w:p>
      <w:pPr>
        <w:spacing w:before="41"/>
        <w:ind w:left="0" w:right="7305" w:firstLine="0"/>
        <w:jc w:val="center"/>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不适用</w:t>
      </w:r>
    </w:p>
    <w:p>
      <w:pPr>
        <w:spacing w:after="0"/>
        <w:jc w:val="center"/>
        <w:rPr>
          <w:rFonts w:ascii="宋体" w:hAnsi="宋体" w:cs="宋体" w:eastAsia="宋体" w:hint="default"/>
          <w:sz w:val="21"/>
          <w:szCs w:val="21"/>
        </w:rPr>
        <w:sectPr>
          <w:pgSz w:w="11910" w:h="16840"/>
          <w:pgMar w:header="880" w:footer="1194" w:top="1120" w:bottom="1380" w:left="1660" w:right="1060"/>
        </w:sectPr>
      </w:pPr>
    </w:p>
    <w:p>
      <w:pPr>
        <w:spacing w:line="240" w:lineRule="auto" w:before="11"/>
        <w:rPr>
          <w:rFonts w:ascii="宋体" w:hAnsi="宋体" w:cs="宋体" w:eastAsia="宋体" w:hint="default"/>
          <w:sz w:val="29"/>
          <w:szCs w:val="29"/>
        </w:rPr>
      </w:pPr>
    </w:p>
    <w:p>
      <w:pPr>
        <w:spacing w:before="36"/>
        <w:ind w:left="138" w:right="119" w:firstLine="0"/>
        <w:jc w:val="left"/>
        <w:rPr>
          <w:rFonts w:ascii="宋体" w:hAnsi="宋体" w:cs="宋体" w:eastAsia="宋体" w:hint="default"/>
          <w:sz w:val="21"/>
          <w:szCs w:val="21"/>
        </w:rPr>
      </w:pPr>
      <w:r>
        <w:rPr>
          <w:rFonts w:ascii="宋体" w:hAnsi="宋体" w:cs="宋体" w:eastAsia="宋体" w:hint="default"/>
          <w:b/>
          <w:bCs/>
          <w:sz w:val="21"/>
          <w:szCs w:val="21"/>
        </w:rPr>
        <w:t>二、现任及报告期内离任董事、监事和高级管理人员的任职情况</w:t>
      </w:r>
      <w:r>
        <w:rPr>
          <w:rFonts w:ascii="宋体" w:hAnsi="宋体" w:cs="宋体" w:eastAsia="宋体" w:hint="default"/>
          <w:sz w:val="21"/>
          <w:szCs w:val="21"/>
        </w:rPr>
      </w:r>
    </w:p>
    <w:p>
      <w:pPr>
        <w:spacing w:line="240" w:lineRule="auto" w:before="11"/>
        <w:rPr>
          <w:rFonts w:ascii="宋体" w:hAnsi="宋体" w:cs="宋体" w:eastAsia="宋体" w:hint="default"/>
          <w:b/>
          <w:bCs/>
          <w:sz w:val="29"/>
          <w:szCs w:val="29"/>
        </w:rPr>
      </w:pPr>
    </w:p>
    <w:p>
      <w:pPr>
        <w:spacing w:before="0"/>
        <w:ind w:left="138" w:right="119"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一</w:t>
      </w:r>
      <w:r>
        <w:rPr>
          <w:rFonts w:ascii="Arial" w:hAnsi="Arial" w:cs="Arial" w:eastAsia="Arial" w:hint="default"/>
          <w:b/>
          <w:bCs/>
          <w:sz w:val="21"/>
          <w:szCs w:val="21"/>
        </w:rPr>
        <w:t>)</w:t>
      </w:r>
      <w:r>
        <w:rPr>
          <w:rFonts w:ascii="Arial" w:hAnsi="Arial" w:cs="Arial" w:eastAsia="Arial" w:hint="default"/>
          <w:b/>
          <w:bCs/>
          <w:spacing w:val="13"/>
          <w:sz w:val="21"/>
          <w:szCs w:val="21"/>
        </w:rPr>
        <w:t> </w:t>
      </w:r>
      <w:r>
        <w:rPr>
          <w:rFonts w:ascii="宋体" w:hAnsi="宋体" w:cs="宋体" w:eastAsia="宋体" w:hint="default"/>
          <w:b/>
          <w:bCs/>
          <w:sz w:val="21"/>
          <w:szCs w:val="21"/>
        </w:rPr>
        <w:t>在股东单位任职情况</w:t>
      </w:r>
      <w:r>
        <w:rPr>
          <w:rFonts w:ascii="宋体" w:hAnsi="宋体" w:cs="宋体" w:eastAsia="宋体" w:hint="default"/>
          <w:sz w:val="21"/>
          <w:szCs w:val="21"/>
        </w:rPr>
      </w:r>
    </w:p>
    <w:p>
      <w:pPr>
        <w:spacing w:before="44"/>
        <w:ind w:left="565" w:right="119" w:firstLine="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适用</w:t>
      </w:r>
    </w:p>
    <w:p>
      <w:pPr>
        <w:spacing w:line="240" w:lineRule="auto" w:before="9"/>
        <w:rPr>
          <w:rFonts w:ascii="宋体" w:hAnsi="宋体" w:cs="宋体" w:eastAsia="宋体" w:hint="default"/>
          <w:sz w:val="19"/>
          <w:szCs w:val="19"/>
        </w:rPr>
      </w:pPr>
    </w:p>
    <w:tbl>
      <w:tblPr>
        <w:tblW w:w="0" w:type="auto"/>
        <w:jc w:val="left"/>
        <w:tblInd w:w="560" w:type="dxa"/>
        <w:tblLayout w:type="fixed"/>
        <w:tblCellMar>
          <w:top w:w="0" w:type="dxa"/>
          <w:left w:w="0" w:type="dxa"/>
          <w:bottom w:w="0" w:type="dxa"/>
          <w:right w:w="0" w:type="dxa"/>
        </w:tblCellMar>
        <w:tblLook w:val="01E0"/>
      </w:tblPr>
      <w:tblGrid>
        <w:gridCol w:w="1417"/>
        <w:gridCol w:w="1418"/>
        <w:gridCol w:w="2552"/>
        <w:gridCol w:w="1606"/>
        <w:gridCol w:w="1527"/>
      </w:tblGrid>
      <w:tr>
        <w:trPr>
          <w:trHeight w:val="242" w:hRule="exact"/>
        </w:trPr>
        <w:tc>
          <w:tcPr>
            <w:tcW w:w="141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158" w:right="0"/>
              <w:jc w:val="left"/>
              <w:rPr>
                <w:rFonts w:ascii="宋体" w:hAnsi="宋体" w:cs="宋体" w:eastAsia="宋体" w:hint="default"/>
                <w:sz w:val="18"/>
                <w:szCs w:val="18"/>
              </w:rPr>
            </w:pPr>
            <w:r>
              <w:rPr>
                <w:rFonts w:ascii="宋体" w:hAnsi="宋体" w:cs="宋体" w:eastAsia="宋体" w:hint="default"/>
                <w:b/>
                <w:bCs/>
                <w:sz w:val="18"/>
                <w:szCs w:val="18"/>
              </w:rPr>
              <w:t>任职人员姓名</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160" w:right="0"/>
              <w:jc w:val="left"/>
              <w:rPr>
                <w:rFonts w:ascii="宋体" w:hAnsi="宋体" w:cs="宋体" w:eastAsia="宋体" w:hint="default"/>
                <w:sz w:val="18"/>
                <w:szCs w:val="18"/>
              </w:rPr>
            </w:pPr>
            <w:r>
              <w:rPr>
                <w:rFonts w:ascii="宋体" w:hAnsi="宋体" w:cs="宋体" w:eastAsia="宋体" w:hint="default"/>
                <w:b/>
                <w:bCs/>
                <w:sz w:val="18"/>
                <w:szCs w:val="18"/>
              </w:rPr>
              <w:t>股东单位名称</w:t>
            </w:r>
            <w:r>
              <w:rPr>
                <w:rFonts w:ascii="宋体" w:hAnsi="宋体" w:cs="宋体" w:eastAsia="宋体" w:hint="default"/>
                <w:sz w:val="18"/>
                <w:szCs w:val="18"/>
              </w:rPr>
            </w:r>
          </w:p>
        </w:tc>
        <w:tc>
          <w:tcPr>
            <w:tcW w:w="25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367" w:right="0"/>
              <w:jc w:val="left"/>
              <w:rPr>
                <w:rFonts w:ascii="宋体" w:hAnsi="宋体" w:cs="宋体" w:eastAsia="宋体" w:hint="default"/>
                <w:sz w:val="18"/>
                <w:szCs w:val="18"/>
              </w:rPr>
            </w:pPr>
            <w:r>
              <w:rPr>
                <w:rFonts w:ascii="宋体" w:hAnsi="宋体" w:cs="宋体" w:eastAsia="宋体" w:hint="default"/>
                <w:b/>
                <w:bCs/>
                <w:sz w:val="18"/>
                <w:szCs w:val="18"/>
              </w:rPr>
              <w:t>在股东单位担任的职务</w:t>
            </w:r>
            <w:r>
              <w:rPr>
                <w:rFonts w:ascii="宋体" w:hAnsi="宋体" w:cs="宋体" w:eastAsia="宋体" w:hint="default"/>
                <w:sz w:val="18"/>
                <w:szCs w:val="18"/>
              </w:rPr>
            </w:r>
          </w:p>
        </w:tc>
        <w:tc>
          <w:tcPr>
            <w:tcW w:w="160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254" w:right="0"/>
              <w:jc w:val="left"/>
              <w:rPr>
                <w:rFonts w:ascii="宋体" w:hAnsi="宋体" w:cs="宋体" w:eastAsia="宋体" w:hint="default"/>
                <w:sz w:val="18"/>
                <w:szCs w:val="18"/>
              </w:rPr>
            </w:pPr>
            <w:r>
              <w:rPr>
                <w:rFonts w:ascii="宋体" w:hAnsi="宋体" w:cs="宋体" w:eastAsia="宋体" w:hint="default"/>
                <w:b/>
                <w:bCs/>
                <w:sz w:val="18"/>
                <w:szCs w:val="18"/>
              </w:rPr>
              <w:t>任期起始日期</w:t>
            </w:r>
            <w:r>
              <w:rPr>
                <w:rFonts w:ascii="宋体" w:hAnsi="宋体" w:cs="宋体" w:eastAsia="宋体" w:hint="default"/>
                <w:sz w:val="18"/>
                <w:szCs w:val="18"/>
              </w:rPr>
            </w:r>
          </w:p>
        </w:tc>
        <w:tc>
          <w:tcPr>
            <w:tcW w:w="15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215" w:right="0"/>
              <w:jc w:val="left"/>
              <w:rPr>
                <w:rFonts w:ascii="宋体" w:hAnsi="宋体" w:cs="宋体" w:eastAsia="宋体" w:hint="default"/>
                <w:sz w:val="18"/>
                <w:szCs w:val="18"/>
              </w:rPr>
            </w:pPr>
            <w:r>
              <w:rPr>
                <w:rFonts w:ascii="宋体" w:hAnsi="宋体" w:cs="宋体" w:eastAsia="宋体" w:hint="default"/>
                <w:b/>
                <w:bCs/>
                <w:sz w:val="18"/>
                <w:szCs w:val="18"/>
              </w:rPr>
              <w:t>任期终止日期</w:t>
            </w:r>
            <w:r>
              <w:rPr>
                <w:rFonts w:ascii="宋体" w:hAnsi="宋体" w:cs="宋体" w:eastAsia="宋体" w:hint="default"/>
                <w:sz w:val="18"/>
                <w:szCs w:val="18"/>
              </w:rPr>
            </w:r>
          </w:p>
        </w:tc>
      </w:tr>
      <w:tr>
        <w:trPr>
          <w:trHeight w:val="245"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常小兵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联通集团</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98"/>
              <w:jc w:val="right"/>
              <w:rPr>
                <w:rFonts w:ascii="宋体" w:hAnsi="宋体" w:cs="宋体" w:eastAsia="宋体" w:hint="default"/>
                <w:sz w:val="18"/>
                <w:szCs w:val="18"/>
              </w:rPr>
            </w:pPr>
            <w:r>
              <w:rPr>
                <w:rFonts w:ascii="Arial" w:hAnsi="Arial" w:cs="Arial" w:eastAsia="Arial" w:hint="default"/>
                <w:sz w:val="18"/>
                <w:szCs w:val="18"/>
              </w:rPr>
              <w:t>2004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11</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2"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陆益民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联通集团</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副董事长、总经理</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98"/>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5"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李福申</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联通集团</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98"/>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98"/>
              <w:jc w:val="righ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5"/>
                <w:sz w:val="18"/>
                <w:szCs w:val="18"/>
              </w:rPr>
              <w:t> </w:t>
            </w:r>
            <w:r>
              <w:rPr>
                <w:rFonts w:ascii="宋体" w:hAnsi="宋体" w:cs="宋体" w:eastAsia="宋体" w:hint="default"/>
                <w:sz w:val="18"/>
                <w:szCs w:val="18"/>
              </w:rPr>
              <w:t>月</w:t>
            </w:r>
          </w:p>
        </w:tc>
      </w:tr>
      <w:tr>
        <w:trPr>
          <w:trHeight w:val="242"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李福申</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联通集团</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副总经理、总会计师</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98"/>
              <w:jc w:val="righ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98"/>
              <w:jc w:val="righ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5"/>
                <w:sz w:val="18"/>
                <w:szCs w:val="18"/>
              </w:rPr>
              <w:t> </w:t>
            </w:r>
            <w:r>
              <w:rPr>
                <w:rFonts w:ascii="宋体" w:hAnsi="宋体" w:cs="宋体" w:eastAsia="宋体" w:hint="default"/>
                <w:sz w:val="18"/>
                <w:szCs w:val="18"/>
              </w:rPr>
              <w:t>月</w:t>
            </w:r>
          </w:p>
        </w:tc>
      </w:tr>
      <w:tr>
        <w:trPr>
          <w:trHeight w:val="245"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李福申</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联通集团</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董事、副总经理、总会计师</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98"/>
              <w:jc w:val="righ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2"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张钧安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联通集团</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98"/>
              <w:jc w:val="right"/>
              <w:rPr>
                <w:rFonts w:ascii="宋体" w:hAnsi="宋体" w:cs="宋体" w:eastAsia="宋体" w:hint="default"/>
                <w:sz w:val="18"/>
                <w:szCs w:val="18"/>
              </w:rPr>
            </w:pPr>
            <w:r>
              <w:rPr>
                <w:rFonts w:ascii="Arial" w:hAnsi="Arial" w:cs="Arial" w:eastAsia="Arial" w:hint="default"/>
                <w:sz w:val="18"/>
                <w:szCs w:val="18"/>
              </w:rPr>
              <w:t>2005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2"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张钧安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联通集团</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工会代主席</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98"/>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11</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5"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联通集团</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工会主席</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98"/>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98"/>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5"/>
                <w:sz w:val="18"/>
                <w:szCs w:val="18"/>
              </w:rPr>
              <w:t> </w:t>
            </w:r>
            <w:r>
              <w:rPr>
                <w:rFonts w:ascii="宋体" w:hAnsi="宋体" w:cs="宋体" w:eastAsia="宋体" w:hint="default"/>
                <w:sz w:val="18"/>
                <w:szCs w:val="18"/>
              </w:rPr>
              <w:t>月</w:t>
            </w:r>
          </w:p>
        </w:tc>
      </w:tr>
      <w:tr>
        <w:trPr>
          <w:trHeight w:val="242"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佟吉禄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联通集团</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98"/>
              <w:jc w:val="righ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98"/>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8</w:t>
            </w:r>
            <w:r>
              <w:rPr>
                <w:rFonts w:ascii="Arial" w:hAnsi="Arial" w:cs="Arial" w:eastAsia="Arial" w:hint="default"/>
                <w:spacing w:val="-5"/>
                <w:sz w:val="18"/>
                <w:szCs w:val="18"/>
              </w:rPr>
              <w:t> </w:t>
            </w:r>
            <w:r>
              <w:rPr>
                <w:rFonts w:ascii="宋体" w:hAnsi="宋体" w:cs="宋体" w:eastAsia="宋体" w:hint="default"/>
                <w:sz w:val="18"/>
                <w:szCs w:val="18"/>
              </w:rPr>
              <w:t>月</w:t>
            </w:r>
          </w:p>
        </w:tc>
      </w:tr>
      <w:tr>
        <w:trPr>
          <w:trHeight w:val="245"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郭小林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联通集团</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审计部总经理</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98"/>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2"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郭晓科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联通集团</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工会副主席</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98"/>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98"/>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5"/>
                <w:sz w:val="18"/>
                <w:szCs w:val="18"/>
              </w:rPr>
              <w:t> </w:t>
            </w:r>
            <w:r>
              <w:rPr>
                <w:rFonts w:ascii="宋体" w:hAnsi="宋体" w:cs="宋体" w:eastAsia="宋体" w:hint="default"/>
                <w:sz w:val="18"/>
                <w:szCs w:val="18"/>
              </w:rPr>
              <w:t>月</w:t>
            </w:r>
          </w:p>
        </w:tc>
      </w:tr>
    </w:tbl>
    <w:p>
      <w:pPr>
        <w:spacing w:line="240" w:lineRule="auto" w:before="10"/>
        <w:rPr>
          <w:rFonts w:ascii="宋体" w:hAnsi="宋体" w:cs="宋体" w:eastAsia="宋体" w:hint="default"/>
          <w:sz w:val="17"/>
          <w:szCs w:val="17"/>
        </w:rPr>
      </w:pPr>
    </w:p>
    <w:p>
      <w:pPr>
        <w:spacing w:before="36"/>
        <w:ind w:left="138" w:right="119"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二</w:t>
      </w:r>
      <w:r>
        <w:rPr>
          <w:rFonts w:ascii="Arial" w:hAnsi="Arial" w:cs="Arial" w:eastAsia="Arial" w:hint="default"/>
          <w:b/>
          <w:bCs/>
          <w:sz w:val="21"/>
          <w:szCs w:val="21"/>
        </w:rPr>
        <w:t>)</w:t>
      </w:r>
      <w:r>
        <w:rPr>
          <w:rFonts w:ascii="Arial" w:hAnsi="Arial" w:cs="Arial" w:eastAsia="Arial" w:hint="default"/>
          <w:b/>
          <w:bCs/>
          <w:spacing w:val="13"/>
          <w:sz w:val="21"/>
          <w:szCs w:val="21"/>
        </w:rPr>
        <w:t> </w:t>
      </w:r>
      <w:r>
        <w:rPr>
          <w:rFonts w:ascii="宋体" w:hAnsi="宋体" w:cs="宋体" w:eastAsia="宋体" w:hint="default"/>
          <w:b/>
          <w:bCs/>
          <w:sz w:val="21"/>
          <w:szCs w:val="21"/>
        </w:rPr>
        <w:t>在其他单位任职情况</w:t>
      </w:r>
      <w:r>
        <w:rPr>
          <w:rFonts w:ascii="宋体" w:hAnsi="宋体" w:cs="宋体" w:eastAsia="宋体" w:hint="default"/>
          <w:sz w:val="21"/>
          <w:szCs w:val="21"/>
        </w:rPr>
      </w:r>
    </w:p>
    <w:p>
      <w:pPr>
        <w:spacing w:before="41"/>
        <w:ind w:left="565" w:right="119" w:firstLine="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适用</w:t>
      </w:r>
    </w:p>
    <w:p>
      <w:pPr>
        <w:spacing w:line="240" w:lineRule="auto" w:before="10"/>
        <w:rPr>
          <w:rFonts w:ascii="宋体" w:hAnsi="宋体" w:cs="宋体" w:eastAsia="宋体" w:hint="default"/>
          <w:sz w:val="19"/>
          <w:szCs w:val="19"/>
        </w:rPr>
      </w:pPr>
    </w:p>
    <w:tbl>
      <w:tblPr>
        <w:tblW w:w="0" w:type="auto"/>
        <w:jc w:val="left"/>
        <w:tblInd w:w="560" w:type="dxa"/>
        <w:tblLayout w:type="fixed"/>
        <w:tblCellMar>
          <w:top w:w="0" w:type="dxa"/>
          <w:left w:w="0" w:type="dxa"/>
          <w:bottom w:w="0" w:type="dxa"/>
          <w:right w:w="0" w:type="dxa"/>
        </w:tblCellMar>
        <w:tblLook w:val="01E0"/>
      </w:tblPr>
      <w:tblGrid>
        <w:gridCol w:w="972"/>
        <w:gridCol w:w="1765"/>
        <w:gridCol w:w="2688"/>
        <w:gridCol w:w="1652"/>
        <w:gridCol w:w="1440"/>
      </w:tblGrid>
      <w:tr>
        <w:trPr>
          <w:trHeight w:val="476" w:hRule="exact"/>
        </w:trPr>
        <w:tc>
          <w:tcPr>
            <w:tcW w:w="97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b/>
                <w:bCs/>
                <w:sz w:val="18"/>
                <w:szCs w:val="18"/>
              </w:rPr>
              <w:t>任职人员</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76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6"/>
              <w:ind w:left="334" w:right="0"/>
              <w:jc w:val="left"/>
              <w:rPr>
                <w:rFonts w:ascii="宋体" w:hAnsi="宋体" w:cs="宋体" w:eastAsia="宋体" w:hint="default"/>
                <w:sz w:val="18"/>
                <w:szCs w:val="18"/>
              </w:rPr>
            </w:pPr>
            <w:r>
              <w:rPr>
                <w:rFonts w:ascii="宋体" w:hAnsi="宋体" w:cs="宋体" w:eastAsia="宋体" w:hint="default"/>
                <w:b/>
                <w:bCs/>
                <w:sz w:val="18"/>
                <w:szCs w:val="18"/>
              </w:rPr>
              <w:t>其他单位名称</w:t>
            </w:r>
            <w:r>
              <w:rPr>
                <w:rFonts w:ascii="宋体" w:hAnsi="宋体" w:cs="宋体" w:eastAsia="宋体" w:hint="default"/>
                <w:sz w:val="18"/>
                <w:szCs w:val="18"/>
              </w:rPr>
            </w:r>
          </w:p>
        </w:tc>
        <w:tc>
          <w:tcPr>
            <w:tcW w:w="268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6"/>
              <w:ind w:left="432" w:right="0"/>
              <w:jc w:val="left"/>
              <w:rPr>
                <w:rFonts w:ascii="宋体" w:hAnsi="宋体" w:cs="宋体" w:eastAsia="宋体" w:hint="default"/>
                <w:sz w:val="18"/>
                <w:szCs w:val="18"/>
              </w:rPr>
            </w:pPr>
            <w:r>
              <w:rPr>
                <w:rFonts w:ascii="宋体" w:hAnsi="宋体" w:cs="宋体" w:eastAsia="宋体" w:hint="default"/>
                <w:b/>
                <w:bCs/>
                <w:sz w:val="18"/>
                <w:szCs w:val="18"/>
              </w:rPr>
              <w:t>在其他单位担任的职务</w:t>
            </w:r>
            <w:r>
              <w:rPr>
                <w:rFonts w:ascii="宋体" w:hAnsi="宋体" w:cs="宋体" w:eastAsia="宋体" w:hint="default"/>
                <w:sz w:val="18"/>
                <w:szCs w:val="18"/>
              </w:rPr>
            </w:r>
          </w:p>
        </w:tc>
        <w:tc>
          <w:tcPr>
            <w:tcW w:w="16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6"/>
              <w:ind w:left="278" w:right="0"/>
              <w:jc w:val="left"/>
              <w:rPr>
                <w:rFonts w:ascii="宋体" w:hAnsi="宋体" w:cs="宋体" w:eastAsia="宋体" w:hint="default"/>
                <w:sz w:val="18"/>
                <w:szCs w:val="18"/>
              </w:rPr>
            </w:pPr>
            <w:r>
              <w:rPr>
                <w:rFonts w:ascii="宋体" w:hAnsi="宋体" w:cs="宋体" w:eastAsia="宋体" w:hint="default"/>
                <w:b/>
                <w:bCs/>
                <w:sz w:val="18"/>
                <w:szCs w:val="18"/>
              </w:rPr>
              <w:t>任期起始日期</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6"/>
              <w:ind w:left="115" w:right="0"/>
              <w:jc w:val="left"/>
              <w:rPr>
                <w:rFonts w:ascii="宋体" w:hAnsi="宋体" w:cs="宋体" w:eastAsia="宋体" w:hint="default"/>
                <w:sz w:val="18"/>
                <w:szCs w:val="18"/>
              </w:rPr>
            </w:pPr>
            <w:r>
              <w:rPr>
                <w:rFonts w:ascii="宋体" w:hAnsi="宋体" w:cs="宋体" w:eastAsia="宋体" w:hint="default"/>
                <w:b/>
                <w:bCs/>
                <w:sz w:val="18"/>
                <w:szCs w:val="18"/>
              </w:rPr>
              <w:t>任期终止日期</w:t>
            </w:r>
            <w:r>
              <w:rPr>
                <w:rFonts w:ascii="宋体" w:hAnsi="宋体" w:cs="宋体" w:eastAsia="宋体" w:hint="default"/>
                <w:sz w:val="18"/>
                <w:szCs w:val="18"/>
              </w:rPr>
            </w:r>
          </w:p>
        </w:tc>
      </w:tr>
      <w:tr>
        <w:trPr>
          <w:trHeight w:val="245" w:hRule="exact"/>
        </w:trPr>
        <w:tc>
          <w:tcPr>
            <w:tcW w:w="972" w:type="dxa"/>
            <w:vMerge w:val="restart"/>
            <w:tcBorders>
              <w:top w:val="single" w:sz="4" w:space="0" w:color="000000"/>
              <w:left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常小兵</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联通红筹公司</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执行董事、董事长兼首席执行官</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2004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2" w:hRule="exact"/>
        </w:trPr>
        <w:tc>
          <w:tcPr>
            <w:tcW w:w="972" w:type="dxa"/>
            <w:vMerge/>
            <w:tcBorders>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联通运营公司</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2004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2" w:hRule="exact"/>
        </w:trPr>
        <w:tc>
          <w:tcPr>
            <w:tcW w:w="97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陆益民</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联通红筹公司</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15</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5" w:hRule="exact"/>
        </w:trPr>
        <w:tc>
          <w:tcPr>
            <w:tcW w:w="972" w:type="dxa"/>
            <w:vMerge/>
            <w:tcBorders>
              <w:left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联通红筹公司</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7"/>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13</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3" w:hRule="exact"/>
        </w:trPr>
        <w:tc>
          <w:tcPr>
            <w:tcW w:w="972" w:type="dxa"/>
            <w:vMerge/>
            <w:tcBorders>
              <w:left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联通运营公司</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7"/>
              <w:jc w:val="righ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11</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5" w:hRule="exact"/>
        </w:trPr>
        <w:tc>
          <w:tcPr>
            <w:tcW w:w="972" w:type="dxa"/>
            <w:vMerge/>
            <w:tcBorders>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联通运营公司</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7"/>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13</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2" w:hRule="exact"/>
        </w:trPr>
        <w:tc>
          <w:tcPr>
            <w:tcW w:w="97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李福申</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联通红筹公司</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98"/>
              <w:jc w:val="righ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月</w:t>
            </w:r>
          </w:p>
        </w:tc>
      </w:tr>
      <w:tr>
        <w:trPr>
          <w:trHeight w:val="245" w:hRule="exact"/>
        </w:trPr>
        <w:tc>
          <w:tcPr>
            <w:tcW w:w="972" w:type="dxa"/>
            <w:vMerge/>
            <w:tcBorders>
              <w:left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联通红筹公司</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执行董事、首席财务官</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2" w:hRule="exact"/>
        </w:trPr>
        <w:tc>
          <w:tcPr>
            <w:tcW w:w="972" w:type="dxa"/>
            <w:vMerge/>
            <w:tcBorders>
              <w:left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联通运营公司</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11</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98"/>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月</w:t>
            </w:r>
          </w:p>
        </w:tc>
      </w:tr>
      <w:tr>
        <w:trPr>
          <w:trHeight w:val="245" w:hRule="exact"/>
        </w:trPr>
        <w:tc>
          <w:tcPr>
            <w:tcW w:w="972" w:type="dxa"/>
            <w:vMerge/>
            <w:tcBorders>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联通运营公司</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董事、高级副总裁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2" w:hRule="exact"/>
        </w:trPr>
        <w:tc>
          <w:tcPr>
            <w:tcW w:w="9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张钧安</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联通红筹公司</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执行董事、副总裁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98"/>
              <w:jc w:val="righ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5"/>
                <w:sz w:val="18"/>
                <w:szCs w:val="18"/>
              </w:rPr>
              <w:t> </w:t>
            </w:r>
            <w:r>
              <w:rPr>
                <w:rFonts w:ascii="宋体" w:hAnsi="宋体" w:cs="宋体" w:eastAsia="宋体" w:hint="default"/>
                <w:sz w:val="18"/>
                <w:szCs w:val="18"/>
              </w:rPr>
              <w:t>月</w:t>
            </w:r>
          </w:p>
        </w:tc>
      </w:tr>
      <w:tr>
        <w:trPr>
          <w:trHeight w:val="242" w:hRule="exact"/>
        </w:trPr>
        <w:tc>
          <w:tcPr>
            <w:tcW w:w="972" w:type="dxa"/>
            <w:vMerge/>
            <w:tcBorders>
              <w:left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联通红筹公司</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98"/>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月</w:t>
            </w:r>
          </w:p>
        </w:tc>
      </w:tr>
      <w:tr>
        <w:trPr>
          <w:trHeight w:val="245" w:hRule="exact"/>
        </w:trPr>
        <w:tc>
          <w:tcPr>
            <w:tcW w:w="972" w:type="dxa"/>
            <w:vMerge/>
            <w:tcBorders>
              <w:left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联通红筹公司</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7"/>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2" w:hRule="exact"/>
        </w:trPr>
        <w:tc>
          <w:tcPr>
            <w:tcW w:w="972" w:type="dxa"/>
            <w:vMerge/>
            <w:tcBorders>
              <w:left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联通红筹公司</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8</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5" w:hRule="exact"/>
        </w:trPr>
        <w:tc>
          <w:tcPr>
            <w:tcW w:w="972" w:type="dxa"/>
            <w:vMerge/>
            <w:tcBorders>
              <w:left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联通运营公司</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11</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2" w:hRule="exact"/>
        </w:trPr>
        <w:tc>
          <w:tcPr>
            <w:tcW w:w="972" w:type="dxa"/>
            <w:vMerge/>
            <w:tcBorders>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联通运营公司</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5" w:hRule="exact"/>
        </w:trPr>
        <w:tc>
          <w:tcPr>
            <w:tcW w:w="97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联通红筹公司</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13</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98"/>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5"/>
                <w:sz w:val="18"/>
                <w:szCs w:val="18"/>
              </w:rPr>
              <w:t> </w:t>
            </w:r>
            <w:r>
              <w:rPr>
                <w:rFonts w:ascii="宋体" w:hAnsi="宋体" w:cs="宋体" w:eastAsia="宋体" w:hint="default"/>
                <w:sz w:val="18"/>
                <w:szCs w:val="18"/>
              </w:rPr>
              <w:t>月</w:t>
            </w:r>
          </w:p>
        </w:tc>
      </w:tr>
      <w:tr>
        <w:trPr>
          <w:trHeight w:val="242" w:hRule="exact"/>
        </w:trPr>
        <w:tc>
          <w:tcPr>
            <w:tcW w:w="972" w:type="dxa"/>
            <w:vMerge/>
            <w:tcBorders>
              <w:left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联通运营公司</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11</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5" w:hRule="exact"/>
        </w:trPr>
        <w:tc>
          <w:tcPr>
            <w:tcW w:w="972" w:type="dxa"/>
            <w:vMerge/>
            <w:tcBorders>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联通运营公司</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13</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bl>
    <w:p>
      <w:pPr>
        <w:spacing w:after="0" w:line="205" w:lineRule="exact"/>
        <w:jc w:val="right"/>
        <w:rPr>
          <w:rFonts w:ascii="宋体" w:hAnsi="宋体" w:cs="宋体" w:eastAsia="宋体" w:hint="default"/>
          <w:sz w:val="18"/>
          <w:szCs w:val="18"/>
        </w:rPr>
        <w:sectPr>
          <w:pgSz w:w="11910" w:h="16840"/>
          <w:pgMar w:header="880" w:footer="1194" w:top="1120" w:bottom="1380" w:left="1660" w:right="1040"/>
        </w:sectPr>
      </w:pPr>
    </w:p>
    <w:p>
      <w:pPr>
        <w:spacing w:line="240" w:lineRule="auto" w:before="11"/>
        <w:rPr>
          <w:rFonts w:ascii="宋体" w:hAnsi="宋体" w:cs="宋体" w:eastAsia="宋体" w:hint="default"/>
          <w:sz w:val="29"/>
          <w:szCs w:val="29"/>
        </w:rPr>
      </w:pPr>
    </w:p>
    <w:p>
      <w:pPr>
        <w:spacing w:before="36"/>
        <w:ind w:left="138" w:right="119" w:firstLine="0"/>
        <w:jc w:val="left"/>
        <w:rPr>
          <w:rFonts w:ascii="宋体" w:hAnsi="宋体" w:cs="宋体" w:eastAsia="宋体" w:hint="default"/>
          <w:sz w:val="21"/>
          <w:szCs w:val="21"/>
        </w:rPr>
      </w:pPr>
      <w:r>
        <w:rPr>
          <w:rFonts w:ascii="宋体" w:hAnsi="宋体" w:cs="宋体" w:eastAsia="宋体" w:hint="default"/>
          <w:b/>
          <w:bCs/>
          <w:sz w:val="21"/>
          <w:szCs w:val="21"/>
        </w:rPr>
        <w:t>二、现任及报告期内离任董事、监事和高级管理人员的任职情况（续）</w:t>
      </w:r>
      <w:r>
        <w:rPr>
          <w:rFonts w:ascii="宋体" w:hAnsi="宋体" w:cs="宋体" w:eastAsia="宋体" w:hint="default"/>
          <w:sz w:val="21"/>
          <w:szCs w:val="21"/>
        </w:rPr>
      </w:r>
    </w:p>
    <w:p>
      <w:pPr>
        <w:spacing w:line="240" w:lineRule="auto" w:before="11"/>
        <w:rPr>
          <w:rFonts w:ascii="宋体" w:hAnsi="宋体" w:cs="宋体" w:eastAsia="宋体" w:hint="default"/>
          <w:b/>
          <w:bCs/>
          <w:sz w:val="29"/>
          <w:szCs w:val="29"/>
        </w:rPr>
      </w:pPr>
    </w:p>
    <w:p>
      <w:pPr>
        <w:spacing w:before="0"/>
        <w:ind w:left="138" w:right="119"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二</w:t>
      </w:r>
      <w:r>
        <w:rPr>
          <w:rFonts w:ascii="Arial" w:hAnsi="Arial" w:cs="Arial" w:eastAsia="Arial" w:hint="default"/>
          <w:b/>
          <w:bCs/>
          <w:sz w:val="21"/>
          <w:szCs w:val="21"/>
        </w:rPr>
        <w:t>)</w:t>
      </w:r>
      <w:r>
        <w:rPr>
          <w:rFonts w:ascii="Arial" w:hAnsi="Arial" w:cs="Arial" w:eastAsia="Arial" w:hint="default"/>
          <w:b/>
          <w:bCs/>
          <w:spacing w:val="9"/>
          <w:sz w:val="21"/>
          <w:szCs w:val="21"/>
        </w:rPr>
        <w:t> </w:t>
      </w:r>
      <w:r>
        <w:rPr>
          <w:rFonts w:ascii="宋体" w:hAnsi="宋体" w:cs="宋体" w:eastAsia="宋体" w:hint="default"/>
          <w:b/>
          <w:bCs/>
          <w:sz w:val="21"/>
          <w:szCs w:val="21"/>
        </w:rPr>
        <w:t>在其他单位任职情况（续）</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tbl>
      <w:tblPr>
        <w:tblW w:w="0" w:type="auto"/>
        <w:jc w:val="left"/>
        <w:tblInd w:w="560" w:type="dxa"/>
        <w:tblLayout w:type="fixed"/>
        <w:tblCellMar>
          <w:top w:w="0" w:type="dxa"/>
          <w:left w:w="0" w:type="dxa"/>
          <w:bottom w:w="0" w:type="dxa"/>
          <w:right w:w="0" w:type="dxa"/>
        </w:tblCellMar>
        <w:tblLook w:val="01E0"/>
      </w:tblPr>
      <w:tblGrid>
        <w:gridCol w:w="972"/>
        <w:gridCol w:w="3138"/>
        <w:gridCol w:w="1561"/>
        <w:gridCol w:w="1406"/>
        <w:gridCol w:w="1440"/>
      </w:tblGrid>
      <w:tr>
        <w:trPr>
          <w:trHeight w:val="476" w:hRule="exact"/>
        </w:trPr>
        <w:tc>
          <w:tcPr>
            <w:tcW w:w="97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b/>
                <w:bCs/>
                <w:sz w:val="18"/>
                <w:szCs w:val="18"/>
              </w:rPr>
              <w:t>任职人员</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313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6"/>
              <w:ind w:left="1020" w:right="0"/>
              <w:jc w:val="left"/>
              <w:rPr>
                <w:rFonts w:ascii="宋体" w:hAnsi="宋体" w:cs="宋体" w:eastAsia="宋体" w:hint="default"/>
                <w:sz w:val="18"/>
                <w:szCs w:val="18"/>
              </w:rPr>
            </w:pPr>
            <w:r>
              <w:rPr>
                <w:rFonts w:ascii="宋体" w:hAnsi="宋体" w:cs="宋体" w:eastAsia="宋体" w:hint="default"/>
                <w:b/>
                <w:bCs/>
                <w:sz w:val="18"/>
                <w:szCs w:val="18"/>
              </w:rPr>
              <w:t>其他单位名称</w:t>
            </w:r>
            <w:r>
              <w:rPr>
                <w:rFonts w:ascii="宋体" w:hAnsi="宋体" w:cs="宋体" w:eastAsia="宋体" w:hint="default"/>
                <w:sz w:val="18"/>
                <w:szCs w:val="18"/>
              </w:rPr>
            </w:r>
          </w:p>
        </w:tc>
        <w:tc>
          <w:tcPr>
            <w:tcW w:w="156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在其他单位担任</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的职务</w:t>
            </w:r>
            <w:r>
              <w:rPr>
                <w:rFonts w:ascii="宋体" w:hAnsi="宋体" w:cs="宋体" w:eastAsia="宋体" w:hint="default"/>
                <w:sz w:val="18"/>
                <w:szCs w:val="18"/>
              </w:rPr>
            </w:r>
          </w:p>
        </w:tc>
        <w:tc>
          <w:tcPr>
            <w:tcW w:w="140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6"/>
              <w:ind w:left="156" w:right="0"/>
              <w:jc w:val="left"/>
              <w:rPr>
                <w:rFonts w:ascii="宋体" w:hAnsi="宋体" w:cs="宋体" w:eastAsia="宋体" w:hint="default"/>
                <w:sz w:val="18"/>
                <w:szCs w:val="18"/>
              </w:rPr>
            </w:pPr>
            <w:r>
              <w:rPr>
                <w:rFonts w:ascii="宋体" w:hAnsi="宋体" w:cs="宋体" w:eastAsia="宋体" w:hint="default"/>
                <w:b/>
                <w:bCs/>
                <w:sz w:val="18"/>
                <w:szCs w:val="18"/>
              </w:rPr>
              <w:t>任期起始日期</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6"/>
              <w:ind w:left="115" w:right="0"/>
              <w:jc w:val="left"/>
              <w:rPr>
                <w:rFonts w:ascii="宋体" w:hAnsi="宋体" w:cs="宋体" w:eastAsia="宋体" w:hint="default"/>
                <w:sz w:val="18"/>
                <w:szCs w:val="18"/>
              </w:rPr>
            </w:pPr>
            <w:r>
              <w:rPr>
                <w:rFonts w:ascii="宋体" w:hAnsi="宋体" w:cs="宋体" w:eastAsia="宋体" w:hint="default"/>
                <w:b/>
                <w:bCs/>
                <w:sz w:val="18"/>
                <w:szCs w:val="18"/>
              </w:rPr>
              <w:t>任期终止日期</w:t>
            </w:r>
            <w:r>
              <w:rPr>
                <w:rFonts w:ascii="宋体" w:hAnsi="宋体" w:cs="宋体" w:eastAsia="宋体" w:hint="default"/>
                <w:sz w:val="18"/>
                <w:szCs w:val="18"/>
              </w:rPr>
            </w:r>
          </w:p>
        </w:tc>
      </w:tr>
      <w:tr>
        <w:trPr>
          <w:trHeight w:val="245"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汪世昌</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联通运营公司北京分公司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2"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蔡全根</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联通运营公司上海分公司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11</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2"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刘彩</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京信通信系统控股有限公司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2003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7</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5" w:hRule="exact"/>
        </w:trPr>
        <w:tc>
          <w:tcPr>
            <w:tcW w:w="9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赵纯均</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全国</w:t>
            </w:r>
            <w:r>
              <w:rPr>
                <w:rFonts w:ascii="宋体" w:hAnsi="宋体" w:cs="宋体" w:eastAsia="宋体" w:hint="default"/>
                <w:spacing w:val="-46"/>
                <w:sz w:val="18"/>
                <w:szCs w:val="18"/>
              </w:rPr>
              <w:t> </w:t>
            </w:r>
            <w:r>
              <w:rPr>
                <w:rFonts w:ascii="Arial" w:hAnsi="Arial" w:cs="Arial" w:eastAsia="Arial" w:hint="default"/>
                <w:sz w:val="18"/>
                <w:szCs w:val="18"/>
              </w:rPr>
              <w:t>MBA</w:t>
            </w:r>
            <w:r>
              <w:rPr>
                <w:rFonts w:ascii="Arial" w:hAnsi="Arial" w:cs="Arial" w:eastAsia="Arial" w:hint="default"/>
                <w:spacing w:val="-7"/>
                <w:sz w:val="18"/>
                <w:szCs w:val="18"/>
              </w:rPr>
              <w:t> </w:t>
            </w:r>
            <w:r>
              <w:rPr>
                <w:rFonts w:ascii="宋体" w:hAnsi="宋体" w:cs="宋体" w:eastAsia="宋体" w:hint="default"/>
                <w:sz w:val="18"/>
                <w:szCs w:val="18"/>
              </w:rPr>
              <w:t>教育指导委员会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7"/>
              <w:jc w:val="right"/>
              <w:rPr>
                <w:rFonts w:ascii="宋体" w:hAnsi="宋体" w:cs="宋体" w:eastAsia="宋体" w:hint="default"/>
                <w:sz w:val="18"/>
                <w:szCs w:val="18"/>
              </w:rPr>
            </w:pPr>
            <w:r>
              <w:rPr>
                <w:rFonts w:ascii="Arial" w:hAnsi="Arial" w:cs="Arial" w:eastAsia="Arial" w:hint="default"/>
                <w:sz w:val="18"/>
                <w:szCs w:val="18"/>
              </w:rPr>
              <w:t>1994</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98"/>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p>
        </w:tc>
      </w:tr>
      <w:tr>
        <w:trPr>
          <w:trHeight w:val="242" w:hRule="exact"/>
        </w:trPr>
        <w:tc>
          <w:tcPr>
            <w:tcW w:w="972" w:type="dxa"/>
            <w:vMerge/>
            <w:tcBorders>
              <w:left w:val="single" w:sz="4" w:space="0" w:color="000000"/>
              <w:right w:val="single" w:sz="4" w:space="0" w:color="000000"/>
            </w:tcBorders>
          </w:tcPr>
          <w:p>
            <w:pP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教育部社科委管理学部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学部召集人</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5" w:hRule="exact"/>
        </w:trPr>
        <w:tc>
          <w:tcPr>
            <w:tcW w:w="972" w:type="dxa"/>
            <w:vMerge/>
            <w:tcBorders>
              <w:left w:val="single" w:sz="4" w:space="0" w:color="000000"/>
              <w:right w:val="single" w:sz="4" w:space="0" w:color="000000"/>
            </w:tcBorders>
          </w:tcPr>
          <w:p>
            <w:pP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中国管理现代化研究会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2005</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2" w:hRule="exact"/>
        </w:trPr>
        <w:tc>
          <w:tcPr>
            <w:tcW w:w="972" w:type="dxa"/>
            <w:vMerge/>
            <w:tcBorders>
              <w:left w:val="single" w:sz="4" w:space="0" w:color="000000"/>
              <w:right w:val="single" w:sz="4" w:space="0" w:color="000000"/>
            </w:tcBorders>
          </w:tcPr>
          <w:p>
            <w:pP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中国企业研究会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2000</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5" w:hRule="exact"/>
        </w:trPr>
        <w:tc>
          <w:tcPr>
            <w:tcW w:w="972" w:type="dxa"/>
            <w:vMerge/>
            <w:tcBorders>
              <w:left w:val="single" w:sz="4" w:space="0" w:color="000000"/>
              <w:right w:val="single" w:sz="4" w:space="0" w:color="000000"/>
            </w:tcBorders>
          </w:tcPr>
          <w:p>
            <w:pP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中国工业经济联合会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高级副会长</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2005</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3" w:hRule="exact"/>
        </w:trPr>
        <w:tc>
          <w:tcPr>
            <w:tcW w:w="972" w:type="dxa"/>
            <w:vMerge/>
            <w:tcBorders>
              <w:left w:val="single" w:sz="4" w:space="0" w:color="000000"/>
              <w:right w:val="single" w:sz="4" w:space="0" w:color="000000"/>
            </w:tcBorders>
          </w:tcPr>
          <w:p>
            <w:pP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中国企业联合会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2" w:hRule="exact"/>
        </w:trPr>
        <w:tc>
          <w:tcPr>
            <w:tcW w:w="972" w:type="dxa"/>
            <w:vMerge/>
            <w:tcBorders>
              <w:left w:val="single" w:sz="4" w:space="0" w:color="000000"/>
              <w:right w:val="single" w:sz="4" w:space="0" w:color="000000"/>
            </w:tcBorders>
          </w:tcPr>
          <w:p>
            <w:pP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中国通信服务股份有限公司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2005</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5" w:hRule="exact"/>
        </w:trPr>
        <w:tc>
          <w:tcPr>
            <w:tcW w:w="972" w:type="dxa"/>
            <w:vMerge/>
            <w:tcBorders>
              <w:left w:val="single" w:sz="4" w:space="0" w:color="000000"/>
              <w:bottom w:val="single" w:sz="4" w:space="0" w:color="000000"/>
              <w:right w:val="single" w:sz="4" w:space="0" w:color="000000"/>
            </w:tcBorders>
          </w:tcPr>
          <w:p>
            <w:pP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东方电气股份有限公司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7"/>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2" w:hRule="exact"/>
        </w:trPr>
        <w:tc>
          <w:tcPr>
            <w:tcW w:w="9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张英海</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中国通信学会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副秘书长</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98"/>
              <w:jc w:val="righ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月</w:t>
            </w:r>
          </w:p>
        </w:tc>
      </w:tr>
      <w:tr>
        <w:trPr>
          <w:trHeight w:val="245" w:hRule="exact"/>
        </w:trPr>
        <w:tc>
          <w:tcPr>
            <w:tcW w:w="972" w:type="dxa"/>
            <w:vMerge/>
            <w:tcBorders>
              <w:left w:val="single" w:sz="4" w:space="0" w:color="000000"/>
              <w:right w:val="single" w:sz="4" w:space="0" w:color="000000"/>
            </w:tcBorders>
          </w:tcPr>
          <w:p>
            <w:pP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北京通信信息协会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7"/>
              <w:jc w:val="righ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98"/>
              <w:jc w:val="righ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月</w:t>
            </w:r>
          </w:p>
        </w:tc>
      </w:tr>
      <w:tr>
        <w:trPr>
          <w:trHeight w:val="242" w:hRule="exact"/>
        </w:trPr>
        <w:tc>
          <w:tcPr>
            <w:tcW w:w="972" w:type="dxa"/>
            <w:vMerge/>
            <w:tcBorders>
              <w:left w:val="single" w:sz="4" w:space="0" w:color="000000"/>
              <w:right w:val="single" w:sz="4" w:space="0" w:color="000000"/>
            </w:tcBorders>
          </w:tcPr>
          <w:p>
            <w:pP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北京梅泰诺通信技术股份公司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5" w:hRule="exact"/>
        </w:trPr>
        <w:tc>
          <w:tcPr>
            <w:tcW w:w="972" w:type="dxa"/>
            <w:vMerge/>
            <w:tcBorders>
              <w:left w:val="single" w:sz="4" w:space="0" w:color="000000"/>
              <w:right w:val="single" w:sz="4" w:space="0" w:color="000000"/>
            </w:tcBorders>
          </w:tcPr>
          <w:p>
            <w:pP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珠海世纪鼎利通信科技股份有限公司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2" w:hRule="exact"/>
        </w:trPr>
        <w:tc>
          <w:tcPr>
            <w:tcW w:w="972" w:type="dxa"/>
            <w:vMerge/>
            <w:tcBorders>
              <w:left w:val="single" w:sz="4" w:space="0" w:color="000000"/>
              <w:right w:val="single" w:sz="4" w:space="0" w:color="000000"/>
            </w:tcBorders>
          </w:tcPr>
          <w:p>
            <w:pP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8</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5" w:hRule="exact"/>
        </w:trPr>
        <w:tc>
          <w:tcPr>
            <w:tcW w:w="972" w:type="dxa"/>
            <w:vMerge/>
            <w:tcBorders>
              <w:left w:val="single" w:sz="4" w:space="0" w:color="000000"/>
              <w:bottom w:val="single" w:sz="4" w:space="0" w:color="000000"/>
              <w:right w:val="single" w:sz="4" w:space="0" w:color="000000"/>
            </w:tcBorders>
          </w:tcPr>
          <w:p>
            <w:pP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北京掌趣科技股份有限公司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2" w:hRule="exact"/>
        </w:trPr>
        <w:tc>
          <w:tcPr>
            <w:tcW w:w="9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夏大慰</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中国工业经济学会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1998</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2" w:hRule="exact"/>
        </w:trPr>
        <w:tc>
          <w:tcPr>
            <w:tcW w:w="972" w:type="dxa"/>
            <w:vMerge/>
            <w:tcBorders>
              <w:left w:val="single" w:sz="4" w:space="0" w:color="000000"/>
              <w:right w:val="single" w:sz="4" w:space="0" w:color="000000"/>
            </w:tcBorders>
          </w:tcPr>
          <w:p>
            <w:pP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财政部会计准则委员会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咨询专家</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2002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5" w:hRule="exact"/>
        </w:trPr>
        <w:tc>
          <w:tcPr>
            <w:tcW w:w="972" w:type="dxa"/>
            <w:vMerge/>
            <w:tcBorders>
              <w:left w:val="single" w:sz="4" w:space="0" w:color="000000"/>
              <w:right w:val="single" w:sz="4" w:space="0" w:color="000000"/>
            </w:tcBorders>
          </w:tcPr>
          <w:p>
            <w:pP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财政部企业内部控制标准委员会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7"/>
              <w:jc w:val="righ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2" w:hRule="exact"/>
        </w:trPr>
        <w:tc>
          <w:tcPr>
            <w:tcW w:w="972" w:type="dxa"/>
            <w:vMerge/>
            <w:tcBorders>
              <w:left w:val="single" w:sz="4" w:space="0" w:color="000000"/>
              <w:right w:val="single" w:sz="4" w:space="0" w:color="000000"/>
            </w:tcBorders>
          </w:tcPr>
          <w:p>
            <w:pP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香港中文大学</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名誉教授</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2004</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5" w:hRule="exact"/>
        </w:trPr>
        <w:tc>
          <w:tcPr>
            <w:tcW w:w="972" w:type="dxa"/>
            <w:vMerge/>
            <w:tcBorders>
              <w:left w:val="single" w:sz="4" w:space="0" w:color="000000"/>
              <w:right w:val="single" w:sz="4" w:space="0" w:color="000000"/>
            </w:tcBorders>
          </w:tcPr>
          <w:p>
            <w:pP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复旦大学管理学院</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兼职教授</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2003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3" w:hRule="exact"/>
        </w:trPr>
        <w:tc>
          <w:tcPr>
            <w:tcW w:w="972" w:type="dxa"/>
            <w:vMerge/>
            <w:tcBorders>
              <w:left w:val="single" w:sz="4" w:space="0" w:color="000000"/>
              <w:right w:val="single" w:sz="4" w:space="0" w:color="000000"/>
            </w:tcBorders>
          </w:tcPr>
          <w:p>
            <w:pP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上海证券交易所上市公司专家委员会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7"/>
              <w:jc w:val="right"/>
              <w:rPr>
                <w:rFonts w:ascii="宋体" w:hAnsi="宋体" w:cs="宋体" w:eastAsia="宋体" w:hint="default"/>
                <w:sz w:val="18"/>
                <w:szCs w:val="18"/>
              </w:rPr>
            </w:pPr>
            <w:r>
              <w:rPr>
                <w:rFonts w:ascii="Arial" w:hAnsi="Arial" w:cs="Arial" w:eastAsia="Arial" w:hint="default"/>
                <w:sz w:val="18"/>
                <w:szCs w:val="18"/>
              </w:rPr>
              <w:t>2001</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5" w:hRule="exact"/>
        </w:trPr>
        <w:tc>
          <w:tcPr>
            <w:tcW w:w="972" w:type="dxa"/>
            <w:vMerge/>
            <w:tcBorders>
              <w:left w:val="single" w:sz="4" w:space="0" w:color="000000"/>
              <w:right w:val="single" w:sz="4" w:space="0" w:color="000000"/>
            </w:tcBorders>
          </w:tcPr>
          <w:p>
            <w:pP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联华超市股份有限公司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2004</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2" w:hRule="exact"/>
        </w:trPr>
        <w:tc>
          <w:tcPr>
            <w:tcW w:w="972" w:type="dxa"/>
            <w:vMerge/>
            <w:tcBorders>
              <w:left w:val="single" w:sz="4" w:space="0" w:color="000000"/>
              <w:right w:val="single" w:sz="4" w:space="0" w:color="000000"/>
            </w:tcBorders>
          </w:tcPr>
          <w:p>
            <w:pP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上海电力股份有限公司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r>
        <w:trPr>
          <w:trHeight w:val="245" w:hRule="exact"/>
        </w:trPr>
        <w:tc>
          <w:tcPr>
            <w:tcW w:w="972" w:type="dxa"/>
            <w:vMerge/>
            <w:tcBorders>
              <w:left w:val="single" w:sz="4" w:space="0" w:color="000000"/>
              <w:bottom w:val="single" w:sz="4" w:space="0" w:color="000000"/>
              <w:right w:val="single" w:sz="4" w:space="0" w:color="000000"/>
            </w:tcBorders>
          </w:tcPr>
          <w:p>
            <w:pP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中国熔盛重工集团控股有限公司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至今</w:t>
            </w:r>
          </w:p>
        </w:tc>
      </w:tr>
    </w:tbl>
    <w:p>
      <w:pPr>
        <w:spacing w:line="240" w:lineRule="auto" w:before="7"/>
        <w:rPr>
          <w:rFonts w:ascii="宋体" w:hAnsi="宋体" w:cs="宋体" w:eastAsia="宋体" w:hint="default"/>
          <w:b/>
          <w:bCs/>
          <w:sz w:val="17"/>
          <w:szCs w:val="17"/>
        </w:rPr>
      </w:pPr>
    </w:p>
    <w:p>
      <w:pPr>
        <w:spacing w:before="36"/>
        <w:ind w:left="138" w:right="119" w:firstLine="0"/>
        <w:jc w:val="left"/>
        <w:rPr>
          <w:rFonts w:ascii="宋体" w:hAnsi="宋体" w:cs="宋体" w:eastAsia="宋体" w:hint="default"/>
          <w:sz w:val="21"/>
          <w:szCs w:val="21"/>
        </w:rPr>
      </w:pPr>
      <w:r>
        <w:rPr>
          <w:rFonts w:ascii="宋体" w:hAnsi="宋体" w:cs="宋体" w:eastAsia="宋体" w:hint="default"/>
          <w:b/>
          <w:bCs/>
          <w:sz w:val="21"/>
          <w:szCs w:val="21"/>
        </w:rPr>
        <w:t>三、董事、监事、高级管理人员报酬情况</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tbl>
      <w:tblPr>
        <w:tblW w:w="0" w:type="auto"/>
        <w:jc w:val="left"/>
        <w:tblInd w:w="560" w:type="dxa"/>
        <w:tblLayout w:type="fixed"/>
        <w:tblCellMar>
          <w:top w:w="0" w:type="dxa"/>
          <w:left w:w="0" w:type="dxa"/>
          <w:bottom w:w="0" w:type="dxa"/>
          <w:right w:w="0" w:type="dxa"/>
        </w:tblCellMar>
        <w:tblLook w:val="01E0"/>
      </w:tblPr>
      <w:tblGrid>
        <w:gridCol w:w="2276"/>
        <w:gridCol w:w="6241"/>
      </w:tblGrid>
      <w:tr>
        <w:trPr>
          <w:trHeight w:val="478" w:hRule="exact"/>
        </w:trPr>
        <w:tc>
          <w:tcPr>
            <w:tcW w:w="227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pacing w:val="7"/>
                <w:sz w:val="18"/>
                <w:szCs w:val="18"/>
              </w:rPr>
              <w:t>董事、监事、高级管理人</w:t>
            </w:r>
            <w:r>
              <w:rPr>
                <w:rFonts w:ascii="宋体" w:hAnsi="宋体" w:cs="宋体" w:eastAsia="宋体" w:hint="default"/>
                <w:spacing w:val="7"/>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b/>
                <w:bCs/>
                <w:sz w:val="18"/>
                <w:szCs w:val="18"/>
              </w:rPr>
              <w:t>员报酬的决策程序</w:t>
            </w:r>
            <w:r>
              <w:rPr>
                <w:rFonts w:ascii="宋体" w:hAnsi="宋体" w:cs="宋体" w:eastAsia="宋体" w:hint="default"/>
                <w:sz w:val="18"/>
                <w:szCs w:val="18"/>
              </w:rPr>
            </w:r>
          </w:p>
        </w:tc>
        <w:tc>
          <w:tcPr>
            <w:tcW w:w="6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董事和监事的报酬，由董事会、监事会分别拟订方案，提交股东大会审议。</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高级管理人员的报酬，由董事会制定薪酬标准并组织考核确定。</w:t>
            </w:r>
          </w:p>
        </w:tc>
      </w:tr>
      <w:tr>
        <w:trPr>
          <w:trHeight w:val="478" w:hRule="exact"/>
        </w:trPr>
        <w:tc>
          <w:tcPr>
            <w:tcW w:w="227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b/>
                <w:bCs/>
                <w:spacing w:val="7"/>
                <w:sz w:val="18"/>
                <w:szCs w:val="18"/>
              </w:rPr>
              <w:t>董事、监事、高级管理人</w:t>
            </w:r>
            <w:r>
              <w:rPr>
                <w:rFonts w:ascii="宋体" w:hAnsi="宋体" w:cs="宋体" w:eastAsia="宋体" w:hint="default"/>
                <w:spacing w:val="7"/>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员报酬确定依据</w:t>
            </w:r>
            <w:r>
              <w:rPr>
                <w:rFonts w:ascii="宋体" w:hAnsi="宋体" w:cs="宋体" w:eastAsia="宋体" w:hint="default"/>
                <w:sz w:val="18"/>
                <w:szCs w:val="18"/>
              </w:rPr>
            </w:r>
          </w:p>
        </w:tc>
        <w:tc>
          <w:tcPr>
            <w:tcW w:w="6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高级管理人员的报酬，由董事会制定薪酬标准并组织考核确定。</w:t>
            </w:r>
          </w:p>
        </w:tc>
      </w:tr>
      <w:tr>
        <w:trPr>
          <w:trHeight w:val="475" w:hRule="exact"/>
        </w:trPr>
        <w:tc>
          <w:tcPr>
            <w:tcW w:w="227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b/>
                <w:bCs/>
                <w:spacing w:val="7"/>
                <w:sz w:val="18"/>
                <w:szCs w:val="18"/>
              </w:rPr>
              <w:t>董事、监事和高级管理人</w:t>
            </w:r>
            <w:r>
              <w:rPr>
                <w:rFonts w:ascii="宋体" w:hAnsi="宋体" w:cs="宋体" w:eastAsia="宋体" w:hint="default"/>
                <w:spacing w:val="7"/>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员报酬的应付报酬情况</w:t>
            </w:r>
            <w:r>
              <w:rPr>
                <w:rFonts w:ascii="宋体" w:hAnsi="宋体" w:cs="宋体" w:eastAsia="宋体" w:hint="default"/>
                <w:sz w:val="18"/>
                <w:szCs w:val="18"/>
              </w:rPr>
            </w:r>
          </w:p>
        </w:tc>
        <w:tc>
          <w:tcPr>
            <w:tcW w:w="6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董事、监事和高级管理人员报酬的应付报酬合计为：</w:t>
            </w:r>
            <w:r>
              <w:rPr>
                <w:rFonts w:ascii="Arial" w:hAnsi="Arial" w:cs="Arial" w:eastAsia="Arial" w:hint="default"/>
                <w:sz w:val="18"/>
                <w:szCs w:val="18"/>
              </w:rPr>
              <w:t>689.18</w:t>
            </w:r>
            <w:r>
              <w:rPr>
                <w:rFonts w:ascii="Arial" w:hAnsi="Arial" w:cs="Arial" w:eastAsia="Arial" w:hint="default"/>
                <w:spacing w:val="-8"/>
                <w:sz w:val="18"/>
                <w:szCs w:val="18"/>
              </w:rPr>
              <w:t> </w:t>
            </w:r>
            <w:r>
              <w:rPr>
                <w:rFonts w:ascii="宋体" w:hAnsi="宋体" w:cs="宋体" w:eastAsia="宋体" w:hint="default"/>
                <w:sz w:val="18"/>
                <w:szCs w:val="18"/>
              </w:rPr>
              <w:t>万元。</w:t>
            </w:r>
          </w:p>
        </w:tc>
      </w:tr>
      <w:tr>
        <w:trPr>
          <w:trHeight w:val="711" w:hRule="exact"/>
        </w:trPr>
        <w:tc>
          <w:tcPr>
            <w:tcW w:w="227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pacing w:val="7"/>
                <w:sz w:val="18"/>
                <w:szCs w:val="18"/>
              </w:rPr>
              <w:t>报告期末全体董事、监事</w:t>
            </w:r>
            <w:r>
              <w:rPr>
                <w:rFonts w:ascii="宋体" w:hAnsi="宋体" w:cs="宋体" w:eastAsia="宋体" w:hint="default"/>
                <w:spacing w:val="7"/>
                <w:sz w:val="18"/>
                <w:szCs w:val="18"/>
              </w:rPr>
            </w:r>
          </w:p>
          <w:p>
            <w:pPr>
              <w:pStyle w:val="TableParagraph"/>
              <w:spacing w:line="232" w:lineRule="exact" w:before="25"/>
              <w:ind w:left="100" w:right="103"/>
              <w:jc w:val="left"/>
              <w:rPr>
                <w:rFonts w:ascii="宋体" w:hAnsi="宋体" w:cs="宋体" w:eastAsia="宋体" w:hint="default"/>
                <w:sz w:val="18"/>
                <w:szCs w:val="18"/>
              </w:rPr>
            </w:pPr>
            <w:r>
              <w:rPr>
                <w:rFonts w:ascii="宋体" w:hAnsi="宋体" w:cs="宋体" w:eastAsia="宋体" w:hint="default"/>
                <w:b/>
                <w:bCs/>
                <w:spacing w:val="7"/>
                <w:sz w:val="18"/>
                <w:szCs w:val="18"/>
              </w:rPr>
              <w:t>和高级管理人员实际获得</w:t>
            </w:r>
            <w:r>
              <w:rPr>
                <w:rFonts w:ascii="宋体" w:hAnsi="宋体" w:cs="宋体" w:eastAsia="宋体" w:hint="default"/>
                <w:b/>
                <w:bCs/>
                <w:w w:val="99"/>
                <w:sz w:val="18"/>
                <w:szCs w:val="18"/>
              </w:rPr>
              <w:t> </w:t>
            </w:r>
            <w:r>
              <w:rPr>
                <w:rFonts w:ascii="宋体" w:hAnsi="宋体" w:cs="宋体" w:eastAsia="宋体" w:hint="default"/>
                <w:b/>
                <w:bCs/>
                <w:sz w:val="18"/>
                <w:szCs w:val="18"/>
              </w:rPr>
              <w:t>的报酬合计</w:t>
            </w:r>
            <w:r>
              <w:rPr>
                <w:rFonts w:ascii="宋体" w:hAnsi="宋体" w:cs="宋体" w:eastAsia="宋体" w:hint="default"/>
                <w:sz w:val="18"/>
                <w:szCs w:val="18"/>
              </w:rPr>
            </w:r>
          </w:p>
        </w:tc>
        <w:tc>
          <w:tcPr>
            <w:tcW w:w="6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考核后支付。</w:t>
            </w:r>
          </w:p>
        </w:tc>
      </w:tr>
    </w:tbl>
    <w:p>
      <w:pPr>
        <w:spacing w:after="0" w:line="240" w:lineRule="auto"/>
        <w:jc w:val="left"/>
        <w:rPr>
          <w:rFonts w:ascii="宋体" w:hAnsi="宋体" w:cs="宋体" w:eastAsia="宋体" w:hint="default"/>
          <w:sz w:val="18"/>
          <w:szCs w:val="18"/>
        </w:rPr>
        <w:sectPr>
          <w:pgSz w:w="11910" w:h="16840"/>
          <w:pgMar w:header="880" w:footer="1194" w:top="1120" w:bottom="1380" w:left="1660" w:right="1040"/>
        </w:sectPr>
      </w:pPr>
    </w:p>
    <w:p>
      <w:pPr>
        <w:spacing w:line="240" w:lineRule="auto" w:before="11"/>
        <w:rPr>
          <w:rFonts w:ascii="宋体" w:hAnsi="宋体" w:cs="宋体" w:eastAsia="宋体" w:hint="default"/>
          <w:b/>
          <w:bCs/>
          <w:sz w:val="29"/>
          <w:szCs w:val="29"/>
        </w:rPr>
      </w:pPr>
    </w:p>
    <w:p>
      <w:pPr>
        <w:spacing w:before="36"/>
        <w:ind w:left="138" w:right="119" w:firstLine="0"/>
        <w:jc w:val="left"/>
        <w:rPr>
          <w:rFonts w:ascii="宋体" w:hAnsi="宋体" w:cs="宋体" w:eastAsia="宋体" w:hint="default"/>
          <w:sz w:val="21"/>
          <w:szCs w:val="21"/>
        </w:rPr>
      </w:pPr>
      <w:r>
        <w:rPr>
          <w:rFonts w:ascii="宋体" w:hAnsi="宋体" w:cs="宋体" w:eastAsia="宋体" w:hint="default"/>
          <w:b/>
          <w:bCs/>
          <w:sz w:val="21"/>
          <w:szCs w:val="21"/>
        </w:rPr>
        <w:t>四、公司董事、监事、高级管理人员变动情况</w:t>
      </w:r>
      <w:r>
        <w:rPr>
          <w:rFonts w:ascii="宋体" w:hAnsi="宋体" w:cs="宋体" w:eastAsia="宋体" w:hint="default"/>
          <w:sz w:val="21"/>
          <w:szCs w:val="21"/>
        </w:rPr>
      </w:r>
    </w:p>
    <w:p>
      <w:pPr>
        <w:spacing w:line="240" w:lineRule="auto" w:before="12"/>
        <w:rPr>
          <w:rFonts w:ascii="宋体" w:hAnsi="宋体" w:cs="宋体" w:eastAsia="宋体" w:hint="default"/>
          <w:b/>
          <w:bCs/>
          <w:sz w:val="27"/>
          <w:szCs w:val="27"/>
        </w:rPr>
      </w:pPr>
    </w:p>
    <w:tbl>
      <w:tblPr>
        <w:tblW w:w="0" w:type="auto"/>
        <w:jc w:val="left"/>
        <w:tblInd w:w="560" w:type="dxa"/>
        <w:tblLayout w:type="fixed"/>
        <w:tblCellMar>
          <w:top w:w="0" w:type="dxa"/>
          <w:left w:w="0" w:type="dxa"/>
          <w:bottom w:w="0" w:type="dxa"/>
          <w:right w:w="0" w:type="dxa"/>
        </w:tblCellMar>
        <w:tblLook w:val="01E0"/>
      </w:tblPr>
      <w:tblGrid>
        <w:gridCol w:w="850"/>
        <w:gridCol w:w="1133"/>
        <w:gridCol w:w="994"/>
        <w:gridCol w:w="5541"/>
      </w:tblGrid>
      <w:tr>
        <w:trPr>
          <w:trHeight w:val="244" w:hRule="exact"/>
        </w:trPr>
        <w:tc>
          <w:tcPr>
            <w:tcW w:w="85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7" w:lineRule="exact"/>
              <w:ind w:right="239"/>
              <w:jc w:val="right"/>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担任的职务</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7" w:lineRule="exact"/>
              <w:ind w:left="129" w:right="0"/>
              <w:jc w:val="left"/>
              <w:rPr>
                <w:rFonts w:ascii="宋体" w:hAnsi="宋体" w:cs="宋体" w:eastAsia="宋体" w:hint="default"/>
                <w:sz w:val="18"/>
                <w:szCs w:val="18"/>
              </w:rPr>
            </w:pPr>
            <w:r>
              <w:rPr>
                <w:rFonts w:ascii="宋体" w:hAnsi="宋体" w:cs="宋体" w:eastAsia="宋体" w:hint="default"/>
                <w:b/>
                <w:bCs/>
                <w:sz w:val="18"/>
                <w:szCs w:val="18"/>
              </w:rPr>
              <w:t>变动情形</w:t>
            </w:r>
            <w:r>
              <w:rPr>
                <w:rFonts w:ascii="宋体" w:hAnsi="宋体" w:cs="宋体" w:eastAsia="宋体" w:hint="default"/>
                <w:sz w:val="18"/>
                <w:szCs w:val="18"/>
              </w:rPr>
            </w:r>
          </w:p>
        </w:tc>
        <w:tc>
          <w:tcPr>
            <w:tcW w:w="554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变动原因</w:t>
            </w:r>
            <w:r>
              <w:rPr>
                <w:rFonts w:ascii="宋体" w:hAnsi="宋体" w:cs="宋体" w:eastAsia="宋体" w:hint="default"/>
                <w:sz w:val="18"/>
                <w:szCs w:val="18"/>
              </w:rPr>
            </w:r>
          </w:p>
        </w:tc>
      </w:tr>
      <w:tr>
        <w:trPr>
          <w:trHeight w:val="24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7"/>
              <w:jc w:val="right"/>
              <w:rPr>
                <w:rFonts w:ascii="宋体" w:hAnsi="宋体" w:cs="宋体" w:eastAsia="宋体" w:hint="default"/>
                <w:sz w:val="18"/>
                <w:szCs w:val="18"/>
              </w:rPr>
            </w:pPr>
            <w:r>
              <w:rPr>
                <w:rFonts w:ascii="宋体" w:hAnsi="宋体" w:cs="宋体" w:eastAsia="宋体" w:hint="default"/>
                <w:sz w:val="18"/>
                <w:szCs w:val="18"/>
              </w:rPr>
              <w:t>佟吉禄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因工作变动原因，不再担任。</w:t>
            </w:r>
          </w:p>
        </w:tc>
      </w:tr>
      <w:tr>
        <w:trPr>
          <w:trHeight w:val="47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7"/>
              <w:jc w:val="right"/>
              <w:rPr>
                <w:rFonts w:ascii="宋体" w:hAnsi="宋体" w:cs="宋体" w:eastAsia="宋体" w:hint="default"/>
                <w:sz w:val="18"/>
                <w:szCs w:val="18"/>
              </w:rPr>
            </w:pPr>
            <w:r>
              <w:rPr>
                <w:rFonts w:ascii="宋体" w:hAnsi="宋体" w:cs="宋体" w:eastAsia="宋体" w:hint="default"/>
                <w:sz w:val="18"/>
                <w:szCs w:val="18"/>
              </w:rPr>
              <w:t>张钧安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554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36"/>
                <w:sz w:val="18"/>
                <w:szCs w:val="18"/>
              </w:rPr>
              <w:t> </w:t>
            </w:r>
            <w:r>
              <w:rPr>
                <w:rFonts w:ascii="Arial" w:hAnsi="Arial" w:cs="Arial" w:eastAsia="Arial" w:hint="default"/>
                <w:sz w:val="18"/>
                <w:szCs w:val="18"/>
              </w:rPr>
              <w:t>2014</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Arial" w:hAnsi="Arial" w:cs="Arial" w:eastAsia="Arial" w:hint="default"/>
                <w:sz w:val="18"/>
                <w:szCs w:val="18"/>
              </w:rPr>
              <w:t>11</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Arial" w:hAnsi="Arial" w:cs="Arial" w:eastAsia="Arial" w:hint="default"/>
                <w:sz w:val="18"/>
                <w:szCs w:val="18"/>
              </w:rPr>
              <w:t>6</w:t>
            </w:r>
            <w:r>
              <w:rPr>
                <w:rFonts w:ascii="Arial" w:hAnsi="Arial" w:cs="Arial" w:eastAsia="Arial" w:hint="default"/>
                <w:spacing w:val="4"/>
                <w:sz w:val="18"/>
                <w:szCs w:val="18"/>
              </w:rPr>
              <w:t> </w:t>
            </w:r>
            <w:r>
              <w:rPr>
                <w:rFonts w:ascii="宋体" w:hAnsi="宋体" w:cs="宋体" w:eastAsia="宋体" w:hint="default"/>
                <w:sz w:val="18"/>
                <w:szCs w:val="18"/>
              </w:rPr>
              <w:t>日召开的公司</w:t>
            </w:r>
            <w:r>
              <w:rPr>
                <w:rFonts w:ascii="宋体" w:hAnsi="宋体" w:cs="宋体" w:eastAsia="宋体" w:hint="default"/>
                <w:spacing w:val="-36"/>
                <w:sz w:val="18"/>
                <w:szCs w:val="18"/>
              </w:rPr>
              <w:t> </w:t>
            </w:r>
            <w:r>
              <w:rPr>
                <w:rFonts w:ascii="Arial" w:hAnsi="Arial" w:cs="Arial" w:eastAsia="Arial" w:hint="default"/>
                <w:sz w:val="18"/>
                <w:szCs w:val="18"/>
              </w:rPr>
              <w:t>2014</w:t>
            </w:r>
            <w:r>
              <w:rPr>
                <w:rFonts w:ascii="Arial" w:hAnsi="Arial" w:cs="Arial" w:eastAsia="Arial" w:hint="default"/>
                <w:spacing w:val="4"/>
                <w:sz w:val="18"/>
                <w:szCs w:val="18"/>
              </w:rPr>
              <w:t> </w:t>
            </w:r>
            <w:r>
              <w:rPr>
                <w:rFonts w:ascii="宋体" w:hAnsi="宋体" w:cs="宋体" w:eastAsia="宋体" w:hint="default"/>
                <w:sz w:val="18"/>
                <w:szCs w:val="18"/>
              </w:rPr>
              <w:t>年第一次临时股东大会</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审议批准。</w:t>
            </w:r>
          </w:p>
        </w:tc>
      </w:tr>
      <w:tr>
        <w:trPr>
          <w:trHeight w:val="24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7"/>
              <w:jc w:val="right"/>
              <w:rPr>
                <w:rFonts w:ascii="宋体" w:hAnsi="宋体" w:cs="宋体" w:eastAsia="宋体" w:hint="default"/>
                <w:sz w:val="18"/>
                <w:szCs w:val="18"/>
              </w:rPr>
            </w:pPr>
            <w:r>
              <w:rPr>
                <w:rFonts w:ascii="宋体" w:hAnsi="宋体" w:cs="宋体" w:eastAsia="宋体" w:hint="default"/>
                <w:sz w:val="18"/>
                <w:szCs w:val="18"/>
              </w:rPr>
              <w:t>郭小林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因个人原因辞任，不再担任。</w:t>
            </w:r>
          </w:p>
        </w:tc>
      </w:tr>
      <w:tr>
        <w:trPr>
          <w:trHeight w:val="24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7"/>
              <w:jc w:val="right"/>
              <w:rPr>
                <w:rFonts w:ascii="宋体" w:hAnsi="宋体" w:cs="宋体" w:eastAsia="宋体" w:hint="default"/>
                <w:sz w:val="18"/>
                <w:szCs w:val="18"/>
              </w:rPr>
            </w:pPr>
            <w:r>
              <w:rPr>
                <w:rFonts w:ascii="宋体" w:hAnsi="宋体" w:cs="宋体" w:eastAsia="宋体" w:hint="default"/>
                <w:sz w:val="18"/>
                <w:szCs w:val="18"/>
              </w:rPr>
              <w:t>郭晓科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5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因工作变动原因，不再担任。</w:t>
            </w:r>
          </w:p>
        </w:tc>
      </w:tr>
      <w:tr>
        <w:trPr>
          <w:trHeight w:val="47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7"/>
              <w:jc w:val="right"/>
              <w:rPr>
                <w:rFonts w:ascii="宋体" w:hAnsi="宋体" w:cs="宋体" w:eastAsia="宋体" w:hint="default"/>
                <w:sz w:val="18"/>
                <w:szCs w:val="18"/>
              </w:rPr>
            </w:pPr>
            <w:r>
              <w:rPr>
                <w:rFonts w:ascii="宋体" w:hAnsi="宋体" w:cs="宋体" w:eastAsia="宋体" w:hint="default"/>
                <w:sz w:val="18"/>
                <w:szCs w:val="18"/>
              </w:rPr>
              <w:t>蔡全根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554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9"/>
                <w:sz w:val="18"/>
                <w:szCs w:val="18"/>
              </w:rPr>
              <w:t> </w:t>
            </w:r>
            <w:r>
              <w:rPr>
                <w:rFonts w:ascii="Arial" w:hAnsi="Arial" w:cs="Arial" w:eastAsia="Arial" w:hint="default"/>
                <w:sz w:val="18"/>
                <w:szCs w:val="18"/>
              </w:rPr>
              <w:t>2014</w:t>
            </w:r>
            <w:r>
              <w:rPr>
                <w:rFonts w:ascii="Arial" w:hAnsi="Arial" w:cs="Arial" w:eastAsia="Arial"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11</w:t>
            </w:r>
            <w:r>
              <w:rPr>
                <w:rFonts w:ascii="Arial" w:hAnsi="Arial" w:cs="Arial" w:eastAsia="Arial"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Arial" w:hAnsi="Arial" w:cs="Arial" w:eastAsia="Arial" w:hint="default"/>
                <w:sz w:val="18"/>
                <w:szCs w:val="18"/>
              </w:rPr>
              <w:t>24</w:t>
            </w:r>
            <w:r>
              <w:rPr>
                <w:rFonts w:ascii="Arial" w:hAnsi="Arial" w:cs="Arial" w:eastAsia="Arial" w:hint="default"/>
                <w:spacing w:val="-9"/>
                <w:sz w:val="18"/>
                <w:szCs w:val="18"/>
              </w:rPr>
              <w:t> </w:t>
            </w:r>
            <w:r>
              <w:rPr>
                <w:rFonts w:ascii="宋体" w:hAnsi="宋体" w:cs="宋体" w:eastAsia="宋体" w:hint="default"/>
                <w:sz w:val="18"/>
                <w:szCs w:val="18"/>
              </w:rPr>
              <w:t>日召开的公司</w:t>
            </w:r>
            <w:r>
              <w:rPr>
                <w:rFonts w:ascii="宋体" w:hAnsi="宋体" w:cs="宋体" w:eastAsia="宋体" w:hint="default"/>
                <w:spacing w:val="-49"/>
                <w:sz w:val="18"/>
                <w:szCs w:val="18"/>
              </w:rPr>
              <w:t> </w:t>
            </w:r>
            <w:r>
              <w:rPr>
                <w:rFonts w:ascii="Arial" w:hAnsi="Arial" w:cs="Arial" w:eastAsia="Arial" w:hint="default"/>
                <w:sz w:val="18"/>
                <w:szCs w:val="18"/>
              </w:rPr>
              <w:t>2014</w:t>
            </w:r>
            <w:r>
              <w:rPr>
                <w:rFonts w:ascii="Arial" w:hAnsi="Arial" w:cs="Arial" w:eastAsia="Arial" w:hint="default"/>
                <w:spacing w:val="-9"/>
                <w:sz w:val="18"/>
                <w:szCs w:val="18"/>
              </w:rPr>
              <w:t> </w:t>
            </w:r>
            <w:r>
              <w:rPr>
                <w:rFonts w:ascii="宋体" w:hAnsi="宋体" w:cs="宋体" w:eastAsia="宋体" w:hint="default"/>
                <w:sz w:val="18"/>
                <w:szCs w:val="18"/>
              </w:rPr>
              <w:t>年第二次临时股东大会审议</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批准。</w:t>
            </w:r>
          </w:p>
        </w:tc>
      </w:tr>
      <w:tr>
        <w:trPr>
          <w:trHeight w:val="24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7"/>
              <w:jc w:val="right"/>
              <w:rPr>
                <w:rFonts w:ascii="宋体" w:hAnsi="宋体" w:cs="宋体" w:eastAsia="宋体" w:hint="default"/>
                <w:sz w:val="18"/>
                <w:szCs w:val="18"/>
              </w:rPr>
            </w:pPr>
            <w:r>
              <w:rPr>
                <w:rFonts w:ascii="宋体" w:hAnsi="宋体" w:cs="宋体" w:eastAsia="宋体" w:hint="default"/>
                <w:sz w:val="18"/>
                <w:szCs w:val="18"/>
              </w:rPr>
              <w:t>汪世昌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选举</w:t>
            </w:r>
          </w:p>
        </w:tc>
        <w:tc>
          <w:tcPr>
            <w:tcW w:w="55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公司第一届职工代表大会第十一次会议选举担任。</w:t>
            </w:r>
          </w:p>
        </w:tc>
      </w:tr>
    </w:tbl>
    <w:p>
      <w:pPr>
        <w:spacing w:line="240" w:lineRule="auto" w:before="10"/>
        <w:rPr>
          <w:rFonts w:ascii="宋体" w:hAnsi="宋体" w:cs="宋体" w:eastAsia="宋体" w:hint="default"/>
          <w:b/>
          <w:bCs/>
          <w:sz w:val="17"/>
          <w:szCs w:val="17"/>
        </w:rPr>
      </w:pPr>
    </w:p>
    <w:p>
      <w:pPr>
        <w:spacing w:before="36"/>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五、公司核心技术团队或关键技术人员情况</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line="230" w:lineRule="auto" w:before="0"/>
        <w:ind w:left="138" w:right="225" w:firstLine="0"/>
        <w:jc w:val="both"/>
        <w:rPr>
          <w:rFonts w:ascii="宋体" w:hAnsi="宋体" w:cs="宋体" w:eastAsia="宋体" w:hint="default"/>
          <w:sz w:val="21"/>
          <w:szCs w:val="21"/>
        </w:rPr>
      </w:pPr>
      <w:r>
        <w:rPr>
          <w:rFonts w:ascii="宋体" w:hAnsi="宋体" w:cs="宋体" w:eastAsia="宋体" w:hint="default"/>
          <w:spacing w:val="-2"/>
          <w:sz w:val="21"/>
          <w:szCs w:val="21"/>
        </w:rPr>
        <w:t>我公司一直重视核心人才的管理及培养，年内针对行业应用专家制定印发了工作管理办法；通过</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9"/>
          <w:w w:val="100"/>
          <w:sz w:val="21"/>
          <w:szCs w:val="21"/>
        </w:rPr>
        <w:t>高层次人才创新创业基地吸引、培养公司高层次研发团队，累计引进</w:t>
      </w:r>
      <w:r>
        <w:rPr>
          <w:rFonts w:ascii="宋体" w:hAnsi="宋体" w:cs="宋体" w:eastAsia="宋体" w:hint="default"/>
          <w:spacing w:val="-41"/>
          <w:w w:val="100"/>
          <w:sz w:val="21"/>
          <w:szCs w:val="21"/>
        </w:rPr>
        <w:t> </w:t>
      </w:r>
      <w:r>
        <w:rPr>
          <w:rFonts w:ascii="Arial" w:hAnsi="Arial" w:cs="Arial" w:eastAsia="Arial" w:hint="default"/>
          <w:w w:val="100"/>
          <w:sz w:val="21"/>
          <w:szCs w:val="21"/>
        </w:rPr>
        <w:t>4</w:t>
      </w:r>
      <w:r>
        <w:rPr>
          <w:rFonts w:ascii="Arial" w:hAnsi="Arial" w:cs="Arial" w:eastAsia="Arial" w:hint="default"/>
          <w:spacing w:val="3"/>
          <w:w w:val="100"/>
          <w:sz w:val="21"/>
          <w:szCs w:val="21"/>
        </w:rPr>
        <w:t> </w:t>
      </w:r>
      <w:r>
        <w:rPr>
          <w:rFonts w:ascii="宋体" w:hAnsi="宋体" w:cs="宋体" w:eastAsia="宋体" w:hint="default"/>
          <w:spacing w:val="-2"/>
          <w:w w:val="100"/>
          <w:sz w:val="21"/>
          <w:szCs w:val="21"/>
        </w:rPr>
        <w:t>名海外高层次“千人计划”</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3"/>
          <w:sz w:val="21"/>
          <w:szCs w:val="21"/>
        </w:rPr>
        <w:t>特聘专家；</w:t>
      </w:r>
      <w:r>
        <w:rPr>
          <w:rFonts w:ascii="Arial" w:hAnsi="Arial" w:cs="Arial" w:eastAsia="Arial" w:hint="default"/>
          <w:spacing w:val="-3"/>
          <w:sz w:val="21"/>
          <w:szCs w:val="21"/>
        </w:rPr>
        <w:t>1</w:t>
      </w:r>
      <w:r>
        <w:rPr>
          <w:rFonts w:ascii="Arial" w:hAnsi="Arial" w:cs="Arial" w:eastAsia="Arial" w:hint="default"/>
          <w:spacing w:val="-10"/>
          <w:sz w:val="21"/>
          <w:szCs w:val="21"/>
        </w:rPr>
        <w:t> </w:t>
      </w:r>
      <w:r>
        <w:rPr>
          <w:rFonts w:ascii="宋体" w:hAnsi="宋体" w:cs="宋体" w:eastAsia="宋体" w:hint="default"/>
          <w:sz w:val="21"/>
          <w:szCs w:val="21"/>
        </w:rPr>
        <w:t>人入选</w:t>
      </w:r>
      <w:r>
        <w:rPr>
          <w:rFonts w:ascii="宋体" w:hAnsi="宋体" w:cs="宋体" w:eastAsia="宋体" w:hint="default"/>
          <w:spacing w:val="-59"/>
          <w:sz w:val="21"/>
          <w:szCs w:val="21"/>
        </w:rPr>
        <w:t> </w:t>
      </w:r>
      <w:r>
        <w:rPr>
          <w:rFonts w:ascii="Arial" w:hAnsi="Arial" w:cs="Arial" w:eastAsia="Arial" w:hint="default"/>
          <w:sz w:val="21"/>
          <w:szCs w:val="21"/>
        </w:rPr>
        <w:t>2014</w:t>
      </w:r>
      <w:r>
        <w:rPr>
          <w:rFonts w:ascii="Arial" w:hAnsi="Arial" w:cs="Arial" w:eastAsia="Arial" w:hint="default"/>
          <w:spacing w:val="-12"/>
          <w:sz w:val="21"/>
          <w:szCs w:val="21"/>
        </w:rPr>
        <w:t> </w:t>
      </w:r>
      <w:r>
        <w:rPr>
          <w:rFonts w:ascii="宋体" w:hAnsi="宋体" w:cs="宋体" w:eastAsia="宋体" w:hint="default"/>
          <w:sz w:val="21"/>
          <w:szCs w:val="21"/>
        </w:rPr>
        <w:t>年国家百千万人才工程，授予</w:t>
      </w:r>
      <w:r>
        <w:rPr>
          <w:rFonts w:ascii="Arial" w:hAnsi="Arial" w:cs="Arial" w:eastAsia="Arial" w:hint="default"/>
          <w:sz w:val="21"/>
          <w:szCs w:val="21"/>
        </w:rPr>
        <w:t>“</w:t>
      </w:r>
      <w:r>
        <w:rPr>
          <w:rFonts w:ascii="宋体" w:hAnsi="宋体" w:cs="宋体" w:eastAsia="宋体" w:hint="default"/>
          <w:sz w:val="21"/>
          <w:szCs w:val="21"/>
        </w:rPr>
        <w:t>有突出贡献中青年专家</w:t>
      </w:r>
      <w:r>
        <w:rPr>
          <w:rFonts w:ascii="Arial" w:hAnsi="Arial" w:cs="Arial" w:eastAsia="Arial" w:hint="default"/>
          <w:sz w:val="21"/>
          <w:szCs w:val="21"/>
        </w:rPr>
        <w:t>”</w:t>
      </w:r>
      <w:r>
        <w:rPr>
          <w:rFonts w:ascii="宋体" w:hAnsi="宋体" w:cs="宋体" w:eastAsia="宋体" w:hint="default"/>
          <w:sz w:val="21"/>
          <w:szCs w:val="21"/>
        </w:rPr>
        <w:t>荣誉称号；同时</w:t>
      </w:r>
      <w:r>
        <w:rPr>
          <w:rFonts w:ascii="宋体" w:hAnsi="宋体" w:cs="宋体" w:eastAsia="宋体" w:hint="default"/>
          <w:w w:val="100"/>
          <w:sz w:val="21"/>
          <w:szCs w:val="21"/>
        </w:rPr>
        <w:t> </w:t>
      </w:r>
      <w:r>
        <w:rPr>
          <w:rFonts w:ascii="宋体" w:hAnsi="宋体" w:cs="宋体" w:eastAsia="宋体" w:hint="default"/>
          <w:sz w:val="21"/>
          <w:szCs w:val="21"/>
        </w:rPr>
        <w:t>持续加大核心技术团队和关键技术人员的培养力度，为企业发展不断输送高精尖技术人才。</w:t>
      </w:r>
    </w:p>
    <w:p>
      <w:pPr>
        <w:spacing w:line="240" w:lineRule="auto" w:before="12"/>
        <w:rPr>
          <w:rFonts w:ascii="宋体" w:hAnsi="宋体" w:cs="宋体" w:eastAsia="宋体" w:hint="default"/>
          <w:sz w:val="22"/>
          <w:szCs w:val="22"/>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六、母公司和主要子公司的员工情况</w:t>
      </w:r>
      <w:r>
        <w:rPr>
          <w:rFonts w:ascii="宋体" w:hAnsi="宋体" w:cs="宋体" w:eastAsia="宋体" w:hint="default"/>
          <w:sz w:val="21"/>
          <w:szCs w:val="21"/>
        </w:rPr>
      </w:r>
    </w:p>
    <w:p>
      <w:pPr>
        <w:spacing w:line="240" w:lineRule="auto" w:before="11"/>
        <w:rPr>
          <w:rFonts w:ascii="宋体" w:hAnsi="宋体" w:cs="宋体" w:eastAsia="宋体" w:hint="default"/>
          <w:b/>
          <w:bCs/>
          <w:sz w:val="29"/>
          <w:szCs w:val="29"/>
        </w:rPr>
      </w:pPr>
    </w:p>
    <w:p>
      <w:pPr>
        <w:spacing w:before="0"/>
        <w:ind w:left="138" w:right="0" w:firstLine="0"/>
        <w:jc w:val="both"/>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一</w:t>
      </w:r>
      <w:r>
        <w:rPr>
          <w:rFonts w:ascii="Arial" w:hAnsi="Arial" w:cs="Arial" w:eastAsia="Arial" w:hint="default"/>
          <w:b/>
          <w:bCs/>
          <w:sz w:val="21"/>
          <w:szCs w:val="21"/>
        </w:rPr>
        <w:t>)</w:t>
      </w:r>
      <w:r>
        <w:rPr>
          <w:rFonts w:ascii="Arial" w:hAnsi="Arial" w:cs="Arial" w:eastAsia="Arial" w:hint="default"/>
          <w:b/>
          <w:bCs/>
          <w:spacing w:val="11"/>
          <w:sz w:val="21"/>
          <w:szCs w:val="21"/>
        </w:rPr>
        <w:t> </w:t>
      </w:r>
      <w:r>
        <w:rPr>
          <w:rFonts w:ascii="宋体" w:hAnsi="宋体" w:cs="宋体" w:eastAsia="宋体" w:hint="default"/>
          <w:b/>
          <w:bCs/>
          <w:sz w:val="21"/>
          <w:szCs w:val="21"/>
        </w:rPr>
        <w:t>员工情况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tbl>
      <w:tblPr>
        <w:tblW w:w="0" w:type="auto"/>
        <w:jc w:val="left"/>
        <w:tblInd w:w="560" w:type="dxa"/>
        <w:tblLayout w:type="fixed"/>
        <w:tblCellMar>
          <w:top w:w="0" w:type="dxa"/>
          <w:left w:w="0" w:type="dxa"/>
          <w:bottom w:w="0" w:type="dxa"/>
          <w:right w:w="0" w:type="dxa"/>
        </w:tblCellMar>
        <w:tblLook w:val="01E0"/>
      </w:tblPr>
      <w:tblGrid>
        <w:gridCol w:w="2408"/>
        <w:gridCol w:w="3008"/>
        <w:gridCol w:w="3102"/>
      </w:tblGrid>
      <w:tr>
        <w:trPr>
          <w:trHeight w:val="245"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母公司在职员工的数量</w:t>
            </w:r>
          </w:p>
        </w:tc>
        <w:tc>
          <w:tcPr>
            <w:tcW w:w="61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18"/>
                <w:szCs w:val="18"/>
              </w:rPr>
            </w:pPr>
            <w:r>
              <w:rPr>
                <w:rFonts w:ascii="宋体" w:hAnsi="宋体" w:cs="宋体" w:eastAsia="宋体" w:hint="default"/>
                <w:sz w:val="18"/>
                <w:szCs w:val="18"/>
              </w:rPr>
              <w:t>截止报告期末，母公司在职员工为</w:t>
            </w:r>
            <w:r>
              <w:rPr>
                <w:rFonts w:ascii="宋体" w:hAnsi="宋体" w:cs="宋体" w:eastAsia="宋体" w:hint="default"/>
                <w:spacing w:val="-45"/>
                <w:sz w:val="18"/>
                <w:szCs w:val="18"/>
              </w:rPr>
              <w:t> </w:t>
            </w:r>
            <w:r>
              <w:rPr>
                <w:rFonts w:ascii="Arial" w:hAnsi="Arial" w:cs="Arial" w:eastAsia="Arial" w:hint="default"/>
                <w:sz w:val="18"/>
                <w:szCs w:val="18"/>
              </w:rPr>
              <w:t>1,298</w:t>
            </w:r>
            <w:r>
              <w:rPr>
                <w:rFonts w:ascii="Arial" w:hAnsi="Arial" w:cs="Arial" w:eastAsia="Arial" w:hint="default"/>
                <w:spacing w:val="-5"/>
                <w:sz w:val="18"/>
                <w:szCs w:val="18"/>
              </w:rPr>
              <w:t> </w:t>
            </w:r>
            <w:r>
              <w:rPr>
                <w:rFonts w:ascii="宋体" w:hAnsi="宋体" w:cs="宋体" w:eastAsia="宋体" w:hint="default"/>
                <w:sz w:val="18"/>
                <w:szCs w:val="18"/>
              </w:rPr>
              <w:t>人。</w:t>
            </w:r>
          </w:p>
        </w:tc>
      </w:tr>
      <w:tr>
        <w:trPr>
          <w:trHeight w:val="242"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w:t>
            </w:r>
          </w:p>
        </w:tc>
        <w:tc>
          <w:tcPr>
            <w:tcW w:w="61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18"/>
                <w:szCs w:val="18"/>
              </w:rPr>
            </w:pPr>
            <w:r>
              <w:rPr>
                <w:rFonts w:ascii="宋体" w:hAnsi="宋体" w:cs="宋体" w:eastAsia="宋体" w:hint="default"/>
                <w:sz w:val="18"/>
                <w:szCs w:val="18"/>
              </w:rPr>
              <w:t>截止报告期末，子公司在职员工为</w:t>
            </w:r>
            <w:r>
              <w:rPr>
                <w:rFonts w:ascii="宋体" w:hAnsi="宋体" w:cs="宋体" w:eastAsia="宋体" w:hint="default"/>
                <w:spacing w:val="-46"/>
                <w:sz w:val="18"/>
                <w:szCs w:val="18"/>
              </w:rPr>
              <w:t> </w:t>
            </w:r>
            <w:r>
              <w:rPr>
                <w:rFonts w:ascii="Arial" w:hAnsi="Arial" w:cs="Arial" w:eastAsia="Arial" w:hint="default"/>
                <w:sz w:val="18"/>
                <w:szCs w:val="18"/>
              </w:rPr>
              <w:t>227,315</w:t>
            </w:r>
            <w:r>
              <w:rPr>
                <w:rFonts w:ascii="Arial" w:hAnsi="Arial" w:cs="Arial" w:eastAsia="Arial" w:hint="default"/>
                <w:spacing w:val="-5"/>
                <w:sz w:val="18"/>
                <w:szCs w:val="18"/>
              </w:rPr>
              <w:t> </w:t>
            </w:r>
            <w:r>
              <w:rPr>
                <w:rFonts w:ascii="宋体" w:hAnsi="宋体" w:cs="宋体" w:eastAsia="宋体" w:hint="default"/>
                <w:sz w:val="18"/>
                <w:szCs w:val="18"/>
              </w:rPr>
              <w:t>人。</w:t>
            </w:r>
          </w:p>
        </w:tc>
      </w:tr>
      <w:tr>
        <w:trPr>
          <w:trHeight w:val="245"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在职员工的数量合计</w:t>
            </w:r>
          </w:p>
        </w:tc>
        <w:tc>
          <w:tcPr>
            <w:tcW w:w="61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18"/>
                <w:szCs w:val="18"/>
              </w:rPr>
            </w:pPr>
            <w:r>
              <w:rPr>
                <w:rFonts w:ascii="宋体" w:hAnsi="宋体" w:cs="宋体" w:eastAsia="宋体" w:hint="default"/>
                <w:sz w:val="18"/>
                <w:szCs w:val="18"/>
              </w:rPr>
              <w:t>截止报告期末，公司在职员工为</w:t>
            </w:r>
            <w:r>
              <w:rPr>
                <w:rFonts w:ascii="宋体" w:hAnsi="宋体" w:cs="宋体" w:eastAsia="宋体" w:hint="default"/>
                <w:spacing w:val="-46"/>
                <w:sz w:val="18"/>
                <w:szCs w:val="18"/>
              </w:rPr>
              <w:t> </w:t>
            </w:r>
            <w:r>
              <w:rPr>
                <w:rFonts w:ascii="Arial" w:hAnsi="Arial" w:cs="Arial" w:eastAsia="Arial" w:hint="default"/>
                <w:sz w:val="18"/>
                <w:szCs w:val="18"/>
              </w:rPr>
              <w:t>228,613</w:t>
            </w:r>
            <w:r>
              <w:rPr>
                <w:rFonts w:ascii="Arial" w:hAnsi="Arial" w:cs="Arial" w:eastAsia="Arial" w:hint="default"/>
                <w:spacing w:val="-5"/>
                <w:sz w:val="18"/>
                <w:szCs w:val="18"/>
              </w:rPr>
              <w:t> </w:t>
            </w:r>
            <w:r>
              <w:rPr>
                <w:rFonts w:ascii="宋体" w:hAnsi="宋体" w:cs="宋体" w:eastAsia="宋体" w:hint="default"/>
                <w:sz w:val="18"/>
                <w:szCs w:val="18"/>
              </w:rPr>
              <w:t>人。</w:t>
            </w:r>
          </w:p>
        </w:tc>
      </w:tr>
      <w:tr>
        <w:trPr>
          <w:trHeight w:val="476"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费用的离退休职工人数</w:t>
            </w:r>
          </w:p>
        </w:tc>
        <w:tc>
          <w:tcPr>
            <w:tcW w:w="61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截止报告期末，公司需承担费用的离退休职工为</w:t>
            </w:r>
            <w:r>
              <w:rPr>
                <w:rFonts w:ascii="宋体" w:hAnsi="宋体" w:cs="宋体" w:eastAsia="宋体" w:hint="default"/>
                <w:spacing w:val="-46"/>
                <w:sz w:val="18"/>
                <w:szCs w:val="18"/>
              </w:rPr>
              <w:t> </w:t>
            </w:r>
            <w:r>
              <w:rPr>
                <w:rFonts w:ascii="Arial" w:hAnsi="Arial" w:cs="Arial" w:eastAsia="Arial" w:hint="default"/>
                <w:sz w:val="18"/>
                <w:szCs w:val="18"/>
              </w:rPr>
              <w:t>3,615</w:t>
            </w:r>
            <w:r>
              <w:rPr>
                <w:rFonts w:ascii="Arial" w:hAnsi="Arial" w:cs="Arial" w:eastAsia="Arial" w:hint="default"/>
                <w:spacing w:val="-6"/>
                <w:sz w:val="18"/>
                <w:szCs w:val="18"/>
              </w:rPr>
              <w:t> </w:t>
            </w:r>
            <w:r>
              <w:rPr>
                <w:rFonts w:ascii="宋体" w:hAnsi="宋体" w:cs="宋体" w:eastAsia="宋体" w:hint="default"/>
                <w:sz w:val="18"/>
                <w:szCs w:val="18"/>
              </w:rPr>
              <w:t>人。</w:t>
            </w:r>
          </w:p>
        </w:tc>
      </w:tr>
      <w:tr>
        <w:trPr>
          <w:trHeight w:val="245" w:hRule="exact"/>
        </w:trPr>
        <w:tc>
          <w:tcPr>
            <w:tcW w:w="85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专业构成</w:t>
            </w:r>
            <w:r>
              <w:rPr>
                <w:rFonts w:ascii="宋体" w:hAnsi="宋体" w:cs="宋体" w:eastAsia="宋体" w:hint="default"/>
                <w:sz w:val="18"/>
                <w:szCs w:val="18"/>
              </w:rPr>
            </w:r>
          </w:p>
        </w:tc>
      </w:tr>
      <w:tr>
        <w:trPr>
          <w:trHeight w:val="242" w:hRule="exact"/>
        </w:trPr>
        <w:tc>
          <w:tcPr>
            <w:tcW w:w="240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652" w:right="0"/>
              <w:jc w:val="left"/>
              <w:rPr>
                <w:rFonts w:ascii="宋体" w:hAnsi="宋体" w:cs="宋体" w:eastAsia="宋体" w:hint="default"/>
                <w:sz w:val="18"/>
                <w:szCs w:val="18"/>
              </w:rPr>
            </w:pPr>
            <w:r>
              <w:rPr>
                <w:rFonts w:ascii="宋体" w:hAnsi="宋体" w:cs="宋体" w:eastAsia="宋体" w:hint="default"/>
                <w:b/>
                <w:bCs/>
                <w:sz w:val="18"/>
                <w:szCs w:val="18"/>
              </w:rPr>
              <w:t>专业构成类别</w:t>
            </w:r>
            <w:r>
              <w:rPr>
                <w:rFonts w:ascii="宋体" w:hAnsi="宋体" w:cs="宋体" w:eastAsia="宋体" w:hint="default"/>
                <w:sz w:val="18"/>
                <w:szCs w:val="18"/>
              </w:rPr>
            </w:r>
          </w:p>
        </w:tc>
        <w:tc>
          <w:tcPr>
            <w:tcW w:w="300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955" w:right="0"/>
              <w:jc w:val="left"/>
              <w:rPr>
                <w:rFonts w:ascii="宋体" w:hAnsi="宋体" w:cs="宋体" w:eastAsia="宋体" w:hint="default"/>
                <w:sz w:val="18"/>
                <w:szCs w:val="18"/>
              </w:rPr>
            </w:pPr>
            <w:r>
              <w:rPr>
                <w:rFonts w:ascii="宋体" w:hAnsi="宋体" w:cs="宋体" w:eastAsia="宋体" w:hint="default"/>
                <w:b/>
                <w:bCs/>
                <w:sz w:val="18"/>
                <w:szCs w:val="18"/>
              </w:rPr>
              <w:t>专业构成人数</w:t>
            </w:r>
            <w:r>
              <w:rPr>
                <w:rFonts w:ascii="宋体" w:hAnsi="宋体" w:cs="宋体" w:eastAsia="宋体" w:hint="default"/>
                <w:sz w:val="18"/>
                <w:szCs w:val="18"/>
              </w:rPr>
            </w:r>
          </w:p>
        </w:tc>
        <w:tc>
          <w:tcPr>
            <w:tcW w:w="310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18" w:lineRule="exact"/>
              <w:ind w:left="1104" w:right="0"/>
              <w:jc w:val="left"/>
              <w:rPr>
                <w:rFonts w:ascii="宋体" w:hAnsi="宋体" w:cs="宋体" w:eastAsia="宋体" w:hint="default"/>
                <w:sz w:val="18"/>
                <w:szCs w:val="18"/>
              </w:rPr>
            </w:pPr>
            <w:r>
              <w:rPr>
                <w:rFonts w:ascii="宋体" w:hAnsi="宋体" w:cs="宋体" w:eastAsia="宋体" w:hint="default"/>
                <w:b/>
                <w:bCs/>
                <w:sz w:val="18"/>
                <w:szCs w:val="18"/>
              </w:rPr>
              <w:t>占比（</w:t>
            </w:r>
            <w:r>
              <w:rPr>
                <w:rFonts w:ascii="Arial" w:hAnsi="Arial" w:cs="Arial" w:eastAsia="Arial"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45"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销售与服务人员</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spacing w:val="-1"/>
                <w:sz w:val="18"/>
              </w:rPr>
              <w:t>75,829</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7"/>
              <w:jc w:val="right"/>
              <w:rPr>
                <w:rFonts w:ascii="Arial" w:hAnsi="Arial" w:cs="Arial" w:eastAsia="Arial" w:hint="default"/>
                <w:sz w:val="18"/>
                <w:szCs w:val="18"/>
              </w:rPr>
            </w:pPr>
            <w:r>
              <w:rPr>
                <w:rFonts w:ascii="Arial"/>
                <w:w w:val="95"/>
                <w:sz w:val="18"/>
              </w:rPr>
              <w:t>33.17</w:t>
            </w:r>
            <w:r>
              <w:rPr>
                <w:rFonts w:ascii="Arial"/>
                <w:sz w:val="18"/>
              </w:rPr>
            </w:r>
          </w:p>
        </w:tc>
      </w:tr>
      <w:tr>
        <w:trPr>
          <w:trHeight w:val="242"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产品与市场人员</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spacing w:val="-1"/>
                <w:sz w:val="18"/>
              </w:rPr>
              <w:t>20,129</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7"/>
              <w:jc w:val="right"/>
              <w:rPr>
                <w:rFonts w:ascii="Arial" w:hAnsi="Arial" w:cs="Arial" w:eastAsia="Arial" w:hint="default"/>
                <w:sz w:val="18"/>
                <w:szCs w:val="18"/>
              </w:rPr>
            </w:pPr>
            <w:r>
              <w:rPr>
                <w:rFonts w:ascii="Arial"/>
                <w:sz w:val="18"/>
              </w:rPr>
              <w:t>8.80</w:t>
            </w:r>
          </w:p>
        </w:tc>
      </w:tr>
      <w:tr>
        <w:trPr>
          <w:trHeight w:val="242"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建设与维护人员</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spacing w:val="-1"/>
                <w:sz w:val="18"/>
              </w:rPr>
              <w:t>79,046</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7"/>
              <w:jc w:val="right"/>
              <w:rPr>
                <w:rFonts w:ascii="Arial" w:hAnsi="Arial" w:cs="Arial" w:eastAsia="Arial" w:hint="default"/>
                <w:sz w:val="18"/>
                <w:szCs w:val="18"/>
              </w:rPr>
            </w:pPr>
            <w:r>
              <w:rPr>
                <w:rFonts w:ascii="Arial"/>
                <w:w w:val="95"/>
                <w:sz w:val="18"/>
              </w:rPr>
              <w:t>34.58</w:t>
            </w:r>
            <w:r>
              <w:rPr>
                <w:rFonts w:ascii="Arial"/>
                <w:sz w:val="18"/>
              </w:rPr>
            </w:r>
          </w:p>
        </w:tc>
      </w:tr>
      <w:tr>
        <w:trPr>
          <w:trHeight w:val="245"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支撑人员</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Arial" w:hAnsi="Arial" w:cs="Arial" w:eastAsia="Arial" w:hint="default"/>
                <w:sz w:val="18"/>
                <w:szCs w:val="18"/>
              </w:rPr>
            </w:pPr>
            <w:r>
              <w:rPr>
                <w:rFonts w:ascii="Arial"/>
                <w:spacing w:val="-1"/>
                <w:sz w:val="18"/>
              </w:rPr>
              <w:t>27,515</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7"/>
              <w:jc w:val="right"/>
              <w:rPr>
                <w:rFonts w:ascii="Arial" w:hAnsi="Arial" w:cs="Arial" w:eastAsia="Arial" w:hint="default"/>
                <w:sz w:val="18"/>
                <w:szCs w:val="18"/>
              </w:rPr>
            </w:pPr>
            <w:r>
              <w:rPr>
                <w:rFonts w:ascii="Arial"/>
                <w:w w:val="95"/>
                <w:sz w:val="18"/>
              </w:rPr>
              <w:t>12.04</w:t>
            </w:r>
            <w:r>
              <w:rPr>
                <w:rFonts w:ascii="Arial"/>
                <w:sz w:val="18"/>
              </w:rPr>
            </w:r>
          </w:p>
        </w:tc>
      </w:tr>
      <w:tr>
        <w:trPr>
          <w:trHeight w:val="242"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spacing w:val="-1"/>
                <w:sz w:val="18"/>
              </w:rPr>
              <w:t>24,743</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7"/>
              <w:jc w:val="right"/>
              <w:rPr>
                <w:rFonts w:ascii="Arial" w:hAnsi="Arial" w:cs="Arial" w:eastAsia="Arial" w:hint="default"/>
                <w:sz w:val="18"/>
                <w:szCs w:val="18"/>
              </w:rPr>
            </w:pPr>
            <w:r>
              <w:rPr>
                <w:rFonts w:ascii="Arial"/>
                <w:w w:val="95"/>
                <w:sz w:val="18"/>
              </w:rPr>
              <w:t>10.82</w:t>
            </w:r>
            <w:r>
              <w:rPr>
                <w:rFonts w:ascii="Arial"/>
                <w:sz w:val="18"/>
              </w:rPr>
            </w:r>
          </w:p>
        </w:tc>
      </w:tr>
      <w:tr>
        <w:trPr>
          <w:trHeight w:val="245"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1,351</w:t>
            </w:r>
            <w:r>
              <w:rPr>
                <w:rFonts w:ascii="Arial"/>
                <w:sz w:val="18"/>
              </w:rPr>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7"/>
              <w:jc w:val="right"/>
              <w:rPr>
                <w:rFonts w:ascii="Arial" w:hAnsi="Arial" w:cs="Arial" w:eastAsia="Arial" w:hint="default"/>
                <w:sz w:val="18"/>
                <w:szCs w:val="18"/>
              </w:rPr>
            </w:pPr>
            <w:r>
              <w:rPr>
                <w:rFonts w:ascii="Arial"/>
                <w:w w:val="95"/>
                <w:sz w:val="18"/>
              </w:rPr>
              <w:t>0.59</w:t>
            </w:r>
            <w:r>
              <w:rPr>
                <w:rFonts w:ascii="Arial"/>
                <w:sz w:val="18"/>
              </w:rPr>
            </w:r>
          </w:p>
        </w:tc>
      </w:tr>
      <w:tr>
        <w:trPr>
          <w:trHeight w:val="242"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spacing w:val="-1"/>
                <w:sz w:val="18"/>
              </w:rPr>
              <w:t>228,613</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7"/>
              <w:jc w:val="right"/>
              <w:rPr>
                <w:rFonts w:ascii="Arial" w:hAnsi="Arial" w:cs="Arial" w:eastAsia="Arial" w:hint="default"/>
                <w:sz w:val="18"/>
                <w:szCs w:val="18"/>
              </w:rPr>
            </w:pPr>
            <w:r>
              <w:rPr>
                <w:rFonts w:ascii="Arial"/>
                <w:spacing w:val="-1"/>
                <w:sz w:val="18"/>
              </w:rPr>
              <w:t>100.00</w:t>
            </w:r>
          </w:p>
        </w:tc>
      </w:tr>
      <w:tr>
        <w:trPr>
          <w:trHeight w:val="245" w:hRule="exact"/>
        </w:trPr>
        <w:tc>
          <w:tcPr>
            <w:tcW w:w="85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教育程度</w:t>
            </w:r>
            <w:r>
              <w:rPr>
                <w:rFonts w:ascii="宋体" w:hAnsi="宋体" w:cs="宋体" w:eastAsia="宋体" w:hint="default"/>
                <w:sz w:val="18"/>
                <w:szCs w:val="18"/>
              </w:rPr>
            </w:r>
          </w:p>
        </w:tc>
      </w:tr>
      <w:tr>
        <w:trPr>
          <w:trHeight w:val="242" w:hRule="exact"/>
        </w:trPr>
        <w:tc>
          <w:tcPr>
            <w:tcW w:w="240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652" w:right="0"/>
              <w:jc w:val="left"/>
              <w:rPr>
                <w:rFonts w:ascii="宋体" w:hAnsi="宋体" w:cs="宋体" w:eastAsia="宋体" w:hint="default"/>
                <w:sz w:val="18"/>
                <w:szCs w:val="18"/>
              </w:rPr>
            </w:pPr>
            <w:r>
              <w:rPr>
                <w:rFonts w:ascii="宋体" w:hAnsi="宋体" w:cs="宋体" w:eastAsia="宋体" w:hint="default"/>
                <w:b/>
                <w:bCs/>
                <w:sz w:val="18"/>
                <w:szCs w:val="18"/>
              </w:rPr>
              <w:t>教育程度类别</w:t>
            </w:r>
            <w:r>
              <w:rPr>
                <w:rFonts w:ascii="宋体" w:hAnsi="宋体" w:cs="宋体" w:eastAsia="宋体" w:hint="default"/>
                <w:sz w:val="18"/>
                <w:szCs w:val="18"/>
              </w:rPr>
            </w:r>
          </w:p>
        </w:tc>
        <w:tc>
          <w:tcPr>
            <w:tcW w:w="300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数量（人）</w:t>
            </w:r>
            <w:r>
              <w:rPr>
                <w:rFonts w:ascii="宋体" w:hAnsi="宋体" w:cs="宋体" w:eastAsia="宋体" w:hint="default"/>
                <w:sz w:val="18"/>
                <w:szCs w:val="18"/>
              </w:rPr>
            </w:r>
          </w:p>
        </w:tc>
        <w:tc>
          <w:tcPr>
            <w:tcW w:w="310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18" w:lineRule="exact"/>
              <w:ind w:left="1104" w:right="0"/>
              <w:jc w:val="left"/>
              <w:rPr>
                <w:rFonts w:ascii="宋体" w:hAnsi="宋体" w:cs="宋体" w:eastAsia="宋体" w:hint="default"/>
                <w:sz w:val="18"/>
                <w:szCs w:val="18"/>
              </w:rPr>
            </w:pPr>
            <w:r>
              <w:rPr>
                <w:rFonts w:ascii="宋体" w:hAnsi="宋体" w:cs="宋体" w:eastAsia="宋体" w:hint="default"/>
                <w:b/>
                <w:bCs/>
                <w:sz w:val="18"/>
                <w:szCs w:val="18"/>
              </w:rPr>
              <w:t>占比（</w:t>
            </w:r>
            <w:r>
              <w:rPr>
                <w:rFonts w:ascii="Arial" w:hAnsi="Arial" w:cs="Arial" w:eastAsia="Arial"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42"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硕士以上</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spacing w:val="-1"/>
                <w:sz w:val="18"/>
              </w:rPr>
              <w:t>14,082</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7"/>
              <w:jc w:val="right"/>
              <w:rPr>
                <w:rFonts w:ascii="Arial" w:hAnsi="Arial" w:cs="Arial" w:eastAsia="Arial" w:hint="default"/>
                <w:sz w:val="18"/>
                <w:szCs w:val="18"/>
              </w:rPr>
            </w:pPr>
            <w:r>
              <w:rPr>
                <w:rFonts w:ascii="Arial"/>
                <w:w w:val="95"/>
                <w:sz w:val="18"/>
              </w:rPr>
              <w:t>6.16</w:t>
            </w:r>
            <w:r>
              <w:rPr>
                <w:rFonts w:ascii="Arial"/>
                <w:sz w:val="18"/>
              </w:rPr>
            </w:r>
          </w:p>
        </w:tc>
      </w:tr>
      <w:tr>
        <w:trPr>
          <w:trHeight w:val="245"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Arial" w:hAnsi="Arial" w:cs="Arial" w:eastAsia="Arial" w:hint="default"/>
                <w:sz w:val="18"/>
                <w:szCs w:val="18"/>
              </w:rPr>
            </w:pPr>
            <w:r>
              <w:rPr>
                <w:rFonts w:ascii="Arial"/>
                <w:spacing w:val="-1"/>
                <w:sz w:val="18"/>
              </w:rPr>
              <w:t>109,344</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7"/>
              <w:jc w:val="right"/>
              <w:rPr>
                <w:rFonts w:ascii="Arial" w:hAnsi="Arial" w:cs="Arial" w:eastAsia="Arial" w:hint="default"/>
                <w:sz w:val="18"/>
                <w:szCs w:val="18"/>
              </w:rPr>
            </w:pPr>
            <w:r>
              <w:rPr>
                <w:rFonts w:ascii="Arial"/>
                <w:w w:val="95"/>
                <w:sz w:val="18"/>
              </w:rPr>
              <w:t>47.83</w:t>
            </w:r>
            <w:r>
              <w:rPr>
                <w:rFonts w:ascii="Arial"/>
                <w:sz w:val="18"/>
              </w:rPr>
            </w:r>
          </w:p>
        </w:tc>
      </w:tr>
      <w:tr>
        <w:trPr>
          <w:trHeight w:val="242"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大学专科</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spacing w:val="-1"/>
                <w:sz w:val="18"/>
              </w:rPr>
              <w:t>55,090</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7"/>
              <w:jc w:val="right"/>
              <w:rPr>
                <w:rFonts w:ascii="Arial" w:hAnsi="Arial" w:cs="Arial" w:eastAsia="Arial" w:hint="default"/>
                <w:sz w:val="18"/>
                <w:szCs w:val="18"/>
              </w:rPr>
            </w:pPr>
            <w:r>
              <w:rPr>
                <w:rFonts w:ascii="Arial"/>
                <w:w w:val="95"/>
                <w:sz w:val="18"/>
              </w:rPr>
              <w:t>24.10</w:t>
            </w:r>
            <w:r>
              <w:rPr>
                <w:rFonts w:ascii="Arial"/>
                <w:sz w:val="18"/>
              </w:rPr>
            </w:r>
          </w:p>
        </w:tc>
      </w:tr>
      <w:tr>
        <w:trPr>
          <w:trHeight w:val="245"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spacing w:val="-1"/>
                <w:sz w:val="18"/>
              </w:rPr>
              <w:t>50,097</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7"/>
              <w:jc w:val="right"/>
              <w:rPr>
                <w:rFonts w:ascii="Arial" w:hAnsi="Arial" w:cs="Arial" w:eastAsia="Arial" w:hint="default"/>
                <w:sz w:val="18"/>
                <w:szCs w:val="18"/>
              </w:rPr>
            </w:pPr>
            <w:r>
              <w:rPr>
                <w:rFonts w:ascii="Arial"/>
                <w:w w:val="95"/>
                <w:sz w:val="18"/>
              </w:rPr>
              <w:t>21.91</w:t>
            </w:r>
            <w:r>
              <w:rPr>
                <w:rFonts w:ascii="Arial"/>
                <w:sz w:val="18"/>
              </w:rPr>
            </w:r>
          </w:p>
        </w:tc>
      </w:tr>
      <w:tr>
        <w:trPr>
          <w:trHeight w:val="242"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spacing w:val="-1"/>
                <w:sz w:val="18"/>
              </w:rPr>
              <w:t>228,613</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7"/>
              <w:jc w:val="right"/>
              <w:rPr>
                <w:rFonts w:ascii="Arial" w:hAnsi="Arial" w:cs="Arial" w:eastAsia="Arial" w:hint="default"/>
                <w:sz w:val="18"/>
                <w:szCs w:val="18"/>
              </w:rPr>
            </w:pPr>
            <w:r>
              <w:rPr>
                <w:rFonts w:ascii="Arial"/>
                <w:spacing w:val="-1"/>
                <w:sz w:val="18"/>
              </w:rPr>
              <w:t>100.00</w:t>
            </w:r>
          </w:p>
        </w:tc>
      </w:tr>
    </w:tbl>
    <w:p>
      <w:pPr>
        <w:spacing w:line="240" w:lineRule="auto" w:before="10"/>
        <w:rPr>
          <w:rFonts w:ascii="宋体" w:hAnsi="宋体" w:cs="宋体" w:eastAsia="宋体" w:hint="default"/>
          <w:b/>
          <w:bCs/>
          <w:sz w:val="17"/>
          <w:szCs w:val="17"/>
        </w:rPr>
      </w:pPr>
    </w:p>
    <w:p>
      <w:pPr>
        <w:spacing w:before="36"/>
        <w:ind w:left="138" w:right="119"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二</w:t>
      </w:r>
      <w:r>
        <w:rPr>
          <w:rFonts w:ascii="Arial" w:hAnsi="Arial" w:cs="Arial" w:eastAsia="Arial" w:hint="default"/>
          <w:b/>
          <w:bCs/>
          <w:sz w:val="21"/>
          <w:szCs w:val="21"/>
        </w:rPr>
        <w:t>)</w:t>
      </w:r>
      <w:r>
        <w:rPr>
          <w:rFonts w:ascii="Arial" w:hAnsi="Arial" w:cs="Arial" w:eastAsia="Arial" w:hint="default"/>
          <w:b/>
          <w:bCs/>
          <w:spacing w:val="11"/>
          <w:sz w:val="21"/>
          <w:szCs w:val="21"/>
        </w:rPr>
        <w:t> </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11"/>
        <w:rPr>
          <w:rFonts w:ascii="宋体" w:hAnsi="宋体" w:cs="宋体" w:eastAsia="宋体" w:hint="default"/>
          <w:b/>
          <w:bCs/>
          <w:sz w:val="21"/>
          <w:szCs w:val="21"/>
        </w:rPr>
      </w:pPr>
    </w:p>
    <w:p>
      <w:pPr>
        <w:spacing w:line="237" w:lineRule="auto" w:before="0"/>
        <w:ind w:left="565" w:right="230" w:firstLine="0"/>
        <w:jc w:val="both"/>
        <w:rPr>
          <w:rFonts w:ascii="宋体" w:hAnsi="宋体" w:cs="宋体" w:eastAsia="宋体" w:hint="default"/>
          <w:sz w:val="21"/>
          <w:szCs w:val="21"/>
        </w:rPr>
      </w:pPr>
      <w:r>
        <w:rPr>
          <w:rFonts w:ascii="宋体" w:hAnsi="宋体" w:cs="宋体" w:eastAsia="宋体" w:hint="default"/>
          <w:spacing w:val="-2"/>
          <w:sz w:val="21"/>
          <w:szCs w:val="21"/>
        </w:rPr>
        <w:t>公司致力于不断完善与公司业务发展及效益目标挂钩的人工成本分配机制，致力于推动员工</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2"/>
          <w:sz w:val="21"/>
          <w:szCs w:val="21"/>
        </w:rPr>
        <w:t>薪酬水平符合市场趋势并保持竞争力，优化资源配置结构，有效激励绩优员工群体；健全福</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利体系，积极推动企业年金方案的实施。</w:t>
      </w:r>
    </w:p>
    <w:p>
      <w:pPr>
        <w:spacing w:after="0" w:line="237" w:lineRule="auto"/>
        <w:jc w:val="both"/>
        <w:rPr>
          <w:rFonts w:ascii="宋体" w:hAnsi="宋体" w:cs="宋体" w:eastAsia="宋体" w:hint="default"/>
          <w:sz w:val="21"/>
          <w:szCs w:val="21"/>
        </w:rPr>
        <w:sectPr>
          <w:pgSz w:w="11910" w:h="16840"/>
          <w:pgMar w:header="880" w:footer="1194" w:top="1120" w:bottom="1380" w:left="1660" w:right="1040"/>
        </w:sectPr>
      </w:pPr>
    </w:p>
    <w:p>
      <w:pPr>
        <w:spacing w:line="240" w:lineRule="auto" w:before="11"/>
        <w:rPr>
          <w:rFonts w:ascii="宋体" w:hAnsi="宋体" w:cs="宋体" w:eastAsia="宋体" w:hint="default"/>
          <w:sz w:val="29"/>
          <w:szCs w:val="29"/>
        </w:rPr>
      </w:pPr>
    </w:p>
    <w:p>
      <w:pPr>
        <w:spacing w:before="36"/>
        <w:ind w:left="138" w:right="259" w:firstLine="0"/>
        <w:jc w:val="left"/>
        <w:rPr>
          <w:rFonts w:ascii="宋体" w:hAnsi="宋体" w:cs="宋体" w:eastAsia="宋体" w:hint="default"/>
          <w:sz w:val="21"/>
          <w:szCs w:val="21"/>
        </w:rPr>
      </w:pPr>
      <w:r>
        <w:rPr>
          <w:rFonts w:ascii="宋体" w:hAnsi="宋体" w:cs="宋体" w:eastAsia="宋体" w:hint="default"/>
          <w:b/>
          <w:bCs/>
          <w:sz w:val="21"/>
          <w:szCs w:val="21"/>
        </w:rPr>
        <w:t>六、母公司和主要子公司的员工情况（续）</w:t>
      </w:r>
      <w:r>
        <w:rPr>
          <w:rFonts w:ascii="宋体" w:hAnsi="宋体" w:cs="宋体" w:eastAsia="宋体" w:hint="default"/>
          <w:sz w:val="21"/>
          <w:szCs w:val="21"/>
        </w:rPr>
      </w:r>
    </w:p>
    <w:p>
      <w:pPr>
        <w:spacing w:line="240" w:lineRule="auto" w:before="9"/>
        <w:rPr>
          <w:rFonts w:ascii="宋体" w:hAnsi="宋体" w:cs="宋体" w:eastAsia="宋体" w:hint="default"/>
          <w:b/>
          <w:bCs/>
          <w:sz w:val="15"/>
          <w:szCs w:val="15"/>
        </w:rPr>
      </w:pPr>
    </w:p>
    <w:p>
      <w:pPr>
        <w:spacing w:before="0"/>
        <w:ind w:left="138" w:right="259"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三</w:t>
      </w:r>
      <w:r>
        <w:rPr>
          <w:rFonts w:ascii="Arial" w:hAnsi="Arial" w:cs="Arial" w:eastAsia="Arial" w:hint="default"/>
          <w:b/>
          <w:bCs/>
          <w:sz w:val="21"/>
          <w:szCs w:val="21"/>
        </w:rPr>
        <w:t>)</w:t>
      </w:r>
      <w:r>
        <w:rPr>
          <w:rFonts w:ascii="Arial" w:hAnsi="Arial" w:cs="Arial" w:eastAsia="Arial" w:hint="default"/>
          <w:b/>
          <w:bCs/>
          <w:spacing w:val="11"/>
          <w:sz w:val="21"/>
          <w:szCs w:val="21"/>
        </w:rPr>
        <w:t> </w:t>
      </w:r>
      <w:r>
        <w:rPr>
          <w:rFonts w:ascii="宋体" w:hAnsi="宋体" w:cs="宋体" w:eastAsia="宋体" w:hint="default"/>
          <w:b/>
          <w:bCs/>
          <w:sz w:val="21"/>
          <w:szCs w:val="21"/>
        </w:rPr>
        <w:t>培训计划</w:t>
      </w:r>
      <w:r>
        <w:rPr>
          <w:rFonts w:ascii="宋体" w:hAnsi="宋体" w:cs="宋体" w:eastAsia="宋体" w:hint="default"/>
          <w:sz w:val="21"/>
          <w:szCs w:val="21"/>
        </w:rPr>
      </w:r>
    </w:p>
    <w:p>
      <w:pPr>
        <w:spacing w:line="235" w:lineRule="auto" w:before="171"/>
        <w:ind w:left="565" w:right="205" w:firstLine="0"/>
        <w:jc w:val="both"/>
        <w:rPr>
          <w:rFonts w:ascii="宋体" w:hAnsi="宋体" w:cs="宋体" w:eastAsia="宋体" w:hint="default"/>
          <w:sz w:val="21"/>
          <w:szCs w:val="21"/>
        </w:rPr>
      </w:pPr>
      <w:r>
        <w:rPr>
          <w:rFonts w:ascii="宋体" w:hAnsi="宋体" w:cs="宋体" w:eastAsia="宋体" w:hint="default"/>
          <w:spacing w:val="-2"/>
          <w:sz w:val="21"/>
          <w:szCs w:val="21"/>
        </w:rPr>
        <w:t>我公司高度重视人才培养工作，积极培养各级管理经营团队的业务能力，集中组织完成重点</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领导力培训班</w:t>
      </w:r>
      <w:r>
        <w:rPr>
          <w:rFonts w:ascii="宋体" w:hAnsi="宋体" w:cs="宋体" w:eastAsia="宋体" w:hint="default"/>
          <w:spacing w:val="-47"/>
          <w:sz w:val="21"/>
          <w:szCs w:val="21"/>
        </w:rPr>
        <w:t> </w:t>
      </w:r>
      <w:r>
        <w:rPr>
          <w:rFonts w:ascii="Arial" w:hAnsi="Arial" w:cs="Arial" w:eastAsia="Arial" w:hint="default"/>
          <w:sz w:val="21"/>
          <w:szCs w:val="21"/>
        </w:rPr>
        <w:t>18</w:t>
      </w:r>
      <w:r>
        <w:rPr>
          <w:rFonts w:ascii="Arial" w:hAnsi="Arial" w:cs="Arial" w:eastAsia="Arial" w:hint="default"/>
          <w:spacing w:val="-1"/>
          <w:sz w:val="21"/>
          <w:szCs w:val="21"/>
        </w:rPr>
        <w:t> </w:t>
      </w:r>
      <w:r>
        <w:rPr>
          <w:rFonts w:ascii="宋体" w:hAnsi="宋体" w:cs="宋体" w:eastAsia="宋体" w:hint="default"/>
          <w:sz w:val="21"/>
          <w:szCs w:val="21"/>
        </w:rPr>
        <w:t>期</w:t>
      </w:r>
      <w:r>
        <w:rPr>
          <w:rFonts w:ascii="宋体" w:hAnsi="宋体" w:cs="宋体" w:eastAsia="宋体" w:hint="default"/>
          <w:spacing w:val="-50"/>
          <w:sz w:val="21"/>
          <w:szCs w:val="21"/>
        </w:rPr>
        <w:t> </w:t>
      </w:r>
      <w:r>
        <w:rPr>
          <w:rFonts w:ascii="Arial" w:hAnsi="Arial" w:cs="Arial" w:eastAsia="Arial" w:hint="default"/>
          <w:sz w:val="21"/>
          <w:szCs w:val="21"/>
        </w:rPr>
        <w:t>23</w:t>
      </w:r>
      <w:r>
        <w:rPr>
          <w:rFonts w:ascii="Arial" w:hAnsi="Arial" w:cs="Arial" w:eastAsia="Arial" w:hint="default"/>
          <w:spacing w:val="-3"/>
          <w:sz w:val="21"/>
          <w:szCs w:val="21"/>
        </w:rPr>
        <w:t> </w:t>
      </w:r>
      <w:r>
        <w:rPr>
          <w:rFonts w:ascii="宋体" w:hAnsi="宋体" w:cs="宋体" w:eastAsia="宋体" w:hint="default"/>
          <w:spacing w:val="-3"/>
          <w:sz w:val="21"/>
          <w:szCs w:val="21"/>
        </w:rPr>
        <w:t>个班次，培训各级经营管理者</w:t>
      </w:r>
      <w:r>
        <w:rPr>
          <w:rFonts w:ascii="宋体" w:hAnsi="宋体" w:cs="宋体" w:eastAsia="宋体" w:hint="default"/>
          <w:spacing w:val="-48"/>
          <w:sz w:val="21"/>
          <w:szCs w:val="21"/>
        </w:rPr>
        <w:t> </w:t>
      </w:r>
      <w:r>
        <w:rPr>
          <w:rFonts w:ascii="Arial" w:hAnsi="Arial" w:cs="Arial" w:eastAsia="Arial" w:hint="default"/>
          <w:sz w:val="21"/>
          <w:szCs w:val="21"/>
        </w:rPr>
        <w:t>3,315</w:t>
      </w:r>
      <w:r>
        <w:rPr>
          <w:rFonts w:ascii="Arial" w:hAnsi="Arial" w:cs="Arial" w:eastAsia="Arial" w:hint="default"/>
          <w:spacing w:val="-1"/>
          <w:sz w:val="21"/>
          <w:szCs w:val="21"/>
        </w:rPr>
        <w:t> </w:t>
      </w:r>
      <w:r>
        <w:rPr>
          <w:rFonts w:ascii="宋体" w:hAnsi="宋体" w:cs="宋体" w:eastAsia="宋体" w:hint="default"/>
          <w:spacing w:val="-3"/>
          <w:sz w:val="21"/>
          <w:szCs w:val="21"/>
        </w:rPr>
        <w:t>余人次。为了助推公司规模效益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发展，持续提升员工专业素质，公司加大力度组织专业线员工培训。全年统一组织完成集团</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级业务专项培训班</w:t>
      </w:r>
      <w:r>
        <w:rPr>
          <w:rFonts w:ascii="宋体" w:hAnsi="宋体" w:cs="宋体" w:eastAsia="宋体" w:hint="default"/>
          <w:spacing w:val="-55"/>
          <w:sz w:val="21"/>
          <w:szCs w:val="21"/>
        </w:rPr>
        <w:t> </w:t>
      </w:r>
      <w:r>
        <w:rPr>
          <w:rFonts w:ascii="Arial" w:hAnsi="Arial" w:cs="Arial" w:eastAsia="Arial" w:hint="default"/>
          <w:sz w:val="21"/>
          <w:szCs w:val="21"/>
        </w:rPr>
        <w:t>129</w:t>
      </w:r>
      <w:r>
        <w:rPr>
          <w:rFonts w:ascii="Arial" w:hAnsi="Arial" w:cs="Arial" w:eastAsia="Arial" w:hint="default"/>
          <w:spacing w:val="-10"/>
          <w:sz w:val="21"/>
          <w:szCs w:val="21"/>
        </w:rPr>
        <w:t> </w:t>
      </w:r>
      <w:r>
        <w:rPr>
          <w:rFonts w:ascii="宋体" w:hAnsi="宋体" w:cs="宋体" w:eastAsia="宋体" w:hint="default"/>
          <w:sz w:val="21"/>
          <w:szCs w:val="21"/>
        </w:rPr>
        <w:t>个，参训人数达</w:t>
      </w:r>
      <w:r>
        <w:rPr>
          <w:rFonts w:ascii="宋体" w:hAnsi="宋体" w:cs="宋体" w:eastAsia="宋体" w:hint="default"/>
          <w:spacing w:val="-56"/>
          <w:sz w:val="21"/>
          <w:szCs w:val="21"/>
        </w:rPr>
        <w:t> </w:t>
      </w:r>
      <w:r>
        <w:rPr>
          <w:rFonts w:ascii="Arial" w:hAnsi="Arial" w:cs="Arial" w:eastAsia="Arial" w:hint="default"/>
          <w:sz w:val="21"/>
          <w:szCs w:val="21"/>
        </w:rPr>
        <w:t>1.7</w:t>
      </w:r>
      <w:r>
        <w:rPr>
          <w:rFonts w:ascii="Arial" w:hAnsi="Arial" w:cs="Arial" w:eastAsia="Arial" w:hint="default"/>
          <w:spacing w:val="-10"/>
          <w:sz w:val="21"/>
          <w:szCs w:val="21"/>
        </w:rPr>
        <w:t> </w:t>
      </w:r>
      <w:r>
        <w:rPr>
          <w:rFonts w:ascii="宋体" w:hAnsi="宋体" w:cs="宋体" w:eastAsia="宋体" w:hint="default"/>
          <w:sz w:val="21"/>
          <w:szCs w:val="21"/>
        </w:rPr>
        <w:t>万余人次；鼓励一线岗位人员优化知识结构，全</w:t>
      </w:r>
    </w:p>
    <w:p>
      <w:pPr>
        <w:spacing w:line="264" w:lineRule="exact" w:before="0"/>
        <w:ind w:left="565" w:right="0" w:firstLine="0"/>
        <w:jc w:val="both"/>
        <w:rPr>
          <w:rFonts w:ascii="宋体" w:hAnsi="宋体" w:cs="宋体" w:eastAsia="宋体" w:hint="default"/>
          <w:sz w:val="21"/>
          <w:szCs w:val="21"/>
        </w:rPr>
      </w:pPr>
      <w:r>
        <w:rPr>
          <w:rFonts w:ascii="宋体" w:hAnsi="宋体" w:cs="宋体" w:eastAsia="宋体" w:hint="default"/>
          <w:sz w:val="21"/>
          <w:szCs w:val="21"/>
        </w:rPr>
        <w:t>年参与提升学历在职学习</w:t>
      </w:r>
      <w:r>
        <w:rPr>
          <w:rFonts w:ascii="宋体" w:hAnsi="宋体" w:cs="宋体" w:eastAsia="宋体" w:hint="default"/>
          <w:spacing w:val="-57"/>
          <w:sz w:val="21"/>
          <w:szCs w:val="21"/>
        </w:rPr>
        <w:t> </w:t>
      </w:r>
      <w:r>
        <w:rPr>
          <w:rFonts w:ascii="Arial" w:hAnsi="Arial" w:cs="Arial" w:eastAsia="Arial" w:hint="default"/>
          <w:sz w:val="21"/>
          <w:szCs w:val="21"/>
        </w:rPr>
        <w:t>3,896</w:t>
      </w:r>
      <w:r>
        <w:rPr>
          <w:rFonts w:ascii="Arial" w:hAnsi="Arial" w:cs="Arial" w:eastAsia="Arial" w:hint="default"/>
          <w:spacing w:val="-10"/>
          <w:sz w:val="21"/>
          <w:szCs w:val="21"/>
        </w:rPr>
        <w:t> </w:t>
      </w:r>
      <w:r>
        <w:rPr>
          <w:rFonts w:ascii="宋体" w:hAnsi="宋体" w:cs="宋体" w:eastAsia="宋体" w:hint="default"/>
          <w:sz w:val="21"/>
          <w:szCs w:val="21"/>
        </w:rPr>
        <w:t>余人次；全年组织了技能鉴定</w:t>
      </w:r>
      <w:r>
        <w:rPr>
          <w:rFonts w:ascii="宋体" w:hAnsi="宋体" w:cs="宋体" w:eastAsia="宋体" w:hint="default"/>
          <w:spacing w:val="-54"/>
          <w:sz w:val="21"/>
          <w:szCs w:val="21"/>
        </w:rPr>
        <w:t> </w:t>
      </w:r>
      <w:r>
        <w:rPr>
          <w:rFonts w:ascii="Arial" w:hAnsi="Arial" w:cs="Arial" w:eastAsia="Arial" w:hint="default"/>
          <w:sz w:val="21"/>
          <w:szCs w:val="21"/>
        </w:rPr>
        <w:t>8</w:t>
      </w:r>
      <w:r>
        <w:rPr>
          <w:rFonts w:ascii="Arial" w:hAnsi="Arial" w:cs="Arial" w:eastAsia="Arial" w:hint="default"/>
          <w:spacing w:val="-10"/>
          <w:sz w:val="21"/>
          <w:szCs w:val="21"/>
        </w:rPr>
        <w:t> </w:t>
      </w:r>
      <w:r>
        <w:rPr>
          <w:rFonts w:ascii="宋体" w:hAnsi="宋体" w:cs="宋体" w:eastAsia="宋体" w:hint="default"/>
          <w:sz w:val="21"/>
          <w:szCs w:val="21"/>
        </w:rPr>
        <w:t>个批次，参加考试员工总计</w:t>
      </w:r>
    </w:p>
    <w:p>
      <w:pPr>
        <w:spacing w:line="282" w:lineRule="exact" w:before="0"/>
        <w:ind w:left="565" w:right="0" w:firstLine="0"/>
        <w:jc w:val="both"/>
        <w:rPr>
          <w:rFonts w:ascii="宋体" w:hAnsi="宋体" w:cs="宋体" w:eastAsia="宋体" w:hint="default"/>
          <w:sz w:val="21"/>
          <w:szCs w:val="21"/>
        </w:rPr>
      </w:pPr>
      <w:r>
        <w:rPr>
          <w:rFonts w:ascii="Arial" w:hAnsi="Arial" w:cs="Arial" w:eastAsia="Arial" w:hint="default"/>
          <w:sz w:val="21"/>
          <w:szCs w:val="21"/>
        </w:rPr>
        <w:t>3.3</w:t>
      </w:r>
      <w:r>
        <w:rPr>
          <w:rFonts w:ascii="Arial" w:hAnsi="Arial" w:cs="Arial" w:eastAsia="Arial" w:hint="default"/>
          <w:spacing w:val="-7"/>
          <w:sz w:val="21"/>
          <w:szCs w:val="21"/>
        </w:rPr>
        <w:t> </w:t>
      </w:r>
      <w:r>
        <w:rPr>
          <w:rFonts w:ascii="宋体" w:hAnsi="宋体" w:cs="宋体" w:eastAsia="宋体" w:hint="default"/>
          <w:sz w:val="21"/>
          <w:szCs w:val="21"/>
        </w:rPr>
        <w:t>万余人，取得国家职业资格证书</w:t>
      </w:r>
      <w:r>
        <w:rPr>
          <w:rFonts w:ascii="宋体" w:hAnsi="宋体" w:cs="宋体" w:eastAsia="宋体" w:hint="default"/>
          <w:spacing w:val="-53"/>
          <w:sz w:val="21"/>
          <w:szCs w:val="21"/>
        </w:rPr>
        <w:t> </w:t>
      </w:r>
      <w:r>
        <w:rPr>
          <w:rFonts w:ascii="Arial" w:hAnsi="Arial" w:cs="Arial" w:eastAsia="Arial" w:hint="default"/>
          <w:sz w:val="21"/>
          <w:szCs w:val="21"/>
        </w:rPr>
        <w:t>2.51</w:t>
      </w:r>
      <w:r>
        <w:rPr>
          <w:rFonts w:ascii="Arial" w:hAnsi="Arial" w:cs="Arial" w:eastAsia="Arial" w:hint="default"/>
          <w:spacing w:val="-7"/>
          <w:sz w:val="21"/>
          <w:szCs w:val="21"/>
        </w:rPr>
        <w:t> </w:t>
      </w:r>
      <w:r>
        <w:rPr>
          <w:rFonts w:ascii="宋体" w:hAnsi="宋体" w:cs="宋体" w:eastAsia="宋体" w:hint="default"/>
          <w:sz w:val="21"/>
          <w:szCs w:val="21"/>
        </w:rPr>
        <w:t>万人。</w:t>
      </w:r>
    </w:p>
    <w:p>
      <w:pPr>
        <w:spacing w:line="272" w:lineRule="exact" w:before="194"/>
        <w:ind w:left="565" w:right="97" w:firstLine="0"/>
        <w:jc w:val="left"/>
        <w:rPr>
          <w:rFonts w:ascii="宋体" w:hAnsi="宋体" w:cs="宋体" w:eastAsia="宋体" w:hint="default"/>
          <w:sz w:val="21"/>
          <w:szCs w:val="21"/>
        </w:rPr>
      </w:pPr>
      <w:r>
        <w:rPr>
          <w:rFonts w:ascii="宋体" w:hAnsi="宋体" w:cs="宋体" w:eastAsia="宋体" w:hint="default"/>
          <w:sz w:val="21"/>
          <w:szCs w:val="21"/>
        </w:rPr>
        <w:t>公司培训工作紧密围绕企业战略和工作重点，坚定培训转型思路，创新培训模式，搭建培训</w:t>
      </w:r>
      <w:r>
        <w:rPr>
          <w:rFonts w:ascii="宋体" w:hAnsi="宋体" w:cs="宋体" w:eastAsia="宋体" w:hint="default"/>
          <w:w w:val="100"/>
          <w:sz w:val="21"/>
          <w:szCs w:val="21"/>
        </w:rPr>
        <w:t> </w:t>
      </w:r>
      <w:r>
        <w:rPr>
          <w:rFonts w:ascii="宋体" w:hAnsi="宋体" w:cs="宋体" w:eastAsia="宋体" w:hint="default"/>
          <w:spacing w:val="-4"/>
          <w:sz w:val="21"/>
          <w:szCs w:val="21"/>
        </w:rPr>
        <w:t>体系，多层次、全方位、持续地开展培训，为公司规模效益发展提供了智力支持和人才保障。</w:t>
      </w:r>
    </w:p>
    <w:p>
      <w:pPr>
        <w:spacing w:before="159"/>
        <w:ind w:left="138" w:right="259"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四</w:t>
      </w:r>
      <w:r>
        <w:rPr>
          <w:rFonts w:ascii="Arial" w:hAnsi="Arial" w:cs="Arial" w:eastAsia="Arial" w:hint="default"/>
          <w:b/>
          <w:bCs/>
          <w:sz w:val="21"/>
          <w:szCs w:val="21"/>
        </w:rPr>
        <w:t>)</w:t>
      </w:r>
      <w:r>
        <w:rPr>
          <w:rFonts w:ascii="Arial" w:hAnsi="Arial" w:cs="Arial" w:eastAsia="Arial" w:hint="default"/>
          <w:b/>
          <w:bCs/>
          <w:spacing w:val="12"/>
          <w:sz w:val="21"/>
          <w:szCs w:val="21"/>
        </w:rPr>
        <w:t> </w:t>
      </w:r>
      <w:r>
        <w:rPr>
          <w:rFonts w:ascii="宋体" w:hAnsi="宋体" w:cs="宋体" w:eastAsia="宋体" w:hint="default"/>
          <w:b/>
          <w:bCs/>
          <w:sz w:val="21"/>
          <w:szCs w:val="21"/>
        </w:rPr>
        <w:t>专业构成统计图</w:t>
      </w:r>
      <w:r>
        <w:rPr>
          <w:rFonts w:ascii="宋体" w:hAnsi="宋体" w:cs="宋体" w:eastAsia="宋体" w:hint="default"/>
          <w:sz w:val="21"/>
          <w:szCs w:val="21"/>
        </w:rPr>
      </w:r>
    </w:p>
    <w:p>
      <w:pPr>
        <w:spacing w:line="240" w:lineRule="auto" w:before="7"/>
        <w:rPr>
          <w:rFonts w:ascii="宋体" w:hAnsi="宋体" w:cs="宋体" w:eastAsia="宋体" w:hint="default"/>
          <w:b/>
          <w:bCs/>
          <w:sz w:val="15"/>
          <w:szCs w:val="15"/>
        </w:rPr>
      </w:pPr>
    </w:p>
    <w:p>
      <w:pPr>
        <w:spacing w:line="3435" w:lineRule="exact"/>
        <w:ind w:left="568" w:right="0" w:firstLine="0"/>
        <w:rPr>
          <w:rFonts w:ascii="宋体" w:hAnsi="宋体" w:cs="宋体" w:eastAsia="宋体" w:hint="default"/>
          <w:sz w:val="20"/>
          <w:szCs w:val="20"/>
        </w:rPr>
      </w:pPr>
      <w:r>
        <w:rPr>
          <w:rFonts w:ascii="宋体" w:hAnsi="宋体" w:cs="宋体" w:eastAsia="宋体" w:hint="default"/>
          <w:position w:val="-68"/>
          <w:sz w:val="20"/>
          <w:szCs w:val="20"/>
        </w:rPr>
        <w:drawing>
          <wp:inline distT="0" distB="0" distL="0" distR="0">
            <wp:extent cx="3576209" cy="218122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6" cstate="print"/>
                    <a:stretch>
                      <a:fillRect/>
                    </a:stretch>
                  </pic:blipFill>
                  <pic:spPr>
                    <a:xfrm>
                      <a:off x="0" y="0"/>
                      <a:ext cx="3576209" cy="2181225"/>
                    </a:xfrm>
                    <a:prstGeom prst="rect">
                      <a:avLst/>
                    </a:prstGeom>
                  </pic:spPr>
                </pic:pic>
              </a:graphicData>
            </a:graphic>
          </wp:inline>
        </w:drawing>
      </w:r>
      <w:r>
        <w:rPr>
          <w:rFonts w:ascii="宋体" w:hAnsi="宋体" w:cs="宋体" w:eastAsia="宋体" w:hint="default"/>
          <w:position w:val="-68"/>
          <w:sz w:val="20"/>
          <w:szCs w:val="20"/>
        </w:rPr>
      </w:r>
    </w:p>
    <w:p>
      <w:pPr>
        <w:spacing w:before="138"/>
        <w:ind w:left="138" w:right="259"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五</w:t>
      </w:r>
      <w:r>
        <w:rPr>
          <w:rFonts w:ascii="Arial" w:hAnsi="Arial" w:cs="Arial" w:eastAsia="Arial" w:hint="default"/>
          <w:b/>
          <w:bCs/>
          <w:sz w:val="21"/>
          <w:szCs w:val="21"/>
        </w:rPr>
        <w:t>)</w:t>
      </w:r>
      <w:r>
        <w:rPr>
          <w:rFonts w:ascii="Arial" w:hAnsi="Arial" w:cs="Arial" w:eastAsia="Arial" w:hint="default"/>
          <w:b/>
          <w:bCs/>
          <w:spacing w:val="12"/>
          <w:sz w:val="21"/>
          <w:szCs w:val="21"/>
        </w:rPr>
        <w:t> </w:t>
      </w:r>
      <w:r>
        <w:rPr>
          <w:rFonts w:ascii="宋体" w:hAnsi="宋体" w:cs="宋体" w:eastAsia="宋体" w:hint="default"/>
          <w:b/>
          <w:bCs/>
          <w:sz w:val="21"/>
          <w:szCs w:val="21"/>
        </w:rPr>
        <w:t>教育程度统计图</w:t>
      </w:r>
      <w:r>
        <w:rPr>
          <w:rFonts w:ascii="宋体" w:hAnsi="宋体" w:cs="宋体" w:eastAsia="宋体" w:hint="default"/>
          <w:sz w:val="21"/>
          <w:szCs w:val="21"/>
        </w:rPr>
      </w:r>
    </w:p>
    <w:p>
      <w:pPr>
        <w:spacing w:line="240" w:lineRule="auto" w:before="6"/>
        <w:rPr>
          <w:rFonts w:ascii="宋体" w:hAnsi="宋体" w:cs="宋体" w:eastAsia="宋体" w:hint="default"/>
          <w:b/>
          <w:bCs/>
          <w:sz w:val="15"/>
          <w:szCs w:val="15"/>
        </w:rPr>
      </w:pPr>
    </w:p>
    <w:p>
      <w:pPr>
        <w:spacing w:line="3344" w:lineRule="exact"/>
        <w:ind w:left="568"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3545779" cy="2123598"/>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7" cstate="print"/>
                    <a:stretch>
                      <a:fillRect/>
                    </a:stretch>
                  </pic:blipFill>
                  <pic:spPr>
                    <a:xfrm>
                      <a:off x="0" y="0"/>
                      <a:ext cx="3545779" cy="2123598"/>
                    </a:xfrm>
                    <a:prstGeom prst="rect">
                      <a:avLst/>
                    </a:prstGeom>
                  </pic:spPr>
                </pic:pic>
              </a:graphicData>
            </a:graphic>
          </wp:inline>
        </w:drawing>
      </w:r>
      <w:r>
        <w:rPr>
          <w:rFonts w:ascii="宋体" w:hAnsi="宋体" w:cs="宋体" w:eastAsia="宋体" w:hint="default"/>
          <w:position w:val="-66"/>
          <w:sz w:val="20"/>
          <w:szCs w:val="20"/>
        </w:rPr>
      </w:r>
    </w:p>
    <w:p>
      <w:pPr>
        <w:spacing w:before="168"/>
        <w:ind w:left="138" w:right="259"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六</w:t>
      </w:r>
      <w:r>
        <w:rPr>
          <w:rFonts w:ascii="Arial" w:hAnsi="Arial" w:cs="Arial" w:eastAsia="Arial" w:hint="default"/>
          <w:b/>
          <w:bCs/>
          <w:sz w:val="21"/>
          <w:szCs w:val="21"/>
        </w:rPr>
        <w:t>)</w:t>
      </w:r>
      <w:r>
        <w:rPr>
          <w:rFonts w:ascii="Arial" w:hAnsi="Arial" w:cs="Arial" w:eastAsia="Arial" w:hint="default"/>
          <w:b/>
          <w:bCs/>
          <w:spacing w:val="12"/>
          <w:sz w:val="21"/>
          <w:szCs w:val="21"/>
        </w:rPr>
        <w:t> </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4"/>
        <w:rPr>
          <w:rFonts w:ascii="宋体" w:hAnsi="宋体" w:cs="宋体" w:eastAsia="宋体" w:hint="default"/>
          <w:b/>
          <w:bCs/>
          <w:sz w:val="15"/>
          <w:szCs w:val="15"/>
        </w:rPr>
      </w:pPr>
    </w:p>
    <w:tbl>
      <w:tblPr>
        <w:tblW w:w="0" w:type="auto"/>
        <w:jc w:val="left"/>
        <w:tblInd w:w="560" w:type="dxa"/>
        <w:tblLayout w:type="fixed"/>
        <w:tblCellMar>
          <w:top w:w="0" w:type="dxa"/>
          <w:left w:w="0" w:type="dxa"/>
          <w:bottom w:w="0" w:type="dxa"/>
          <w:right w:w="0" w:type="dxa"/>
        </w:tblCellMar>
        <w:tblLook w:val="01E0"/>
      </w:tblPr>
      <w:tblGrid>
        <w:gridCol w:w="2408"/>
        <w:gridCol w:w="6097"/>
      </w:tblGrid>
      <w:tr>
        <w:trPr>
          <w:trHeight w:val="242" w:hRule="exact"/>
        </w:trPr>
        <w:tc>
          <w:tcPr>
            <w:tcW w:w="240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劳务外包情况</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307"/>
              <w:jc w:val="right"/>
              <w:rPr>
                <w:rFonts w:ascii="宋体" w:hAnsi="宋体" w:cs="宋体" w:eastAsia="宋体" w:hint="default"/>
                <w:sz w:val="18"/>
                <w:szCs w:val="18"/>
              </w:rPr>
            </w:pPr>
            <w:r>
              <w:rPr>
                <w:rFonts w:ascii="Arial" w:hAnsi="Arial" w:cs="Arial" w:eastAsia="Arial" w:hint="default"/>
                <w:sz w:val="18"/>
                <w:szCs w:val="18"/>
              </w:rPr>
              <w:t>52,782</w:t>
            </w:r>
            <w:r>
              <w:rPr>
                <w:rFonts w:ascii="Arial" w:hAnsi="Arial" w:cs="Arial" w:eastAsia="Arial" w:hint="default"/>
                <w:spacing w:val="-6"/>
                <w:sz w:val="18"/>
                <w:szCs w:val="18"/>
              </w:rPr>
              <w:t> </w:t>
            </w:r>
            <w:r>
              <w:rPr>
                <w:rFonts w:ascii="宋体" w:hAnsi="宋体" w:cs="宋体" w:eastAsia="宋体" w:hint="default"/>
                <w:sz w:val="18"/>
                <w:szCs w:val="18"/>
              </w:rPr>
              <w:t>人</w:t>
            </w:r>
          </w:p>
        </w:tc>
      </w:tr>
      <w:tr>
        <w:trPr>
          <w:trHeight w:val="245" w:hRule="exact"/>
        </w:trPr>
        <w:tc>
          <w:tcPr>
            <w:tcW w:w="240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劳务外包的工时总数</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307"/>
              <w:jc w:val="right"/>
              <w:rPr>
                <w:rFonts w:ascii="宋体" w:hAnsi="宋体" w:cs="宋体" w:eastAsia="宋体" w:hint="default"/>
                <w:sz w:val="18"/>
                <w:szCs w:val="18"/>
              </w:rPr>
            </w:pPr>
            <w:r>
              <w:rPr>
                <w:rFonts w:ascii="Arial" w:hAnsi="Arial" w:cs="Arial" w:eastAsia="Arial" w:hint="default"/>
                <w:sz w:val="18"/>
                <w:szCs w:val="18"/>
              </w:rPr>
              <w:t>111,272,901.1</w:t>
            </w:r>
            <w:r>
              <w:rPr>
                <w:rFonts w:ascii="Arial" w:hAnsi="Arial" w:cs="Arial" w:eastAsia="Arial" w:hint="default"/>
                <w:spacing w:val="-10"/>
                <w:sz w:val="18"/>
                <w:szCs w:val="18"/>
              </w:rPr>
              <w:t> </w:t>
            </w:r>
            <w:r>
              <w:rPr>
                <w:rFonts w:ascii="宋体" w:hAnsi="宋体" w:cs="宋体" w:eastAsia="宋体" w:hint="default"/>
                <w:sz w:val="18"/>
                <w:szCs w:val="18"/>
              </w:rPr>
              <w:t>工时</w:t>
            </w:r>
          </w:p>
        </w:tc>
      </w:tr>
      <w:tr>
        <w:trPr>
          <w:trHeight w:val="242" w:hRule="exact"/>
        </w:trPr>
        <w:tc>
          <w:tcPr>
            <w:tcW w:w="240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劳务外包支付的报酬总额</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493" w:right="0"/>
              <w:jc w:val="left"/>
              <w:rPr>
                <w:rFonts w:ascii="宋体" w:hAnsi="宋体" w:cs="宋体" w:eastAsia="宋体" w:hint="default"/>
                <w:sz w:val="18"/>
                <w:szCs w:val="18"/>
              </w:rPr>
            </w:pPr>
            <w:r>
              <w:rPr>
                <w:rFonts w:ascii="宋体" w:hAnsi="宋体" w:cs="宋体" w:eastAsia="宋体" w:hint="default"/>
                <w:sz w:val="18"/>
                <w:szCs w:val="18"/>
              </w:rPr>
              <w:t>截止报告期末，劳务外包支付的报酬总额</w:t>
            </w:r>
            <w:r>
              <w:rPr>
                <w:rFonts w:ascii="宋体" w:hAnsi="宋体" w:cs="宋体" w:eastAsia="宋体" w:hint="default"/>
                <w:spacing w:val="-47"/>
                <w:sz w:val="18"/>
                <w:szCs w:val="18"/>
              </w:rPr>
              <w:t> </w:t>
            </w:r>
            <w:r>
              <w:rPr>
                <w:rFonts w:ascii="Arial" w:hAnsi="Arial" w:cs="Arial" w:eastAsia="Arial" w:hint="default"/>
                <w:sz w:val="18"/>
                <w:szCs w:val="18"/>
              </w:rPr>
              <w:t>360,761.4</w:t>
            </w:r>
            <w:r>
              <w:rPr>
                <w:rFonts w:ascii="Arial" w:hAnsi="Arial" w:cs="Arial" w:eastAsia="Arial" w:hint="default"/>
                <w:spacing w:val="-6"/>
                <w:sz w:val="18"/>
                <w:szCs w:val="18"/>
              </w:rPr>
              <w:t> </w:t>
            </w:r>
            <w:r>
              <w:rPr>
                <w:rFonts w:ascii="宋体" w:hAnsi="宋体" w:cs="宋体" w:eastAsia="宋体" w:hint="default"/>
                <w:sz w:val="18"/>
                <w:szCs w:val="18"/>
              </w:rPr>
              <w:t>万元</w:t>
            </w:r>
          </w:p>
        </w:tc>
      </w:tr>
    </w:tbl>
    <w:p>
      <w:pPr>
        <w:spacing w:line="240" w:lineRule="auto" w:before="10"/>
        <w:rPr>
          <w:rFonts w:ascii="宋体" w:hAnsi="宋体" w:cs="宋体" w:eastAsia="宋体" w:hint="default"/>
          <w:b/>
          <w:bCs/>
          <w:sz w:val="8"/>
          <w:szCs w:val="8"/>
        </w:rPr>
      </w:pPr>
    </w:p>
    <w:p>
      <w:pPr>
        <w:spacing w:line="272" w:lineRule="exact" w:before="64"/>
        <w:ind w:left="565" w:right="3854" w:firstLine="0"/>
        <w:jc w:val="left"/>
        <w:rPr>
          <w:rFonts w:ascii="宋体" w:hAnsi="宋体" w:cs="宋体" w:eastAsia="宋体" w:hint="default"/>
          <w:sz w:val="21"/>
          <w:szCs w:val="21"/>
        </w:rPr>
      </w:pPr>
      <w:r>
        <w:rPr>
          <w:rFonts w:ascii="宋体" w:hAnsi="宋体" w:cs="宋体" w:eastAsia="宋体" w:hint="default"/>
          <w:sz w:val="21"/>
          <w:szCs w:val="21"/>
        </w:rPr>
        <w:t>月平均工作日</w:t>
      </w:r>
      <w:r>
        <w:rPr>
          <w:rFonts w:ascii="宋体" w:hAnsi="宋体" w:cs="宋体" w:eastAsia="宋体" w:hint="default"/>
          <w:spacing w:val="-52"/>
          <w:sz w:val="21"/>
          <w:szCs w:val="21"/>
        </w:rPr>
        <w:t> </w:t>
      </w:r>
      <w:r>
        <w:rPr>
          <w:rFonts w:ascii="Arial" w:hAnsi="Arial" w:cs="Arial" w:eastAsia="Arial" w:hint="default"/>
          <w:sz w:val="21"/>
          <w:szCs w:val="21"/>
        </w:rPr>
        <w:t>21.96</w:t>
      </w:r>
      <w:r>
        <w:rPr>
          <w:rFonts w:ascii="宋体" w:hAnsi="宋体" w:cs="宋体" w:eastAsia="宋体" w:hint="default"/>
          <w:sz w:val="21"/>
          <w:szCs w:val="21"/>
        </w:rPr>
        <w:t>，工作时间</w:t>
      </w:r>
      <w:r>
        <w:rPr>
          <w:rFonts w:ascii="宋体" w:hAnsi="宋体" w:cs="宋体" w:eastAsia="宋体" w:hint="default"/>
          <w:spacing w:val="-53"/>
          <w:sz w:val="21"/>
          <w:szCs w:val="21"/>
        </w:rPr>
        <w:t> </w:t>
      </w:r>
      <w:r>
        <w:rPr>
          <w:rFonts w:ascii="Arial" w:hAnsi="Arial" w:cs="Arial" w:eastAsia="Arial" w:hint="default"/>
          <w:sz w:val="21"/>
          <w:szCs w:val="21"/>
        </w:rPr>
        <w:t>8</w:t>
      </w:r>
      <w:r>
        <w:rPr>
          <w:rFonts w:ascii="Arial" w:hAnsi="Arial" w:cs="Arial" w:eastAsia="Arial" w:hint="default"/>
          <w:spacing w:val="-8"/>
          <w:sz w:val="21"/>
          <w:szCs w:val="21"/>
        </w:rPr>
        <w:t> </w:t>
      </w:r>
      <w:r>
        <w:rPr>
          <w:rFonts w:ascii="宋体" w:hAnsi="宋体" w:cs="宋体" w:eastAsia="宋体" w:hint="default"/>
          <w:sz w:val="21"/>
          <w:szCs w:val="21"/>
        </w:rPr>
        <w:t>小时计：</w:t>
      </w:r>
      <w:r>
        <w:rPr>
          <w:rFonts w:ascii="宋体" w:hAnsi="宋体" w:cs="宋体" w:eastAsia="宋体" w:hint="default"/>
          <w:w w:val="100"/>
          <w:sz w:val="21"/>
          <w:szCs w:val="21"/>
        </w:rPr>
        <w:t> </w:t>
      </w:r>
      <w:r>
        <w:rPr>
          <w:rFonts w:ascii="宋体" w:hAnsi="宋体" w:cs="宋体" w:eastAsia="宋体" w:hint="default"/>
          <w:sz w:val="21"/>
          <w:szCs w:val="21"/>
        </w:rPr>
        <w:t>工时总数＝</w:t>
      </w:r>
      <w:r>
        <w:rPr>
          <w:rFonts w:ascii="Arial" w:hAnsi="Arial" w:cs="Arial" w:eastAsia="Arial" w:hint="default"/>
          <w:sz w:val="21"/>
          <w:szCs w:val="21"/>
        </w:rPr>
        <w:t>52,782*21.96*8*12=111,272,901.1</w:t>
      </w:r>
      <w:r>
        <w:rPr>
          <w:rFonts w:ascii="Arial" w:hAnsi="Arial" w:cs="Arial" w:eastAsia="Arial" w:hint="default"/>
          <w:spacing w:val="-10"/>
          <w:sz w:val="21"/>
          <w:szCs w:val="21"/>
        </w:rPr>
        <w:t> </w:t>
      </w:r>
      <w:r>
        <w:rPr>
          <w:rFonts w:ascii="宋体" w:hAnsi="宋体" w:cs="宋体" w:eastAsia="宋体" w:hint="default"/>
          <w:sz w:val="21"/>
          <w:szCs w:val="21"/>
        </w:rPr>
        <w:t>工时</w:t>
      </w:r>
    </w:p>
    <w:p>
      <w:pPr>
        <w:spacing w:after="0" w:line="272" w:lineRule="exact"/>
        <w:jc w:val="left"/>
        <w:rPr>
          <w:rFonts w:ascii="宋体" w:hAnsi="宋体" w:cs="宋体" w:eastAsia="宋体" w:hint="default"/>
          <w:sz w:val="21"/>
          <w:szCs w:val="21"/>
        </w:rPr>
        <w:sectPr>
          <w:pgSz w:w="11910" w:h="16840"/>
          <w:pgMar w:header="880" w:footer="1194" w:top="1120" w:bottom="1380" w:left="1660" w:right="1060"/>
        </w:sectPr>
      </w:pPr>
    </w:p>
    <w:p>
      <w:pPr>
        <w:spacing w:line="240" w:lineRule="auto" w:before="11"/>
        <w:rPr>
          <w:rFonts w:ascii="宋体" w:hAnsi="宋体" w:cs="宋体" w:eastAsia="宋体" w:hint="default"/>
          <w:sz w:val="25"/>
          <w:szCs w:val="25"/>
        </w:rPr>
      </w:pPr>
    </w:p>
    <w:p>
      <w:pPr>
        <w:pStyle w:val="Heading1"/>
        <w:tabs>
          <w:tab w:pos="1260" w:val="left" w:leader="none"/>
        </w:tabs>
        <w:spacing w:line="240" w:lineRule="auto" w:before="14"/>
        <w:ind w:right="74"/>
        <w:jc w:val="center"/>
        <w:rPr>
          <w:b w:val="0"/>
          <w:bCs w:val="0"/>
        </w:rPr>
      </w:pPr>
      <w:bookmarkStart w:name="_TOC_250003" w:id="8"/>
      <w:r>
        <w:rPr>
          <w:w w:val="95"/>
        </w:rPr>
        <w:t>第八节</w:t>
        <w:tab/>
      </w:r>
      <w:r>
        <w:rPr/>
        <w:t>公司治理</w:t>
      </w:r>
      <w:bookmarkEnd w:id="8"/>
      <w:r>
        <w:rPr>
          <w:b w:val="0"/>
          <w:bCs w:val="0"/>
        </w:rPr>
      </w:r>
    </w:p>
    <w:p>
      <w:pPr>
        <w:spacing w:line="240" w:lineRule="auto" w:before="4"/>
        <w:rPr>
          <w:rFonts w:ascii="黑体" w:hAnsi="黑体" w:cs="黑体" w:eastAsia="黑体" w:hint="default"/>
          <w:b/>
          <w:bCs/>
          <w:sz w:val="19"/>
          <w:szCs w:val="19"/>
        </w:rPr>
      </w:pPr>
    </w:p>
    <w:p>
      <w:pPr>
        <w:spacing w:before="0"/>
        <w:ind w:left="138" w:right="259" w:firstLine="0"/>
        <w:jc w:val="left"/>
        <w:rPr>
          <w:rFonts w:ascii="宋体" w:hAnsi="宋体" w:cs="宋体" w:eastAsia="宋体" w:hint="default"/>
          <w:sz w:val="21"/>
          <w:szCs w:val="21"/>
        </w:rPr>
      </w:pPr>
      <w:r>
        <w:rPr>
          <w:rFonts w:ascii="宋体" w:hAnsi="宋体" w:cs="宋体" w:eastAsia="宋体" w:hint="default"/>
          <w:b/>
          <w:bCs/>
          <w:sz w:val="21"/>
          <w:szCs w:val="21"/>
        </w:rPr>
        <w:t>一、公司治理及内幕知情人登记管理等相关情况说明</w:t>
      </w:r>
      <w:r>
        <w:rPr>
          <w:rFonts w:ascii="宋体" w:hAnsi="宋体" w:cs="宋体" w:eastAsia="宋体" w:hint="default"/>
          <w:sz w:val="21"/>
          <w:szCs w:val="21"/>
        </w:rPr>
      </w:r>
    </w:p>
    <w:p>
      <w:pPr>
        <w:spacing w:line="240" w:lineRule="auto" w:before="0"/>
        <w:rPr>
          <w:rFonts w:ascii="宋体" w:hAnsi="宋体" w:cs="宋体" w:eastAsia="宋体" w:hint="default"/>
          <w:b/>
          <w:bCs/>
          <w:sz w:val="23"/>
          <w:szCs w:val="23"/>
        </w:rPr>
      </w:pPr>
    </w:p>
    <w:p>
      <w:pPr>
        <w:spacing w:line="237" w:lineRule="auto" w:before="0"/>
        <w:ind w:left="138" w:right="217" w:firstLine="0"/>
        <w:jc w:val="both"/>
        <w:rPr>
          <w:rFonts w:ascii="宋体" w:hAnsi="宋体" w:cs="宋体" w:eastAsia="宋体" w:hint="default"/>
          <w:sz w:val="21"/>
          <w:szCs w:val="21"/>
        </w:rPr>
      </w:pPr>
      <w:r>
        <w:rPr>
          <w:rFonts w:ascii="宋体" w:hAnsi="宋体" w:cs="宋体" w:eastAsia="宋体" w:hint="default"/>
          <w:spacing w:val="-2"/>
          <w:sz w:val="21"/>
          <w:szCs w:val="21"/>
        </w:rPr>
        <w:t>报告期内，本公司严格按照《公司法》、《证券法》、《上市公司治理准则》、中国证监会等监</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管部门的有关规定以及上海证券交易所《股票上市规则》等法律法规要求开展公司治理工作，不</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断完善公司法人治理结构和公司各项内部管理制度，建立严格有效的内部控制和风险控制体系，</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加强信息披露工作，规范公司运作。</w:t>
      </w:r>
    </w:p>
    <w:p>
      <w:pPr>
        <w:spacing w:line="240" w:lineRule="auto" w:before="8"/>
        <w:rPr>
          <w:rFonts w:ascii="宋体" w:hAnsi="宋体" w:cs="宋体" w:eastAsia="宋体" w:hint="default"/>
          <w:sz w:val="18"/>
          <w:szCs w:val="18"/>
        </w:rPr>
      </w:pPr>
    </w:p>
    <w:p>
      <w:pPr>
        <w:spacing w:line="235" w:lineRule="auto" w:before="0"/>
        <w:ind w:left="138" w:right="97" w:firstLine="0"/>
        <w:jc w:val="left"/>
        <w:rPr>
          <w:rFonts w:ascii="宋体" w:hAnsi="宋体" w:cs="宋体" w:eastAsia="宋体" w:hint="default"/>
          <w:sz w:val="21"/>
          <w:szCs w:val="21"/>
        </w:rPr>
      </w:pPr>
      <w:r>
        <w:rPr>
          <w:rFonts w:ascii="宋体" w:hAnsi="宋体" w:cs="宋体" w:eastAsia="宋体" w:hint="default"/>
          <w:sz w:val="21"/>
          <w:szCs w:val="21"/>
        </w:rPr>
        <w:t>本公司已经先后制定了规范公司运作的《公司章程》、《董事会议事规则》、《股东大会议事规</w:t>
      </w:r>
      <w:r>
        <w:rPr>
          <w:rFonts w:ascii="宋体" w:hAnsi="宋体" w:cs="宋体" w:eastAsia="宋体" w:hint="default"/>
          <w:w w:val="100"/>
          <w:sz w:val="21"/>
          <w:szCs w:val="21"/>
        </w:rPr>
        <w:t> </w:t>
      </w:r>
      <w:r>
        <w:rPr>
          <w:rFonts w:ascii="宋体" w:hAnsi="宋体" w:cs="宋体" w:eastAsia="宋体" w:hint="default"/>
          <w:sz w:val="21"/>
          <w:szCs w:val="21"/>
        </w:rPr>
        <w:t>则》、《监事会议事规则》、《投资者关系管理办法》、《董事会专门委员会工作细则》、《独</w:t>
      </w:r>
      <w:r>
        <w:rPr>
          <w:rFonts w:ascii="宋体" w:hAnsi="宋体" w:cs="宋体" w:eastAsia="宋体" w:hint="default"/>
          <w:w w:val="100"/>
          <w:sz w:val="21"/>
          <w:szCs w:val="21"/>
        </w:rPr>
        <w:t> </w:t>
      </w:r>
      <w:r>
        <w:rPr>
          <w:rFonts w:ascii="宋体" w:hAnsi="宋体" w:cs="宋体" w:eastAsia="宋体" w:hint="default"/>
          <w:sz w:val="21"/>
          <w:szCs w:val="21"/>
        </w:rPr>
        <w:t>立董事工作细则》、《公司信息披露事务管理实施办法》、《董事会秘书工作细则》、《公司内</w:t>
      </w:r>
      <w:r>
        <w:rPr>
          <w:rFonts w:ascii="宋体" w:hAnsi="宋体" w:cs="宋体" w:eastAsia="宋体" w:hint="default"/>
          <w:w w:val="100"/>
          <w:sz w:val="21"/>
          <w:szCs w:val="21"/>
        </w:rPr>
        <w:t> </w:t>
      </w:r>
      <w:r>
        <w:rPr>
          <w:rFonts w:ascii="宋体" w:hAnsi="宋体" w:cs="宋体" w:eastAsia="宋体" w:hint="default"/>
          <w:sz w:val="21"/>
          <w:szCs w:val="21"/>
        </w:rPr>
        <w:t>幕信息知情人登记制度》等。报告期内本公司严格按照《公司章程》及本公司</w:t>
      </w:r>
      <w:r>
        <w:rPr>
          <w:rFonts w:ascii="Arial" w:hAnsi="Arial" w:cs="Arial" w:eastAsia="Arial" w:hint="default"/>
          <w:sz w:val="21"/>
          <w:szCs w:val="21"/>
        </w:rPr>
        <w:t>“</w:t>
      </w:r>
      <w:r>
        <w:rPr>
          <w:rFonts w:ascii="宋体" w:hAnsi="宋体" w:cs="宋体" w:eastAsia="宋体" w:hint="default"/>
          <w:sz w:val="21"/>
          <w:szCs w:val="21"/>
        </w:rPr>
        <w:t>三会议事规则</w:t>
      </w:r>
      <w:r>
        <w:rPr>
          <w:rFonts w:ascii="Arial" w:hAnsi="Arial" w:cs="Arial" w:eastAsia="Arial" w:hint="default"/>
          <w:sz w:val="21"/>
          <w:szCs w:val="21"/>
        </w:rPr>
        <w:t>”</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pacing w:val="-4"/>
          <w:sz w:val="21"/>
          <w:szCs w:val="21"/>
        </w:rPr>
        <w:t>规定程序召集、召开股东大会、董事会和监事会，同时公司还依据《董事会专门委员会工作细则》</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4"/>
          <w:sz w:val="21"/>
          <w:szCs w:val="21"/>
        </w:rPr>
        <w:t>及《独立董事工作细则》的要求，召开独立董事会、审计委员会会议以及薪酬与考核委员会会议，</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审议公司重大事项等。涉及公司定期报告等重大信息时，公司均严格按照《公司内幕信息知情人</w:t>
      </w:r>
      <w:r>
        <w:rPr>
          <w:rFonts w:ascii="宋体" w:hAnsi="宋体" w:cs="宋体" w:eastAsia="宋体" w:hint="default"/>
          <w:w w:val="100"/>
          <w:sz w:val="21"/>
          <w:szCs w:val="21"/>
        </w:rPr>
        <w:t> </w:t>
      </w:r>
      <w:r>
        <w:rPr>
          <w:rFonts w:ascii="宋体" w:hAnsi="宋体" w:cs="宋体" w:eastAsia="宋体" w:hint="default"/>
          <w:sz w:val="21"/>
          <w:szCs w:val="21"/>
        </w:rPr>
        <w:t>登记制度》做好内幕信息知情人登记工作。截至</w:t>
      </w:r>
      <w:r>
        <w:rPr>
          <w:rFonts w:ascii="宋体" w:hAnsi="宋体" w:cs="宋体" w:eastAsia="宋体" w:hint="default"/>
          <w:spacing w:val="-53"/>
          <w:sz w:val="21"/>
          <w:szCs w:val="21"/>
        </w:rPr>
        <w:t> </w:t>
      </w:r>
      <w:r>
        <w:rPr>
          <w:rFonts w:ascii="Arial" w:hAnsi="Arial" w:cs="Arial" w:eastAsia="Arial" w:hint="default"/>
          <w:sz w:val="21"/>
          <w:szCs w:val="21"/>
        </w:rPr>
        <w:t>2014</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12</w:t>
      </w:r>
      <w:r>
        <w:rPr>
          <w:rFonts w:ascii="Arial" w:hAnsi="Arial" w:cs="Arial" w:eastAsia="Arial"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6"/>
          <w:sz w:val="21"/>
          <w:szCs w:val="21"/>
        </w:rPr>
        <w:t> </w:t>
      </w:r>
      <w:r>
        <w:rPr>
          <w:rFonts w:ascii="宋体" w:hAnsi="宋体" w:cs="宋体" w:eastAsia="宋体" w:hint="default"/>
          <w:sz w:val="21"/>
          <w:szCs w:val="21"/>
        </w:rPr>
        <w:t>日止，本公司治理情况与中国</w:t>
      </w:r>
      <w:r>
        <w:rPr>
          <w:rFonts w:ascii="宋体" w:hAnsi="宋体" w:cs="宋体" w:eastAsia="宋体" w:hint="default"/>
          <w:w w:val="100"/>
          <w:sz w:val="21"/>
          <w:szCs w:val="21"/>
        </w:rPr>
        <w:t> </w:t>
      </w:r>
      <w:r>
        <w:rPr>
          <w:rFonts w:ascii="宋体" w:hAnsi="宋体" w:cs="宋体" w:eastAsia="宋体" w:hint="default"/>
          <w:sz w:val="21"/>
          <w:szCs w:val="21"/>
        </w:rPr>
        <w:t>证监会发布的《上市公司治理准则》的要求基本符合。主要表现：</w:t>
      </w:r>
    </w:p>
    <w:p>
      <w:pPr>
        <w:spacing w:line="240" w:lineRule="auto" w:before="4"/>
        <w:rPr>
          <w:rFonts w:ascii="宋体" w:hAnsi="宋体" w:cs="宋体" w:eastAsia="宋体" w:hint="default"/>
          <w:sz w:val="18"/>
          <w:szCs w:val="18"/>
        </w:rPr>
      </w:pPr>
    </w:p>
    <w:p>
      <w:pPr>
        <w:spacing w:before="0"/>
        <w:ind w:left="138" w:right="259"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一</w:t>
      </w:r>
      <w:r>
        <w:rPr>
          <w:rFonts w:ascii="Arial" w:hAnsi="Arial" w:cs="Arial" w:eastAsia="Arial" w:hint="default"/>
          <w:b/>
          <w:bCs/>
          <w:sz w:val="21"/>
          <w:szCs w:val="21"/>
        </w:rPr>
        <w:t>)</w:t>
      </w:r>
      <w:r>
        <w:rPr>
          <w:rFonts w:ascii="Arial" w:hAnsi="Arial" w:cs="Arial" w:eastAsia="Arial" w:hint="default"/>
          <w:b/>
          <w:bCs/>
          <w:spacing w:val="12"/>
          <w:sz w:val="21"/>
          <w:szCs w:val="21"/>
        </w:rPr>
        <w:t> </w:t>
      </w:r>
      <w:r>
        <w:rPr>
          <w:rFonts w:ascii="宋体" w:hAnsi="宋体" w:cs="宋体" w:eastAsia="宋体" w:hint="default"/>
          <w:b/>
          <w:bCs/>
          <w:sz w:val="21"/>
          <w:szCs w:val="21"/>
        </w:rPr>
        <w:t>股东与股东大会</w:t>
      </w:r>
      <w:r>
        <w:rPr>
          <w:rFonts w:ascii="宋体" w:hAnsi="宋体" w:cs="宋体" w:eastAsia="宋体" w:hint="default"/>
          <w:sz w:val="21"/>
          <w:szCs w:val="21"/>
        </w:rPr>
      </w:r>
    </w:p>
    <w:p>
      <w:pPr>
        <w:spacing w:line="240" w:lineRule="auto" w:before="4"/>
        <w:rPr>
          <w:rFonts w:ascii="宋体" w:hAnsi="宋体" w:cs="宋体" w:eastAsia="宋体" w:hint="default"/>
          <w:b/>
          <w:bCs/>
          <w:sz w:val="17"/>
          <w:szCs w:val="17"/>
        </w:rPr>
      </w:pPr>
    </w:p>
    <w:p>
      <w:pPr>
        <w:spacing w:line="237" w:lineRule="auto" w:before="0"/>
        <w:ind w:left="565" w:right="210" w:firstLine="0"/>
        <w:jc w:val="both"/>
        <w:rPr>
          <w:rFonts w:ascii="宋体" w:hAnsi="宋体" w:cs="宋体" w:eastAsia="宋体" w:hint="default"/>
          <w:sz w:val="21"/>
          <w:szCs w:val="21"/>
        </w:rPr>
      </w:pPr>
      <w:r>
        <w:rPr>
          <w:rFonts w:ascii="宋体" w:hAnsi="宋体" w:cs="宋体" w:eastAsia="宋体" w:hint="default"/>
          <w:spacing w:val="-2"/>
          <w:sz w:val="21"/>
          <w:szCs w:val="21"/>
        </w:rPr>
        <w:t>报告期内，本公司召开了三次股东大会。本公司股东大会的召集、召开、表决等相关程序均</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严格按照有关法律法规和本公司《股东大会议事规则》的规定。本公司确保全体股东，特别</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是中小股东享有平等地位，确保所有股东能够按其持有的股份享有并充分行使自己的权利。</w:t>
      </w:r>
    </w:p>
    <w:p>
      <w:pPr>
        <w:spacing w:line="240" w:lineRule="auto" w:before="4"/>
        <w:rPr>
          <w:rFonts w:ascii="宋体" w:hAnsi="宋体" w:cs="宋体" w:eastAsia="宋体" w:hint="default"/>
          <w:sz w:val="18"/>
          <w:szCs w:val="18"/>
        </w:rPr>
      </w:pPr>
    </w:p>
    <w:p>
      <w:pPr>
        <w:spacing w:before="0"/>
        <w:ind w:left="138" w:right="259"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二</w:t>
      </w:r>
      <w:r>
        <w:rPr>
          <w:rFonts w:ascii="Arial" w:hAnsi="Arial" w:cs="Arial" w:eastAsia="Arial" w:hint="default"/>
          <w:b/>
          <w:bCs/>
          <w:sz w:val="21"/>
          <w:szCs w:val="21"/>
        </w:rPr>
        <w:t>)</w:t>
      </w:r>
      <w:r>
        <w:rPr>
          <w:rFonts w:ascii="Arial" w:hAnsi="Arial" w:cs="Arial" w:eastAsia="Arial" w:hint="default"/>
          <w:b/>
          <w:bCs/>
          <w:spacing w:val="12"/>
          <w:sz w:val="21"/>
          <w:szCs w:val="21"/>
        </w:rPr>
        <w:t> </w:t>
      </w:r>
      <w:r>
        <w:rPr>
          <w:rFonts w:ascii="宋体" w:hAnsi="宋体" w:cs="宋体" w:eastAsia="宋体" w:hint="default"/>
          <w:b/>
          <w:bCs/>
          <w:sz w:val="21"/>
          <w:szCs w:val="21"/>
        </w:rPr>
        <w:t>董事与董事会</w:t>
      </w:r>
      <w:r>
        <w:rPr>
          <w:rFonts w:ascii="宋体" w:hAnsi="宋体" w:cs="宋体" w:eastAsia="宋体" w:hint="default"/>
          <w:sz w:val="21"/>
          <w:szCs w:val="21"/>
        </w:rPr>
      </w:r>
    </w:p>
    <w:p>
      <w:pPr>
        <w:spacing w:line="240" w:lineRule="auto" w:before="4"/>
        <w:rPr>
          <w:rFonts w:ascii="宋体" w:hAnsi="宋体" w:cs="宋体" w:eastAsia="宋体" w:hint="default"/>
          <w:b/>
          <w:bCs/>
          <w:sz w:val="17"/>
          <w:szCs w:val="17"/>
        </w:rPr>
      </w:pPr>
    </w:p>
    <w:p>
      <w:pPr>
        <w:spacing w:line="237" w:lineRule="auto" w:before="0"/>
        <w:ind w:left="565" w:right="259" w:firstLine="0"/>
        <w:jc w:val="left"/>
        <w:rPr>
          <w:rFonts w:ascii="宋体" w:hAnsi="宋体" w:cs="宋体" w:eastAsia="宋体" w:hint="default"/>
          <w:sz w:val="21"/>
          <w:szCs w:val="21"/>
        </w:rPr>
      </w:pPr>
      <w:r>
        <w:rPr>
          <w:rFonts w:ascii="宋体" w:hAnsi="宋体" w:cs="宋体" w:eastAsia="宋体" w:hint="default"/>
          <w:spacing w:val="-2"/>
          <w:sz w:val="21"/>
          <w:szCs w:val="21"/>
        </w:rPr>
        <w:t>本公司一贯重视董事会建设，努力提高董事会的运作效率。董事会以本公司及股东的最佳利</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益为原则，负责审议及批准本公司重大事项，包括经营策略、重大投资等。董事会的主要职</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能还包括审批公司定期对外公布的业绩及运营情况等。报告期内本公司召开了七次董事会，</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讨论及审议了包括</w:t>
      </w:r>
      <w:r>
        <w:rPr>
          <w:rFonts w:ascii="宋体" w:hAnsi="宋体" w:cs="宋体" w:eastAsia="宋体" w:hint="default"/>
          <w:spacing w:val="-54"/>
          <w:sz w:val="21"/>
          <w:szCs w:val="21"/>
        </w:rPr>
        <w:t> </w:t>
      </w:r>
      <w:r>
        <w:rPr>
          <w:rFonts w:ascii="Arial" w:hAnsi="Arial" w:cs="Arial" w:eastAsia="Arial" w:hint="default"/>
          <w:sz w:val="21"/>
          <w:szCs w:val="21"/>
        </w:rPr>
        <w:t>2013</w:t>
      </w:r>
      <w:r>
        <w:rPr>
          <w:rFonts w:ascii="Arial" w:hAnsi="Arial" w:cs="Arial" w:eastAsia="Arial" w:hint="default"/>
          <w:spacing w:val="-10"/>
          <w:sz w:val="21"/>
          <w:szCs w:val="21"/>
        </w:rPr>
        <w:t> </w:t>
      </w:r>
      <w:r>
        <w:rPr>
          <w:rFonts w:ascii="宋体" w:hAnsi="宋体" w:cs="宋体" w:eastAsia="宋体" w:hint="default"/>
          <w:sz w:val="21"/>
          <w:szCs w:val="21"/>
        </w:rPr>
        <w:t>年年度报告、</w:t>
      </w:r>
      <w:r>
        <w:rPr>
          <w:rFonts w:ascii="Arial" w:hAnsi="Arial" w:cs="Arial" w:eastAsia="Arial" w:hint="default"/>
          <w:sz w:val="21"/>
          <w:szCs w:val="21"/>
        </w:rPr>
        <w:t>2014</w:t>
      </w:r>
      <w:r>
        <w:rPr>
          <w:rFonts w:ascii="Arial" w:hAnsi="Arial" w:cs="Arial" w:eastAsia="Arial" w:hint="default"/>
          <w:spacing w:val="-10"/>
          <w:sz w:val="21"/>
          <w:szCs w:val="21"/>
        </w:rPr>
        <w:t> </w:t>
      </w:r>
      <w:r>
        <w:rPr>
          <w:rFonts w:ascii="宋体" w:hAnsi="宋体" w:cs="宋体" w:eastAsia="宋体" w:hint="default"/>
          <w:sz w:val="21"/>
          <w:szCs w:val="21"/>
        </w:rPr>
        <w:t>年中期报告、</w:t>
      </w: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年第一季度报告和第三季度</w:t>
      </w:r>
      <w:r>
        <w:rPr>
          <w:rFonts w:ascii="宋体" w:hAnsi="宋体" w:cs="宋体" w:eastAsia="宋体" w:hint="default"/>
          <w:w w:val="100"/>
          <w:sz w:val="21"/>
          <w:szCs w:val="21"/>
        </w:rPr>
        <w:t> </w:t>
      </w:r>
      <w:r>
        <w:rPr>
          <w:rFonts w:ascii="宋体" w:hAnsi="宋体" w:cs="宋体" w:eastAsia="宋体" w:hint="default"/>
          <w:spacing w:val="-2"/>
          <w:sz w:val="21"/>
          <w:szCs w:val="21"/>
        </w:rPr>
        <w:t>报告、内控工作报告、社会责任报告、批准联通运营公司与中国移动通信有限公司、中国电</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信股份有限公司共同发起设立中国通信设施服务股份有限公司（后更名“中国铁塔股份有限</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2"/>
          <w:sz w:val="21"/>
          <w:szCs w:val="21"/>
        </w:rPr>
        <w:t>公司”）、更换公司董事等重要事项。本公司董事会的召集、召开、表决等相关程序均严格</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按照有关法律法规和本公司《董事会议事规则》的规定。本公司董事会职责清晰，本公司各</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位董事均投入了足够的时间处理本公司事务，且均按时出席董事会。作为本公司的董事均了</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解其作为董事的权利、义务和责任，均能履行诚信和勤勉尽职的职责，认真审阅董事会和股</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东大会的各项议案，并提出有益的建议，其决策亦符合股东利益和公司长远发展。</w:t>
      </w:r>
    </w:p>
    <w:p>
      <w:pPr>
        <w:spacing w:line="240" w:lineRule="auto" w:before="4"/>
        <w:rPr>
          <w:rFonts w:ascii="宋体" w:hAnsi="宋体" w:cs="宋体" w:eastAsia="宋体" w:hint="default"/>
          <w:sz w:val="18"/>
          <w:szCs w:val="18"/>
        </w:rPr>
      </w:pPr>
    </w:p>
    <w:p>
      <w:pPr>
        <w:spacing w:before="0"/>
        <w:ind w:left="138" w:right="259"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三</w:t>
      </w:r>
      <w:r>
        <w:rPr>
          <w:rFonts w:ascii="Arial" w:hAnsi="Arial" w:cs="Arial" w:eastAsia="Arial" w:hint="default"/>
          <w:b/>
          <w:bCs/>
          <w:sz w:val="21"/>
          <w:szCs w:val="21"/>
        </w:rPr>
        <w:t>)</w:t>
      </w:r>
      <w:r>
        <w:rPr>
          <w:rFonts w:ascii="Arial" w:hAnsi="Arial" w:cs="Arial" w:eastAsia="Arial" w:hint="default"/>
          <w:b/>
          <w:bCs/>
          <w:spacing w:val="13"/>
          <w:sz w:val="21"/>
          <w:szCs w:val="21"/>
        </w:rPr>
        <w:t> </w:t>
      </w:r>
      <w:r>
        <w:rPr>
          <w:rFonts w:ascii="宋体" w:hAnsi="宋体" w:cs="宋体" w:eastAsia="宋体" w:hint="default"/>
          <w:b/>
          <w:bCs/>
          <w:sz w:val="21"/>
          <w:szCs w:val="21"/>
        </w:rPr>
        <w:t>关于监事与监事会</w:t>
      </w:r>
      <w:r>
        <w:rPr>
          <w:rFonts w:ascii="宋体" w:hAnsi="宋体" w:cs="宋体" w:eastAsia="宋体" w:hint="default"/>
          <w:sz w:val="21"/>
          <w:szCs w:val="21"/>
        </w:rPr>
      </w:r>
    </w:p>
    <w:p>
      <w:pPr>
        <w:spacing w:line="240" w:lineRule="auto" w:before="4"/>
        <w:rPr>
          <w:rFonts w:ascii="宋体" w:hAnsi="宋体" w:cs="宋体" w:eastAsia="宋体" w:hint="default"/>
          <w:b/>
          <w:bCs/>
          <w:sz w:val="17"/>
          <w:szCs w:val="17"/>
        </w:rPr>
      </w:pPr>
    </w:p>
    <w:p>
      <w:pPr>
        <w:spacing w:line="237" w:lineRule="auto" w:before="0"/>
        <w:ind w:left="565" w:right="210" w:firstLine="0"/>
        <w:jc w:val="both"/>
        <w:rPr>
          <w:rFonts w:ascii="宋体" w:hAnsi="宋体" w:cs="宋体" w:eastAsia="宋体" w:hint="default"/>
          <w:sz w:val="21"/>
          <w:szCs w:val="21"/>
        </w:rPr>
      </w:pPr>
      <w:r>
        <w:rPr>
          <w:rFonts w:ascii="宋体" w:hAnsi="宋体" w:cs="宋体" w:eastAsia="宋体" w:hint="default"/>
          <w:spacing w:val="-2"/>
          <w:sz w:val="21"/>
          <w:szCs w:val="21"/>
        </w:rPr>
        <w:t>报告期内，本公司监事会共召开五次监事会会议。监事会的召集、召开程序符合公司《监事</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会议事规则》的规定。本公司监事能够认真履行自己的职责，从股东利益出发，对本公司重</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大事项、财务、更换监事以及本公司董事、高级管理人员履职的合法合规性进行监督。</w:t>
      </w:r>
    </w:p>
    <w:p>
      <w:pPr>
        <w:spacing w:line="240" w:lineRule="auto" w:before="4"/>
        <w:rPr>
          <w:rFonts w:ascii="宋体" w:hAnsi="宋体" w:cs="宋体" w:eastAsia="宋体" w:hint="default"/>
          <w:sz w:val="18"/>
          <w:szCs w:val="18"/>
        </w:rPr>
      </w:pPr>
    </w:p>
    <w:p>
      <w:pPr>
        <w:spacing w:before="0"/>
        <w:ind w:left="138" w:right="259"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四</w:t>
      </w:r>
      <w:r>
        <w:rPr>
          <w:rFonts w:ascii="Arial" w:hAnsi="Arial" w:cs="Arial" w:eastAsia="Arial" w:hint="default"/>
          <w:b/>
          <w:bCs/>
          <w:sz w:val="21"/>
          <w:szCs w:val="21"/>
        </w:rPr>
        <w:t>)</w:t>
      </w:r>
      <w:r>
        <w:rPr>
          <w:rFonts w:ascii="Arial" w:hAnsi="Arial" w:cs="Arial" w:eastAsia="Arial" w:hint="default"/>
          <w:b/>
          <w:bCs/>
          <w:spacing w:val="8"/>
          <w:sz w:val="21"/>
          <w:szCs w:val="21"/>
        </w:rPr>
        <w:t> </w:t>
      </w:r>
      <w:r>
        <w:rPr>
          <w:rFonts w:ascii="宋体" w:hAnsi="宋体" w:cs="宋体" w:eastAsia="宋体" w:hint="default"/>
          <w:b/>
          <w:bCs/>
          <w:sz w:val="21"/>
          <w:szCs w:val="21"/>
        </w:rPr>
        <w:t>控股股东与上市公司的关系</w:t>
      </w:r>
      <w:r>
        <w:rPr>
          <w:rFonts w:ascii="宋体" w:hAnsi="宋体" w:cs="宋体" w:eastAsia="宋体" w:hint="default"/>
          <w:sz w:val="21"/>
          <w:szCs w:val="21"/>
        </w:rPr>
      </w:r>
    </w:p>
    <w:p>
      <w:pPr>
        <w:spacing w:line="240" w:lineRule="auto" w:before="4"/>
        <w:rPr>
          <w:rFonts w:ascii="宋体" w:hAnsi="宋体" w:cs="宋体" w:eastAsia="宋体" w:hint="default"/>
          <w:b/>
          <w:bCs/>
          <w:sz w:val="17"/>
          <w:szCs w:val="17"/>
        </w:rPr>
      </w:pPr>
    </w:p>
    <w:p>
      <w:pPr>
        <w:spacing w:line="237" w:lineRule="auto" w:before="0"/>
        <w:ind w:left="565" w:right="210" w:firstLine="0"/>
        <w:jc w:val="both"/>
        <w:rPr>
          <w:rFonts w:ascii="宋体" w:hAnsi="宋体" w:cs="宋体" w:eastAsia="宋体" w:hint="default"/>
          <w:sz w:val="21"/>
          <w:szCs w:val="21"/>
        </w:rPr>
      </w:pPr>
      <w:r>
        <w:rPr>
          <w:rFonts w:ascii="宋体" w:hAnsi="宋体" w:cs="宋体" w:eastAsia="宋体" w:hint="default"/>
          <w:spacing w:val="-2"/>
          <w:sz w:val="21"/>
          <w:szCs w:val="21"/>
        </w:rPr>
        <w:t>本公司控股股东严格规范自己行为，依法行使股东权利，承担义务。本公司与控股股东在资</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产、业务、机构、财务、人员等方面严格分开，本公司董事会、监事会和内部机构均独立运</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作。未发现控股股东非经营性占用公司资金和资产的情况。</w:t>
      </w:r>
    </w:p>
    <w:p>
      <w:pPr>
        <w:spacing w:after="0" w:line="237" w:lineRule="auto"/>
        <w:jc w:val="both"/>
        <w:rPr>
          <w:rFonts w:ascii="宋体" w:hAnsi="宋体" w:cs="宋体" w:eastAsia="宋体" w:hint="default"/>
          <w:sz w:val="21"/>
          <w:szCs w:val="21"/>
        </w:rPr>
        <w:sectPr>
          <w:pgSz w:w="11910" w:h="16840"/>
          <w:pgMar w:header="880" w:footer="1194" w:top="1120" w:bottom="1380" w:left="1660" w:right="1060"/>
        </w:sectPr>
      </w:pPr>
    </w:p>
    <w:p>
      <w:pPr>
        <w:spacing w:line="240" w:lineRule="auto" w:before="11"/>
        <w:rPr>
          <w:rFonts w:ascii="宋体" w:hAnsi="宋体" w:cs="宋体" w:eastAsia="宋体" w:hint="default"/>
          <w:sz w:val="29"/>
          <w:szCs w:val="29"/>
        </w:rPr>
      </w:pPr>
    </w:p>
    <w:p>
      <w:pPr>
        <w:spacing w:before="36"/>
        <w:ind w:left="138" w:right="259" w:firstLine="0"/>
        <w:jc w:val="left"/>
        <w:rPr>
          <w:rFonts w:ascii="宋体" w:hAnsi="宋体" w:cs="宋体" w:eastAsia="宋体" w:hint="default"/>
          <w:sz w:val="21"/>
          <w:szCs w:val="21"/>
        </w:rPr>
      </w:pPr>
      <w:r>
        <w:rPr>
          <w:rFonts w:ascii="宋体" w:hAnsi="宋体" w:cs="宋体" w:eastAsia="宋体" w:hint="default"/>
          <w:b/>
          <w:bCs/>
          <w:sz w:val="21"/>
          <w:szCs w:val="21"/>
        </w:rPr>
        <w:t>一、公司治理及内幕知情人登记管理等相关情况说明（续）</w:t>
      </w:r>
      <w:r>
        <w:rPr>
          <w:rFonts w:ascii="宋体" w:hAnsi="宋体" w:cs="宋体" w:eastAsia="宋体" w:hint="default"/>
          <w:sz w:val="21"/>
          <w:szCs w:val="21"/>
        </w:rPr>
      </w:r>
    </w:p>
    <w:p>
      <w:pPr>
        <w:spacing w:line="240" w:lineRule="auto" w:before="3"/>
        <w:rPr>
          <w:rFonts w:ascii="宋体" w:hAnsi="宋体" w:cs="宋体" w:eastAsia="宋体" w:hint="default"/>
          <w:b/>
          <w:bCs/>
          <w:sz w:val="25"/>
          <w:szCs w:val="25"/>
        </w:rPr>
      </w:pPr>
    </w:p>
    <w:p>
      <w:pPr>
        <w:spacing w:before="0"/>
        <w:ind w:left="138" w:right="259"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五</w:t>
      </w:r>
      <w:r>
        <w:rPr>
          <w:rFonts w:ascii="Arial" w:hAnsi="Arial" w:cs="Arial" w:eastAsia="Arial" w:hint="default"/>
          <w:b/>
          <w:bCs/>
          <w:sz w:val="21"/>
          <w:szCs w:val="21"/>
        </w:rPr>
        <w:t>)   </w:t>
      </w:r>
      <w:r>
        <w:rPr>
          <w:rFonts w:ascii="宋体" w:hAnsi="宋体" w:cs="宋体" w:eastAsia="宋体" w:hint="default"/>
          <w:b/>
          <w:bCs/>
          <w:sz w:val="21"/>
          <w:szCs w:val="21"/>
        </w:rPr>
        <w:t>独立董事</w:t>
      </w:r>
      <w:r>
        <w:rPr>
          <w:rFonts w:ascii="宋体" w:hAnsi="宋体" w:cs="宋体" w:eastAsia="宋体" w:hint="default"/>
          <w:sz w:val="21"/>
          <w:szCs w:val="21"/>
        </w:rPr>
      </w:r>
    </w:p>
    <w:p>
      <w:pPr>
        <w:spacing w:line="240" w:lineRule="auto" w:before="6"/>
        <w:rPr>
          <w:rFonts w:ascii="宋体" w:hAnsi="宋体" w:cs="宋体" w:eastAsia="宋体" w:hint="default"/>
          <w:b/>
          <w:bCs/>
          <w:sz w:val="17"/>
          <w:szCs w:val="17"/>
        </w:rPr>
      </w:pPr>
    </w:p>
    <w:p>
      <w:pPr>
        <w:spacing w:line="235" w:lineRule="auto" w:before="0"/>
        <w:ind w:left="565" w:right="205" w:firstLine="0"/>
        <w:jc w:val="both"/>
        <w:rPr>
          <w:rFonts w:ascii="宋体" w:hAnsi="宋体" w:cs="宋体" w:eastAsia="宋体" w:hint="default"/>
          <w:sz w:val="21"/>
          <w:szCs w:val="21"/>
        </w:rPr>
      </w:pPr>
      <w:r>
        <w:rPr>
          <w:rFonts w:ascii="宋体" w:hAnsi="宋体" w:cs="宋体" w:eastAsia="宋体" w:hint="default"/>
          <w:spacing w:val="-2"/>
          <w:sz w:val="21"/>
          <w:szCs w:val="21"/>
        </w:rPr>
        <w:t>本公司各位独立董事均不在公司担任除董事外的其它职务，并与本公司及其主要股东不存在</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可能妨碍其进行独立客观判断的关系。独立董事均了解对本公司及全体股东负有诚信与勤勉</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尽职义务。并按照相关法律法规、公司章程及本制度的要求，认真履行职责，维护公司整体</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利益，尤其关注中小股东的合法权益不受损害。本公司一贯重视发挥独立董事的作用，独立</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董事们也以他们独立的立场、专业的视角、丰富的经验为公司出谋划策，提高了董事会决策</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的科学性。报告期内，本公司各位独立董事亲自参加历次独立董事会议，发表独立意见。报</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告期内，审议了更换公司董事的议案等。为此，独立董事就公司董事候选人出具独立董事意</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6"/>
          <w:sz w:val="21"/>
          <w:szCs w:val="21"/>
        </w:rPr>
        <w:t>见如下：</w:t>
      </w:r>
      <w:r>
        <w:rPr>
          <w:rFonts w:ascii="Arial" w:hAnsi="Arial" w:cs="Arial" w:eastAsia="Arial" w:hint="default"/>
          <w:spacing w:val="-6"/>
          <w:sz w:val="21"/>
          <w:szCs w:val="21"/>
        </w:rPr>
        <w:t>1. </w:t>
      </w:r>
      <w:r>
        <w:rPr>
          <w:rFonts w:ascii="宋体" w:hAnsi="宋体" w:cs="宋体" w:eastAsia="宋体" w:hint="default"/>
          <w:spacing w:val="-3"/>
          <w:sz w:val="21"/>
          <w:szCs w:val="21"/>
        </w:rPr>
        <w:t>被提名人具有较高的专业知识和丰富的实际工作经验，具备担任公司董事的资格</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和能力。</w:t>
      </w:r>
      <w:r>
        <w:rPr>
          <w:rFonts w:ascii="Arial" w:hAnsi="Arial" w:cs="Arial" w:eastAsia="Arial" w:hint="default"/>
          <w:spacing w:val="-4"/>
          <w:sz w:val="21"/>
          <w:szCs w:val="21"/>
        </w:rPr>
        <w:t>2.</w:t>
      </w:r>
      <w:r>
        <w:rPr>
          <w:rFonts w:ascii="Arial" w:hAnsi="Arial" w:cs="Arial" w:eastAsia="Arial" w:hint="default"/>
          <w:spacing w:val="42"/>
          <w:sz w:val="21"/>
          <w:szCs w:val="21"/>
        </w:rPr>
        <w:t> </w:t>
      </w:r>
      <w:r>
        <w:rPr>
          <w:rFonts w:ascii="宋体" w:hAnsi="宋体" w:cs="宋体" w:eastAsia="宋体" w:hint="default"/>
          <w:spacing w:val="-3"/>
          <w:sz w:val="21"/>
          <w:szCs w:val="21"/>
        </w:rPr>
        <w:t>未发现有《公司法》规定不得任职的情形，亦未受过中国证监会及其他有关部门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的处罚和证券交易所惩戒。</w:t>
      </w:r>
      <w:r>
        <w:rPr>
          <w:rFonts w:ascii="Arial" w:hAnsi="Arial" w:cs="Arial" w:eastAsia="Arial" w:hint="default"/>
          <w:spacing w:val="-4"/>
          <w:sz w:val="21"/>
          <w:szCs w:val="21"/>
        </w:rPr>
        <w:t>3.</w:t>
      </w:r>
      <w:r>
        <w:rPr>
          <w:rFonts w:ascii="Arial" w:hAnsi="Arial" w:cs="Arial" w:eastAsia="Arial" w:hint="default"/>
          <w:spacing w:val="50"/>
          <w:sz w:val="21"/>
          <w:szCs w:val="21"/>
        </w:rPr>
        <w:t> </w:t>
      </w:r>
      <w:r>
        <w:rPr>
          <w:rFonts w:ascii="宋体" w:hAnsi="宋体" w:cs="宋体" w:eastAsia="宋体" w:hint="default"/>
          <w:spacing w:val="-3"/>
          <w:sz w:val="21"/>
          <w:szCs w:val="21"/>
        </w:rPr>
        <w:t>同意提名张钧安先生为公司董事候选人。独立董事会议还认真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审阅了审计师关于对公司 </w:t>
      </w:r>
      <w:r>
        <w:rPr>
          <w:rFonts w:ascii="Arial" w:hAnsi="Arial" w:cs="Arial" w:eastAsia="Arial" w:hint="default"/>
          <w:sz w:val="21"/>
          <w:szCs w:val="21"/>
        </w:rPr>
        <w:t>2014</w:t>
      </w:r>
      <w:r>
        <w:rPr>
          <w:rFonts w:ascii="Arial" w:hAnsi="Arial" w:cs="Arial" w:eastAsia="Arial" w:hint="default"/>
          <w:spacing w:val="-21"/>
          <w:sz w:val="21"/>
          <w:szCs w:val="21"/>
        </w:rPr>
        <w:t> </w:t>
      </w:r>
      <w:r>
        <w:rPr>
          <w:rFonts w:ascii="宋体" w:hAnsi="宋体" w:cs="宋体" w:eastAsia="宋体" w:hint="default"/>
          <w:spacing w:val="-7"/>
          <w:sz w:val="21"/>
          <w:szCs w:val="21"/>
        </w:rPr>
        <w:t>年度审计工作计划。并一致同意毕马威华振会计师事务所（特</w:t>
      </w:r>
    </w:p>
    <w:p>
      <w:pPr>
        <w:spacing w:line="274" w:lineRule="exact" w:before="0"/>
        <w:ind w:left="565" w:right="0" w:firstLine="0"/>
        <w:jc w:val="both"/>
        <w:rPr>
          <w:rFonts w:ascii="宋体" w:hAnsi="宋体" w:cs="宋体" w:eastAsia="宋体" w:hint="default"/>
          <w:sz w:val="21"/>
          <w:szCs w:val="21"/>
        </w:rPr>
      </w:pPr>
      <w:r>
        <w:rPr>
          <w:rFonts w:ascii="宋体" w:hAnsi="宋体" w:cs="宋体" w:eastAsia="宋体" w:hint="default"/>
          <w:sz w:val="21"/>
          <w:szCs w:val="21"/>
        </w:rPr>
        <w:t>殊普通合伙）对公司</w:t>
      </w:r>
      <w:r>
        <w:rPr>
          <w:rFonts w:ascii="宋体" w:hAnsi="宋体" w:cs="宋体" w:eastAsia="宋体" w:hint="default"/>
          <w:spacing w:val="-56"/>
          <w:sz w:val="21"/>
          <w:szCs w:val="21"/>
        </w:rPr>
        <w:t> </w:t>
      </w:r>
      <w:r>
        <w:rPr>
          <w:rFonts w:ascii="Arial" w:hAnsi="Arial" w:cs="Arial" w:eastAsia="Arial" w:hint="default"/>
          <w:sz w:val="21"/>
          <w:szCs w:val="21"/>
        </w:rPr>
        <w:t>2014</w:t>
      </w:r>
      <w:r>
        <w:rPr>
          <w:rFonts w:ascii="Arial" w:hAnsi="Arial" w:cs="Arial" w:eastAsia="Arial" w:hint="default"/>
          <w:spacing w:val="-9"/>
          <w:sz w:val="21"/>
          <w:szCs w:val="21"/>
        </w:rPr>
        <w:t> </w:t>
      </w:r>
      <w:r>
        <w:rPr>
          <w:rFonts w:ascii="宋体" w:hAnsi="宋体" w:cs="宋体" w:eastAsia="宋体" w:hint="default"/>
          <w:sz w:val="21"/>
          <w:szCs w:val="21"/>
        </w:rPr>
        <w:t>年度的审计工作安排。</w:t>
      </w:r>
    </w:p>
    <w:p>
      <w:pPr>
        <w:spacing w:line="240" w:lineRule="auto" w:before="1"/>
        <w:rPr>
          <w:rFonts w:ascii="宋体" w:hAnsi="宋体" w:cs="宋体" w:eastAsia="宋体" w:hint="default"/>
          <w:sz w:val="17"/>
          <w:szCs w:val="17"/>
        </w:rPr>
      </w:pPr>
    </w:p>
    <w:p>
      <w:pPr>
        <w:spacing w:before="0"/>
        <w:ind w:left="138" w:right="259"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六</w:t>
      </w:r>
      <w:r>
        <w:rPr>
          <w:rFonts w:ascii="Arial" w:hAnsi="Arial" w:cs="Arial" w:eastAsia="Arial" w:hint="default"/>
          <w:b/>
          <w:bCs/>
          <w:sz w:val="21"/>
          <w:szCs w:val="21"/>
        </w:rPr>
        <w:t>)</w:t>
      </w:r>
      <w:r>
        <w:rPr>
          <w:rFonts w:ascii="Arial" w:hAnsi="Arial" w:cs="Arial" w:eastAsia="Arial" w:hint="default"/>
          <w:b/>
          <w:bCs/>
          <w:spacing w:val="12"/>
          <w:sz w:val="21"/>
          <w:szCs w:val="21"/>
        </w:rPr>
        <w:t> </w:t>
      </w:r>
      <w:r>
        <w:rPr>
          <w:rFonts w:ascii="宋体" w:hAnsi="宋体" w:cs="宋体" w:eastAsia="宋体" w:hint="default"/>
          <w:b/>
          <w:bCs/>
          <w:sz w:val="21"/>
          <w:szCs w:val="21"/>
        </w:rPr>
        <w:t>审计委员会</w:t>
      </w:r>
      <w:r>
        <w:rPr>
          <w:rFonts w:ascii="宋体" w:hAnsi="宋体" w:cs="宋体" w:eastAsia="宋体" w:hint="default"/>
          <w:sz w:val="21"/>
          <w:szCs w:val="21"/>
        </w:rPr>
      </w:r>
    </w:p>
    <w:p>
      <w:pPr>
        <w:spacing w:line="240" w:lineRule="auto" w:before="3"/>
        <w:rPr>
          <w:rFonts w:ascii="宋体" w:hAnsi="宋体" w:cs="宋体" w:eastAsia="宋体" w:hint="default"/>
          <w:b/>
          <w:bCs/>
          <w:sz w:val="19"/>
          <w:szCs w:val="19"/>
        </w:rPr>
      </w:pPr>
    </w:p>
    <w:p>
      <w:pPr>
        <w:spacing w:line="272" w:lineRule="exact" w:before="0"/>
        <w:ind w:left="565" w:right="210" w:firstLine="0"/>
        <w:jc w:val="both"/>
        <w:rPr>
          <w:rFonts w:ascii="宋体" w:hAnsi="宋体" w:cs="宋体" w:eastAsia="宋体" w:hint="default"/>
          <w:sz w:val="21"/>
          <w:szCs w:val="21"/>
        </w:rPr>
      </w:pPr>
      <w:r>
        <w:rPr>
          <w:rFonts w:ascii="宋体" w:hAnsi="宋体" w:cs="宋体" w:eastAsia="宋体" w:hint="default"/>
          <w:spacing w:val="-2"/>
          <w:sz w:val="21"/>
          <w:szCs w:val="21"/>
        </w:rPr>
        <w:t>本公司审计委员会能有效执行其任务，使董事会能更好监察本公司的财务管理状况，监管本</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公司与财务报告相关的内部控制体系，保障本公司财务报表的完整及真实性。</w:t>
      </w:r>
    </w:p>
    <w:p>
      <w:pPr>
        <w:spacing w:line="240" w:lineRule="auto" w:before="5"/>
        <w:rPr>
          <w:rFonts w:ascii="宋体" w:hAnsi="宋体" w:cs="宋体" w:eastAsia="宋体" w:hint="default"/>
          <w:sz w:val="16"/>
          <w:szCs w:val="16"/>
        </w:rPr>
      </w:pPr>
    </w:p>
    <w:p>
      <w:pPr>
        <w:spacing w:before="0"/>
        <w:ind w:left="138" w:right="259"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七</w:t>
      </w:r>
      <w:r>
        <w:rPr>
          <w:rFonts w:ascii="Arial" w:hAnsi="Arial" w:cs="Arial" w:eastAsia="Arial" w:hint="default"/>
          <w:b/>
          <w:bCs/>
          <w:sz w:val="21"/>
          <w:szCs w:val="21"/>
        </w:rPr>
        <w:t>)</w:t>
      </w:r>
      <w:r>
        <w:rPr>
          <w:rFonts w:ascii="Arial" w:hAnsi="Arial" w:cs="Arial" w:eastAsia="Arial" w:hint="default"/>
          <w:b/>
          <w:bCs/>
          <w:spacing w:val="10"/>
          <w:sz w:val="21"/>
          <w:szCs w:val="21"/>
        </w:rPr>
        <w:t> </w:t>
      </w:r>
      <w:r>
        <w:rPr>
          <w:rFonts w:ascii="宋体" w:hAnsi="宋体" w:cs="宋体" w:eastAsia="宋体" w:hint="default"/>
          <w:b/>
          <w:bCs/>
          <w:sz w:val="21"/>
          <w:szCs w:val="21"/>
        </w:rPr>
        <w:t>良好互动的投资者关系</w:t>
      </w:r>
      <w:r>
        <w:rPr>
          <w:rFonts w:ascii="宋体" w:hAnsi="宋体" w:cs="宋体" w:eastAsia="宋体" w:hint="default"/>
          <w:sz w:val="21"/>
          <w:szCs w:val="21"/>
        </w:rPr>
      </w:r>
    </w:p>
    <w:p>
      <w:pPr>
        <w:spacing w:line="240" w:lineRule="auto" w:before="9"/>
        <w:rPr>
          <w:rFonts w:ascii="宋体" w:hAnsi="宋体" w:cs="宋体" w:eastAsia="宋体" w:hint="default"/>
          <w:b/>
          <w:bCs/>
          <w:sz w:val="17"/>
          <w:szCs w:val="17"/>
        </w:rPr>
      </w:pPr>
    </w:p>
    <w:p>
      <w:pPr>
        <w:spacing w:line="235" w:lineRule="auto" w:before="0"/>
        <w:ind w:left="565" w:right="205" w:firstLine="0"/>
        <w:jc w:val="both"/>
        <w:rPr>
          <w:rFonts w:ascii="宋体" w:hAnsi="宋体" w:cs="宋体" w:eastAsia="宋体" w:hint="default"/>
          <w:sz w:val="21"/>
          <w:szCs w:val="21"/>
        </w:rPr>
      </w:pPr>
      <w:r>
        <w:rPr>
          <w:rFonts w:ascii="宋体" w:hAnsi="宋体" w:cs="宋体" w:eastAsia="宋体" w:hint="default"/>
          <w:spacing w:val="-2"/>
          <w:sz w:val="21"/>
          <w:szCs w:val="21"/>
        </w:rPr>
        <w:t>本公司十分注重与投资者的沟通与互动，设有专人负责与普通投资者的沟通、联系等。包括</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接听电话、回复来信、回复上证</w:t>
      </w:r>
      <w:r>
        <w:rPr>
          <w:rFonts w:ascii="宋体" w:hAnsi="宋体" w:cs="宋体" w:eastAsia="宋体" w:hint="default"/>
          <w:spacing w:val="-49"/>
          <w:sz w:val="21"/>
          <w:szCs w:val="21"/>
        </w:rPr>
        <w:t> </w:t>
      </w:r>
      <w:r>
        <w:rPr>
          <w:rFonts w:ascii="Arial" w:hAnsi="Arial" w:cs="Arial" w:eastAsia="Arial" w:hint="default"/>
          <w:sz w:val="21"/>
          <w:szCs w:val="21"/>
        </w:rPr>
        <w:t>E</w:t>
      </w:r>
      <w:r>
        <w:rPr>
          <w:rFonts w:ascii="Arial" w:hAnsi="Arial" w:cs="Arial" w:eastAsia="Arial" w:hint="default"/>
          <w:spacing w:val="-5"/>
          <w:sz w:val="21"/>
          <w:szCs w:val="21"/>
        </w:rPr>
        <w:t> </w:t>
      </w:r>
      <w:r>
        <w:rPr>
          <w:rFonts w:ascii="宋体" w:hAnsi="宋体" w:cs="宋体" w:eastAsia="宋体" w:hint="default"/>
          <w:sz w:val="21"/>
          <w:szCs w:val="21"/>
        </w:rPr>
        <w:t>互动平台的投资者提问等；管理层和投资者关系管理人员</w:t>
      </w:r>
      <w:r>
        <w:rPr>
          <w:rFonts w:ascii="宋体" w:hAnsi="宋体" w:cs="宋体" w:eastAsia="宋体" w:hint="default"/>
          <w:w w:val="100"/>
          <w:sz w:val="21"/>
          <w:szCs w:val="21"/>
        </w:rPr>
        <w:t> </w:t>
      </w:r>
      <w:r>
        <w:rPr>
          <w:rFonts w:ascii="宋体" w:hAnsi="宋体" w:cs="宋体" w:eastAsia="宋体" w:hint="default"/>
          <w:spacing w:val="-2"/>
          <w:sz w:val="21"/>
          <w:szCs w:val="21"/>
        </w:rPr>
        <w:t>经常参加证券机构组织的投资者见面会，认真回答投资者的提问以及认真接待中小投资者的</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上门咨询等。本公司每年年报、半年报披露后立即召开业绩推介会，公司管理层与投资者见</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面，介绍公司经营情况、回答投资者关心的问题等。</w:t>
      </w:r>
    </w:p>
    <w:p>
      <w:pPr>
        <w:spacing w:line="240" w:lineRule="auto" w:before="6"/>
        <w:rPr>
          <w:rFonts w:ascii="宋体" w:hAnsi="宋体" w:cs="宋体" w:eastAsia="宋体" w:hint="default"/>
          <w:sz w:val="18"/>
          <w:szCs w:val="18"/>
        </w:rPr>
      </w:pPr>
    </w:p>
    <w:p>
      <w:pPr>
        <w:spacing w:before="0"/>
        <w:ind w:left="138" w:right="259"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八</w:t>
      </w:r>
      <w:r>
        <w:rPr>
          <w:rFonts w:ascii="Arial" w:hAnsi="Arial" w:cs="Arial" w:eastAsia="Arial" w:hint="default"/>
          <w:b/>
          <w:bCs/>
          <w:sz w:val="21"/>
          <w:szCs w:val="21"/>
        </w:rPr>
        <w:t>)</w:t>
      </w:r>
      <w:r>
        <w:rPr>
          <w:rFonts w:ascii="Arial" w:hAnsi="Arial" w:cs="Arial" w:eastAsia="Arial" w:hint="default"/>
          <w:b/>
          <w:bCs/>
          <w:spacing w:val="11"/>
          <w:sz w:val="21"/>
          <w:szCs w:val="21"/>
        </w:rPr>
        <w:t> </w:t>
      </w:r>
      <w:r>
        <w:rPr>
          <w:rFonts w:ascii="宋体" w:hAnsi="宋体" w:cs="宋体" w:eastAsia="宋体" w:hint="default"/>
          <w:b/>
          <w:bCs/>
          <w:sz w:val="21"/>
          <w:szCs w:val="21"/>
        </w:rPr>
        <w:t>保密管理</w:t>
      </w:r>
      <w:r>
        <w:rPr>
          <w:rFonts w:ascii="宋体" w:hAnsi="宋体" w:cs="宋体" w:eastAsia="宋体" w:hint="default"/>
          <w:sz w:val="21"/>
          <w:szCs w:val="21"/>
        </w:rPr>
      </w:r>
    </w:p>
    <w:p>
      <w:pPr>
        <w:spacing w:line="240" w:lineRule="auto" w:before="4"/>
        <w:rPr>
          <w:rFonts w:ascii="宋体" w:hAnsi="宋体" w:cs="宋体" w:eastAsia="宋体" w:hint="default"/>
          <w:b/>
          <w:bCs/>
          <w:sz w:val="17"/>
          <w:szCs w:val="17"/>
        </w:rPr>
      </w:pPr>
    </w:p>
    <w:p>
      <w:pPr>
        <w:spacing w:line="237" w:lineRule="auto" w:before="0"/>
        <w:ind w:left="565" w:right="97" w:firstLine="0"/>
        <w:jc w:val="left"/>
        <w:rPr>
          <w:rFonts w:ascii="宋体" w:hAnsi="宋体" w:cs="宋体" w:eastAsia="宋体" w:hint="default"/>
          <w:sz w:val="21"/>
          <w:szCs w:val="21"/>
        </w:rPr>
      </w:pPr>
      <w:r>
        <w:rPr>
          <w:rFonts w:ascii="宋体" w:hAnsi="宋体" w:cs="宋体" w:eastAsia="宋体" w:hint="default"/>
          <w:sz w:val="21"/>
          <w:szCs w:val="21"/>
        </w:rPr>
        <w:t>为进一步加强公司信息的保密管理，有效防控利用内幕信息进行的内幕交易，降低公司及公</w:t>
      </w:r>
      <w:r>
        <w:rPr>
          <w:rFonts w:ascii="宋体" w:hAnsi="宋体" w:cs="宋体" w:eastAsia="宋体" w:hint="default"/>
          <w:w w:val="100"/>
          <w:sz w:val="21"/>
          <w:szCs w:val="21"/>
        </w:rPr>
        <w:t> </w:t>
      </w:r>
      <w:r>
        <w:rPr>
          <w:rFonts w:ascii="宋体" w:hAnsi="宋体" w:cs="宋体" w:eastAsia="宋体" w:hint="default"/>
          <w:spacing w:val="-4"/>
          <w:sz w:val="21"/>
          <w:szCs w:val="21"/>
        </w:rPr>
        <w:t>司有关人员与内幕交易相关的法律风险，维护信息披露的公平原则，保护投资者的合法权益，</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公司制定了《公司内幕信息知情人登记制度》。</w:t>
      </w:r>
    </w:p>
    <w:p>
      <w:pPr>
        <w:spacing w:line="240" w:lineRule="auto" w:before="6"/>
        <w:rPr>
          <w:rFonts w:ascii="宋体" w:hAnsi="宋体" w:cs="宋体" w:eastAsia="宋体" w:hint="default"/>
          <w:sz w:val="18"/>
          <w:szCs w:val="18"/>
        </w:rPr>
      </w:pPr>
    </w:p>
    <w:p>
      <w:pPr>
        <w:spacing w:line="237" w:lineRule="auto" w:before="0"/>
        <w:ind w:left="565" w:right="210" w:firstLine="0"/>
        <w:jc w:val="both"/>
        <w:rPr>
          <w:rFonts w:ascii="宋体" w:hAnsi="宋体" w:cs="宋体" w:eastAsia="宋体" w:hint="default"/>
          <w:sz w:val="21"/>
          <w:szCs w:val="21"/>
        </w:rPr>
      </w:pPr>
      <w:r>
        <w:rPr>
          <w:rFonts w:ascii="宋体" w:hAnsi="宋体" w:cs="宋体" w:eastAsia="宋体" w:hint="default"/>
          <w:spacing w:val="-2"/>
          <w:sz w:val="21"/>
          <w:szCs w:val="21"/>
        </w:rPr>
        <w:t>报告期内，公司在涉及定期报告等事项时，相关人员均严格按照《公司内幕信息知情人登记</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制度》做好了内幕信息知情人登记工作。报告期内，公司未发生内幕信息知情人在影响公司</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股价的重大敏感信息披露前利用内幕信息买卖公司股份的情况。</w:t>
      </w:r>
    </w:p>
    <w:p>
      <w:pPr>
        <w:spacing w:after="0" w:line="237" w:lineRule="auto"/>
        <w:jc w:val="both"/>
        <w:rPr>
          <w:rFonts w:ascii="宋体" w:hAnsi="宋体" w:cs="宋体" w:eastAsia="宋体" w:hint="default"/>
          <w:sz w:val="21"/>
          <w:szCs w:val="21"/>
        </w:rPr>
        <w:sectPr>
          <w:pgSz w:w="11910" w:h="16840"/>
          <w:pgMar w:header="880" w:footer="1194" w:top="1120" w:bottom="1380" w:left="1660" w:right="1060"/>
        </w:sectPr>
      </w:pPr>
    </w:p>
    <w:p>
      <w:pPr>
        <w:spacing w:line="240" w:lineRule="auto" w:before="11"/>
        <w:rPr>
          <w:rFonts w:ascii="宋体" w:hAnsi="宋体" w:cs="宋体" w:eastAsia="宋体" w:hint="default"/>
          <w:sz w:val="29"/>
          <w:szCs w:val="29"/>
        </w:rPr>
      </w:pPr>
    </w:p>
    <w:p>
      <w:pPr>
        <w:spacing w:before="36"/>
        <w:ind w:left="138" w:right="259" w:firstLine="0"/>
        <w:jc w:val="left"/>
        <w:rPr>
          <w:rFonts w:ascii="宋体" w:hAnsi="宋体" w:cs="宋体" w:eastAsia="宋体" w:hint="default"/>
          <w:sz w:val="21"/>
          <w:szCs w:val="21"/>
        </w:rPr>
      </w:pP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12"/>
        <w:rPr>
          <w:rFonts w:ascii="宋体" w:hAnsi="宋体" w:cs="宋体" w:eastAsia="宋体" w:hint="default"/>
          <w:b/>
          <w:bCs/>
          <w:sz w:val="27"/>
          <w:szCs w:val="27"/>
        </w:rPr>
      </w:pPr>
    </w:p>
    <w:tbl>
      <w:tblPr>
        <w:tblW w:w="0" w:type="auto"/>
        <w:jc w:val="left"/>
        <w:tblInd w:w="133" w:type="dxa"/>
        <w:tblLayout w:type="fixed"/>
        <w:tblCellMar>
          <w:top w:w="0" w:type="dxa"/>
          <w:left w:w="0" w:type="dxa"/>
          <w:bottom w:w="0" w:type="dxa"/>
          <w:right w:w="0" w:type="dxa"/>
        </w:tblCellMar>
        <w:tblLook w:val="01E0"/>
      </w:tblPr>
      <w:tblGrid>
        <w:gridCol w:w="871"/>
        <w:gridCol w:w="910"/>
        <w:gridCol w:w="2331"/>
        <w:gridCol w:w="1421"/>
        <w:gridCol w:w="1844"/>
        <w:gridCol w:w="1558"/>
      </w:tblGrid>
      <w:tr>
        <w:trPr>
          <w:trHeight w:val="400" w:hRule="exact"/>
        </w:trPr>
        <w:tc>
          <w:tcPr>
            <w:tcW w:w="87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73"/>
              <w:ind w:left="129" w:right="0"/>
              <w:jc w:val="left"/>
              <w:rPr>
                <w:rFonts w:ascii="宋体" w:hAnsi="宋体" w:cs="宋体" w:eastAsia="宋体" w:hint="default"/>
                <w:sz w:val="15"/>
                <w:szCs w:val="15"/>
              </w:rPr>
            </w:pPr>
            <w:r>
              <w:rPr>
                <w:rFonts w:ascii="宋体" w:hAnsi="宋体" w:cs="宋体" w:eastAsia="宋体" w:hint="default"/>
                <w:b/>
                <w:bCs/>
                <w:sz w:val="15"/>
                <w:szCs w:val="15"/>
              </w:rPr>
              <w:t>会议届次</w:t>
            </w:r>
            <w:r>
              <w:rPr>
                <w:rFonts w:ascii="宋体" w:hAnsi="宋体" w:cs="宋体" w:eastAsia="宋体" w:hint="default"/>
                <w:sz w:val="15"/>
                <w:szCs w:val="15"/>
              </w:rPr>
            </w:r>
          </w:p>
        </w:tc>
        <w:tc>
          <w:tcPr>
            <w:tcW w:w="91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73"/>
              <w:ind w:left="148" w:right="0"/>
              <w:jc w:val="left"/>
              <w:rPr>
                <w:rFonts w:ascii="宋体" w:hAnsi="宋体" w:cs="宋体" w:eastAsia="宋体" w:hint="default"/>
                <w:sz w:val="15"/>
                <w:szCs w:val="15"/>
              </w:rPr>
            </w:pPr>
            <w:r>
              <w:rPr>
                <w:rFonts w:ascii="宋体" w:hAnsi="宋体" w:cs="宋体" w:eastAsia="宋体" w:hint="default"/>
                <w:b/>
                <w:bCs/>
                <w:sz w:val="15"/>
                <w:szCs w:val="15"/>
              </w:rPr>
              <w:t>召开日期</w:t>
            </w:r>
            <w:r>
              <w:rPr>
                <w:rFonts w:ascii="宋体" w:hAnsi="宋体" w:cs="宋体" w:eastAsia="宋体" w:hint="default"/>
                <w:sz w:val="15"/>
                <w:szCs w:val="15"/>
              </w:rPr>
            </w:r>
          </w:p>
        </w:tc>
        <w:tc>
          <w:tcPr>
            <w:tcW w:w="233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73"/>
              <w:ind w:left="707" w:right="0"/>
              <w:jc w:val="left"/>
              <w:rPr>
                <w:rFonts w:ascii="宋体" w:hAnsi="宋体" w:cs="宋体" w:eastAsia="宋体" w:hint="default"/>
                <w:sz w:val="15"/>
                <w:szCs w:val="15"/>
              </w:rPr>
            </w:pPr>
            <w:r>
              <w:rPr>
                <w:rFonts w:ascii="宋体" w:hAnsi="宋体" w:cs="宋体" w:eastAsia="宋体" w:hint="default"/>
                <w:b/>
                <w:bCs/>
                <w:sz w:val="15"/>
                <w:szCs w:val="15"/>
              </w:rPr>
              <w:t>会议议案名称</w:t>
            </w:r>
            <w:r>
              <w:rPr>
                <w:rFonts w:ascii="宋体" w:hAnsi="宋体" w:cs="宋体" w:eastAsia="宋体" w:hint="default"/>
                <w:sz w:val="15"/>
                <w:szCs w:val="15"/>
              </w:rPr>
            </w:r>
          </w:p>
        </w:tc>
        <w:tc>
          <w:tcPr>
            <w:tcW w:w="142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b/>
                <w:bCs/>
                <w:sz w:val="15"/>
                <w:szCs w:val="15"/>
              </w:rPr>
              <w:t>决议情况</w:t>
            </w:r>
            <w:r>
              <w:rPr>
                <w:rFonts w:ascii="宋体" w:hAnsi="宋体" w:cs="宋体" w:eastAsia="宋体" w:hint="default"/>
                <w:sz w:val="15"/>
                <w:szCs w:val="15"/>
              </w:rPr>
            </w:r>
          </w:p>
        </w:tc>
        <w:tc>
          <w:tcPr>
            <w:tcW w:w="184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173" w:lineRule="exact"/>
              <w:ind w:right="0"/>
              <w:jc w:val="center"/>
              <w:rPr>
                <w:rFonts w:ascii="宋体" w:hAnsi="宋体" w:cs="宋体" w:eastAsia="宋体" w:hint="default"/>
                <w:sz w:val="15"/>
                <w:szCs w:val="15"/>
              </w:rPr>
            </w:pPr>
            <w:r>
              <w:rPr>
                <w:rFonts w:ascii="宋体" w:hAnsi="宋体" w:cs="宋体" w:eastAsia="宋体" w:hint="default"/>
                <w:b/>
                <w:bCs/>
                <w:sz w:val="15"/>
                <w:szCs w:val="15"/>
              </w:rPr>
              <w:t>决议刊登的指定网站的</w:t>
            </w:r>
            <w:r>
              <w:rPr>
                <w:rFonts w:ascii="宋体" w:hAnsi="宋体" w:cs="宋体" w:eastAsia="宋体" w:hint="default"/>
                <w:sz w:val="15"/>
                <w:szCs w:val="15"/>
              </w:rPr>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b/>
                <w:bCs/>
                <w:sz w:val="15"/>
                <w:szCs w:val="15"/>
              </w:rPr>
              <w:t>查询索引</w:t>
            </w:r>
            <w:r>
              <w:rPr>
                <w:rFonts w:ascii="宋体" w:hAnsi="宋体" w:cs="宋体" w:eastAsia="宋体" w:hint="default"/>
                <w:sz w:val="15"/>
                <w:szCs w:val="15"/>
              </w:rPr>
            </w:r>
          </w:p>
        </w:tc>
        <w:tc>
          <w:tcPr>
            <w:tcW w:w="155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173" w:lineRule="exact"/>
              <w:ind w:right="0"/>
              <w:jc w:val="center"/>
              <w:rPr>
                <w:rFonts w:ascii="宋体" w:hAnsi="宋体" w:cs="宋体" w:eastAsia="宋体" w:hint="default"/>
                <w:sz w:val="15"/>
                <w:szCs w:val="15"/>
              </w:rPr>
            </w:pPr>
            <w:r>
              <w:rPr>
                <w:rFonts w:ascii="宋体" w:hAnsi="宋体" w:cs="宋体" w:eastAsia="宋体" w:hint="default"/>
                <w:b/>
                <w:bCs/>
                <w:sz w:val="15"/>
                <w:szCs w:val="15"/>
              </w:rPr>
              <w:t>决议刊登的披露</w:t>
            </w:r>
            <w:r>
              <w:rPr>
                <w:rFonts w:ascii="宋体" w:hAnsi="宋体" w:cs="宋体" w:eastAsia="宋体" w:hint="default"/>
                <w:sz w:val="15"/>
                <w:szCs w:val="15"/>
              </w:rPr>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b/>
                <w:bCs/>
                <w:sz w:val="15"/>
                <w:szCs w:val="15"/>
              </w:rPr>
              <w:t>日期</w:t>
            </w:r>
            <w:r>
              <w:rPr>
                <w:rFonts w:ascii="宋体" w:hAnsi="宋体" w:cs="宋体" w:eastAsia="宋体" w:hint="default"/>
                <w:sz w:val="15"/>
                <w:szCs w:val="15"/>
              </w:rPr>
            </w:r>
          </w:p>
        </w:tc>
      </w:tr>
      <w:tr>
        <w:trPr>
          <w:trHeight w:val="355" w:hRule="exact"/>
        </w:trPr>
        <w:tc>
          <w:tcPr>
            <w:tcW w:w="871" w:type="dxa"/>
            <w:vMerge w:val="restart"/>
            <w:tcBorders>
              <w:top w:val="single" w:sz="4" w:space="0" w:color="000000"/>
              <w:left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Arial" w:hAnsi="Arial" w:cs="Arial" w:eastAsia="Arial" w:hint="default"/>
                <w:sz w:val="15"/>
                <w:szCs w:val="15"/>
              </w:rPr>
              <w:t>2013</w:t>
            </w:r>
            <w:r>
              <w:rPr>
                <w:rFonts w:ascii="Arial" w:hAnsi="Arial" w:cs="Arial" w:eastAsia="Arial" w:hint="default"/>
                <w:spacing w:val="-21"/>
                <w:sz w:val="15"/>
                <w:szCs w:val="15"/>
              </w:rPr>
              <w:t> </w:t>
            </w:r>
            <w:r>
              <w:rPr>
                <w:rFonts w:ascii="宋体" w:hAnsi="宋体" w:cs="宋体" w:eastAsia="宋体" w:hint="default"/>
                <w:sz w:val="15"/>
                <w:szCs w:val="15"/>
              </w:rPr>
              <w:t>年度</w:t>
            </w:r>
          </w:p>
          <w:p>
            <w:pPr>
              <w:pStyle w:val="TableParagraph"/>
              <w:spacing w:line="190" w:lineRule="exact"/>
              <w:ind w:left="103" w:right="0"/>
              <w:jc w:val="left"/>
              <w:rPr>
                <w:rFonts w:ascii="宋体" w:hAnsi="宋体" w:cs="宋体" w:eastAsia="宋体" w:hint="default"/>
                <w:sz w:val="15"/>
                <w:szCs w:val="15"/>
              </w:rPr>
            </w:pPr>
            <w:r>
              <w:rPr>
                <w:rFonts w:ascii="宋体" w:hAnsi="宋体" w:cs="宋体" w:eastAsia="宋体" w:hint="default"/>
                <w:sz w:val="15"/>
                <w:szCs w:val="15"/>
              </w:rPr>
              <w:t>股东大会</w:t>
            </w:r>
          </w:p>
        </w:tc>
        <w:tc>
          <w:tcPr>
            <w:tcW w:w="910" w:type="dxa"/>
            <w:vMerge w:val="restart"/>
            <w:tcBorders>
              <w:top w:val="single" w:sz="4" w:space="0" w:color="000000"/>
              <w:left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Arial" w:hAnsi="Arial" w:cs="Arial" w:eastAsia="Arial" w:hint="default"/>
                <w:sz w:val="15"/>
                <w:szCs w:val="15"/>
              </w:rPr>
              <w:t>2014</w:t>
            </w:r>
            <w:r>
              <w:rPr>
                <w:rFonts w:ascii="Arial" w:hAnsi="Arial" w:cs="Arial" w:eastAsia="Arial" w:hint="default"/>
                <w:spacing w:val="-6"/>
                <w:sz w:val="15"/>
                <w:szCs w:val="15"/>
              </w:rPr>
              <w:t> </w:t>
            </w:r>
            <w:r>
              <w:rPr>
                <w:rFonts w:ascii="宋体" w:hAnsi="宋体" w:cs="宋体" w:eastAsia="宋体" w:hint="default"/>
                <w:sz w:val="15"/>
                <w:szCs w:val="15"/>
              </w:rPr>
              <w:t>年</w:t>
            </w:r>
          </w:p>
          <w:p>
            <w:pPr>
              <w:pStyle w:val="TableParagraph"/>
              <w:spacing w:line="201" w:lineRule="exact"/>
              <w:ind w:left="103" w:right="0"/>
              <w:jc w:val="left"/>
              <w:rPr>
                <w:rFonts w:ascii="宋体" w:hAnsi="宋体" w:cs="宋体" w:eastAsia="宋体" w:hint="default"/>
                <w:sz w:val="15"/>
                <w:szCs w:val="15"/>
              </w:rPr>
            </w:pPr>
            <w:r>
              <w:rPr>
                <w:rFonts w:ascii="Arial" w:hAnsi="Arial" w:cs="Arial" w:eastAsia="Arial" w:hint="default"/>
                <w:sz w:val="15"/>
                <w:szCs w:val="15"/>
              </w:rPr>
              <w:t>4</w:t>
            </w:r>
            <w:r>
              <w:rPr>
                <w:rFonts w:ascii="Arial" w:hAnsi="Arial" w:cs="Arial" w:eastAsia="Arial"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16</w:t>
            </w:r>
            <w:r>
              <w:rPr>
                <w:rFonts w:ascii="Arial" w:hAnsi="Arial" w:cs="Arial" w:eastAsia="Arial" w:hint="default"/>
                <w:spacing w:val="-5"/>
                <w:sz w:val="15"/>
                <w:szCs w:val="15"/>
              </w:rPr>
              <w:t> </w:t>
            </w:r>
            <w:r>
              <w:rPr>
                <w:rFonts w:ascii="宋体" w:hAnsi="宋体" w:cs="宋体" w:eastAsia="宋体" w:hint="default"/>
                <w:sz w:val="15"/>
                <w:szCs w:val="15"/>
              </w:rPr>
              <w:t>日</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5"/>
                <w:szCs w:val="15"/>
              </w:rPr>
            </w:pPr>
            <w:r>
              <w:rPr>
                <w:rFonts w:ascii="宋体" w:hAnsi="宋体" w:cs="宋体" w:eastAsia="宋体" w:hint="default"/>
                <w:sz w:val="15"/>
                <w:szCs w:val="15"/>
              </w:rPr>
              <w:t>公司</w:t>
            </w:r>
            <w:r>
              <w:rPr>
                <w:rFonts w:ascii="宋体" w:hAnsi="宋体" w:cs="宋体" w:eastAsia="宋体" w:hint="default"/>
                <w:spacing w:val="-40"/>
                <w:sz w:val="15"/>
                <w:szCs w:val="15"/>
              </w:rPr>
              <w:t> </w:t>
            </w:r>
            <w:r>
              <w:rPr>
                <w:rFonts w:ascii="Arial" w:hAnsi="Arial" w:cs="Arial" w:eastAsia="Arial" w:hint="default"/>
                <w:sz w:val="15"/>
                <w:szCs w:val="15"/>
              </w:rPr>
              <w:t>2013</w:t>
            </w:r>
            <w:r>
              <w:rPr>
                <w:rFonts w:ascii="Arial" w:hAnsi="Arial" w:cs="Arial" w:eastAsia="Arial" w:hint="default"/>
                <w:spacing w:val="-5"/>
                <w:sz w:val="15"/>
                <w:szCs w:val="15"/>
              </w:rPr>
              <w:t> </w:t>
            </w:r>
            <w:r>
              <w:rPr>
                <w:rFonts w:ascii="宋体" w:hAnsi="宋体" w:cs="宋体" w:eastAsia="宋体" w:hint="default"/>
                <w:sz w:val="15"/>
                <w:szCs w:val="15"/>
              </w:rPr>
              <w:t>年度财务决算报告</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5"/>
                <w:szCs w:val="15"/>
              </w:rPr>
            </w:pPr>
            <w:r>
              <w:rPr>
                <w:rFonts w:ascii="宋体" w:hAnsi="宋体" w:cs="宋体" w:eastAsia="宋体" w:hint="default"/>
                <w:sz w:val="15"/>
                <w:szCs w:val="15"/>
              </w:rPr>
              <w:t>审议通过全部议案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59"/>
              <w:jc w:val="left"/>
              <w:rPr>
                <w:rFonts w:ascii="Arial" w:hAnsi="Arial" w:cs="Arial" w:eastAsia="Arial" w:hint="default"/>
                <w:sz w:val="15"/>
                <w:szCs w:val="15"/>
              </w:rPr>
            </w:pPr>
            <w:r>
              <w:rPr>
                <w:rFonts w:ascii="Arial"/>
                <w:sz w:val="15"/>
              </w:rPr>
              <w:t>www.sse.com.cn;</w:t>
            </w:r>
            <w:r>
              <w:rPr>
                <w:rFonts w:ascii="Arial"/>
                <w:w w:val="100"/>
                <w:sz w:val="15"/>
              </w:rPr>
              <w:t> </w:t>
            </w:r>
            <w:hyperlink r:id="rId12">
              <w:r>
                <w:rPr>
                  <w:rFonts w:ascii="Arial"/>
                  <w:spacing w:val="-1"/>
                  <w:sz w:val="15"/>
                </w:rPr>
                <w:t>www.chinaunicom-a.com</w:t>
              </w:r>
            </w:hyperlink>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7" w:right="0"/>
              <w:jc w:val="center"/>
              <w:rPr>
                <w:rFonts w:ascii="宋体" w:hAnsi="宋体" w:cs="宋体" w:eastAsia="宋体" w:hint="default"/>
                <w:sz w:val="15"/>
                <w:szCs w:val="15"/>
              </w:rPr>
            </w:pPr>
            <w:r>
              <w:rPr>
                <w:rFonts w:ascii="Arial" w:hAnsi="Arial" w:cs="Arial" w:eastAsia="Arial" w:hint="default"/>
                <w:sz w:val="15"/>
                <w:szCs w:val="15"/>
              </w:rPr>
              <w:t>2014</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4</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17</w:t>
            </w:r>
            <w:r>
              <w:rPr>
                <w:rFonts w:ascii="Arial" w:hAnsi="Arial" w:cs="Arial" w:eastAsia="Arial" w:hint="default"/>
                <w:spacing w:val="-4"/>
                <w:sz w:val="15"/>
                <w:szCs w:val="15"/>
              </w:rPr>
              <w:t> </w:t>
            </w:r>
            <w:r>
              <w:rPr>
                <w:rFonts w:ascii="宋体" w:hAnsi="宋体" w:cs="宋体" w:eastAsia="宋体" w:hint="default"/>
                <w:sz w:val="15"/>
                <w:szCs w:val="15"/>
              </w:rPr>
              <w:t>日</w:t>
            </w:r>
          </w:p>
        </w:tc>
      </w:tr>
      <w:tr>
        <w:trPr>
          <w:trHeight w:val="353" w:hRule="exact"/>
        </w:trPr>
        <w:tc>
          <w:tcPr>
            <w:tcW w:w="871"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5"/>
                <w:szCs w:val="15"/>
              </w:rPr>
            </w:pPr>
            <w:r>
              <w:rPr>
                <w:rFonts w:ascii="宋体" w:hAnsi="宋体" w:cs="宋体" w:eastAsia="宋体" w:hint="default"/>
                <w:sz w:val="15"/>
                <w:szCs w:val="15"/>
              </w:rPr>
              <w:t>公司</w:t>
            </w:r>
            <w:r>
              <w:rPr>
                <w:rFonts w:ascii="宋体" w:hAnsi="宋体" w:cs="宋体" w:eastAsia="宋体" w:hint="default"/>
                <w:spacing w:val="-39"/>
                <w:sz w:val="15"/>
                <w:szCs w:val="15"/>
              </w:rPr>
              <w:t> </w:t>
            </w:r>
            <w:r>
              <w:rPr>
                <w:rFonts w:ascii="Arial" w:hAnsi="Arial" w:cs="Arial" w:eastAsia="Arial" w:hint="default"/>
                <w:sz w:val="15"/>
                <w:szCs w:val="15"/>
              </w:rPr>
              <w:t>2013</w:t>
            </w:r>
            <w:r>
              <w:rPr>
                <w:rFonts w:ascii="Arial" w:hAnsi="Arial" w:cs="Arial" w:eastAsia="Arial" w:hint="default"/>
                <w:spacing w:val="-4"/>
                <w:sz w:val="15"/>
                <w:szCs w:val="15"/>
              </w:rPr>
              <w:t> </w:t>
            </w:r>
            <w:r>
              <w:rPr>
                <w:rFonts w:ascii="宋体" w:hAnsi="宋体" w:cs="宋体" w:eastAsia="宋体" w:hint="default"/>
                <w:sz w:val="15"/>
                <w:szCs w:val="15"/>
              </w:rPr>
              <w:t>年度利润分配的议案</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5"/>
                <w:szCs w:val="15"/>
              </w:rPr>
            </w:pPr>
            <w:r>
              <w:rPr>
                <w:rFonts w:ascii="宋体" w:hAnsi="宋体" w:cs="宋体" w:eastAsia="宋体" w:hint="default"/>
                <w:sz w:val="15"/>
                <w:szCs w:val="15"/>
              </w:rPr>
              <w:t>审议通过全部议案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59"/>
              <w:jc w:val="left"/>
              <w:rPr>
                <w:rFonts w:ascii="Arial" w:hAnsi="Arial" w:cs="Arial" w:eastAsia="Arial" w:hint="default"/>
                <w:sz w:val="15"/>
                <w:szCs w:val="15"/>
              </w:rPr>
            </w:pPr>
            <w:r>
              <w:rPr>
                <w:rFonts w:ascii="Arial"/>
                <w:sz w:val="15"/>
              </w:rPr>
              <w:t>www.sse.com.cn;</w:t>
            </w:r>
            <w:r>
              <w:rPr>
                <w:rFonts w:ascii="Arial"/>
                <w:w w:val="100"/>
                <w:sz w:val="15"/>
              </w:rPr>
              <w:t> </w:t>
            </w:r>
            <w:hyperlink r:id="rId12">
              <w:r>
                <w:rPr>
                  <w:rFonts w:ascii="Arial"/>
                  <w:spacing w:val="-1"/>
                  <w:sz w:val="15"/>
                </w:rPr>
                <w:t>www.chinaunicom-a.com</w:t>
              </w:r>
            </w:hyperlink>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7" w:right="0"/>
              <w:jc w:val="center"/>
              <w:rPr>
                <w:rFonts w:ascii="宋体" w:hAnsi="宋体" w:cs="宋体" w:eastAsia="宋体" w:hint="default"/>
                <w:sz w:val="15"/>
                <w:szCs w:val="15"/>
              </w:rPr>
            </w:pPr>
            <w:r>
              <w:rPr>
                <w:rFonts w:ascii="Arial" w:hAnsi="Arial" w:cs="Arial" w:eastAsia="Arial" w:hint="default"/>
                <w:sz w:val="15"/>
                <w:szCs w:val="15"/>
              </w:rPr>
              <w:t>2014</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4</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17</w:t>
            </w:r>
            <w:r>
              <w:rPr>
                <w:rFonts w:ascii="Arial" w:hAnsi="Arial" w:cs="Arial" w:eastAsia="Arial" w:hint="default"/>
                <w:spacing w:val="-4"/>
                <w:sz w:val="15"/>
                <w:szCs w:val="15"/>
              </w:rPr>
              <w:t> </w:t>
            </w:r>
            <w:r>
              <w:rPr>
                <w:rFonts w:ascii="宋体" w:hAnsi="宋体" w:cs="宋体" w:eastAsia="宋体" w:hint="default"/>
                <w:sz w:val="15"/>
                <w:szCs w:val="15"/>
              </w:rPr>
              <w:t>日</w:t>
            </w:r>
          </w:p>
        </w:tc>
      </w:tr>
      <w:tr>
        <w:trPr>
          <w:trHeight w:val="528" w:hRule="exact"/>
        </w:trPr>
        <w:tc>
          <w:tcPr>
            <w:tcW w:w="871"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关于聘请会计师事务所的议案</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审议通过全部议案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3" w:right="182"/>
              <w:jc w:val="left"/>
              <w:rPr>
                <w:rFonts w:ascii="Arial" w:hAnsi="Arial" w:cs="Arial" w:eastAsia="Arial" w:hint="default"/>
                <w:sz w:val="15"/>
                <w:szCs w:val="15"/>
              </w:rPr>
            </w:pPr>
            <w:r>
              <w:rPr>
                <w:rFonts w:ascii="Arial"/>
                <w:sz w:val="15"/>
              </w:rPr>
              <w:t>www.sse.com.cn;</w:t>
            </w:r>
            <w:r>
              <w:rPr>
                <w:rFonts w:ascii="Arial"/>
                <w:w w:val="100"/>
                <w:sz w:val="15"/>
              </w:rPr>
              <w:t> </w:t>
            </w:r>
            <w:hyperlink r:id="rId18">
              <w:r>
                <w:rPr>
                  <w:rFonts w:ascii="Arial"/>
                  <w:spacing w:val="-1"/>
                  <w:sz w:val="15"/>
                </w:rPr>
                <w:t>www.chinaunicom-a.co</w:t>
              </w:r>
            </w:hyperlink>
            <w:r>
              <w:rPr>
                <w:rFonts w:ascii="Arial"/>
                <w:spacing w:val="-23"/>
                <w:sz w:val="15"/>
              </w:rPr>
              <w:t> </w:t>
            </w:r>
            <w:r>
              <w:rPr>
                <w:rFonts w:ascii="Arial"/>
                <w:spacing w:val="-23"/>
                <w:sz w:val="15"/>
              </w:rPr>
            </w:r>
            <w:r>
              <w:rPr>
                <w:rFonts w:ascii="Arial"/>
                <w:sz w:val="15"/>
              </w:rPr>
              <w:t>m</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17" w:right="0"/>
              <w:jc w:val="center"/>
              <w:rPr>
                <w:rFonts w:ascii="宋体" w:hAnsi="宋体" w:cs="宋体" w:eastAsia="宋体" w:hint="default"/>
                <w:sz w:val="15"/>
                <w:szCs w:val="15"/>
              </w:rPr>
            </w:pPr>
            <w:r>
              <w:rPr>
                <w:rFonts w:ascii="Arial" w:hAnsi="Arial" w:cs="Arial" w:eastAsia="Arial" w:hint="default"/>
                <w:sz w:val="15"/>
                <w:szCs w:val="15"/>
              </w:rPr>
              <w:t>2014</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4</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17</w:t>
            </w:r>
            <w:r>
              <w:rPr>
                <w:rFonts w:ascii="Arial" w:hAnsi="Arial" w:cs="Arial" w:eastAsia="Arial" w:hint="default"/>
                <w:spacing w:val="-4"/>
                <w:sz w:val="15"/>
                <w:szCs w:val="15"/>
              </w:rPr>
              <w:t> </w:t>
            </w:r>
            <w:r>
              <w:rPr>
                <w:rFonts w:ascii="宋体" w:hAnsi="宋体" w:cs="宋体" w:eastAsia="宋体" w:hint="default"/>
                <w:sz w:val="15"/>
                <w:szCs w:val="15"/>
              </w:rPr>
              <w:t>日</w:t>
            </w:r>
          </w:p>
        </w:tc>
      </w:tr>
      <w:tr>
        <w:trPr>
          <w:trHeight w:val="355" w:hRule="exact"/>
        </w:trPr>
        <w:tc>
          <w:tcPr>
            <w:tcW w:w="871"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5"/>
                <w:szCs w:val="15"/>
              </w:rPr>
            </w:pPr>
            <w:r>
              <w:rPr>
                <w:rFonts w:ascii="宋体" w:hAnsi="宋体" w:cs="宋体" w:eastAsia="宋体" w:hint="default"/>
                <w:sz w:val="15"/>
                <w:szCs w:val="15"/>
              </w:rPr>
              <w:t>公司</w:t>
            </w:r>
            <w:r>
              <w:rPr>
                <w:rFonts w:ascii="宋体" w:hAnsi="宋体" w:cs="宋体" w:eastAsia="宋体" w:hint="default"/>
                <w:spacing w:val="-39"/>
                <w:sz w:val="15"/>
                <w:szCs w:val="15"/>
              </w:rPr>
              <w:t> </w:t>
            </w:r>
            <w:r>
              <w:rPr>
                <w:rFonts w:ascii="Arial" w:hAnsi="Arial" w:cs="Arial" w:eastAsia="Arial" w:hint="default"/>
                <w:sz w:val="15"/>
                <w:szCs w:val="15"/>
              </w:rPr>
              <w:t>2013</w:t>
            </w:r>
            <w:r>
              <w:rPr>
                <w:rFonts w:ascii="Arial" w:hAnsi="Arial" w:cs="Arial" w:eastAsia="Arial" w:hint="default"/>
                <w:spacing w:val="-4"/>
                <w:sz w:val="15"/>
                <w:szCs w:val="15"/>
              </w:rPr>
              <w:t> </w:t>
            </w:r>
            <w:r>
              <w:rPr>
                <w:rFonts w:ascii="宋体" w:hAnsi="宋体" w:cs="宋体" w:eastAsia="宋体" w:hint="default"/>
                <w:sz w:val="15"/>
                <w:szCs w:val="15"/>
              </w:rPr>
              <w:t>年度董事会报告</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5"/>
                <w:szCs w:val="15"/>
              </w:rPr>
            </w:pPr>
            <w:r>
              <w:rPr>
                <w:rFonts w:ascii="宋体" w:hAnsi="宋体" w:cs="宋体" w:eastAsia="宋体" w:hint="default"/>
                <w:sz w:val="15"/>
                <w:szCs w:val="15"/>
              </w:rPr>
              <w:t>审议通过全部议案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59"/>
              <w:jc w:val="left"/>
              <w:rPr>
                <w:rFonts w:ascii="Arial" w:hAnsi="Arial" w:cs="Arial" w:eastAsia="Arial" w:hint="default"/>
                <w:sz w:val="15"/>
                <w:szCs w:val="15"/>
              </w:rPr>
            </w:pPr>
            <w:r>
              <w:rPr>
                <w:rFonts w:ascii="Arial"/>
                <w:sz w:val="15"/>
              </w:rPr>
              <w:t>www.sse.com.cn;</w:t>
            </w:r>
            <w:r>
              <w:rPr>
                <w:rFonts w:ascii="Arial"/>
                <w:spacing w:val="-3"/>
                <w:w w:val="100"/>
                <w:sz w:val="15"/>
              </w:rPr>
              <w:t> </w:t>
            </w:r>
            <w:hyperlink r:id="rId12">
              <w:r>
                <w:rPr>
                  <w:rFonts w:ascii="Arial"/>
                  <w:spacing w:val="-1"/>
                  <w:sz w:val="15"/>
                </w:rPr>
                <w:t>www.chinaunicom-a.com</w:t>
              </w:r>
            </w:hyperlink>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7" w:right="0"/>
              <w:jc w:val="center"/>
              <w:rPr>
                <w:rFonts w:ascii="宋体" w:hAnsi="宋体" w:cs="宋体" w:eastAsia="宋体" w:hint="default"/>
                <w:sz w:val="15"/>
                <w:szCs w:val="15"/>
              </w:rPr>
            </w:pPr>
            <w:r>
              <w:rPr>
                <w:rFonts w:ascii="Arial" w:hAnsi="Arial" w:cs="Arial" w:eastAsia="Arial" w:hint="default"/>
                <w:sz w:val="15"/>
                <w:szCs w:val="15"/>
              </w:rPr>
              <w:t>2014</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4</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17</w:t>
            </w:r>
            <w:r>
              <w:rPr>
                <w:rFonts w:ascii="Arial" w:hAnsi="Arial" w:cs="Arial" w:eastAsia="Arial" w:hint="default"/>
                <w:spacing w:val="-4"/>
                <w:sz w:val="15"/>
                <w:szCs w:val="15"/>
              </w:rPr>
              <w:t> </w:t>
            </w:r>
            <w:r>
              <w:rPr>
                <w:rFonts w:ascii="宋体" w:hAnsi="宋体" w:cs="宋体" w:eastAsia="宋体" w:hint="default"/>
                <w:sz w:val="15"/>
                <w:szCs w:val="15"/>
              </w:rPr>
              <w:t>日</w:t>
            </w:r>
          </w:p>
        </w:tc>
      </w:tr>
      <w:tr>
        <w:trPr>
          <w:trHeight w:val="355" w:hRule="exact"/>
        </w:trPr>
        <w:tc>
          <w:tcPr>
            <w:tcW w:w="871"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5"/>
                <w:szCs w:val="15"/>
              </w:rPr>
            </w:pPr>
            <w:r>
              <w:rPr>
                <w:rFonts w:ascii="宋体" w:hAnsi="宋体" w:cs="宋体" w:eastAsia="宋体" w:hint="default"/>
                <w:sz w:val="15"/>
                <w:szCs w:val="15"/>
              </w:rPr>
              <w:t>公司</w:t>
            </w:r>
            <w:r>
              <w:rPr>
                <w:rFonts w:ascii="宋体" w:hAnsi="宋体" w:cs="宋体" w:eastAsia="宋体" w:hint="default"/>
                <w:spacing w:val="-39"/>
                <w:sz w:val="15"/>
                <w:szCs w:val="15"/>
              </w:rPr>
              <w:t> </w:t>
            </w:r>
            <w:r>
              <w:rPr>
                <w:rFonts w:ascii="Arial" w:hAnsi="Arial" w:cs="Arial" w:eastAsia="Arial" w:hint="default"/>
                <w:sz w:val="15"/>
                <w:szCs w:val="15"/>
              </w:rPr>
              <w:t>2013</w:t>
            </w:r>
            <w:r>
              <w:rPr>
                <w:rFonts w:ascii="Arial" w:hAnsi="Arial" w:cs="Arial" w:eastAsia="Arial" w:hint="default"/>
                <w:spacing w:val="-4"/>
                <w:sz w:val="15"/>
                <w:szCs w:val="15"/>
              </w:rPr>
              <w:t> </w:t>
            </w:r>
            <w:r>
              <w:rPr>
                <w:rFonts w:ascii="宋体" w:hAnsi="宋体" w:cs="宋体" w:eastAsia="宋体" w:hint="default"/>
                <w:sz w:val="15"/>
                <w:szCs w:val="15"/>
              </w:rPr>
              <w:t>年度监事会报告</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5"/>
                <w:szCs w:val="15"/>
              </w:rPr>
            </w:pPr>
            <w:r>
              <w:rPr>
                <w:rFonts w:ascii="宋体" w:hAnsi="宋体" w:cs="宋体" w:eastAsia="宋体" w:hint="default"/>
                <w:sz w:val="15"/>
                <w:szCs w:val="15"/>
              </w:rPr>
              <w:t>审议通过全部议案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59"/>
              <w:jc w:val="left"/>
              <w:rPr>
                <w:rFonts w:ascii="Arial" w:hAnsi="Arial" w:cs="Arial" w:eastAsia="Arial" w:hint="default"/>
                <w:sz w:val="15"/>
                <w:szCs w:val="15"/>
              </w:rPr>
            </w:pPr>
            <w:r>
              <w:rPr>
                <w:rFonts w:ascii="Arial"/>
                <w:sz w:val="15"/>
              </w:rPr>
              <w:t>www.sse.com.cn;</w:t>
            </w:r>
            <w:r>
              <w:rPr>
                <w:rFonts w:ascii="Arial"/>
                <w:w w:val="100"/>
                <w:sz w:val="15"/>
              </w:rPr>
              <w:t> </w:t>
            </w:r>
            <w:hyperlink r:id="rId12">
              <w:r>
                <w:rPr>
                  <w:rFonts w:ascii="Arial"/>
                  <w:spacing w:val="-1"/>
                  <w:sz w:val="15"/>
                </w:rPr>
                <w:t>www.chinaunicom-a.com</w:t>
              </w:r>
            </w:hyperlink>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7" w:right="0"/>
              <w:jc w:val="center"/>
              <w:rPr>
                <w:rFonts w:ascii="宋体" w:hAnsi="宋体" w:cs="宋体" w:eastAsia="宋体" w:hint="default"/>
                <w:sz w:val="15"/>
                <w:szCs w:val="15"/>
              </w:rPr>
            </w:pPr>
            <w:r>
              <w:rPr>
                <w:rFonts w:ascii="Arial" w:hAnsi="Arial" w:cs="Arial" w:eastAsia="Arial" w:hint="default"/>
                <w:sz w:val="15"/>
                <w:szCs w:val="15"/>
              </w:rPr>
              <w:t>2014</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4</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17</w:t>
            </w:r>
            <w:r>
              <w:rPr>
                <w:rFonts w:ascii="Arial" w:hAnsi="Arial" w:cs="Arial" w:eastAsia="Arial" w:hint="default"/>
                <w:spacing w:val="-4"/>
                <w:sz w:val="15"/>
                <w:szCs w:val="15"/>
              </w:rPr>
              <w:t> </w:t>
            </w:r>
            <w:r>
              <w:rPr>
                <w:rFonts w:ascii="宋体" w:hAnsi="宋体" w:cs="宋体" w:eastAsia="宋体" w:hint="default"/>
                <w:sz w:val="15"/>
                <w:szCs w:val="15"/>
              </w:rPr>
              <w:t>日</w:t>
            </w:r>
          </w:p>
        </w:tc>
      </w:tr>
      <w:tr>
        <w:trPr>
          <w:trHeight w:val="355" w:hRule="exact"/>
        </w:trPr>
        <w:tc>
          <w:tcPr>
            <w:tcW w:w="871"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5"/>
                <w:szCs w:val="15"/>
              </w:rPr>
            </w:pPr>
            <w:r>
              <w:rPr>
                <w:rFonts w:ascii="宋体" w:hAnsi="宋体" w:cs="宋体" w:eastAsia="宋体" w:hint="default"/>
                <w:sz w:val="15"/>
                <w:szCs w:val="15"/>
              </w:rPr>
              <w:t>公司</w:t>
            </w:r>
            <w:r>
              <w:rPr>
                <w:rFonts w:ascii="宋体" w:hAnsi="宋体" w:cs="宋体" w:eastAsia="宋体" w:hint="default"/>
                <w:spacing w:val="-38"/>
                <w:sz w:val="15"/>
                <w:szCs w:val="15"/>
              </w:rPr>
              <w:t> </w:t>
            </w:r>
            <w:r>
              <w:rPr>
                <w:rFonts w:ascii="Arial" w:hAnsi="Arial" w:cs="Arial" w:eastAsia="Arial" w:hint="default"/>
                <w:sz w:val="15"/>
                <w:szCs w:val="15"/>
              </w:rPr>
              <w:t>2013</w:t>
            </w:r>
            <w:r>
              <w:rPr>
                <w:rFonts w:ascii="Arial" w:hAnsi="Arial" w:cs="Arial" w:eastAsia="Arial" w:hint="default"/>
                <w:spacing w:val="-3"/>
                <w:sz w:val="15"/>
                <w:szCs w:val="15"/>
              </w:rPr>
              <w:t> </w:t>
            </w:r>
            <w:r>
              <w:rPr>
                <w:rFonts w:ascii="宋体" w:hAnsi="宋体" w:cs="宋体" w:eastAsia="宋体" w:hint="default"/>
                <w:sz w:val="15"/>
                <w:szCs w:val="15"/>
              </w:rPr>
              <w:t>年年度报告</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5"/>
                <w:szCs w:val="15"/>
              </w:rPr>
            </w:pPr>
            <w:r>
              <w:rPr>
                <w:rFonts w:ascii="宋体" w:hAnsi="宋体" w:cs="宋体" w:eastAsia="宋体" w:hint="default"/>
                <w:sz w:val="15"/>
                <w:szCs w:val="15"/>
              </w:rPr>
              <w:t>审议通过全部议案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59"/>
              <w:jc w:val="left"/>
              <w:rPr>
                <w:rFonts w:ascii="Arial" w:hAnsi="Arial" w:cs="Arial" w:eastAsia="Arial" w:hint="default"/>
                <w:sz w:val="15"/>
                <w:szCs w:val="15"/>
              </w:rPr>
            </w:pPr>
            <w:r>
              <w:rPr>
                <w:rFonts w:ascii="Arial"/>
                <w:sz w:val="15"/>
              </w:rPr>
              <w:t>www.sse.com.cn;</w:t>
            </w:r>
            <w:r>
              <w:rPr>
                <w:rFonts w:ascii="Arial"/>
                <w:w w:val="100"/>
                <w:sz w:val="15"/>
              </w:rPr>
              <w:t> </w:t>
            </w:r>
            <w:hyperlink r:id="rId12">
              <w:r>
                <w:rPr>
                  <w:rFonts w:ascii="Arial"/>
                  <w:spacing w:val="-1"/>
                  <w:sz w:val="15"/>
                </w:rPr>
                <w:t>www.chinaunicom-a.com</w:t>
              </w:r>
            </w:hyperlink>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7" w:right="0"/>
              <w:jc w:val="center"/>
              <w:rPr>
                <w:rFonts w:ascii="宋体" w:hAnsi="宋体" w:cs="宋体" w:eastAsia="宋体" w:hint="default"/>
                <w:sz w:val="15"/>
                <w:szCs w:val="15"/>
              </w:rPr>
            </w:pPr>
            <w:r>
              <w:rPr>
                <w:rFonts w:ascii="Arial" w:hAnsi="Arial" w:cs="Arial" w:eastAsia="Arial" w:hint="default"/>
                <w:sz w:val="15"/>
                <w:szCs w:val="15"/>
              </w:rPr>
              <w:t>2014</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4</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17</w:t>
            </w:r>
            <w:r>
              <w:rPr>
                <w:rFonts w:ascii="Arial" w:hAnsi="Arial" w:cs="Arial" w:eastAsia="Arial" w:hint="default"/>
                <w:spacing w:val="-4"/>
                <w:sz w:val="15"/>
                <w:szCs w:val="15"/>
              </w:rPr>
              <w:t> </w:t>
            </w:r>
            <w:r>
              <w:rPr>
                <w:rFonts w:ascii="宋体" w:hAnsi="宋体" w:cs="宋体" w:eastAsia="宋体" w:hint="default"/>
                <w:sz w:val="15"/>
                <w:szCs w:val="15"/>
              </w:rPr>
              <w:t>日</w:t>
            </w:r>
          </w:p>
        </w:tc>
      </w:tr>
      <w:tr>
        <w:trPr>
          <w:trHeight w:val="399" w:hRule="exact"/>
        </w:trPr>
        <w:tc>
          <w:tcPr>
            <w:tcW w:w="871"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关于联通红筹公司 </w:t>
            </w:r>
            <w:r>
              <w:rPr>
                <w:rFonts w:ascii="Arial" w:hAnsi="Arial" w:cs="Arial" w:eastAsia="Arial" w:hint="default"/>
                <w:sz w:val="15"/>
                <w:szCs w:val="15"/>
              </w:rPr>
              <w:t>2013</w:t>
            </w:r>
            <w:r>
              <w:rPr>
                <w:rFonts w:ascii="Arial" w:hAnsi="Arial" w:cs="Arial" w:eastAsia="Arial" w:hint="default"/>
                <w:spacing w:val="9"/>
                <w:sz w:val="15"/>
                <w:szCs w:val="15"/>
              </w:rPr>
              <w:t> </w:t>
            </w:r>
            <w:r>
              <w:rPr>
                <w:rFonts w:ascii="宋体" w:hAnsi="宋体" w:cs="宋体" w:eastAsia="宋体" w:hint="default"/>
                <w:sz w:val="15"/>
                <w:szCs w:val="15"/>
              </w:rPr>
              <w:t>年度利</w:t>
            </w:r>
          </w:p>
          <w:p>
            <w:pPr>
              <w:pStyle w:val="TableParagraph"/>
              <w:spacing w:line="190" w:lineRule="exact"/>
              <w:ind w:left="103" w:right="0"/>
              <w:jc w:val="left"/>
              <w:rPr>
                <w:rFonts w:ascii="宋体" w:hAnsi="宋体" w:cs="宋体" w:eastAsia="宋体" w:hint="default"/>
                <w:sz w:val="15"/>
                <w:szCs w:val="15"/>
              </w:rPr>
            </w:pPr>
            <w:r>
              <w:rPr>
                <w:rFonts w:ascii="宋体" w:hAnsi="宋体" w:cs="宋体" w:eastAsia="宋体" w:hint="default"/>
                <w:sz w:val="15"/>
                <w:szCs w:val="15"/>
              </w:rPr>
              <w:t>润分配的事项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审议通过全部议案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59"/>
              <w:jc w:val="left"/>
              <w:rPr>
                <w:rFonts w:ascii="Arial" w:hAnsi="Arial" w:cs="Arial" w:eastAsia="Arial" w:hint="default"/>
                <w:sz w:val="15"/>
                <w:szCs w:val="15"/>
              </w:rPr>
            </w:pPr>
            <w:r>
              <w:rPr>
                <w:rFonts w:ascii="Arial"/>
                <w:sz w:val="15"/>
              </w:rPr>
              <w:t>www.sse.com.cn;</w:t>
            </w:r>
            <w:r>
              <w:rPr>
                <w:rFonts w:ascii="Arial"/>
                <w:w w:val="100"/>
                <w:sz w:val="15"/>
              </w:rPr>
              <w:t> </w:t>
            </w:r>
            <w:hyperlink r:id="rId12">
              <w:r>
                <w:rPr>
                  <w:rFonts w:ascii="Arial"/>
                  <w:spacing w:val="-1"/>
                  <w:sz w:val="15"/>
                </w:rPr>
                <w:t>www.chinaunicom-a.com</w:t>
              </w:r>
            </w:hyperlink>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17" w:right="0"/>
              <w:jc w:val="center"/>
              <w:rPr>
                <w:rFonts w:ascii="宋体" w:hAnsi="宋体" w:cs="宋体" w:eastAsia="宋体" w:hint="default"/>
                <w:sz w:val="15"/>
                <w:szCs w:val="15"/>
              </w:rPr>
            </w:pPr>
            <w:r>
              <w:rPr>
                <w:rFonts w:ascii="Arial" w:hAnsi="Arial" w:cs="Arial" w:eastAsia="Arial" w:hint="default"/>
                <w:sz w:val="15"/>
                <w:szCs w:val="15"/>
              </w:rPr>
              <w:t>2014</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4</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17</w:t>
            </w:r>
            <w:r>
              <w:rPr>
                <w:rFonts w:ascii="Arial" w:hAnsi="Arial" w:cs="Arial" w:eastAsia="Arial" w:hint="default"/>
                <w:spacing w:val="-4"/>
                <w:sz w:val="15"/>
                <w:szCs w:val="15"/>
              </w:rPr>
              <w:t> </w:t>
            </w:r>
            <w:r>
              <w:rPr>
                <w:rFonts w:ascii="宋体" w:hAnsi="宋体" w:cs="宋体" w:eastAsia="宋体" w:hint="default"/>
                <w:sz w:val="15"/>
                <w:szCs w:val="15"/>
              </w:rPr>
              <w:t>日</w:t>
            </w:r>
          </w:p>
        </w:tc>
      </w:tr>
      <w:tr>
        <w:trPr>
          <w:trHeight w:val="790" w:hRule="exact"/>
        </w:trPr>
        <w:tc>
          <w:tcPr>
            <w:tcW w:w="871"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联通红筹公司股东大会授权其董</w:t>
            </w:r>
          </w:p>
          <w:p>
            <w:pPr>
              <w:pStyle w:val="TableParagraph"/>
              <w:spacing w:line="240" w:lineRule="auto"/>
              <w:ind w:left="103" w:right="99"/>
              <w:jc w:val="left"/>
              <w:rPr>
                <w:rFonts w:ascii="Arial" w:hAnsi="Arial" w:cs="Arial" w:eastAsia="Arial" w:hint="default"/>
                <w:sz w:val="15"/>
                <w:szCs w:val="15"/>
              </w:rPr>
            </w:pPr>
            <w:r>
              <w:rPr>
                <w:rFonts w:ascii="宋体" w:hAnsi="宋体" w:cs="宋体" w:eastAsia="宋体" w:hint="default"/>
                <w:sz w:val="15"/>
                <w:szCs w:val="15"/>
              </w:rPr>
              <w:t>事会在一定期间内重选董事并授</w:t>
            </w:r>
            <w:r>
              <w:rPr>
                <w:rFonts w:ascii="宋体" w:hAnsi="宋体" w:cs="宋体" w:eastAsia="宋体" w:hint="default"/>
                <w:spacing w:val="-59"/>
                <w:sz w:val="15"/>
                <w:szCs w:val="15"/>
              </w:rPr>
              <w:t> </w:t>
            </w:r>
            <w:r>
              <w:rPr>
                <w:rFonts w:ascii="宋体" w:hAnsi="宋体" w:cs="宋体" w:eastAsia="宋体" w:hint="default"/>
                <w:sz w:val="15"/>
                <w:szCs w:val="15"/>
              </w:rPr>
              <w:t>权董事会决定其截至</w:t>
            </w:r>
            <w:r>
              <w:rPr>
                <w:rFonts w:ascii="宋体" w:hAnsi="宋体" w:cs="宋体" w:eastAsia="宋体" w:hint="default"/>
                <w:spacing w:val="-37"/>
                <w:sz w:val="15"/>
                <w:szCs w:val="15"/>
              </w:rPr>
              <w:t> </w:t>
            </w:r>
            <w:r>
              <w:rPr>
                <w:rFonts w:ascii="Arial" w:hAnsi="Arial" w:cs="Arial" w:eastAsia="Arial" w:hint="default"/>
                <w:sz w:val="15"/>
                <w:szCs w:val="15"/>
              </w:rPr>
              <w:t>2014</w:t>
            </w:r>
            <w:r>
              <w:rPr>
                <w:rFonts w:ascii="Arial" w:hAnsi="Arial" w:cs="Arial" w:eastAsia="Arial" w:hint="default"/>
                <w:spacing w:val="-4"/>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pacing w:val="-3"/>
                <w:sz w:val="15"/>
                <w:szCs w:val="15"/>
              </w:rPr>
              <w:t>12</w:t>
            </w:r>
            <w:r>
              <w:rPr>
                <w:rFonts w:ascii="Arial" w:hAnsi="Arial" w:cs="Arial" w:eastAsia="Arial" w:hint="default"/>
                <w:sz w:val="15"/>
                <w:szCs w:val="15"/>
              </w:rPr>
            </w:r>
          </w:p>
          <w:p>
            <w:pPr>
              <w:pStyle w:val="TableParagraph"/>
              <w:spacing w:line="197" w:lineRule="exact"/>
              <w:ind w:left="103"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31</w:t>
            </w:r>
            <w:r>
              <w:rPr>
                <w:rFonts w:ascii="Arial" w:hAnsi="Arial" w:cs="Arial" w:eastAsia="Arial" w:hint="default"/>
                <w:spacing w:val="-5"/>
                <w:sz w:val="15"/>
                <w:szCs w:val="15"/>
              </w:rPr>
              <w:t> </w:t>
            </w:r>
            <w:r>
              <w:rPr>
                <w:rFonts w:ascii="宋体" w:hAnsi="宋体" w:cs="宋体" w:eastAsia="宋体" w:hint="default"/>
                <w:sz w:val="15"/>
                <w:szCs w:val="15"/>
              </w:rPr>
              <w:t>日止的袍金事项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审议通过全部议案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170" w:lineRule="exact"/>
              <w:ind w:left="103" w:right="59"/>
              <w:jc w:val="left"/>
              <w:rPr>
                <w:rFonts w:ascii="Arial" w:hAnsi="Arial" w:cs="Arial" w:eastAsia="Arial" w:hint="default"/>
                <w:sz w:val="15"/>
                <w:szCs w:val="15"/>
              </w:rPr>
            </w:pPr>
            <w:r>
              <w:rPr>
                <w:rFonts w:ascii="Arial"/>
                <w:sz w:val="15"/>
              </w:rPr>
              <w:t>www.sse.com.cn;</w:t>
            </w:r>
            <w:r>
              <w:rPr>
                <w:rFonts w:ascii="Arial"/>
                <w:w w:val="100"/>
                <w:sz w:val="15"/>
              </w:rPr>
              <w:t> </w:t>
            </w:r>
            <w:hyperlink r:id="rId12">
              <w:r>
                <w:rPr>
                  <w:rFonts w:ascii="Arial"/>
                  <w:spacing w:val="-1"/>
                  <w:sz w:val="15"/>
                </w:rPr>
                <w:t>www.chinaunicom-a.com</w:t>
              </w:r>
            </w:hyperlink>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117" w:right="0"/>
              <w:jc w:val="center"/>
              <w:rPr>
                <w:rFonts w:ascii="宋体" w:hAnsi="宋体" w:cs="宋体" w:eastAsia="宋体" w:hint="default"/>
                <w:sz w:val="15"/>
                <w:szCs w:val="15"/>
              </w:rPr>
            </w:pPr>
            <w:r>
              <w:rPr>
                <w:rFonts w:ascii="Arial" w:hAnsi="Arial" w:cs="Arial" w:eastAsia="Arial" w:hint="default"/>
                <w:sz w:val="15"/>
                <w:szCs w:val="15"/>
              </w:rPr>
              <w:t>2014</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4</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17</w:t>
            </w:r>
            <w:r>
              <w:rPr>
                <w:rFonts w:ascii="Arial" w:hAnsi="Arial" w:cs="Arial" w:eastAsia="Arial" w:hint="default"/>
                <w:spacing w:val="-4"/>
                <w:sz w:val="15"/>
                <w:szCs w:val="15"/>
              </w:rPr>
              <w:t> </w:t>
            </w:r>
            <w:r>
              <w:rPr>
                <w:rFonts w:ascii="宋体" w:hAnsi="宋体" w:cs="宋体" w:eastAsia="宋体" w:hint="default"/>
                <w:sz w:val="15"/>
                <w:szCs w:val="15"/>
              </w:rPr>
              <w:t>日</w:t>
            </w:r>
          </w:p>
        </w:tc>
      </w:tr>
      <w:tr>
        <w:trPr>
          <w:trHeight w:val="787" w:hRule="exact"/>
        </w:trPr>
        <w:tc>
          <w:tcPr>
            <w:tcW w:w="871"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联通红筹公司股东大会授权其董</w:t>
            </w:r>
          </w:p>
          <w:p>
            <w:pPr>
              <w:pStyle w:val="TableParagraph"/>
              <w:spacing w:line="240" w:lineRule="auto"/>
              <w:ind w:left="103" w:right="99"/>
              <w:jc w:val="both"/>
              <w:rPr>
                <w:rFonts w:ascii="宋体" w:hAnsi="宋体" w:cs="宋体" w:eastAsia="宋体" w:hint="default"/>
                <w:sz w:val="15"/>
                <w:szCs w:val="15"/>
              </w:rPr>
            </w:pPr>
            <w:r>
              <w:rPr>
                <w:rFonts w:ascii="宋体" w:hAnsi="宋体" w:cs="宋体" w:eastAsia="宋体" w:hint="default"/>
                <w:sz w:val="15"/>
                <w:szCs w:val="15"/>
              </w:rPr>
              <w:t>事会在规定的期间内，在香港联</w:t>
            </w:r>
            <w:r>
              <w:rPr>
                <w:rFonts w:ascii="宋体" w:hAnsi="宋体" w:cs="宋体" w:eastAsia="宋体" w:hint="default"/>
                <w:spacing w:val="-59"/>
                <w:sz w:val="15"/>
                <w:szCs w:val="15"/>
              </w:rPr>
              <w:t> </w:t>
            </w:r>
            <w:r>
              <w:rPr>
                <w:rFonts w:ascii="宋体" w:hAnsi="宋体" w:cs="宋体" w:eastAsia="宋体" w:hint="default"/>
                <w:sz w:val="15"/>
                <w:szCs w:val="15"/>
              </w:rPr>
              <w:t>合交易所及指定的其他证券交易</w:t>
            </w:r>
            <w:r>
              <w:rPr>
                <w:rFonts w:ascii="宋体" w:hAnsi="宋体" w:cs="宋体" w:eastAsia="宋体" w:hint="default"/>
                <w:spacing w:val="-59"/>
                <w:sz w:val="15"/>
                <w:szCs w:val="15"/>
              </w:rPr>
              <w:t> </w:t>
            </w:r>
            <w:r>
              <w:rPr>
                <w:rFonts w:ascii="宋体" w:hAnsi="宋体" w:cs="宋体" w:eastAsia="宋体" w:hint="default"/>
                <w:sz w:val="15"/>
                <w:szCs w:val="15"/>
              </w:rPr>
              <w:t>所，按适用的法律购买股份事项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审议通过全部议案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3" w:right="59"/>
              <w:jc w:val="left"/>
              <w:rPr>
                <w:rFonts w:ascii="Arial" w:hAnsi="Arial" w:cs="Arial" w:eastAsia="Arial" w:hint="default"/>
                <w:sz w:val="15"/>
                <w:szCs w:val="15"/>
              </w:rPr>
            </w:pPr>
            <w:r>
              <w:rPr>
                <w:rFonts w:ascii="Arial"/>
                <w:sz w:val="15"/>
              </w:rPr>
              <w:t>www.sse.com.cn;</w:t>
            </w:r>
            <w:r>
              <w:rPr>
                <w:rFonts w:ascii="Arial"/>
                <w:w w:val="100"/>
                <w:sz w:val="15"/>
              </w:rPr>
              <w:t> </w:t>
            </w:r>
            <w:hyperlink r:id="rId12">
              <w:r>
                <w:rPr>
                  <w:rFonts w:ascii="Arial"/>
                  <w:spacing w:val="-1"/>
                  <w:sz w:val="15"/>
                </w:rPr>
                <w:t>www.chinaunicom-a.com</w:t>
              </w:r>
            </w:hyperlink>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117" w:right="0"/>
              <w:jc w:val="center"/>
              <w:rPr>
                <w:rFonts w:ascii="宋体" w:hAnsi="宋体" w:cs="宋体" w:eastAsia="宋体" w:hint="default"/>
                <w:sz w:val="15"/>
                <w:szCs w:val="15"/>
              </w:rPr>
            </w:pPr>
            <w:r>
              <w:rPr>
                <w:rFonts w:ascii="Arial" w:hAnsi="Arial" w:cs="Arial" w:eastAsia="Arial" w:hint="default"/>
                <w:sz w:val="15"/>
                <w:szCs w:val="15"/>
              </w:rPr>
              <w:t>2014</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4</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17</w:t>
            </w:r>
            <w:r>
              <w:rPr>
                <w:rFonts w:ascii="Arial" w:hAnsi="Arial" w:cs="Arial" w:eastAsia="Arial" w:hint="default"/>
                <w:spacing w:val="-4"/>
                <w:sz w:val="15"/>
                <w:szCs w:val="15"/>
              </w:rPr>
              <w:t> </w:t>
            </w:r>
            <w:r>
              <w:rPr>
                <w:rFonts w:ascii="宋体" w:hAnsi="宋体" w:cs="宋体" w:eastAsia="宋体" w:hint="default"/>
                <w:sz w:val="15"/>
                <w:szCs w:val="15"/>
              </w:rPr>
              <w:t>日</w:t>
            </w:r>
          </w:p>
        </w:tc>
      </w:tr>
      <w:tr>
        <w:trPr>
          <w:trHeight w:val="593" w:hRule="exact"/>
        </w:trPr>
        <w:tc>
          <w:tcPr>
            <w:tcW w:w="871"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联通红筹公司股东大会按惯例授</w:t>
            </w: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z w:val="15"/>
                <w:szCs w:val="15"/>
              </w:rPr>
              <w:t>权其董事会在规定的范围内决定</w:t>
            </w:r>
            <w:r>
              <w:rPr>
                <w:rFonts w:ascii="宋体" w:hAnsi="宋体" w:cs="宋体" w:eastAsia="宋体" w:hint="default"/>
                <w:spacing w:val="-59"/>
                <w:sz w:val="15"/>
                <w:szCs w:val="15"/>
              </w:rPr>
              <w:t> </w:t>
            </w:r>
            <w:r>
              <w:rPr>
                <w:rFonts w:ascii="宋体" w:hAnsi="宋体" w:cs="宋体" w:eastAsia="宋体" w:hint="default"/>
                <w:sz w:val="15"/>
                <w:szCs w:val="15"/>
              </w:rPr>
              <w:t>股份发行计划事项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审议通过全部议案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59"/>
              <w:jc w:val="left"/>
              <w:rPr>
                <w:rFonts w:ascii="Arial" w:hAnsi="Arial" w:cs="Arial" w:eastAsia="Arial" w:hint="default"/>
                <w:sz w:val="15"/>
                <w:szCs w:val="15"/>
              </w:rPr>
            </w:pPr>
            <w:r>
              <w:rPr>
                <w:rFonts w:ascii="Arial"/>
                <w:sz w:val="15"/>
              </w:rPr>
              <w:t>www.sse.com.cn;</w:t>
            </w:r>
            <w:r>
              <w:rPr>
                <w:rFonts w:ascii="Arial"/>
                <w:w w:val="100"/>
                <w:sz w:val="15"/>
              </w:rPr>
              <w:t> </w:t>
            </w:r>
            <w:hyperlink r:id="rId12">
              <w:r>
                <w:rPr>
                  <w:rFonts w:ascii="Arial"/>
                  <w:spacing w:val="-1"/>
                  <w:sz w:val="15"/>
                </w:rPr>
                <w:t>www.chinaunicom-a.com</w:t>
              </w:r>
            </w:hyperlink>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117" w:right="0"/>
              <w:jc w:val="center"/>
              <w:rPr>
                <w:rFonts w:ascii="宋体" w:hAnsi="宋体" w:cs="宋体" w:eastAsia="宋体" w:hint="default"/>
                <w:sz w:val="15"/>
                <w:szCs w:val="15"/>
              </w:rPr>
            </w:pPr>
            <w:r>
              <w:rPr>
                <w:rFonts w:ascii="Arial" w:hAnsi="Arial" w:cs="Arial" w:eastAsia="Arial" w:hint="default"/>
                <w:sz w:val="15"/>
                <w:szCs w:val="15"/>
              </w:rPr>
              <w:t>2014</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4</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17</w:t>
            </w:r>
            <w:r>
              <w:rPr>
                <w:rFonts w:ascii="Arial" w:hAnsi="Arial" w:cs="Arial" w:eastAsia="Arial" w:hint="default"/>
                <w:spacing w:val="-4"/>
                <w:sz w:val="15"/>
                <w:szCs w:val="15"/>
              </w:rPr>
              <w:t> </w:t>
            </w:r>
            <w:r>
              <w:rPr>
                <w:rFonts w:ascii="宋体" w:hAnsi="宋体" w:cs="宋体" w:eastAsia="宋体" w:hint="default"/>
                <w:sz w:val="15"/>
                <w:szCs w:val="15"/>
              </w:rPr>
              <w:t>日</w:t>
            </w:r>
          </w:p>
        </w:tc>
      </w:tr>
      <w:tr>
        <w:trPr>
          <w:trHeight w:val="401" w:hRule="exact"/>
        </w:trPr>
        <w:tc>
          <w:tcPr>
            <w:tcW w:w="871"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关于批准联通红筹公司实施新股</w:t>
            </w: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份期权计划事项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审议通过全部议案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59"/>
              <w:jc w:val="left"/>
              <w:rPr>
                <w:rFonts w:ascii="Arial" w:hAnsi="Arial" w:cs="Arial" w:eastAsia="Arial" w:hint="default"/>
                <w:sz w:val="15"/>
                <w:szCs w:val="15"/>
              </w:rPr>
            </w:pPr>
            <w:r>
              <w:rPr>
                <w:rFonts w:ascii="Arial"/>
                <w:sz w:val="15"/>
              </w:rPr>
              <w:t>www.sse.com.cn;</w:t>
            </w:r>
            <w:r>
              <w:rPr>
                <w:rFonts w:ascii="Arial"/>
                <w:w w:val="100"/>
                <w:sz w:val="15"/>
              </w:rPr>
              <w:t> </w:t>
            </w:r>
            <w:hyperlink r:id="rId12">
              <w:r>
                <w:rPr>
                  <w:rFonts w:ascii="Arial"/>
                  <w:spacing w:val="-1"/>
                  <w:sz w:val="15"/>
                </w:rPr>
                <w:t>www.chinaunicom-a.com</w:t>
              </w:r>
            </w:hyperlink>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17" w:right="0"/>
              <w:jc w:val="center"/>
              <w:rPr>
                <w:rFonts w:ascii="宋体" w:hAnsi="宋体" w:cs="宋体" w:eastAsia="宋体" w:hint="default"/>
                <w:sz w:val="15"/>
                <w:szCs w:val="15"/>
              </w:rPr>
            </w:pPr>
            <w:r>
              <w:rPr>
                <w:rFonts w:ascii="Arial" w:hAnsi="Arial" w:cs="Arial" w:eastAsia="Arial" w:hint="default"/>
                <w:sz w:val="15"/>
                <w:szCs w:val="15"/>
              </w:rPr>
              <w:t>2014</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4</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17</w:t>
            </w:r>
            <w:r>
              <w:rPr>
                <w:rFonts w:ascii="Arial" w:hAnsi="Arial" w:cs="Arial" w:eastAsia="Arial" w:hint="default"/>
                <w:spacing w:val="-4"/>
                <w:sz w:val="15"/>
                <w:szCs w:val="15"/>
              </w:rPr>
              <w:t> </w:t>
            </w:r>
            <w:r>
              <w:rPr>
                <w:rFonts w:ascii="宋体" w:hAnsi="宋体" w:cs="宋体" w:eastAsia="宋体" w:hint="default"/>
                <w:sz w:val="15"/>
                <w:szCs w:val="15"/>
              </w:rPr>
              <w:t>日</w:t>
            </w:r>
          </w:p>
        </w:tc>
      </w:tr>
      <w:tr>
        <w:trPr>
          <w:trHeight w:val="593"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Arial" w:hAnsi="Arial" w:cs="Arial" w:eastAsia="Arial" w:hint="default"/>
                <w:sz w:val="15"/>
                <w:szCs w:val="15"/>
              </w:rPr>
              <w:t>2014</w:t>
            </w:r>
            <w:r>
              <w:rPr>
                <w:rFonts w:ascii="Arial" w:hAnsi="Arial" w:cs="Arial" w:eastAsia="Arial" w:hint="default"/>
                <w:spacing w:val="-21"/>
                <w:sz w:val="15"/>
                <w:szCs w:val="15"/>
              </w:rPr>
              <w:t> </w:t>
            </w:r>
            <w:r>
              <w:rPr>
                <w:rFonts w:ascii="宋体" w:hAnsi="宋体" w:cs="宋体" w:eastAsia="宋体" w:hint="default"/>
                <w:sz w:val="15"/>
                <w:szCs w:val="15"/>
              </w:rPr>
              <w:t>年第</w:t>
            </w:r>
          </w:p>
          <w:p>
            <w:pPr>
              <w:pStyle w:val="TableParagraph"/>
              <w:spacing w:line="194" w:lineRule="exact" w:before="13"/>
              <w:ind w:left="103" w:right="99"/>
              <w:jc w:val="left"/>
              <w:rPr>
                <w:rFonts w:ascii="宋体" w:hAnsi="宋体" w:cs="宋体" w:eastAsia="宋体" w:hint="default"/>
                <w:sz w:val="15"/>
                <w:szCs w:val="15"/>
              </w:rPr>
            </w:pPr>
            <w:r>
              <w:rPr>
                <w:rFonts w:ascii="宋体" w:hAnsi="宋体" w:cs="宋体" w:eastAsia="宋体" w:hint="default"/>
                <w:spacing w:val="10"/>
                <w:sz w:val="15"/>
                <w:szCs w:val="15"/>
              </w:rPr>
              <w:t>一次临</w:t>
            </w:r>
            <w:r>
              <w:rPr>
                <w:rFonts w:ascii="宋体" w:hAnsi="宋体" w:cs="宋体" w:eastAsia="宋体" w:hint="default"/>
                <w:spacing w:val="-52"/>
                <w:sz w:val="15"/>
                <w:szCs w:val="15"/>
              </w:rPr>
              <w:t> </w:t>
            </w:r>
            <w:r>
              <w:rPr>
                <w:rFonts w:ascii="宋体" w:hAnsi="宋体" w:cs="宋体" w:eastAsia="宋体" w:hint="default"/>
                <w:sz w:val="15"/>
                <w:szCs w:val="15"/>
              </w:rPr>
              <w:t>时</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股东大会</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Arial" w:hAnsi="Arial" w:cs="Arial" w:eastAsia="Arial" w:hint="default"/>
                <w:sz w:val="15"/>
                <w:szCs w:val="15"/>
              </w:rPr>
              <w:t>2014</w:t>
            </w:r>
            <w:r>
              <w:rPr>
                <w:rFonts w:ascii="Arial" w:hAnsi="Arial" w:cs="Arial" w:eastAsia="Arial" w:hint="default"/>
                <w:spacing w:val="-6"/>
                <w:sz w:val="15"/>
                <w:szCs w:val="15"/>
              </w:rPr>
              <w:t> </w:t>
            </w:r>
            <w:r>
              <w:rPr>
                <w:rFonts w:ascii="宋体" w:hAnsi="宋体" w:cs="宋体" w:eastAsia="宋体" w:hint="default"/>
                <w:sz w:val="15"/>
                <w:szCs w:val="15"/>
              </w:rPr>
              <w:t>年</w:t>
            </w:r>
          </w:p>
          <w:p>
            <w:pPr>
              <w:pStyle w:val="TableParagraph"/>
              <w:spacing w:line="201" w:lineRule="exact"/>
              <w:ind w:left="103" w:right="0"/>
              <w:jc w:val="left"/>
              <w:rPr>
                <w:rFonts w:ascii="宋体" w:hAnsi="宋体" w:cs="宋体" w:eastAsia="宋体" w:hint="default"/>
                <w:sz w:val="15"/>
                <w:szCs w:val="15"/>
              </w:rPr>
            </w:pPr>
            <w:r>
              <w:rPr>
                <w:rFonts w:ascii="Arial" w:hAnsi="Arial" w:cs="Arial" w:eastAsia="Arial" w:hint="default"/>
                <w:sz w:val="15"/>
                <w:szCs w:val="15"/>
              </w:rPr>
              <w:t>11</w:t>
            </w:r>
            <w:r>
              <w:rPr>
                <w:rFonts w:ascii="Arial" w:hAnsi="Arial" w:cs="Arial" w:eastAsia="Arial" w:hint="default"/>
                <w:spacing w:val="-5"/>
                <w:sz w:val="15"/>
                <w:szCs w:val="15"/>
              </w:rPr>
              <w:t> </w:t>
            </w:r>
            <w:r>
              <w:rPr>
                <w:rFonts w:ascii="宋体" w:hAnsi="宋体" w:cs="宋体" w:eastAsia="宋体" w:hint="default"/>
                <w:sz w:val="15"/>
                <w:szCs w:val="15"/>
              </w:rPr>
              <w:t>月</w:t>
            </w:r>
            <w:r>
              <w:rPr>
                <w:rFonts w:ascii="宋体" w:hAnsi="宋体" w:cs="宋体" w:eastAsia="宋体" w:hint="default"/>
                <w:spacing w:val="-36"/>
                <w:sz w:val="15"/>
                <w:szCs w:val="15"/>
              </w:rPr>
              <w:t> </w:t>
            </w:r>
            <w:r>
              <w:rPr>
                <w:rFonts w:ascii="Arial" w:hAnsi="Arial" w:cs="Arial" w:eastAsia="Arial" w:hint="default"/>
                <w:sz w:val="15"/>
                <w:szCs w:val="15"/>
              </w:rPr>
              <w:t>6</w:t>
            </w:r>
            <w:r>
              <w:rPr>
                <w:rFonts w:ascii="Arial" w:hAnsi="Arial" w:cs="Arial" w:eastAsia="Arial" w:hint="default"/>
                <w:spacing w:val="-5"/>
                <w:sz w:val="15"/>
                <w:szCs w:val="15"/>
              </w:rPr>
              <w:t> </w:t>
            </w:r>
            <w:r>
              <w:rPr>
                <w:rFonts w:ascii="宋体" w:hAnsi="宋体" w:cs="宋体" w:eastAsia="宋体" w:hint="default"/>
                <w:sz w:val="15"/>
                <w:szCs w:val="15"/>
              </w:rPr>
              <w:t>日</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99"/>
              <w:jc w:val="left"/>
              <w:rPr>
                <w:rFonts w:ascii="宋体" w:hAnsi="宋体" w:cs="宋体" w:eastAsia="宋体" w:hint="default"/>
                <w:sz w:val="15"/>
                <w:szCs w:val="15"/>
              </w:rPr>
            </w:pPr>
            <w:r>
              <w:rPr>
                <w:rFonts w:ascii="宋体" w:hAnsi="宋体" w:cs="宋体" w:eastAsia="宋体" w:hint="default"/>
                <w:sz w:val="15"/>
                <w:szCs w:val="15"/>
              </w:rPr>
              <w:t>关于选举张钧安先生为公司董事</w:t>
            </w:r>
            <w:r>
              <w:rPr>
                <w:rFonts w:ascii="宋体" w:hAnsi="宋体" w:cs="宋体" w:eastAsia="宋体" w:hint="default"/>
                <w:spacing w:val="-59"/>
                <w:sz w:val="15"/>
                <w:szCs w:val="15"/>
              </w:rPr>
              <w:t> </w:t>
            </w:r>
            <w:r>
              <w:rPr>
                <w:rFonts w:ascii="宋体" w:hAnsi="宋体" w:cs="宋体" w:eastAsia="宋体" w:hint="default"/>
                <w:sz w:val="15"/>
                <w:szCs w:val="15"/>
              </w:rPr>
              <w:t>的议案</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审议通过全部议案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59"/>
              <w:jc w:val="left"/>
              <w:rPr>
                <w:rFonts w:ascii="Arial" w:hAnsi="Arial" w:cs="Arial" w:eastAsia="Arial" w:hint="default"/>
                <w:sz w:val="15"/>
                <w:szCs w:val="15"/>
              </w:rPr>
            </w:pPr>
            <w:r>
              <w:rPr>
                <w:rFonts w:ascii="Arial"/>
                <w:sz w:val="15"/>
              </w:rPr>
              <w:t>www.sse.com.cn;</w:t>
            </w:r>
            <w:r>
              <w:rPr>
                <w:rFonts w:ascii="Arial"/>
                <w:w w:val="100"/>
                <w:sz w:val="15"/>
              </w:rPr>
              <w:t> </w:t>
            </w:r>
            <w:hyperlink r:id="rId12">
              <w:r>
                <w:rPr>
                  <w:rFonts w:ascii="Arial"/>
                  <w:spacing w:val="-1"/>
                  <w:sz w:val="15"/>
                </w:rPr>
                <w:t>www.chinaunicom-a.com</w:t>
              </w:r>
            </w:hyperlink>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117" w:right="0"/>
              <w:jc w:val="center"/>
              <w:rPr>
                <w:rFonts w:ascii="宋体" w:hAnsi="宋体" w:cs="宋体" w:eastAsia="宋体" w:hint="default"/>
                <w:sz w:val="15"/>
                <w:szCs w:val="15"/>
              </w:rPr>
            </w:pPr>
            <w:r>
              <w:rPr>
                <w:rFonts w:ascii="Arial" w:hAnsi="Arial" w:cs="Arial" w:eastAsia="Arial" w:hint="default"/>
                <w:sz w:val="15"/>
                <w:szCs w:val="15"/>
              </w:rPr>
              <w:t>2014</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11</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Arial" w:hAnsi="Arial" w:cs="Arial" w:eastAsia="Arial" w:hint="default"/>
                <w:sz w:val="15"/>
                <w:szCs w:val="15"/>
              </w:rPr>
              <w:t>7</w:t>
            </w:r>
            <w:r>
              <w:rPr>
                <w:rFonts w:ascii="Arial" w:hAnsi="Arial" w:cs="Arial" w:eastAsia="Arial" w:hint="default"/>
                <w:spacing w:val="-4"/>
                <w:sz w:val="15"/>
                <w:szCs w:val="15"/>
              </w:rPr>
              <w:t> </w:t>
            </w:r>
            <w:r>
              <w:rPr>
                <w:rFonts w:ascii="宋体" w:hAnsi="宋体" w:cs="宋体" w:eastAsia="宋体" w:hint="default"/>
                <w:sz w:val="15"/>
                <w:szCs w:val="15"/>
              </w:rPr>
              <w:t>日</w:t>
            </w:r>
          </w:p>
        </w:tc>
      </w:tr>
      <w:tr>
        <w:trPr>
          <w:trHeight w:val="593"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Arial" w:hAnsi="Arial" w:cs="Arial" w:eastAsia="Arial" w:hint="default"/>
                <w:sz w:val="15"/>
                <w:szCs w:val="15"/>
              </w:rPr>
              <w:t>2014</w:t>
            </w:r>
            <w:r>
              <w:rPr>
                <w:rFonts w:ascii="Arial" w:hAnsi="Arial" w:cs="Arial" w:eastAsia="Arial" w:hint="default"/>
                <w:spacing w:val="-21"/>
                <w:sz w:val="15"/>
                <w:szCs w:val="15"/>
              </w:rPr>
              <w:t> </w:t>
            </w:r>
            <w:r>
              <w:rPr>
                <w:rFonts w:ascii="宋体" w:hAnsi="宋体" w:cs="宋体" w:eastAsia="宋体" w:hint="default"/>
                <w:sz w:val="15"/>
                <w:szCs w:val="15"/>
              </w:rPr>
              <w:t>年第</w:t>
            </w:r>
          </w:p>
          <w:p>
            <w:pPr>
              <w:pStyle w:val="TableParagraph"/>
              <w:spacing w:line="194" w:lineRule="exact" w:before="14"/>
              <w:ind w:left="103" w:right="99"/>
              <w:jc w:val="left"/>
              <w:rPr>
                <w:rFonts w:ascii="宋体" w:hAnsi="宋体" w:cs="宋体" w:eastAsia="宋体" w:hint="default"/>
                <w:sz w:val="15"/>
                <w:szCs w:val="15"/>
              </w:rPr>
            </w:pPr>
            <w:r>
              <w:rPr>
                <w:rFonts w:ascii="宋体" w:hAnsi="宋体" w:cs="宋体" w:eastAsia="宋体" w:hint="default"/>
                <w:spacing w:val="10"/>
                <w:sz w:val="15"/>
                <w:szCs w:val="15"/>
              </w:rPr>
              <w:t>二次临</w:t>
            </w:r>
            <w:r>
              <w:rPr>
                <w:rFonts w:ascii="宋体" w:hAnsi="宋体" w:cs="宋体" w:eastAsia="宋体" w:hint="default"/>
                <w:spacing w:val="-52"/>
                <w:sz w:val="15"/>
                <w:szCs w:val="15"/>
              </w:rPr>
              <w:t> </w:t>
            </w:r>
            <w:r>
              <w:rPr>
                <w:rFonts w:ascii="宋体" w:hAnsi="宋体" w:cs="宋体" w:eastAsia="宋体" w:hint="default"/>
                <w:sz w:val="15"/>
                <w:szCs w:val="15"/>
              </w:rPr>
              <w:t>时</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股东大会</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Arial" w:hAnsi="Arial" w:cs="Arial" w:eastAsia="Arial" w:hint="default"/>
                <w:sz w:val="15"/>
                <w:szCs w:val="15"/>
              </w:rPr>
              <w:t>2014</w:t>
            </w:r>
            <w:r>
              <w:rPr>
                <w:rFonts w:ascii="Arial" w:hAnsi="Arial" w:cs="Arial" w:eastAsia="Arial" w:hint="default"/>
                <w:spacing w:val="-6"/>
                <w:sz w:val="15"/>
                <w:szCs w:val="15"/>
              </w:rPr>
              <w:t> </w:t>
            </w:r>
            <w:r>
              <w:rPr>
                <w:rFonts w:ascii="宋体" w:hAnsi="宋体" w:cs="宋体" w:eastAsia="宋体" w:hint="default"/>
                <w:sz w:val="15"/>
                <w:szCs w:val="15"/>
              </w:rPr>
              <w:t>年</w:t>
            </w:r>
          </w:p>
          <w:p>
            <w:pPr>
              <w:pStyle w:val="TableParagraph"/>
              <w:spacing w:line="201" w:lineRule="exact"/>
              <w:ind w:left="103" w:right="0"/>
              <w:jc w:val="left"/>
              <w:rPr>
                <w:rFonts w:ascii="宋体" w:hAnsi="宋体" w:cs="宋体" w:eastAsia="宋体" w:hint="default"/>
                <w:sz w:val="15"/>
                <w:szCs w:val="15"/>
              </w:rPr>
            </w:pPr>
            <w:r>
              <w:rPr>
                <w:rFonts w:ascii="Arial" w:hAnsi="Arial" w:cs="Arial" w:eastAsia="Arial" w:hint="default"/>
                <w:sz w:val="15"/>
                <w:szCs w:val="15"/>
              </w:rPr>
              <w:t>11</w:t>
            </w:r>
            <w:r>
              <w:rPr>
                <w:rFonts w:ascii="Arial" w:hAnsi="Arial" w:cs="Arial" w:eastAsia="Arial" w:hint="default"/>
                <w:spacing w:val="-22"/>
                <w:sz w:val="15"/>
                <w:szCs w:val="15"/>
              </w:rPr>
              <w:t> </w:t>
            </w:r>
            <w:r>
              <w:rPr>
                <w:rFonts w:ascii="宋体" w:hAnsi="宋体" w:cs="宋体" w:eastAsia="宋体" w:hint="default"/>
                <w:sz w:val="15"/>
                <w:szCs w:val="15"/>
              </w:rPr>
              <w:t>月</w:t>
            </w:r>
            <w:r>
              <w:rPr>
                <w:rFonts w:ascii="宋体" w:hAnsi="宋体" w:cs="宋体" w:eastAsia="宋体" w:hint="default"/>
                <w:spacing w:val="-55"/>
                <w:sz w:val="15"/>
                <w:szCs w:val="15"/>
              </w:rPr>
              <w:t> </w:t>
            </w:r>
            <w:r>
              <w:rPr>
                <w:rFonts w:ascii="Arial" w:hAnsi="Arial" w:cs="Arial" w:eastAsia="Arial" w:hint="default"/>
                <w:sz w:val="15"/>
                <w:szCs w:val="15"/>
              </w:rPr>
              <w:t>24</w:t>
            </w:r>
            <w:r>
              <w:rPr>
                <w:rFonts w:ascii="Arial" w:hAnsi="Arial" w:cs="Arial" w:eastAsia="Arial" w:hint="default"/>
                <w:spacing w:val="-21"/>
                <w:sz w:val="15"/>
                <w:szCs w:val="15"/>
              </w:rPr>
              <w:t> </w:t>
            </w:r>
            <w:r>
              <w:rPr>
                <w:rFonts w:ascii="宋体" w:hAnsi="宋体" w:cs="宋体" w:eastAsia="宋体" w:hint="default"/>
                <w:sz w:val="15"/>
                <w:szCs w:val="15"/>
              </w:rPr>
              <w:t>日</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99"/>
              <w:jc w:val="left"/>
              <w:rPr>
                <w:rFonts w:ascii="宋体" w:hAnsi="宋体" w:cs="宋体" w:eastAsia="宋体" w:hint="default"/>
                <w:sz w:val="15"/>
                <w:szCs w:val="15"/>
              </w:rPr>
            </w:pPr>
            <w:r>
              <w:rPr>
                <w:rFonts w:ascii="宋体" w:hAnsi="宋体" w:cs="宋体" w:eastAsia="宋体" w:hint="default"/>
                <w:sz w:val="15"/>
                <w:szCs w:val="15"/>
              </w:rPr>
              <w:t>关于选举蔡全根先生为公司监事</w:t>
            </w:r>
            <w:r>
              <w:rPr>
                <w:rFonts w:ascii="宋体" w:hAnsi="宋体" w:cs="宋体" w:eastAsia="宋体" w:hint="default"/>
                <w:spacing w:val="-59"/>
                <w:sz w:val="15"/>
                <w:szCs w:val="15"/>
              </w:rPr>
              <w:t> </w:t>
            </w:r>
            <w:r>
              <w:rPr>
                <w:rFonts w:ascii="宋体" w:hAnsi="宋体" w:cs="宋体" w:eastAsia="宋体" w:hint="default"/>
                <w:sz w:val="15"/>
                <w:szCs w:val="15"/>
              </w:rPr>
              <w:t>的议案</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审议通过全部议案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59"/>
              <w:jc w:val="left"/>
              <w:rPr>
                <w:rFonts w:ascii="Arial" w:hAnsi="Arial" w:cs="Arial" w:eastAsia="Arial" w:hint="default"/>
                <w:sz w:val="15"/>
                <w:szCs w:val="15"/>
              </w:rPr>
            </w:pPr>
            <w:r>
              <w:rPr>
                <w:rFonts w:ascii="Arial"/>
                <w:sz w:val="15"/>
              </w:rPr>
              <w:t>www.sse.com.cn;</w:t>
            </w:r>
            <w:r>
              <w:rPr>
                <w:rFonts w:ascii="Arial"/>
                <w:w w:val="100"/>
                <w:sz w:val="15"/>
              </w:rPr>
              <w:t> </w:t>
            </w:r>
            <w:hyperlink r:id="rId12">
              <w:r>
                <w:rPr>
                  <w:rFonts w:ascii="Arial"/>
                  <w:spacing w:val="-1"/>
                  <w:sz w:val="15"/>
                </w:rPr>
                <w:t>www.chinaunicom-a.com</w:t>
              </w:r>
            </w:hyperlink>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33" w:right="0"/>
              <w:jc w:val="center"/>
              <w:rPr>
                <w:rFonts w:ascii="宋体" w:hAnsi="宋体" w:cs="宋体" w:eastAsia="宋体" w:hint="default"/>
                <w:sz w:val="15"/>
                <w:szCs w:val="15"/>
              </w:rPr>
            </w:pPr>
            <w:r>
              <w:rPr>
                <w:rFonts w:ascii="Arial" w:hAnsi="Arial" w:cs="Arial" w:eastAsia="Arial" w:hint="default"/>
                <w:sz w:val="15"/>
                <w:szCs w:val="15"/>
              </w:rPr>
              <w:t>2014</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11</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25</w:t>
            </w:r>
            <w:r>
              <w:rPr>
                <w:rFonts w:ascii="Arial" w:hAnsi="Arial" w:cs="Arial" w:eastAsia="Arial" w:hint="default"/>
                <w:spacing w:val="-5"/>
                <w:sz w:val="15"/>
                <w:szCs w:val="15"/>
              </w:rPr>
              <w:t> </w:t>
            </w:r>
            <w:r>
              <w:rPr>
                <w:rFonts w:ascii="宋体" w:hAnsi="宋体" w:cs="宋体" w:eastAsia="宋体" w:hint="default"/>
                <w:sz w:val="15"/>
                <w:szCs w:val="15"/>
              </w:rPr>
              <w:t>日</w:t>
            </w:r>
          </w:p>
        </w:tc>
      </w:tr>
    </w:tbl>
    <w:p>
      <w:pPr>
        <w:spacing w:line="240" w:lineRule="auto" w:before="2"/>
        <w:rPr>
          <w:rFonts w:ascii="宋体" w:hAnsi="宋体" w:cs="宋体" w:eastAsia="宋体" w:hint="default"/>
          <w:b/>
          <w:bCs/>
          <w:sz w:val="13"/>
          <w:szCs w:val="13"/>
        </w:rPr>
      </w:pPr>
    </w:p>
    <w:p>
      <w:pPr>
        <w:spacing w:line="225" w:lineRule="auto" w:before="51"/>
        <w:ind w:left="565" w:right="236" w:hanging="428"/>
        <w:jc w:val="both"/>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一</w:t>
      </w:r>
      <w:r>
        <w:rPr>
          <w:rFonts w:ascii="Arial" w:hAnsi="Arial" w:cs="Arial" w:eastAsia="Arial" w:hint="default"/>
          <w:sz w:val="21"/>
          <w:szCs w:val="21"/>
        </w:rPr>
        <w:t>)</w:t>
      </w:r>
      <w:r>
        <w:rPr>
          <w:rFonts w:ascii="Arial" w:hAnsi="Arial" w:cs="Arial" w:eastAsia="Arial" w:hint="default"/>
          <w:spacing w:val="16"/>
          <w:sz w:val="21"/>
          <w:szCs w:val="21"/>
        </w:rPr>
        <w:t> </w:t>
      </w: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年度股东大会于</w:t>
      </w:r>
      <w:r>
        <w:rPr>
          <w:rFonts w:ascii="宋体" w:hAnsi="宋体" w:cs="宋体" w:eastAsia="宋体" w:hint="default"/>
          <w:spacing w:val="-53"/>
          <w:sz w:val="21"/>
          <w:szCs w:val="21"/>
        </w:rPr>
        <w:t> </w:t>
      </w:r>
      <w:r>
        <w:rPr>
          <w:rFonts w:ascii="Arial" w:hAnsi="Arial" w:cs="Arial" w:eastAsia="Arial" w:hint="default"/>
          <w:sz w:val="21"/>
          <w:szCs w:val="21"/>
        </w:rPr>
        <w:t>2014</w:t>
      </w:r>
      <w:r>
        <w:rPr>
          <w:rFonts w:ascii="Arial" w:hAnsi="Arial" w:cs="Arial" w:eastAsia="Arial"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4</w:t>
      </w:r>
      <w:r>
        <w:rPr>
          <w:rFonts w:ascii="Arial" w:hAnsi="Arial" w:cs="Arial" w:eastAsia="Arial"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日上午</w:t>
      </w:r>
      <w:r>
        <w:rPr>
          <w:rFonts w:ascii="宋体" w:hAnsi="宋体" w:cs="宋体" w:eastAsia="宋体" w:hint="default"/>
          <w:spacing w:val="-56"/>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时在深圳市福田区益田路</w:t>
      </w:r>
      <w:r>
        <w:rPr>
          <w:rFonts w:ascii="宋体" w:hAnsi="宋体" w:cs="宋体" w:eastAsia="宋体" w:hint="default"/>
          <w:spacing w:val="-53"/>
          <w:sz w:val="21"/>
          <w:szCs w:val="21"/>
        </w:rPr>
        <w:t> </w:t>
      </w:r>
      <w:r>
        <w:rPr>
          <w:rFonts w:ascii="Arial" w:hAnsi="Arial" w:cs="Arial" w:eastAsia="Arial" w:hint="default"/>
          <w:sz w:val="21"/>
          <w:szCs w:val="21"/>
        </w:rPr>
        <w:t>4088</w:t>
      </w:r>
      <w:r>
        <w:rPr>
          <w:rFonts w:ascii="Arial" w:hAnsi="Arial" w:cs="Arial" w:eastAsia="Arial" w:hint="default"/>
          <w:spacing w:val="-9"/>
          <w:sz w:val="21"/>
          <w:szCs w:val="21"/>
        </w:rPr>
        <w:t> </w:t>
      </w:r>
      <w:r>
        <w:rPr>
          <w:rFonts w:ascii="宋体" w:hAnsi="宋体" w:cs="宋体" w:eastAsia="宋体" w:hint="default"/>
          <w:sz w:val="21"/>
          <w:szCs w:val="21"/>
        </w:rPr>
        <w:t>号香格</w:t>
      </w:r>
      <w:r>
        <w:rPr>
          <w:rFonts w:ascii="宋体" w:hAnsi="宋体" w:cs="宋体" w:eastAsia="宋体" w:hint="default"/>
          <w:w w:val="100"/>
          <w:sz w:val="21"/>
          <w:szCs w:val="21"/>
        </w:rPr>
        <w:t> </w:t>
      </w:r>
      <w:r>
        <w:rPr>
          <w:rFonts w:ascii="宋体" w:hAnsi="宋体" w:cs="宋体" w:eastAsia="宋体" w:hint="default"/>
          <w:sz w:val="21"/>
          <w:szCs w:val="21"/>
        </w:rPr>
        <w:t>里拉酒店召开。出席会议的人数为：</w:t>
      </w:r>
      <w:r>
        <w:rPr>
          <w:rFonts w:ascii="Arial" w:hAnsi="Arial" w:cs="Arial" w:eastAsia="Arial" w:hint="default"/>
          <w:sz w:val="21"/>
          <w:szCs w:val="21"/>
        </w:rPr>
        <w:t>26</w:t>
      </w:r>
      <w:r>
        <w:rPr>
          <w:rFonts w:ascii="Arial" w:hAnsi="Arial" w:cs="Arial" w:eastAsia="Arial" w:hint="default"/>
          <w:spacing w:val="-9"/>
          <w:sz w:val="21"/>
          <w:szCs w:val="21"/>
        </w:rPr>
        <w:t> </w:t>
      </w:r>
      <w:r>
        <w:rPr>
          <w:rFonts w:ascii="宋体" w:hAnsi="宋体" w:cs="宋体" w:eastAsia="宋体" w:hint="default"/>
          <w:sz w:val="21"/>
          <w:szCs w:val="21"/>
        </w:rPr>
        <w:t>人，代表股份</w:t>
      </w:r>
      <w:r>
        <w:rPr>
          <w:rFonts w:ascii="宋体" w:hAnsi="宋体" w:cs="宋体" w:eastAsia="宋体" w:hint="default"/>
          <w:spacing w:val="-54"/>
          <w:sz w:val="21"/>
          <w:szCs w:val="21"/>
        </w:rPr>
        <w:t> </w:t>
      </w:r>
      <w:r>
        <w:rPr>
          <w:rFonts w:ascii="Arial" w:hAnsi="Arial" w:cs="Arial" w:eastAsia="Arial" w:hint="default"/>
          <w:sz w:val="21"/>
          <w:szCs w:val="21"/>
        </w:rPr>
        <w:t>13,864,601,235</w:t>
      </w:r>
      <w:r>
        <w:rPr>
          <w:rFonts w:ascii="Arial" w:hAnsi="Arial" w:cs="Arial" w:eastAsia="Arial" w:hint="default"/>
          <w:spacing w:val="-8"/>
          <w:sz w:val="21"/>
          <w:szCs w:val="21"/>
        </w:rPr>
        <w:t> </w:t>
      </w:r>
      <w:r>
        <w:rPr>
          <w:rFonts w:ascii="宋体" w:hAnsi="宋体" w:cs="宋体" w:eastAsia="宋体" w:hint="default"/>
          <w:sz w:val="21"/>
          <w:szCs w:val="21"/>
        </w:rPr>
        <w:t>股，占公司总股本的</w:t>
      </w:r>
      <w:r>
        <w:rPr>
          <w:rFonts w:ascii="宋体" w:hAnsi="宋体" w:cs="宋体" w:eastAsia="宋体" w:hint="default"/>
          <w:w w:val="100"/>
          <w:sz w:val="21"/>
          <w:szCs w:val="21"/>
        </w:rPr>
        <w:t> </w:t>
      </w:r>
      <w:r>
        <w:rPr>
          <w:rFonts w:ascii="Arial" w:hAnsi="Arial" w:cs="Arial" w:eastAsia="Arial" w:hint="default"/>
          <w:sz w:val="21"/>
          <w:szCs w:val="21"/>
        </w:rPr>
        <w:t>65.4096%</w:t>
      </w:r>
      <w:r>
        <w:rPr>
          <w:rFonts w:ascii="宋体" w:hAnsi="宋体" w:cs="宋体" w:eastAsia="宋体" w:hint="default"/>
          <w:sz w:val="21"/>
          <w:szCs w:val="21"/>
        </w:rPr>
        <w:t>，符合《中华人民共和国公司法》及公司章程的规定。</w:t>
      </w:r>
    </w:p>
    <w:p>
      <w:pPr>
        <w:spacing w:line="240" w:lineRule="auto" w:before="4"/>
        <w:rPr>
          <w:rFonts w:ascii="宋体" w:hAnsi="宋体" w:cs="宋体" w:eastAsia="宋体" w:hint="default"/>
          <w:sz w:val="17"/>
          <w:szCs w:val="17"/>
        </w:rPr>
      </w:pPr>
    </w:p>
    <w:p>
      <w:pPr>
        <w:spacing w:line="282" w:lineRule="exact" w:before="0"/>
        <w:ind w:left="565" w:right="0" w:firstLine="0"/>
        <w:jc w:val="both"/>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5"/>
          <w:sz w:val="21"/>
          <w:szCs w:val="21"/>
        </w:rPr>
        <w:t> </w:t>
      </w:r>
      <w:r>
        <w:rPr>
          <w:rFonts w:ascii="Arial" w:hAnsi="Arial" w:cs="Arial" w:eastAsia="Arial" w:hint="default"/>
          <w:sz w:val="21"/>
          <w:szCs w:val="21"/>
        </w:rPr>
        <w:t>2013</w:t>
      </w:r>
      <w:r>
        <w:rPr>
          <w:rFonts w:ascii="Arial" w:hAnsi="Arial" w:cs="Arial" w:eastAsia="Arial" w:hint="default"/>
          <w:spacing w:val="-9"/>
          <w:sz w:val="21"/>
          <w:szCs w:val="21"/>
        </w:rPr>
        <w:t> </w:t>
      </w:r>
      <w:r>
        <w:rPr>
          <w:rFonts w:ascii="宋体" w:hAnsi="宋体" w:cs="宋体" w:eastAsia="宋体" w:hint="default"/>
          <w:sz w:val="21"/>
          <w:szCs w:val="21"/>
        </w:rPr>
        <w:t>年度股东大会审议并表决通过了《公司</w:t>
      </w:r>
      <w:r>
        <w:rPr>
          <w:rFonts w:ascii="宋体" w:hAnsi="宋体" w:cs="宋体" w:eastAsia="宋体" w:hint="default"/>
          <w:spacing w:val="-57"/>
          <w:sz w:val="21"/>
          <w:szCs w:val="21"/>
        </w:rPr>
        <w:t> </w:t>
      </w:r>
      <w:r>
        <w:rPr>
          <w:rFonts w:ascii="Arial" w:hAnsi="Arial" w:cs="Arial" w:eastAsia="Arial" w:hint="default"/>
          <w:sz w:val="21"/>
          <w:szCs w:val="21"/>
        </w:rPr>
        <w:t>2013</w:t>
      </w:r>
      <w:r>
        <w:rPr>
          <w:rFonts w:ascii="Arial" w:hAnsi="Arial" w:cs="Arial" w:eastAsia="Arial" w:hint="default"/>
          <w:spacing w:val="-10"/>
          <w:sz w:val="21"/>
          <w:szCs w:val="21"/>
        </w:rPr>
        <w:t> </w:t>
      </w:r>
      <w:r>
        <w:rPr>
          <w:rFonts w:ascii="宋体" w:hAnsi="宋体" w:cs="宋体" w:eastAsia="宋体" w:hint="default"/>
          <w:sz w:val="21"/>
          <w:szCs w:val="21"/>
        </w:rPr>
        <w:t>年度财务决算报告》、《关于公司</w:t>
      </w:r>
    </w:p>
    <w:p>
      <w:pPr>
        <w:spacing w:line="272" w:lineRule="exact" w:before="0"/>
        <w:ind w:left="565" w:right="0" w:firstLine="0"/>
        <w:jc w:val="both"/>
        <w:rPr>
          <w:rFonts w:ascii="宋体" w:hAnsi="宋体" w:cs="宋体" w:eastAsia="宋体" w:hint="default"/>
          <w:sz w:val="21"/>
          <w:szCs w:val="21"/>
        </w:rPr>
      </w:pPr>
      <w:r>
        <w:rPr>
          <w:rFonts w:ascii="Arial" w:hAnsi="Arial" w:cs="Arial" w:eastAsia="Arial" w:hint="default"/>
          <w:sz w:val="21"/>
          <w:szCs w:val="21"/>
        </w:rPr>
        <w:t>2013 </w:t>
      </w:r>
      <w:r>
        <w:rPr>
          <w:rFonts w:ascii="宋体" w:hAnsi="宋体" w:cs="宋体" w:eastAsia="宋体" w:hint="default"/>
          <w:spacing w:val="-3"/>
          <w:sz w:val="21"/>
          <w:szCs w:val="21"/>
        </w:rPr>
        <w:t>年度利润分配的议案》、《关于聘请会计师事务所的议案》、《公司 </w:t>
      </w:r>
      <w:r>
        <w:rPr>
          <w:rFonts w:ascii="Arial" w:hAnsi="Arial" w:cs="Arial" w:eastAsia="Arial" w:hint="default"/>
          <w:sz w:val="21"/>
          <w:szCs w:val="21"/>
        </w:rPr>
        <w:t>2013</w:t>
      </w:r>
      <w:r>
        <w:rPr>
          <w:rFonts w:ascii="Arial" w:hAnsi="Arial" w:cs="Arial" w:eastAsia="Arial" w:hint="default"/>
          <w:spacing w:val="-15"/>
          <w:sz w:val="21"/>
          <w:szCs w:val="21"/>
        </w:rPr>
        <w:t> </w:t>
      </w:r>
      <w:r>
        <w:rPr>
          <w:rFonts w:ascii="宋体" w:hAnsi="宋体" w:cs="宋体" w:eastAsia="宋体" w:hint="default"/>
          <w:sz w:val="21"/>
          <w:szCs w:val="21"/>
        </w:rPr>
        <w:t>年度董事会</w:t>
      </w:r>
    </w:p>
    <w:p>
      <w:pPr>
        <w:spacing w:line="272" w:lineRule="exact" w:before="0"/>
        <w:ind w:left="565" w:right="0" w:firstLine="0"/>
        <w:jc w:val="both"/>
        <w:rPr>
          <w:rFonts w:ascii="宋体" w:hAnsi="宋体" w:cs="宋体" w:eastAsia="宋体" w:hint="default"/>
          <w:sz w:val="21"/>
          <w:szCs w:val="21"/>
        </w:rPr>
      </w:pPr>
      <w:r>
        <w:rPr>
          <w:rFonts w:ascii="宋体" w:hAnsi="宋体" w:cs="宋体" w:eastAsia="宋体" w:hint="default"/>
          <w:spacing w:val="-6"/>
          <w:sz w:val="21"/>
          <w:szCs w:val="21"/>
        </w:rPr>
        <w:t>报告》、《公司</w:t>
      </w:r>
      <w:r>
        <w:rPr>
          <w:rFonts w:ascii="宋体" w:hAnsi="宋体" w:cs="宋体" w:eastAsia="宋体" w:hint="default"/>
          <w:spacing w:val="-40"/>
          <w:sz w:val="21"/>
          <w:szCs w:val="21"/>
        </w:rPr>
        <w:t> </w:t>
      </w: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pacing w:val="-4"/>
          <w:sz w:val="21"/>
          <w:szCs w:val="21"/>
        </w:rPr>
        <w:t>年度监事会报告》、《公司</w:t>
      </w:r>
      <w:r>
        <w:rPr>
          <w:rFonts w:ascii="宋体" w:hAnsi="宋体" w:cs="宋体" w:eastAsia="宋体" w:hint="default"/>
          <w:spacing w:val="-39"/>
          <w:sz w:val="21"/>
          <w:szCs w:val="21"/>
        </w:rPr>
        <w:t> </w:t>
      </w: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pacing w:val="-4"/>
          <w:sz w:val="21"/>
          <w:szCs w:val="21"/>
        </w:rPr>
        <w:t>年年度报告》、《关于联通红筹公司</w:t>
      </w:r>
    </w:p>
    <w:p>
      <w:pPr>
        <w:spacing w:line="272" w:lineRule="exact" w:before="0"/>
        <w:ind w:left="565" w:right="0" w:firstLine="0"/>
        <w:jc w:val="both"/>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46"/>
          <w:sz w:val="21"/>
          <w:szCs w:val="21"/>
        </w:rPr>
        <w:t> </w:t>
      </w:r>
      <w:r>
        <w:rPr>
          <w:rFonts w:ascii="宋体" w:hAnsi="宋体" w:cs="宋体" w:eastAsia="宋体" w:hint="default"/>
          <w:spacing w:val="-4"/>
          <w:sz w:val="21"/>
          <w:szCs w:val="21"/>
        </w:rPr>
        <w:t>年度利润分配的议案》、《关于联通红筹公司股东大会授权其董事会在一定期间内重选</w:t>
      </w:r>
    </w:p>
    <w:p>
      <w:pPr>
        <w:spacing w:line="232" w:lineRule="auto" w:before="0"/>
        <w:ind w:left="565" w:right="210" w:firstLine="0"/>
        <w:jc w:val="both"/>
        <w:rPr>
          <w:rFonts w:ascii="宋体" w:hAnsi="宋体" w:cs="宋体" w:eastAsia="宋体" w:hint="default"/>
          <w:sz w:val="21"/>
          <w:szCs w:val="21"/>
        </w:rPr>
      </w:pPr>
      <w:r>
        <w:rPr>
          <w:rFonts w:ascii="宋体" w:hAnsi="宋体" w:cs="宋体" w:eastAsia="宋体" w:hint="default"/>
          <w:sz w:val="21"/>
          <w:szCs w:val="21"/>
        </w:rPr>
        <w:t>董事并授权董事会决定其截至</w:t>
      </w:r>
      <w:r>
        <w:rPr>
          <w:rFonts w:ascii="宋体" w:hAnsi="宋体" w:cs="宋体" w:eastAsia="宋体" w:hint="default"/>
          <w:spacing w:val="-52"/>
          <w:sz w:val="21"/>
          <w:szCs w:val="21"/>
        </w:rPr>
        <w:t> </w:t>
      </w: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日止的袍金事项》、《关于联通红筹公司股</w:t>
      </w:r>
      <w:r>
        <w:rPr>
          <w:rFonts w:ascii="宋体" w:hAnsi="宋体" w:cs="宋体" w:eastAsia="宋体" w:hint="default"/>
          <w:w w:val="100"/>
          <w:sz w:val="21"/>
          <w:szCs w:val="21"/>
        </w:rPr>
        <w:t> </w:t>
      </w:r>
      <w:r>
        <w:rPr>
          <w:rFonts w:ascii="宋体" w:hAnsi="宋体" w:cs="宋体" w:eastAsia="宋体" w:hint="default"/>
          <w:spacing w:val="-2"/>
          <w:sz w:val="21"/>
          <w:szCs w:val="21"/>
        </w:rPr>
        <w:t>东大会授权其董事会在规定的期间内，在香港联合交易所及指定的其他证券交易所，按适用</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的法律购买公司股份事项》、《关于联通红筹公司股东大会按惯例授权其董事会在规定的范</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围内决定股份发行计划事项》、《关于批准联通红筹公司实施新股份期权计划事项》。</w:t>
      </w:r>
    </w:p>
    <w:p>
      <w:pPr>
        <w:spacing w:after="0" w:line="232" w:lineRule="auto"/>
        <w:jc w:val="both"/>
        <w:rPr>
          <w:rFonts w:ascii="宋体" w:hAnsi="宋体" w:cs="宋体" w:eastAsia="宋体" w:hint="default"/>
          <w:sz w:val="21"/>
          <w:szCs w:val="21"/>
        </w:rPr>
        <w:sectPr>
          <w:pgSz w:w="11910" w:h="16840"/>
          <w:pgMar w:header="880" w:footer="1194" w:top="1120" w:bottom="1380" w:left="1660" w:right="1060"/>
        </w:sectPr>
      </w:pPr>
    </w:p>
    <w:p>
      <w:pPr>
        <w:spacing w:line="240" w:lineRule="auto" w:before="11"/>
        <w:rPr>
          <w:rFonts w:ascii="宋体" w:hAnsi="宋体" w:cs="宋体" w:eastAsia="宋体" w:hint="default"/>
          <w:sz w:val="29"/>
          <w:szCs w:val="29"/>
        </w:rPr>
      </w:pPr>
    </w:p>
    <w:p>
      <w:pPr>
        <w:spacing w:before="36"/>
        <w:ind w:left="138" w:right="119" w:firstLine="0"/>
        <w:jc w:val="left"/>
        <w:rPr>
          <w:rFonts w:ascii="宋体" w:hAnsi="宋体" w:cs="宋体" w:eastAsia="宋体" w:hint="default"/>
          <w:sz w:val="21"/>
          <w:szCs w:val="21"/>
        </w:rPr>
      </w:pPr>
      <w:r>
        <w:rPr>
          <w:rFonts w:ascii="宋体" w:hAnsi="宋体" w:cs="宋体" w:eastAsia="宋体" w:hint="default"/>
          <w:b/>
          <w:bCs/>
          <w:sz w:val="21"/>
          <w:szCs w:val="21"/>
        </w:rPr>
        <w:t>二、股东大会情况简介（续）</w:t>
      </w:r>
      <w:r>
        <w:rPr>
          <w:rFonts w:ascii="宋体" w:hAnsi="宋体" w:cs="宋体" w:eastAsia="宋体" w:hint="default"/>
          <w:sz w:val="21"/>
          <w:szCs w:val="21"/>
        </w:rPr>
      </w:r>
    </w:p>
    <w:p>
      <w:pPr>
        <w:spacing w:line="240" w:lineRule="auto" w:before="3"/>
        <w:rPr>
          <w:rFonts w:ascii="宋体" w:hAnsi="宋体" w:cs="宋体" w:eastAsia="宋体" w:hint="default"/>
          <w:b/>
          <w:bCs/>
          <w:sz w:val="25"/>
          <w:szCs w:val="25"/>
        </w:rPr>
      </w:pPr>
    </w:p>
    <w:p>
      <w:pPr>
        <w:spacing w:line="282" w:lineRule="exact" w:before="0"/>
        <w:ind w:left="138" w:right="119" w:firstLine="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二</w:t>
      </w:r>
      <w:r>
        <w:rPr>
          <w:rFonts w:ascii="Arial" w:hAnsi="Arial" w:cs="Arial" w:eastAsia="Arial" w:hint="default"/>
          <w:sz w:val="21"/>
          <w:szCs w:val="21"/>
        </w:rPr>
        <w:t>)</w:t>
      </w:r>
      <w:r>
        <w:rPr>
          <w:rFonts w:ascii="Arial" w:hAnsi="Arial" w:cs="Arial" w:eastAsia="Arial" w:hint="default"/>
          <w:spacing w:val="10"/>
          <w:sz w:val="21"/>
          <w:szCs w:val="21"/>
        </w:rPr>
        <w:t> </w:t>
      </w:r>
      <w:r>
        <w:rPr>
          <w:rFonts w:ascii="宋体" w:hAnsi="宋体" w:cs="宋体" w:eastAsia="宋体" w:hint="default"/>
          <w:sz w:val="21"/>
          <w:szCs w:val="21"/>
        </w:rPr>
        <w:t>公司</w:t>
      </w:r>
      <w:r>
        <w:rPr>
          <w:rFonts w:ascii="宋体" w:hAnsi="宋体" w:cs="宋体" w:eastAsia="宋体" w:hint="default"/>
          <w:spacing w:val="-55"/>
          <w:sz w:val="21"/>
          <w:szCs w:val="21"/>
        </w:rPr>
        <w:t> </w:t>
      </w: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年度第一次临时股东大会于</w:t>
      </w:r>
      <w:r>
        <w:rPr>
          <w:rFonts w:ascii="宋体" w:hAnsi="宋体" w:cs="宋体" w:eastAsia="宋体" w:hint="default"/>
          <w:spacing w:val="-55"/>
          <w:sz w:val="21"/>
          <w:szCs w:val="21"/>
        </w:rPr>
        <w:t> </w:t>
      </w: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11</w:t>
      </w:r>
      <w:r>
        <w:rPr>
          <w:rFonts w:ascii="Arial" w:hAnsi="Arial" w:cs="Arial" w:eastAsia="Arial"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6</w:t>
      </w:r>
      <w:r>
        <w:rPr>
          <w:rFonts w:ascii="Arial" w:hAnsi="Arial" w:cs="Arial" w:eastAsia="Arial" w:hint="default"/>
          <w:spacing w:val="-8"/>
          <w:sz w:val="21"/>
          <w:szCs w:val="21"/>
        </w:rPr>
        <w:t> </w:t>
      </w:r>
      <w:r>
        <w:rPr>
          <w:rFonts w:ascii="宋体" w:hAnsi="宋体" w:cs="宋体" w:eastAsia="宋体" w:hint="default"/>
          <w:sz w:val="21"/>
          <w:szCs w:val="21"/>
        </w:rPr>
        <w:t>日采用现场投票和网络投票相结合的</w:t>
      </w:r>
    </w:p>
    <w:p>
      <w:pPr>
        <w:spacing w:line="225" w:lineRule="auto" w:before="6"/>
        <w:ind w:left="565" w:right="119" w:firstLine="0"/>
        <w:jc w:val="left"/>
        <w:rPr>
          <w:rFonts w:ascii="宋体" w:hAnsi="宋体" w:cs="宋体" w:eastAsia="宋体" w:hint="default"/>
          <w:sz w:val="21"/>
          <w:szCs w:val="21"/>
        </w:rPr>
      </w:pPr>
      <w:r>
        <w:rPr>
          <w:rFonts w:ascii="宋体" w:hAnsi="宋体" w:cs="宋体" w:eastAsia="宋体" w:hint="default"/>
          <w:sz w:val="21"/>
          <w:szCs w:val="21"/>
        </w:rPr>
        <w:t>方式召开。其中现场会议于</w:t>
      </w:r>
      <w:r>
        <w:rPr>
          <w:rFonts w:ascii="宋体" w:hAnsi="宋体" w:cs="宋体" w:eastAsia="宋体" w:hint="default"/>
          <w:spacing w:val="-52"/>
          <w:sz w:val="21"/>
          <w:szCs w:val="21"/>
        </w:rPr>
        <w:t> </w:t>
      </w: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6</w:t>
      </w:r>
      <w:r>
        <w:rPr>
          <w:rFonts w:ascii="Arial" w:hAnsi="Arial" w:cs="Arial" w:eastAsia="Arial" w:hint="default"/>
          <w:spacing w:val="-6"/>
          <w:sz w:val="21"/>
          <w:szCs w:val="21"/>
        </w:rPr>
        <w:t> </w:t>
      </w:r>
      <w:r>
        <w:rPr>
          <w:rFonts w:ascii="宋体" w:hAnsi="宋体" w:cs="宋体" w:eastAsia="宋体" w:hint="default"/>
          <w:sz w:val="21"/>
          <w:szCs w:val="21"/>
        </w:rPr>
        <w:t>日上午</w:t>
      </w:r>
      <w:r>
        <w:rPr>
          <w:rFonts w:ascii="宋体" w:hAnsi="宋体" w:cs="宋体" w:eastAsia="宋体" w:hint="default"/>
          <w:spacing w:val="-55"/>
          <w:sz w:val="21"/>
          <w:szCs w:val="21"/>
        </w:rPr>
        <w:t> </w:t>
      </w:r>
      <w:r>
        <w:rPr>
          <w:rFonts w:ascii="Arial" w:hAnsi="Arial" w:cs="Arial" w:eastAsia="Arial" w:hint="default"/>
          <w:sz w:val="21"/>
          <w:szCs w:val="21"/>
        </w:rPr>
        <w:t>10</w:t>
      </w:r>
      <w:r>
        <w:rPr>
          <w:rFonts w:ascii="Arial" w:hAnsi="Arial" w:cs="Arial" w:eastAsia="Arial" w:hint="default"/>
          <w:spacing w:val="-6"/>
          <w:sz w:val="21"/>
          <w:szCs w:val="21"/>
        </w:rPr>
        <w:t> </w:t>
      </w:r>
      <w:r>
        <w:rPr>
          <w:rFonts w:ascii="宋体" w:hAnsi="宋体" w:cs="宋体" w:eastAsia="宋体" w:hint="default"/>
          <w:sz w:val="21"/>
          <w:szCs w:val="21"/>
        </w:rPr>
        <w:t>时在北京西城区金融大街</w:t>
      </w:r>
      <w:r>
        <w:rPr>
          <w:rFonts w:ascii="宋体" w:hAnsi="宋体" w:cs="宋体" w:eastAsia="宋体" w:hint="default"/>
          <w:spacing w:val="-53"/>
          <w:sz w:val="21"/>
          <w:szCs w:val="21"/>
        </w:rPr>
        <w:t> </w:t>
      </w:r>
      <w:r>
        <w:rPr>
          <w:rFonts w:ascii="Arial" w:hAnsi="Arial" w:cs="Arial" w:eastAsia="Arial" w:hint="default"/>
          <w:sz w:val="21"/>
          <w:szCs w:val="21"/>
        </w:rPr>
        <w:t>21</w:t>
      </w:r>
      <w:r>
        <w:rPr>
          <w:rFonts w:ascii="Arial" w:hAnsi="Arial" w:cs="Arial" w:eastAsia="Arial" w:hint="default"/>
          <w:spacing w:val="-8"/>
          <w:sz w:val="21"/>
          <w:szCs w:val="21"/>
        </w:rPr>
        <w:t> </w:t>
      </w:r>
      <w:r>
        <w:rPr>
          <w:rFonts w:ascii="宋体" w:hAnsi="宋体" w:cs="宋体" w:eastAsia="宋体" w:hint="default"/>
          <w:sz w:val="21"/>
          <w:szCs w:val="21"/>
        </w:rPr>
        <w:t>号联通</w:t>
      </w:r>
      <w:r>
        <w:rPr>
          <w:rFonts w:ascii="宋体" w:hAnsi="宋体" w:cs="宋体" w:eastAsia="宋体" w:hint="default"/>
          <w:w w:val="100"/>
          <w:sz w:val="21"/>
          <w:szCs w:val="21"/>
        </w:rPr>
        <w:t> </w:t>
      </w:r>
      <w:r>
        <w:rPr>
          <w:rFonts w:ascii="宋体" w:hAnsi="宋体" w:cs="宋体" w:eastAsia="宋体" w:hint="default"/>
          <w:sz w:val="21"/>
          <w:szCs w:val="21"/>
        </w:rPr>
        <w:t>大厦</w:t>
      </w:r>
      <w:r>
        <w:rPr>
          <w:rFonts w:ascii="宋体" w:hAnsi="宋体" w:cs="宋体" w:eastAsia="宋体" w:hint="default"/>
          <w:spacing w:val="-55"/>
          <w:sz w:val="21"/>
          <w:szCs w:val="21"/>
        </w:rPr>
        <w:t> </w:t>
      </w:r>
      <w:r>
        <w:rPr>
          <w:rFonts w:ascii="Arial" w:hAnsi="Arial" w:cs="Arial" w:eastAsia="Arial" w:hint="default"/>
          <w:sz w:val="21"/>
          <w:szCs w:val="21"/>
        </w:rPr>
        <w:t>A</w:t>
      </w:r>
      <w:r>
        <w:rPr>
          <w:rFonts w:ascii="Arial" w:hAnsi="Arial" w:cs="Arial" w:eastAsia="Arial" w:hint="default"/>
          <w:spacing w:val="-5"/>
          <w:sz w:val="21"/>
          <w:szCs w:val="21"/>
        </w:rPr>
        <w:t> </w:t>
      </w:r>
      <w:r>
        <w:rPr>
          <w:rFonts w:ascii="宋体" w:hAnsi="宋体" w:cs="宋体" w:eastAsia="宋体" w:hint="default"/>
          <w:sz w:val="21"/>
          <w:szCs w:val="21"/>
        </w:rPr>
        <w:t>座</w:t>
      </w:r>
      <w:r>
        <w:rPr>
          <w:rFonts w:ascii="宋体" w:hAnsi="宋体" w:cs="宋体" w:eastAsia="宋体" w:hint="default"/>
          <w:spacing w:val="-55"/>
          <w:sz w:val="21"/>
          <w:szCs w:val="21"/>
        </w:rPr>
        <w:t> </w:t>
      </w:r>
      <w:r>
        <w:rPr>
          <w:rFonts w:ascii="Arial" w:hAnsi="Arial" w:cs="Arial" w:eastAsia="Arial" w:hint="default"/>
          <w:sz w:val="21"/>
          <w:szCs w:val="21"/>
        </w:rPr>
        <w:t>2001</w:t>
      </w:r>
      <w:r>
        <w:rPr>
          <w:rFonts w:ascii="Arial" w:hAnsi="Arial" w:cs="Arial" w:eastAsia="Arial" w:hint="default"/>
          <w:spacing w:val="-5"/>
          <w:sz w:val="21"/>
          <w:szCs w:val="21"/>
        </w:rPr>
        <w:t> </w:t>
      </w:r>
      <w:r>
        <w:rPr>
          <w:rFonts w:ascii="宋体" w:hAnsi="宋体" w:cs="宋体" w:eastAsia="宋体" w:hint="default"/>
          <w:sz w:val="21"/>
          <w:szCs w:val="21"/>
        </w:rPr>
        <w:t>室召开，通过上海证券交易所交易系统进行网络投票的时间为：</w:t>
      </w: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pacing w:val="-3"/>
          <w:sz w:val="21"/>
          <w:szCs w:val="21"/>
        </w:rPr>
        <w:t>11</w:t>
      </w:r>
      <w:r>
        <w:rPr>
          <w:rFonts w:ascii="Arial" w:hAnsi="Arial" w:cs="Arial" w:eastAsia="Arial" w:hint="default"/>
          <w:spacing w:val="-3"/>
          <w:w w:val="100"/>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6</w:t>
      </w:r>
      <w:r>
        <w:rPr>
          <w:rFonts w:ascii="Arial" w:hAnsi="Arial" w:cs="Arial" w:eastAsia="Arial" w:hint="default"/>
          <w:spacing w:val="-10"/>
          <w:sz w:val="21"/>
          <w:szCs w:val="21"/>
        </w:rPr>
        <w:t> </w:t>
      </w:r>
      <w:r>
        <w:rPr>
          <w:rFonts w:ascii="宋体" w:hAnsi="宋体" w:cs="宋体" w:eastAsia="宋体" w:hint="default"/>
          <w:sz w:val="21"/>
          <w:szCs w:val="21"/>
        </w:rPr>
        <w:t>日上午</w:t>
      </w:r>
      <w:r>
        <w:rPr>
          <w:rFonts w:ascii="宋体" w:hAnsi="宋体" w:cs="宋体" w:eastAsia="宋体" w:hint="default"/>
          <w:spacing w:val="-54"/>
          <w:sz w:val="21"/>
          <w:szCs w:val="21"/>
        </w:rPr>
        <w:t> </w:t>
      </w:r>
      <w:r>
        <w:rPr>
          <w:rFonts w:ascii="Arial" w:hAnsi="Arial" w:cs="Arial" w:eastAsia="Arial" w:hint="default"/>
          <w:sz w:val="21"/>
          <w:szCs w:val="21"/>
        </w:rPr>
        <w:t>9:30-11:30</w:t>
      </w:r>
      <w:r>
        <w:rPr>
          <w:rFonts w:ascii="宋体" w:hAnsi="宋体" w:cs="宋体" w:eastAsia="宋体" w:hint="default"/>
          <w:sz w:val="21"/>
          <w:szCs w:val="21"/>
        </w:rPr>
        <w:t>，下午</w:t>
      </w:r>
      <w:r>
        <w:rPr>
          <w:rFonts w:ascii="宋体" w:hAnsi="宋体" w:cs="宋体" w:eastAsia="宋体" w:hint="default"/>
          <w:spacing w:val="-55"/>
          <w:sz w:val="21"/>
          <w:szCs w:val="21"/>
        </w:rPr>
        <w:t> </w:t>
      </w:r>
      <w:r>
        <w:rPr>
          <w:rFonts w:ascii="Arial" w:hAnsi="Arial" w:cs="Arial" w:eastAsia="Arial" w:hint="default"/>
          <w:sz w:val="21"/>
          <w:szCs w:val="21"/>
        </w:rPr>
        <w:t>13:00-15:00</w:t>
      </w:r>
      <w:r>
        <w:rPr>
          <w:rFonts w:ascii="宋体" w:hAnsi="宋体" w:cs="宋体" w:eastAsia="宋体" w:hint="default"/>
          <w:sz w:val="21"/>
          <w:szCs w:val="21"/>
        </w:rPr>
        <w:t>。出席会议的股东和代理人人数：</w:t>
      </w:r>
      <w:r>
        <w:rPr>
          <w:rFonts w:ascii="Arial" w:hAnsi="Arial" w:cs="Arial" w:eastAsia="Arial" w:hint="default"/>
          <w:sz w:val="21"/>
          <w:szCs w:val="21"/>
        </w:rPr>
        <w:t>81</w:t>
      </w:r>
      <w:r>
        <w:rPr>
          <w:rFonts w:ascii="Arial" w:hAnsi="Arial" w:cs="Arial" w:eastAsia="Arial" w:hint="default"/>
          <w:spacing w:val="-8"/>
          <w:sz w:val="21"/>
          <w:szCs w:val="21"/>
        </w:rPr>
        <w:t> </w:t>
      </w:r>
      <w:r>
        <w:rPr>
          <w:rFonts w:ascii="宋体" w:hAnsi="宋体" w:cs="宋体" w:eastAsia="宋体" w:hint="default"/>
          <w:sz w:val="21"/>
          <w:szCs w:val="21"/>
        </w:rPr>
        <w:t>人，所持有</w:t>
      </w:r>
      <w:r>
        <w:rPr>
          <w:rFonts w:ascii="宋体" w:hAnsi="宋体" w:cs="宋体" w:eastAsia="宋体" w:hint="default"/>
          <w:w w:val="100"/>
          <w:sz w:val="21"/>
          <w:szCs w:val="21"/>
        </w:rPr>
        <w:t> </w:t>
      </w:r>
      <w:r>
        <w:rPr>
          <w:rFonts w:ascii="宋体" w:hAnsi="宋体" w:cs="宋体" w:eastAsia="宋体" w:hint="default"/>
          <w:sz w:val="21"/>
          <w:szCs w:val="21"/>
        </w:rPr>
        <w:t>表决权的股份总数为</w:t>
      </w:r>
      <w:r>
        <w:rPr>
          <w:rFonts w:ascii="宋体" w:hAnsi="宋体" w:cs="宋体" w:eastAsia="宋体" w:hint="default"/>
          <w:spacing w:val="-43"/>
          <w:sz w:val="21"/>
          <w:szCs w:val="21"/>
        </w:rPr>
        <w:t> </w:t>
      </w:r>
      <w:r>
        <w:rPr>
          <w:rFonts w:ascii="Arial" w:hAnsi="Arial" w:cs="Arial" w:eastAsia="Arial" w:hint="default"/>
          <w:sz w:val="21"/>
          <w:szCs w:val="21"/>
        </w:rPr>
        <w:t>14,118,104,702</w:t>
      </w:r>
      <w:r>
        <w:rPr>
          <w:rFonts w:ascii="Arial" w:hAnsi="Arial" w:cs="Arial" w:eastAsia="Arial" w:hint="default"/>
          <w:spacing w:val="1"/>
          <w:sz w:val="21"/>
          <w:szCs w:val="21"/>
        </w:rPr>
        <w:t> </w:t>
      </w:r>
      <w:r>
        <w:rPr>
          <w:rFonts w:ascii="宋体" w:hAnsi="宋体" w:cs="宋体" w:eastAsia="宋体" w:hint="default"/>
          <w:spacing w:val="-4"/>
          <w:sz w:val="21"/>
          <w:szCs w:val="21"/>
        </w:rPr>
        <w:t>股，占公司总股本的</w:t>
      </w:r>
      <w:r>
        <w:rPr>
          <w:rFonts w:ascii="宋体" w:hAnsi="宋体" w:cs="宋体" w:eastAsia="宋体" w:hint="default"/>
          <w:spacing w:val="-44"/>
          <w:sz w:val="21"/>
          <w:szCs w:val="21"/>
        </w:rPr>
        <w:t> </w:t>
      </w:r>
      <w:r>
        <w:rPr>
          <w:rFonts w:ascii="Arial" w:hAnsi="Arial" w:cs="Arial" w:eastAsia="Arial" w:hint="default"/>
          <w:spacing w:val="-3"/>
          <w:sz w:val="21"/>
          <w:szCs w:val="21"/>
        </w:rPr>
        <w:t>66.6055%</w:t>
      </w:r>
      <w:r>
        <w:rPr>
          <w:rFonts w:ascii="宋体" w:hAnsi="宋体" w:cs="宋体" w:eastAsia="宋体" w:hint="default"/>
          <w:spacing w:val="-3"/>
          <w:sz w:val="21"/>
          <w:szCs w:val="21"/>
        </w:rPr>
        <w:t>，通过网络投票出席本</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次会议的股东人数：</w:t>
      </w:r>
      <w:r>
        <w:rPr>
          <w:rFonts w:ascii="Arial" w:hAnsi="Arial" w:cs="Arial" w:eastAsia="Arial" w:hint="default"/>
          <w:sz w:val="21"/>
          <w:szCs w:val="21"/>
        </w:rPr>
        <w:t>67</w:t>
      </w:r>
      <w:r>
        <w:rPr>
          <w:rFonts w:ascii="Arial" w:hAnsi="Arial" w:cs="Arial" w:eastAsia="Arial" w:hint="default"/>
          <w:spacing w:val="-9"/>
          <w:sz w:val="21"/>
          <w:szCs w:val="21"/>
        </w:rPr>
        <w:t> </w:t>
      </w:r>
      <w:r>
        <w:rPr>
          <w:rFonts w:ascii="宋体" w:hAnsi="宋体" w:cs="宋体" w:eastAsia="宋体" w:hint="default"/>
          <w:sz w:val="21"/>
          <w:szCs w:val="21"/>
        </w:rPr>
        <w:t>人，所持有表决权的股份总数为</w:t>
      </w:r>
      <w:r>
        <w:rPr>
          <w:rFonts w:ascii="宋体" w:hAnsi="宋体" w:cs="宋体" w:eastAsia="宋体" w:hint="default"/>
          <w:spacing w:val="-54"/>
          <w:sz w:val="21"/>
          <w:szCs w:val="21"/>
        </w:rPr>
        <w:t> </w:t>
      </w:r>
      <w:r>
        <w:rPr>
          <w:rFonts w:ascii="Arial" w:hAnsi="Arial" w:cs="Arial" w:eastAsia="Arial" w:hint="default"/>
          <w:sz w:val="21"/>
          <w:szCs w:val="21"/>
        </w:rPr>
        <w:t>570,599,894</w:t>
      </w:r>
      <w:r>
        <w:rPr>
          <w:rFonts w:ascii="Arial" w:hAnsi="Arial" w:cs="Arial" w:eastAsia="Arial" w:hint="default"/>
          <w:spacing w:val="-6"/>
          <w:sz w:val="21"/>
          <w:szCs w:val="21"/>
        </w:rPr>
        <w:t> </w:t>
      </w:r>
      <w:r>
        <w:rPr>
          <w:rFonts w:ascii="宋体" w:hAnsi="宋体" w:cs="宋体" w:eastAsia="宋体" w:hint="default"/>
          <w:sz w:val="21"/>
          <w:szCs w:val="21"/>
        </w:rPr>
        <w:t>股，占公司总股本的</w:t>
      </w:r>
      <w:r>
        <w:rPr>
          <w:rFonts w:ascii="宋体" w:hAnsi="宋体" w:cs="宋体" w:eastAsia="宋体" w:hint="default"/>
          <w:w w:val="100"/>
          <w:sz w:val="21"/>
          <w:szCs w:val="21"/>
        </w:rPr>
        <w:t> </w:t>
      </w:r>
      <w:r>
        <w:rPr>
          <w:rFonts w:ascii="Arial" w:hAnsi="Arial" w:cs="Arial" w:eastAsia="Arial" w:hint="default"/>
          <w:spacing w:val="-7"/>
          <w:sz w:val="21"/>
          <w:szCs w:val="21"/>
        </w:rPr>
        <w:t>2.6919%</w:t>
      </w:r>
      <w:r>
        <w:rPr>
          <w:rFonts w:ascii="宋体" w:hAnsi="宋体" w:cs="宋体" w:eastAsia="宋体" w:hint="default"/>
          <w:spacing w:val="-7"/>
          <w:sz w:val="21"/>
          <w:szCs w:val="21"/>
        </w:rPr>
        <w:t>，参加投票的中小投资者人数：</w:t>
      </w:r>
      <w:r>
        <w:rPr>
          <w:rFonts w:ascii="Arial" w:hAnsi="Arial" w:cs="Arial" w:eastAsia="Arial" w:hint="default"/>
          <w:spacing w:val="-7"/>
          <w:sz w:val="21"/>
          <w:szCs w:val="21"/>
        </w:rPr>
        <w:t>79 </w:t>
      </w:r>
      <w:r>
        <w:rPr>
          <w:rFonts w:ascii="宋体" w:hAnsi="宋体" w:cs="宋体" w:eastAsia="宋体" w:hint="default"/>
          <w:spacing w:val="-6"/>
          <w:sz w:val="21"/>
          <w:szCs w:val="21"/>
        </w:rPr>
        <w:t>人，所持有表决权的股份总数为 </w:t>
      </w:r>
      <w:r>
        <w:rPr>
          <w:rFonts w:ascii="Arial" w:hAnsi="Arial" w:cs="Arial" w:eastAsia="Arial" w:hint="default"/>
          <w:sz w:val="21"/>
          <w:szCs w:val="21"/>
        </w:rPr>
        <w:t>744,427,057 </w:t>
      </w:r>
      <w:r>
        <w:rPr>
          <w:rFonts w:ascii="宋体" w:hAnsi="宋体" w:cs="宋体" w:eastAsia="宋体" w:hint="default"/>
          <w:spacing w:val="-3"/>
          <w:sz w:val="21"/>
          <w:szCs w:val="21"/>
        </w:rPr>
        <w:t>股，</w:t>
      </w:r>
      <w:r>
        <w:rPr>
          <w:rFonts w:ascii="宋体" w:hAnsi="宋体" w:cs="宋体" w:eastAsia="宋体" w:hint="default"/>
          <w:spacing w:val="-94"/>
          <w:sz w:val="21"/>
          <w:szCs w:val="21"/>
        </w:rPr>
        <w:t> </w:t>
      </w:r>
      <w:r>
        <w:rPr>
          <w:rFonts w:ascii="宋体" w:hAnsi="宋体" w:cs="宋体" w:eastAsia="宋体" w:hint="default"/>
          <w:spacing w:val="-2"/>
          <w:sz w:val="21"/>
          <w:szCs w:val="21"/>
        </w:rPr>
        <w:t>占公司总股本的</w:t>
      </w:r>
      <w:r>
        <w:rPr>
          <w:rFonts w:ascii="宋体" w:hAnsi="宋体" w:cs="宋体" w:eastAsia="宋体" w:hint="default"/>
          <w:spacing w:val="19"/>
          <w:sz w:val="21"/>
          <w:szCs w:val="21"/>
        </w:rPr>
        <w:t> </w:t>
      </w:r>
      <w:r>
        <w:rPr>
          <w:rFonts w:ascii="Arial" w:hAnsi="Arial" w:cs="Arial" w:eastAsia="Arial" w:hint="default"/>
          <w:spacing w:val="-2"/>
          <w:sz w:val="21"/>
          <w:szCs w:val="21"/>
        </w:rPr>
        <w:t>3.5120%</w:t>
      </w:r>
      <w:r>
        <w:rPr>
          <w:rFonts w:ascii="宋体" w:hAnsi="宋体" w:cs="宋体" w:eastAsia="宋体" w:hint="default"/>
          <w:spacing w:val="-2"/>
          <w:sz w:val="21"/>
          <w:szCs w:val="21"/>
        </w:rPr>
        <w:t>。符合《中华人民共和国公司法》及公司章程的规定。</w:t>
      </w:r>
    </w:p>
    <w:p>
      <w:pPr>
        <w:spacing w:line="240" w:lineRule="auto" w:before="6"/>
        <w:rPr>
          <w:rFonts w:ascii="宋体" w:hAnsi="宋体" w:cs="宋体" w:eastAsia="宋体" w:hint="default"/>
          <w:sz w:val="19"/>
          <w:szCs w:val="19"/>
        </w:rPr>
      </w:pPr>
    </w:p>
    <w:p>
      <w:pPr>
        <w:spacing w:line="272" w:lineRule="exact" w:before="0"/>
        <w:ind w:left="565" w:right="285" w:firstLine="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6"/>
          <w:sz w:val="21"/>
          <w:szCs w:val="21"/>
        </w:rPr>
        <w:t> </w:t>
      </w:r>
      <w:r>
        <w:rPr>
          <w:rFonts w:ascii="Arial" w:hAnsi="Arial" w:cs="Arial" w:eastAsia="Arial" w:hint="default"/>
          <w:sz w:val="21"/>
          <w:szCs w:val="21"/>
        </w:rPr>
        <w:t>2014</w:t>
      </w:r>
      <w:r>
        <w:rPr>
          <w:rFonts w:ascii="Arial" w:hAnsi="Arial" w:cs="Arial" w:eastAsia="Arial" w:hint="default"/>
          <w:spacing w:val="-9"/>
          <w:sz w:val="21"/>
          <w:szCs w:val="21"/>
        </w:rPr>
        <w:t> </w:t>
      </w:r>
      <w:r>
        <w:rPr>
          <w:rFonts w:ascii="宋体" w:hAnsi="宋体" w:cs="宋体" w:eastAsia="宋体" w:hint="default"/>
          <w:sz w:val="21"/>
          <w:szCs w:val="21"/>
        </w:rPr>
        <w:t>年度第一次临时股东大会审议并表决通过了《关于选举张钧安先生为公司董事的</w:t>
      </w:r>
      <w:r>
        <w:rPr>
          <w:rFonts w:ascii="宋体" w:hAnsi="宋体" w:cs="宋体" w:eastAsia="宋体" w:hint="default"/>
          <w:w w:val="100"/>
          <w:sz w:val="21"/>
          <w:szCs w:val="21"/>
        </w:rPr>
        <w:t> </w:t>
      </w:r>
      <w:r>
        <w:rPr>
          <w:rFonts w:ascii="宋体" w:hAnsi="宋体" w:cs="宋体" w:eastAsia="宋体" w:hint="default"/>
          <w:sz w:val="21"/>
          <w:szCs w:val="21"/>
        </w:rPr>
        <w:t>议案》。</w:t>
      </w:r>
    </w:p>
    <w:p>
      <w:pPr>
        <w:spacing w:line="240" w:lineRule="auto" w:before="5"/>
        <w:rPr>
          <w:rFonts w:ascii="宋体" w:hAnsi="宋体" w:cs="宋体" w:eastAsia="宋体" w:hint="default"/>
          <w:sz w:val="16"/>
          <w:szCs w:val="16"/>
        </w:rPr>
      </w:pPr>
    </w:p>
    <w:p>
      <w:pPr>
        <w:spacing w:line="282" w:lineRule="exact" w:before="0"/>
        <w:ind w:left="138" w:right="119" w:firstLine="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三</w:t>
      </w:r>
      <w:r>
        <w:rPr>
          <w:rFonts w:ascii="Arial" w:hAnsi="Arial" w:cs="Arial" w:eastAsia="Arial" w:hint="default"/>
          <w:sz w:val="21"/>
          <w:szCs w:val="21"/>
        </w:rPr>
        <w:t>)</w:t>
      </w:r>
      <w:r>
        <w:rPr>
          <w:rFonts w:ascii="Arial" w:hAnsi="Arial" w:cs="Arial" w:eastAsia="Arial" w:hint="default"/>
          <w:spacing w:val="8"/>
          <w:sz w:val="21"/>
          <w:szCs w:val="21"/>
        </w:rPr>
        <w:t> </w:t>
      </w: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年度第二次临时股东大会于</w:t>
      </w:r>
      <w:r>
        <w:rPr>
          <w:rFonts w:ascii="宋体" w:hAnsi="宋体" w:cs="宋体" w:eastAsia="宋体" w:hint="default"/>
          <w:spacing w:val="-53"/>
          <w:sz w:val="21"/>
          <w:szCs w:val="21"/>
        </w:rPr>
        <w:t> </w:t>
      </w: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11</w:t>
      </w:r>
      <w:r>
        <w:rPr>
          <w:rFonts w:ascii="Arial" w:hAnsi="Arial" w:cs="Arial" w:eastAsia="Arial"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24</w:t>
      </w:r>
      <w:r>
        <w:rPr>
          <w:rFonts w:ascii="Arial" w:hAnsi="Arial" w:cs="Arial" w:eastAsia="Arial" w:hint="default"/>
          <w:spacing w:val="-9"/>
          <w:sz w:val="21"/>
          <w:szCs w:val="21"/>
        </w:rPr>
        <w:t> </w:t>
      </w:r>
      <w:r>
        <w:rPr>
          <w:rFonts w:ascii="宋体" w:hAnsi="宋体" w:cs="宋体" w:eastAsia="宋体" w:hint="default"/>
          <w:sz w:val="21"/>
          <w:szCs w:val="21"/>
        </w:rPr>
        <w:t>日采用现场投票和网络投票相结合</w:t>
      </w:r>
    </w:p>
    <w:p>
      <w:pPr>
        <w:spacing w:line="225" w:lineRule="auto" w:before="6"/>
        <w:ind w:left="565" w:right="224" w:firstLine="0"/>
        <w:jc w:val="left"/>
        <w:rPr>
          <w:rFonts w:ascii="宋体" w:hAnsi="宋体" w:cs="宋体" w:eastAsia="宋体" w:hint="default"/>
          <w:sz w:val="21"/>
          <w:szCs w:val="21"/>
        </w:rPr>
      </w:pPr>
      <w:r>
        <w:rPr>
          <w:rFonts w:ascii="宋体" w:hAnsi="宋体" w:cs="宋体" w:eastAsia="宋体" w:hint="default"/>
          <w:spacing w:val="-4"/>
          <w:sz w:val="21"/>
          <w:szCs w:val="21"/>
        </w:rPr>
        <w:t>的方式召开。其中现场会议于</w:t>
      </w:r>
      <w:r>
        <w:rPr>
          <w:rFonts w:ascii="宋体" w:hAnsi="宋体" w:cs="宋体" w:eastAsia="宋体" w:hint="default"/>
          <w:spacing w:val="-51"/>
          <w:sz w:val="21"/>
          <w:szCs w:val="21"/>
        </w:rPr>
        <w:t> </w:t>
      </w:r>
      <w:r>
        <w:rPr>
          <w:rFonts w:ascii="Arial" w:hAnsi="Arial" w:cs="Arial" w:eastAsia="Arial" w:hint="default"/>
          <w:sz w:val="21"/>
          <w:szCs w:val="21"/>
        </w:rPr>
        <w:t>2014</w:t>
      </w:r>
      <w:r>
        <w:rPr>
          <w:rFonts w:ascii="Arial" w:hAnsi="Arial" w:cs="Arial" w:eastAsia="Arial"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11</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24</w:t>
      </w:r>
      <w:r>
        <w:rPr>
          <w:rFonts w:ascii="Arial" w:hAnsi="Arial" w:cs="Arial" w:eastAsia="Arial" w:hint="default"/>
          <w:spacing w:val="-6"/>
          <w:sz w:val="21"/>
          <w:szCs w:val="21"/>
        </w:rPr>
        <w:t> </w:t>
      </w:r>
      <w:r>
        <w:rPr>
          <w:rFonts w:ascii="宋体" w:hAnsi="宋体" w:cs="宋体" w:eastAsia="宋体" w:hint="default"/>
          <w:sz w:val="21"/>
          <w:szCs w:val="21"/>
        </w:rPr>
        <w:t>日上午</w:t>
      </w:r>
      <w:r>
        <w:rPr>
          <w:rFonts w:ascii="宋体" w:hAnsi="宋体" w:cs="宋体" w:eastAsia="宋体" w:hint="default"/>
          <w:spacing w:val="-51"/>
          <w:sz w:val="21"/>
          <w:szCs w:val="21"/>
        </w:rPr>
        <w:t> </w:t>
      </w:r>
      <w:r>
        <w:rPr>
          <w:rFonts w:ascii="Arial" w:hAnsi="Arial" w:cs="Arial" w:eastAsia="Arial" w:hint="default"/>
          <w:sz w:val="21"/>
          <w:szCs w:val="21"/>
        </w:rPr>
        <w:t>10</w:t>
      </w:r>
      <w:r>
        <w:rPr>
          <w:rFonts w:ascii="Arial" w:hAnsi="Arial" w:cs="Arial" w:eastAsia="Arial" w:hint="default"/>
          <w:spacing w:val="-4"/>
          <w:sz w:val="21"/>
          <w:szCs w:val="21"/>
        </w:rPr>
        <w:t> </w:t>
      </w:r>
      <w:r>
        <w:rPr>
          <w:rFonts w:ascii="宋体" w:hAnsi="宋体" w:cs="宋体" w:eastAsia="宋体" w:hint="default"/>
          <w:sz w:val="21"/>
          <w:szCs w:val="21"/>
        </w:rPr>
        <w:t>时在北京西城区金融大街</w:t>
      </w:r>
      <w:r>
        <w:rPr>
          <w:rFonts w:ascii="宋体" w:hAnsi="宋体" w:cs="宋体" w:eastAsia="宋体" w:hint="default"/>
          <w:spacing w:val="-50"/>
          <w:sz w:val="21"/>
          <w:szCs w:val="21"/>
        </w:rPr>
        <w:t> </w:t>
      </w:r>
      <w:r>
        <w:rPr>
          <w:rFonts w:ascii="Arial" w:hAnsi="Arial" w:cs="Arial" w:eastAsia="Arial" w:hint="default"/>
          <w:sz w:val="21"/>
          <w:szCs w:val="21"/>
        </w:rPr>
        <w:t>21</w:t>
      </w:r>
      <w:r>
        <w:rPr>
          <w:rFonts w:ascii="Arial" w:hAnsi="Arial" w:cs="Arial" w:eastAsia="Arial" w:hint="default"/>
          <w:spacing w:val="-6"/>
          <w:sz w:val="21"/>
          <w:szCs w:val="21"/>
        </w:rPr>
        <w:t> </w:t>
      </w:r>
      <w:r>
        <w:rPr>
          <w:rFonts w:ascii="宋体" w:hAnsi="宋体" w:cs="宋体" w:eastAsia="宋体" w:hint="default"/>
          <w:sz w:val="21"/>
          <w:szCs w:val="21"/>
        </w:rPr>
        <w:t>号联</w:t>
      </w:r>
      <w:r>
        <w:rPr>
          <w:rFonts w:ascii="宋体" w:hAnsi="宋体" w:cs="宋体" w:eastAsia="宋体" w:hint="default"/>
          <w:w w:val="100"/>
          <w:sz w:val="21"/>
          <w:szCs w:val="21"/>
        </w:rPr>
        <w:t> </w:t>
      </w:r>
      <w:r>
        <w:rPr>
          <w:rFonts w:ascii="宋体" w:hAnsi="宋体" w:cs="宋体" w:eastAsia="宋体" w:hint="default"/>
          <w:sz w:val="21"/>
          <w:szCs w:val="21"/>
        </w:rPr>
        <w:t>通大厦</w:t>
      </w:r>
      <w:r>
        <w:rPr>
          <w:rFonts w:ascii="宋体" w:hAnsi="宋体" w:cs="宋体" w:eastAsia="宋体" w:hint="default"/>
          <w:spacing w:val="-54"/>
          <w:sz w:val="21"/>
          <w:szCs w:val="21"/>
        </w:rPr>
        <w:t> </w:t>
      </w:r>
      <w:r>
        <w:rPr>
          <w:rFonts w:ascii="Arial" w:hAnsi="Arial" w:cs="Arial" w:eastAsia="Arial" w:hint="default"/>
          <w:sz w:val="21"/>
          <w:szCs w:val="21"/>
        </w:rPr>
        <w:t>A</w:t>
      </w:r>
      <w:r>
        <w:rPr>
          <w:rFonts w:ascii="Arial" w:hAnsi="Arial" w:cs="Arial" w:eastAsia="Arial" w:hint="default"/>
          <w:spacing w:val="-9"/>
          <w:sz w:val="21"/>
          <w:szCs w:val="21"/>
        </w:rPr>
        <w:t> </w:t>
      </w: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Arial" w:hAnsi="Arial" w:cs="Arial" w:eastAsia="Arial" w:hint="default"/>
          <w:sz w:val="21"/>
          <w:szCs w:val="21"/>
        </w:rPr>
        <w:t>2001</w:t>
      </w:r>
      <w:r>
        <w:rPr>
          <w:rFonts w:ascii="Arial" w:hAnsi="Arial" w:cs="Arial" w:eastAsia="Arial" w:hint="default"/>
          <w:spacing w:val="-9"/>
          <w:sz w:val="21"/>
          <w:szCs w:val="21"/>
        </w:rPr>
        <w:t> </w:t>
      </w:r>
      <w:r>
        <w:rPr>
          <w:rFonts w:ascii="宋体" w:hAnsi="宋体" w:cs="宋体" w:eastAsia="宋体" w:hint="default"/>
          <w:sz w:val="21"/>
          <w:szCs w:val="21"/>
        </w:rPr>
        <w:t>室召开，通过上海证券交易所交易系统进行网络投票的时间为：</w:t>
      </w:r>
      <w:r>
        <w:rPr>
          <w:rFonts w:ascii="Arial" w:hAnsi="Arial" w:cs="Arial" w:eastAsia="Arial" w:hint="default"/>
          <w:sz w:val="21"/>
          <w:szCs w:val="21"/>
        </w:rPr>
        <w:t>2014</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Arial" w:hAnsi="Arial" w:cs="Arial" w:eastAsia="Arial" w:hint="default"/>
          <w:sz w:val="21"/>
          <w:szCs w:val="21"/>
        </w:rPr>
        <w:t>11</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24</w:t>
      </w:r>
      <w:r>
        <w:rPr>
          <w:rFonts w:ascii="Arial" w:hAnsi="Arial" w:cs="Arial" w:eastAsia="Arial" w:hint="default"/>
          <w:spacing w:val="-9"/>
          <w:sz w:val="21"/>
          <w:szCs w:val="21"/>
        </w:rPr>
        <w:t> </w:t>
      </w:r>
      <w:r>
        <w:rPr>
          <w:rFonts w:ascii="宋体" w:hAnsi="宋体" w:cs="宋体" w:eastAsia="宋体" w:hint="default"/>
          <w:sz w:val="21"/>
          <w:szCs w:val="21"/>
        </w:rPr>
        <w:t>日上午</w:t>
      </w:r>
      <w:r>
        <w:rPr>
          <w:rFonts w:ascii="宋体" w:hAnsi="宋体" w:cs="宋体" w:eastAsia="宋体" w:hint="default"/>
          <w:spacing w:val="-53"/>
          <w:sz w:val="21"/>
          <w:szCs w:val="21"/>
        </w:rPr>
        <w:t> </w:t>
      </w:r>
      <w:r>
        <w:rPr>
          <w:rFonts w:ascii="Arial" w:hAnsi="Arial" w:cs="Arial" w:eastAsia="Arial" w:hint="default"/>
          <w:sz w:val="21"/>
          <w:szCs w:val="21"/>
        </w:rPr>
        <w:t>9:30-11:30</w:t>
      </w:r>
      <w:r>
        <w:rPr>
          <w:rFonts w:ascii="宋体" w:hAnsi="宋体" w:cs="宋体" w:eastAsia="宋体" w:hint="default"/>
          <w:sz w:val="21"/>
          <w:szCs w:val="21"/>
        </w:rPr>
        <w:t>，下午</w:t>
      </w:r>
      <w:r>
        <w:rPr>
          <w:rFonts w:ascii="宋体" w:hAnsi="宋体" w:cs="宋体" w:eastAsia="宋体" w:hint="default"/>
          <w:spacing w:val="-54"/>
          <w:sz w:val="21"/>
          <w:szCs w:val="21"/>
        </w:rPr>
        <w:t> </w:t>
      </w:r>
      <w:r>
        <w:rPr>
          <w:rFonts w:ascii="Arial" w:hAnsi="Arial" w:cs="Arial" w:eastAsia="Arial" w:hint="default"/>
          <w:sz w:val="21"/>
          <w:szCs w:val="21"/>
        </w:rPr>
        <w:t>13:00-15:00</w:t>
      </w:r>
      <w:r>
        <w:rPr>
          <w:rFonts w:ascii="宋体" w:hAnsi="宋体" w:cs="宋体" w:eastAsia="宋体" w:hint="default"/>
          <w:sz w:val="21"/>
          <w:szCs w:val="21"/>
        </w:rPr>
        <w:t>。出席会议的股东和代理人人数：</w:t>
      </w:r>
      <w:r>
        <w:rPr>
          <w:rFonts w:ascii="Arial" w:hAnsi="Arial" w:cs="Arial" w:eastAsia="Arial" w:hint="default"/>
          <w:sz w:val="21"/>
          <w:szCs w:val="21"/>
        </w:rPr>
        <w:t>49</w:t>
      </w:r>
      <w:r>
        <w:rPr>
          <w:rFonts w:ascii="Arial" w:hAnsi="Arial" w:cs="Arial" w:eastAsia="Arial" w:hint="default"/>
          <w:spacing w:val="-6"/>
          <w:sz w:val="21"/>
          <w:szCs w:val="21"/>
        </w:rPr>
        <w:t> </w:t>
      </w:r>
      <w:r>
        <w:rPr>
          <w:rFonts w:ascii="宋体" w:hAnsi="宋体" w:cs="宋体" w:eastAsia="宋体" w:hint="default"/>
          <w:sz w:val="21"/>
          <w:szCs w:val="21"/>
        </w:rPr>
        <w:t>人，所</w:t>
      </w:r>
      <w:r>
        <w:rPr>
          <w:rFonts w:ascii="宋体" w:hAnsi="宋体" w:cs="宋体" w:eastAsia="宋体" w:hint="default"/>
          <w:w w:val="100"/>
          <w:sz w:val="21"/>
          <w:szCs w:val="21"/>
        </w:rPr>
        <w:t> </w:t>
      </w:r>
      <w:r>
        <w:rPr>
          <w:rFonts w:ascii="宋体" w:hAnsi="宋体" w:cs="宋体" w:eastAsia="宋体" w:hint="default"/>
          <w:sz w:val="21"/>
          <w:szCs w:val="21"/>
        </w:rPr>
        <w:t>持有表决权的股份总数为</w:t>
      </w:r>
      <w:r>
        <w:rPr>
          <w:rFonts w:ascii="宋体" w:hAnsi="宋体" w:cs="宋体" w:eastAsia="宋体" w:hint="default"/>
          <w:spacing w:val="-53"/>
          <w:sz w:val="21"/>
          <w:szCs w:val="21"/>
        </w:rPr>
        <w:t> </w:t>
      </w:r>
      <w:r>
        <w:rPr>
          <w:rFonts w:ascii="Arial" w:hAnsi="Arial" w:cs="Arial" w:eastAsia="Arial" w:hint="default"/>
          <w:sz w:val="21"/>
          <w:szCs w:val="21"/>
        </w:rPr>
        <w:t>13,621,791,875</w:t>
      </w:r>
      <w:r>
        <w:rPr>
          <w:rFonts w:ascii="Arial" w:hAnsi="Arial" w:cs="Arial" w:eastAsia="Arial" w:hint="default"/>
          <w:spacing w:val="-3"/>
          <w:sz w:val="21"/>
          <w:szCs w:val="21"/>
        </w:rPr>
        <w:t> </w:t>
      </w:r>
      <w:r>
        <w:rPr>
          <w:rFonts w:ascii="宋体" w:hAnsi="宋体" w:cs="宋体" w:eastAsia="宋体" w:hint="default"/>
          <w:spacing w:val="-3"/>
          <w:sz w:val="21"/>
          <w:szCs w:val="21"/>
        </w:rPr>
        <w:t>股，占公司总股本的</w:t>
      </w:r>
      <w:r>
        <w:rPr>
          <w:rFonts w:ascii="宋体" w:hAnsi="宋体" w:cs="宋体" w:eastAsia="宋体" w:hint="default"/>
          <w:spacing w:val="-50"/>
          <w:sz w:val="21"/>
          <w:szCs w:val="21"/>
        </w:rPr>
        <w:t> </w:t>
      </w:r>
      <w:r>
        <w:rPr>
          <w:rFonts w:ascii="Arial" w:hAnsi="Arial" w:cs="Arial" w:eastAsia="Arial" w:hint="default"/>
          <w:sz w:val="21"/>
          <w:szCs w:val="21"/>
        </w:rPr>
        <w:t>64.26%</w:t>
      </w:r>
      <w:r>
        <w:rPr>
          <w:rFonts w:ascii="宋体" w:hAnsi="宋体" w:cs="宋体" w:eastAsia="宋体" w:hint="default"/>
          <w:sz w:val="21"/>
          <w:szCs w:val="21"/>
        </w:rPr>
        <w:t>，通过网络投票出席</w:t>
      </w:r>
      <w:r>
        <w:rPr>
          <w:rFonts w:ascii="宋体" w:hAnsi="宋体" w:cs="宋体" w:eastAsia="宋体" w:hint="default"/>
          <w:w w:val="100"/>
          <w:sz w:val="21"/>
          <w:szCs w:val="21"/>
        </w:rPr>
        <w:t> </w:t>
      </w:r>
      <w:r>
        <w:rPr>
          <w:rFonts w:ascii="宋体" w:hAnsi="宋体" w:cs="宋体" w:eastAsia="宋体" w:hint="default"/>
          <w:sz w:val="21"/>
          <w:szCs w:val="21"/>
        </w:rPr>
        <w:t>本次会议的股东人数：</w:t>
      </w:r>
      <w:r>
        <w:rPr>
          <w:rFonts w:ascii="Arial" w:hAnsi="Arial" w:cs="Arial" w:eastAsia="Arial" w:hint="default"/>
          <w:sz w:val="21"/>
          <w:szCs w:val="21"/>
        </w:rPr>
        <w:t>31</w:t>
      </w:r>
      <w:r>
        <w:rPr>
          <w:rFonts w:ascii="Arial" w:hAnsi="Arial" w:cs="Arial" w:eastAsia="Arial" w:hint="default"/>
          <w:spacing w:val="-10"/>
          <w:sz w:val="21"/>
          <w:szCs w:val="21"/>
        </w:rPr>
        <w:t> </w:t>
      </w:r>
      <w:r>
        <w:rPr>
          <w:rFonts w:ascii="宋体" w:hAnsi="宋体" w:cs="宋体" w:eastAsia="宋体" w:hint="default"/>
          <w:sz w:val="21"/>
          <w:szCs w:val="21"/>
        </w:rPr>
        <w:t>人，所持有表决权的股份总数为</w:t>
      </w:r>
      <w:r>
        <w:rPr>
          <w:rFonts w:ascii="宋体" w:hAnsi="宋体" w:cs="宋体" w:eastAsia="宋体" w:hint="default"/>
          <w:spacing w:val="-55"/>
          <w:sz w:val="21"/>
          <w:szCs w:val="21"/>
        </w:rPr>
        <w:t> </w:t>
      </w:r>
      <w:r>
        <w:rPr>
          <w:rFonts w:ascii="Arial" w:hAnsi="Arial" w:cs="Arial" w:eastAsia="Arial" w:hint="default"/>
          <w:sz w:val="21"/>
          <w:szCs w:val="21"/>
        </w:rPr>
        <w:t>59,198,370</w:t>
      </w:r>
      <w:r>
        <w:rPr>
          <w:rFonts w:ascii="Arial" w:hAnsi="Arial" w:cs="Arial" w:eastAsia="Arial" w:hint="default"/>
          <w:spacing w:val="-7"/>
          <w:sz w:val="21"/>
          <w:szCs w:val="21"/>
        </w:rPr>
        <w:t> </w:t>
      </w:r>
      <w:r>
        <w:rPr>
          <w:rFonts w:ascii="宋体" w:hAnsi="宋体" w:cs="宋体" w:eastAsia="宋体" w:hint="default"/>
          <w:sz w:val="21"/>
          <w:szCs w:val="21"/>
        </w:rPr>
        <w:t>股，占公司总股本的</w:t>
      </w:r>
      <w:r>
        <w:rPr>
          <w:rFonts w:ascii="宋体" w:hAnsi="宋体" w:cs="宋体" w:eastAsia="宋体" w:hint="default"/>
          <w:w w:val="100"/>
          <w:sz w:val="21"/>
          <w:szCs w:val="21"/>
        </w:rPr>
        <w:t> </w:t>
      </w:r>
      <w:r>
        <w:rPr>
          <w:rFonts w:ascii="Arial" w:hAnsi="Arial" w:cs="Arial" w:eastAsia="Arial" w:hint="default"/>
          <w:sz w:val="21"/>
          <w:szCs w:val="21"/>
        </w:rPr>
        <w:t>0.28%</w:t>
      </w:r>
      <w:r>
        <w:rPr>
          <w:rFonts w:ascii="宋体" w:hAnsi="宋体" w:cs="宋体" w:eastAsia="宋体" w:hint="default"/>
          <w:sz w:val="21"/>
          <w:szCs w:val="21"/>
        </w:rPr>
        <w:t>。符合《中华人民共和国公司法》及公司章程的规定。</w:t>
      </w:r>
    </w:p>
    <w:p>
      <w:pPr>
        <w:spacing w:line="240" w:lineRule="auto" w:before="4"/>
        <w:rPr>
          <w:rFonts w:ascii="宋体" w:hAnsi="宋体" w:cs="宋体" w:eastAsia="宋体" w:hint="default"/>
          <w:sz w:val="19"/>
          <w:szCs w:val="19"/>
        </w:rPr>
      </w:pPr>
    </w:p>
    <w:p>
      <w:pPr>
        <w:spacing w:line="274" w:lineRule="exact" w:before="0"/>
        <w:ind w:left="565" w:right="285" w:firstLine="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6"/>
          <w:sz w:val="21"/>
          <w:szCs w:val="21"/>
        </w:rPr>
        <w:t> </w:t>
      </w:r>
      <w:r>
        <w:rPr>
          <w:rFonts w:ascii="Arial" w:hAnsi="Arial" w:cs="Arial" w:eastAsia="Arial" w:hint="default"/>
          <w:sz w:val="21"/>
          <w:szCs w:val="21"/>
        </w:rPr>
        <w:t>2014</w:t>
      </w:r>
      <w:r>
        <w:rPr>
          <w:rFonts w:ascii="Arial" w:hAnsi="Arial" w:cs="Arial" w:eastAsia="Arial" w:hint="default"/>
          <w:spacing w:val="-9"/>
          <w:sz w:val="21"/>
          <w:szCs w:val="21"/>
        </w:rPr>
        <w:t> </w:t>
      </w:r>
      <w:r>
        <w:rPr>
          <w:rFonts w:ascii="宋体" w:hAnsi="宋体" w:cs="宋体" w:eastAsia="宋体" w:hint="default"/>
          <w:sz w:val="21"/>
          <w:szCs w:val="21"/>
        </w:rPr>
        <w:t>年度第二次临时股东大会审议并表决通过了《关于选举蔡全根先生为公司监事的</w:t>
      </w:r>
      <w:r>
        <w:rPr>
          <w:rFonts w:ascii="宋体" w:hAnsi="宋体" w:cs="宋体" w:eastAsia="宋体" w:hint="default"/>
          <w:w w:val="100"/>
          <w:sz w:val="21"/>
          <w:szCs w:val="21"/>
        </w:rPr>
        <w:t> </w:t>
      </w:r>
      <w:r>
        <w:rPr>
          <w:rFonts w:ascii="宋体" w:hAnsi="宋体" w:cs="宋体" w:eastAsia="宋体" w:hint="default"/>
          <w:sz w:val="21"/>
          <w:szCs w:val="21"/>
        </w:rPr>
        <w:t>议案》。</w:t>
      </w:r>
    </w:p>
    <w:p>
      <w:pPr>
        <w:spacing w:line="240" w:lineRule="auto" w:before="4"/>
        <w:rPr>
          <w:rFonts w:ascii="宋体" w:hAnsi="宋体" w:cs="宋体" w:eastAsia="宋体" w:hint="default"/>
          <w:sz w:val="16"/>
          <w:szCs w:val="16"/>
        </w:rPr>
      </w:pPr>
    </w:p>
    <w:p>
      <w:pPr>
        <w:spacing w:line="501" w:lineRule="auto" w:before="0"/>
        <w:ind w:left="138" w:right="4295" w:firstLine="427"/>
        <w:jc w:val="left"/>
        <w:rPr>
          <w:rFonts w:ascii="宋体" w:hAnsi="宋体" w:cs="宋体" w:eastAsia="宋体" w:hint="default"/>
          <w:sz w:val="21"/>
          <w:szCs w:val="21"/>
        </w:rPr>
      </w:pPr>
      <w:r>
        <w:rPr>
          <w:rFonts w:ascii="宋体" w:hAnsi="宋体" w:cs="宋体" w:eastAsia="宋体" w:hint="default"/>
          <w:spacing w:val="-2"/>
          <w:sz w:val="21"/>
          <w:szCs w:val="21"/>
        </w:rPr>
        <w:t>股东大会所通过的决议全部得到执行落实。</w:t>
      </w:r>
      <w:r>
        <w:rPr>
          <w:rFonts w:ascii="宋体" w:hAnsi="宋体" w:cs="宋体" w:eastAsia="宋体" w:hint="default"/>
          <w:w w:val="100"/>
          <w:sz w:val="21"/>
          <w:szCs w:val="21"/>
        </w:rPr>
        <w:t> </w:t>
      </w:r>
      <w:r>
        <w:rPr>
          <w:rFonts w:ascii="宋体" w:hAnsi="宋体" w:cs="宋体" w:eastAsia="宋体" w:hint="default"/>
          <w:b/>
          <w:bCs/>
          <w:sz w:val="21"/>
          <w:szCs w:val="21"/>
        </w:rPr>
        <w:t>三、董事履行职责情况</w:t>
      </w:r>
      <w:r>
        <w:rPr>
          <w:rFonts w:ascii="宋体" w:hAnsi="宋体" w:cs="宋体" w:eastAsia="宋体" w:hint="default"/>
          <w:sz w:val="21"/>
          <w:szCs w:val="21"/>
        </w:rPr>
      </w:r>
    </w:p>
    <w:p>
      <w:pPr>
        <w:spacing w:before="161"/>
        <w:ind w:left="138" w:right="119"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一</w:t>
      </w:r>
      <w:r>
        <w:rPr>
          <w:rFonts w:ascii="Arial" w:hAnsi="Arial" w:cs="Arial" w:eastAsia="Arial" w:hint="default"/>
          <w:b/>
          <w:bCs/>
          <w:sz w:val="21"/>
          <w:szCs w:val="21"/>
        </w:rPr>
        <w:t>)</w:t>
      </w:r>
      <w:r>
        <w:rPr>
          <w:rFonts w:ascii="Arial" w:hAnsi="Arial" w:cs="Arial" w:eastAsia="Arial" w:hint="default"/>
          <w:b/>
          <w:bCs/>
          <w:spacing w:val="9"/>
          <w:sz w:val="21"/>
          <w:szCs w:val="21"/>
        </w:rPr>
        <w:t> </w:t>
      </w:r>
      <w:r>
        <w:rPr>
          <w:rFonts w:ascii="宋体" w:hAnsi="宋体" w:cs="宋体" w:eastAsia="宋体" w:hint="default"/>
          <w:b/>
          <w:bCs/>
          <w:sz w:val="21"/>
          <w:szCs w:val="21"/>
        </w:rPr>
        <w:t>董事参加董事会和股东大会的情况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tbl>
      <w:tblPr>
        <w:tblW w:w="0" w:type="auto"/>
        <w:jc w:val="left"/>
        <w:tblInd w:w="560" w:type="dxa"/>
        <w:tblLayout w:type="fixed"/>
        <w:tblCellMar>
          <w:top w:w="0" w:type="dxa"/>
          <w:left w:w="0" w:type="dxa"/>
          <w:bottom w:w="0" w:type="dxa"/>
          <w:right w:w="0" w:type="dxa"/>
        </w:tblCellMar>
        <w:tblLook w:val="01E0"/>
      </w:tblPr>
      <w:tblGrid>
        <w:gridCol w:w="850"/>
        <w:gridCol w:w="848"/>
        <w:gridCol w:w="996"/>
        <w:gridCol w:w="852"/>
        <w:gridCol w:w="850"/>
        <w:gridCol w:w="722"/>
        <w:gridCol w:w="845"/>
        <w:gridCol w:w="1298"/>
        <w:gridCol w:w="1256"/>
      </w:tblGrid>
      <w:tr>
        <w:trPr>
          <w:trHeight w:val="406" w:hRule="exact"/>
        </w:trPr>
        <w:tc>
          <w:tcPr>
            <w:tcW w:w="850" w:type="dxa"/>
            <w:tcBorders>
              <w:top w:val="single" w:sz="4" w:space="0" w:color="000000"/>
              <w:left w:val="single" w:sz="4" w:space="0" w:color="000000"/>
              <w:bottom w:val="single" w:sz="2" w:space="0" w:color="FFFFFF"/>
              <w:right w:val="single" w:sz="4" w:space="0" w:color="000000"/>
            </w:tcBorders>
            <w:shd w:val="clear" w:color="auto" w:fill="E4E4E4"/>
          </w:tcPr>
          <w:p>
            <w:pPr/>
          </w:p>
        </w:tc>
        <w:tc>
          <w:tcPr>
            <w:tcW w:w="848" w:type="dxa"/>
            <w:tcBorders>
              <w:top w:val="single" w:sz="4" w:space="0" w:color="000000"/>
              <w:left w:val="single" w:sz="4" w:space="0" w:color="000000"/>
              <w:bottom w:val="single" w:sz="2" w:space="0" w:color="FFFFFF"/>
              <w:right w:val="single" w:sz="4" w:space="0" w:color="000000"/>
            </w:tcBorders>
            <w:shd w:val="clear" w:color="auto" w:fill="E4E4E4"/>
          </w:tcPr>
          <w:p>
            <w:pPr/>
          </w:p>
        </w:tc>
        <w:tc>
          <w:tcPr>
            <w:tcW w:w="5564" w:type="dxa"/>
            <w:gridSpan w:val="6"/>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b/>
                <w:bCs/>
                <w:sz w:val="18"/>
                <w:szCs w:val="18"/>
              </w:rPr>
              <w:t>参加董事会情况</w:t>
            </w:r>
            <w:r>
              <w:rPr>
                <w:rFonts w:ascii="宋体" w:hAnsi="宋体" w:cs="宋体" w:eastAsia="宋体" w:hint="default"/>
                <w:sz w:val="18"/>
                <w:szCs w:val="18"/>
              </w:rPr>
            </w:r>
          </w:p>
        </w:tc>
        <w:tc>
          <w:tcPr>
            <w:tcW w:w="1256" w:type="dxa"/>
            <w:vMerge w:val="restart"/>
            <w:tcBorders>
              <w:top w:val="single" w:sz="4" w:space="0" w:color="000000"/>
              <w:left w:val="single" w:sz="4" w:space="0" w:color="000000"/>
              <w:right w:val="single" w:sz="4" w:space="0" w:color="000000"/>
            </w:tcBorders>
            <w:shd w:val="clear" w:color="auto" w:fill="E4E4E4"/>
          </w:tcPr>
          <w:p>
            <w:pPr>
              <w:pStyle w:val="TableParagraph"/>
              <w:spacing w:line="232" w:lineRule="exact" w:before="42"/>
              <w:ind w:left="350" w:right="171" w:hanging="180"/>
              <w:jc w:val="left"/>
              <w:rPr>
                <w:rFonts w:ascii="宋体" w:hAnsi="宋体" w:cs="宋体" w:eastAsia="宋体" w:hint="default"/>
                <w:sz w:val="18"/>
                <w:szCs w:val="18"/>
              </w:rPr>
            </w:pPr>
            <w:r>
              <w:rPr>
                <w:rFonts w:ascii="宋体" w:hAnsi="宋体" w:cs="宋体" w:eastAsia="宋体" w:hint="default"/>
                <w:b/>
                <w:bCs/>
                <w:sz w:val="18"/>
                <w:szCs w:val="18"/>
              </w:rPr>
              <w:t>参加股东大</w:t>
            </w:r>
            <w:r>
              <w:rPr>
                <w:rFonts w:ascii="宋体" w:hAnsi="宋体" w:cs="宋体" w:eastAsia="宋体" w:hint="default"/>
                <w:b/>
                <w:bCs/>
                <w:w w:val="99"/>
                <w:sz w:val="18"/>
                <w:szCs w:val="18"/>
              </w:rPr>
              <w:t> </w:t>
            </w:r>
            <w:r>
              <w:rPr>
                <w:rFonts w:ascii="宋体" w:hAnsi="宋体" w:cs="宋体" w:eastAsia="宋体" w:hint="default"/>
                <w:b/>
                <w:bCs/>
                <w:sz w:val="18"/>
                <w:szCs w:val="18"/>
              </w:rPr>
              <w:t>会情况</w:t>
            </w:r>
            <w:r>
              <w:rPr>
                <w:rFonts w:ascii="宋体" w:hAnsi="宋体" w:cs="宋体" w:eastAsia="宋体" w:hint="default"/>
                <w:sz w:val="18"/>
                <w:szCs w:val="18"/>
              </w:rPr>
            </w:r>
          </w:p>
        </w:tc>
      </w:tr>
      <w:tr>
        <w:trPr>
          <w:trHeight w:val="166" w:hRule="exact"/>
        </w:trPr>
        <w:tc>
          <w:tcPr>
            <w:tcW w:w="850" w:type="dxa"/>
            <w:vMerge w:val="restart"/>
            <w:tcBorders>
              <w:top w:val="single" w:sz="2" w:space="0" w:color="FFFFFF"/>
              <w:left w:val="single" w:sz="4" w:space="0" w:color="000000"/>
              <w:right w:val="single" w:sz="4" w:space="0" w:color="000000"/>
            </w:tcBorders>
            <w:shd w:val="clear" w:color="auto" w:fill="E4E4E4"/>
          </w:tcPr>
          <w:p>
            <w:pPr>
              <w:pStyle w:val="TableParagraph"/>
              <w:spacing w:line="204" w:lineRule="exact"/>
              <w:ind w:left="237" w:right="0"/>
              <w:jc w:val="left"/>
              <w:rPr>
                <w:rFonts w:ascii="宋体" w:hAnsi="宋体" w:cs="宋体" w:eastAsia="宋体" w:hint="default"/>
                <w:sz w:val="18"/>
                <w:szCs w:val="18"/>
              </w:rPr>
            </w:pPr>
            <w:r>
              <w:rPr>
                <w:rFonts w:ascii="宋体" w:hAnsi="宋体" w:cs="宋体" w:eastAsia="宋体" w:hint="default"/>
                <w:b/>
                <w:bCs/>
                <w:sz w:val="18"/>
                <w:szCs w:val="18"/>
              </w:rPr>
              <w:t>董事</w:t>
            </w:r>
            <w:r>
              <w:rPr>
                <w:rFonts w:ascii="宋体" w:hAnsi="宋体" w:cs="宋体" w:eastAsia="宋体" w:hint="default"/>
                <w:sz w:val="18"/>
                <w:szCs w:val="18"/>
              </w:rPr>
            </w:r>
          </w:p>
          <w:p>
            <w:pPr>
              <w:pStyle w:val="TableParagraph"/>
              <w:spacing w:line="234" w:lineRule="exact"/>
              <w:ind w:left="237" w:right="0"/>
              <w:jc w:val="left"/>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848" w:type="dxa"/>
            <w:vMerge w:val="restart"/>
            <w:tcBorders>
              <w:top w:val="single" w:sz="2" w:space="0" w:color="FFFFFF"/>
              <w:left w:val="single" w:sz="4" w:space="0" w:color="000000"/>
              <w:right w:val="single" w:sz="4" w:space="0" w:color="000000"/>
            </w:tcBorders>
            <w:shd w:val="clear" w:color="auto" w:fill="E4E4E4"/>
          </w:tcPr>
          <w:p>
            <w:pPr>
              <w:pStyle w:val="TableParagraph"/>
              <w:spacing w:line="204" w:lineRule="exact"/>
              <w:ind w:left="146" w:right="0"/>
              <w:jc w:val="left"/>
              <w:rPr>
                <w:rFonts w:ascii="宋体" w:hAnsi="宋体" w:cs="宋体" w:eastAsia="宋体" w:hint="default"/>
                <w:sz w:val="18"/>
                <w:szCs w:val="18"/>
              </w:rPr>
            </w:pPr>
            <w:r>
              <w:rPr>
                <w:rFonts w:ascii="宋体" w:hAnsi="宋体" w:cs="宋体" w:eastAsia="宋体" w:hint="default"/>
                <w:b/>
                <w:bCs/>
                <w:sz w:val="18"/>
                <w:szCs w:val="18"/>
              </w:rPr>
              <w:t>是否独</w:t>
            </w:r>
            <w:r>
              <w:rPr>
                <w:rFonts w:ascii="宋体" w:hAnsi="宋体" w:cs="宋体" w:eastAsia="宋体" w:hint="default"/>
                <w:sz w:val="18"/>
                <w:szCs w:val="18"/>
              </w:rPr>
            </w:r>
          </w:p>
          <w:p>
            <w:pPr>
              <w:pStyle w:val="TableParagraph"/>
              <w:spacing w:line="234" w:lineRule="exact"/>
              <w:ind w:left="146" w:right="0"/>
              <w:jc w:val="left"/>
              <w:rPr>
                <w:rFonts w:ascii="宋体" w:hAnsi="宋体" w:cs="宋体" w:eastAsia="宋体" w:hint="default"/>
                <w:sz w:val="18"/>
                <w:szCs w:val="18"/>
              </w:rPr>
            </w:pPr>
            <w:r>
              <w:rPr>
                <w:rFonts w:ascii="宋体" w:hAnsi="宋体" w:cs="宋体" w:eastAsia="宋体" w:hint="default"/>
                <w:b/>
                <w:bCs/>
                <w:sz w:val="18"/>
                <w:szCs w:val="18"/>
              </w:rPr>
              <w:t>立董事</w:t>
            </w:r>
            <w:r>
              <w:rPr>
                <w:rFonts w:ascii="宋体" w:hAnsi="宋体" w:cs="宋体" w:eastAsia="宋体" w:hint="default"/>
                <w:sz w:val="18"/>
                <w:szCs w:val="18"/>
              </w:rPr>
            </w:r>
          </w:p>
        </w:tc>
        <w:tc>
          <w:tcPr>
            <w:tcW w:w="5564" w:type="dxa"/>
            <w:gridSpan w:val="6"/>
            <w:vMerge/>
            <w:tcBorders>
              <w:left w:val="single" w:sz="4" w:space="0" w:color="000000"/>
              <w:bottom w:val="single" w:sz="4" w:space="0" w:color="000000"/>
              <w:right w:val="single" w:sz="4" w:space="0" w:color="000000"/>
            </w:tcBorders>
            <w:shd w:val="clear" w:color="auto" w:fill="E4E4E4"/>
          </w:tcPr>
          <w:p>
            <w:pPr/>
          </w:p>
        </w:tc>
        <w:tc>
          <w:tcPr>
            <w:tcW w:w="1256" w:type="dxa"/>
            <w:vMerge/>
            <w:tcBorders>
              <w:left w:val="single" w:sz="4" w:space="0" w:color="000000"/>
              <w:bottom w:val="single" w:sz="4" w:space="0" w:color="000000"/>
              <w:right w:val="single" w:sz="4" w:space="0" w:color="000000"/>
            </w:tcBorders>
            <w:shd w:val="clear" w:color="auto" w:fill="E4E4E4"/>
          </w:tcPr>
          <w:p>
            <w:pPr/>
          </w:p>
        </w:tc>
      </w:tr>
      <w:tr>
        <w:trPr>
          <w:trHeight w:val="710" w:hRule="exact"/>
        </w:trPr>
        <w:tc>
          <w:tcPr>
            <w:tcW w:w="850" w:type="dxa"/>
            <w:vMerge/>
            <w:tcBorders>
              <w:left w:val="single" w:sz="4" w:space="0" w:color="000000"/>
              <w:bottom w:val="single" w:sz="4" w:space="0" w:color="000000"/>
              <w:right w:val="single" w:sz="4" w:space="0" w:color="000000"/>
            </w:tcBorders>
            <w:shd w:val="clear" w:color="auto" w:fill="E4E4E4"/>
          </w:tcPr>
          <w:p>
            <w:pPr/>
          </w:p>
        </w:tc>
        <w:tc>
          <w:tcPr>
            <w:tcW w:w="848" w:type="dxa"/>
            <w:vMerge/>
            <w:tcBorders>
              <w:left w:val="single" w:sz="4" w:space="0" w:color="000000"/>
              <w:bottom w:val="single" w:sz="4" w:space="0" w:color="000000"/>
              <w:right w:val="single" w:sz="4" w:space="0" w:color="000000"/>
            </w:tcBorders>
            <w:shd w:val="clear" w:color="auto" w:fill="E4E4E4"/>
          </w:tcPr>
          <w:p>
            <w:pPr/>
          </w:p>
        </w:tc>
        <w:tc>
          <w:tcPr>
            <w:tcW w:w="99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4" w:lineRule="exact"/>
              <w:ind w:left="131" w:right="0"/>
              <w:jc w:val="left"/>
              <w:rPr>
                <w:rFonts w:ascii="宋体" w:hAnsi="宋体" w:cs="宋体" w:eastAsia="宋体" w:hint="default"/>
                <w:sz w:val="18"/>
                <w:szCs w:val="18"/>
              </w:rPr>
            </w:pPr>
            <w:r>
              <w:rPr>
                <w:rFonts w:ascii="宋体" w:hAnsi="宋体" w:cs="宋体" w:eastAsia="宋体" w:hint="default"/>
                <w:b/>
                <w:bCs/>
                <w:sz w:val="18"/>
                <w:szCs w:val="18"/>
              </w:rPr>
              <w:t>本年应参</w:t>
            </w:r>
            <w:r>
              <w:rPr>
                <w:rFonts w:ascii="宋体" w:hAnsi="宋体" w:cs="宋体" w:eastAsia="宋体" w:hint="default"/>
                <w:sz w:val="18"/>
                <w:szCs w:val="18"/>
              </w:rPr>
            </w:r>
          </w:p>
          <w:p>
            <w:pPr>
              <w:pStyle w:val="TableParagraph"/>
              <w:spacing w:line="240" w:lineRule="auto"/>
              <w:ind w:left="311" w:right="130" w:hanging="180"/>
              <w:jc w:val="left"/>
              <w:rPr>
                <w:rFonts w:ascii="宋体" w:hAnsi="宋体" w:cs="宋体" w:eastAsia="宋体" w:hint="default"/>
                <w:sz w:val="18"/>
                <w:szCs w:val="18"/>
              </w:rPr>
            </w:pPr>
            <w:r>
              <w:rPr>
                <w:rFonts w:ascii="宋体" w:hAnsi="宋体" w:cs="宋体" w:eastAsia="宋体" w:hint="default"/>
                <w:b/>
                <w:bCs/>
                <w:sz w:val="18"/>
                <w:szCs w:val="18"/>
              </w:rPr>
              <w:t>加董事会</w:t>
            </w:r>
            <w:r>
              <w:rPr>
                <w:rFonts w:ascii="宋体" w:hAnsi="宋体" w:cs="宋体" w:eastAsia="宋体" w:hint="default"/>
                <w:b/>
                <w:bCs/>
                <w:w w:val="99"/>
                <w:sz w:val="18"/>
                <w:szCs w:val="18"/>
              </w:rPr>
              <w:t> </w:t>
            </w:r>
            <w:r>
              <w:rPr>
                <w:rFonts w:ascii="宋体" w:hAnsi="宋体" w:cs="宋体" w:eastAsia="宋体" w:hint="default"/>
                <w:b/>
                <w:bCs/>
                <w:sz w:val="18"/>
                <w:szCs w:val="18"/>
              </w:rPr>
              <w:t>次数</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2" w:lineRule="exact" w:before="112"/>
              <w:ind w:left="146" w:right="152"/>
              <w:jc w:val="left"/>
              <w:rPr>
                <w:rFonts w:ascii="宋体" w:hAnsi="宋体" w:cs="宋体" w:eastAsia="宋体" w:hint="default"/>
                <w:sz w:val="18"/>
                <w:szCs w:val="18"/>
              </w:rPr>
            </w:pPr>
            <w:r>
              <w:rPr>
                <w:rFonts w:ascii="宋体" w:hAnsi="宋体" w:cs="宋体" w:eastAsia="宋体" w:hint="default"/>
                <w:b/>
                <w:bCs/>
                <w:sz w:val="18"/>
                <w:szCs w:val="18"/>
              </w:rPr>
              <w:t>亲自出</w:t>
            </w:r>
            <w:r>
              <w:rPr>
                <w:rFonts w:ascii="宋体" w:hAnsi="宋体" w:cs="宋体" w:eastAsia="宋体" w:hint="default"/>
                <w:b/>
                <w:bCs/>
                <w:w w:val="99"/>
                <w:sz w:val="18"/>
                <w:szCs w:val="18"/>
              </w:rPr>
              <w:t> </w:t>
            </w:r>
            <w:r>
              <w:rPr>
                <w:rFonts w:ascii="宋体" w:hAnsi="宋体" w:cs="宋体" w:eastAsia="宋体" w:hint="default"/>
                <w:b/>
                <w:bCs/>
                <w:sz w:val="18"/>
                <w:szCs w:val="18"/>
              </w:rPr>
              <w:t>席次数</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4" w:lineRule="exact"/>
              <w:ind w:left="146" w:right="0"/>
              <w:jc w:val="left"/>
              <w:rPr>
                <w:rFonts w:ascii="宋体" w:hAnsi="宋体" w:cs="宋体" w:eastAsia="宋体" w:hint="default"/>
                <w:sz w:val="18"/>
                <w:szCs w:val="18"/>
              </w:rPr>
            </w:pPr>
            <w:r>
              <w:rPr>
                <w:rFonts w:ascii="宋体" w:hAnsi="宋体" w:cs="宋体" w:eastAsia="宋体" w:hint="default"/>
                <w:b/>
                <w:bCs/>
                <w:sz w:val="18"/>
                <w:szCs w:val="18"/>
              </w:rPr>
              <w:t>以通讯</w:t>
            </w:r>
            <w:r>
              <w:rPr>
                <w:rFonts w:ascii="宋体" w:hAnsi="宋体" w:cs="宋体" w:eastAsia="宋体" w:hint="default"/>
                <w:sz w:val="18"/>
                <w:szCs w:val="18"/>
              </w:rPr>
            </w:r>
          </w:p>
          <w:p>
            <w:pPr>
              <w:pStyle w:val="TableParagraph"/>
              <w:spacing w:line="240" w:lineRule="auto"/>
              <w:ind w:left="146" w:right="149"/>
              <w:jc w:val="left"/>
              <w:rPr>
                <w:rFonts w:ascii="宋体" w:hAnsi="宋体" w:cs="宋体" w:eastAsia="宋体" w:hint="default"/>
                <w:sz w:val="18"/>
                <w:szCs w:val="18"/>
              </w:rPr>
            </w:pPr>
            <w:r>
              <w:rPr>
                <w:rFonts w:ascii="宋体" w:hAnsi="宋体" w:cs="宋体" w:eastAsia="宋体" w:hint="default"/>
                <w:b/>
                <w:bCs/>
                <w:sz w:val="18"/>
                <w:szCs w:val="18"/>
              </w:rPr>
              <w:t>方式参</w:t>
            </w:r>
            <w:r>
              <w:rPr>
                <w:rFonts w:ascii="宋体" w:hAnsi="宋体" w:cs="宋体" w:eastAsia="宋体" w:hint="default"/>
                <w:b/>
                <w:bCs/>
                <w:w w:val="99"/>
                <w:sz w:val="18"/>
                <w:szCs w:val="18"/>
              </w:rPr>
              <w:t> </w:t>
            </w:r>
            <w:r>
              <w:rPr>
                <w:rFonts w:ascii="宋体" w:hAnsi="宋体" w:cs="宋体" w:eastAsia="宋体" w:hint="default"/>
                <w:b/>
                <w:bCs/>
                <w:sz w:val="18"/>
                <w:szCs w:val="18"/>
              </w:rPr>
              <w:t>加次数</w:t>
            </w:r>
            <w:r>
              <w:rPr>
                <w:rFonts w:ascii="宋体" w:hAnsi="宋体" w:cs="宋体" w:eastAsia="宋体" w:hint="default"/>
                <w:sz w:val="18"/>
                <w:szCs w:val="18"/>
              </w:rPr>
            </w:r>
          </w:p>
        </w:tc>
        <w:tc>
          <w:tcPr>
            <w:tcW w:w="72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b/>
                <w:bCs/>
                <w:sz w:val="18"/>
                <w:szCs w:val="18"/>
              </w:rPr>
              <w:t>委托</w:t>
            </w:r>
            <w:r>
              <w:rPr>
                <w:rFonts w:ascii="宋体" w:hAnsi="宋体" w:cs="宋体" w:eastAsia="宋体" w:hint="default"/>
                <w:sz w:val="18"/>
                <w:szCs w:val="18"/>
              </w:rPr>
            </w:r>
          </w:p>
          <w:p>
            <w:pPr>
              <w:pStyle w:val="TableParagraph"/>
              <w:spacing w:line="240" w:lineRule="auto"/>
              <w:ind w:left="175" w:right="170"/>
              <w:jc w:val="left"/>
              <w:rPr>
                <w:rFonts w:ascii="宋体" w:hAnsi="宋体" w:cs="宋体" w:eastAsia="宋体" w:hint="default"/>
                <w:sz w:val="18"/>
                <w:szCs w:val="18"/>
              </w:rPr>
            </w:pPr>
            <w:r>
              <w:rPr>
                <w:rFonts w:ascii="宋体" w:hAnsi="宋体" w:cs="宋体" w:eastAsia="宋体" w:hint="default"/>
                <w:b/>
                <w:bCs/>
                <w:sz w:val="18"/>
                <w:szCs w:val="18"/>
              </w:rPr>
              <w:t>出席</w:t>
            </w:r>
            <w:r>
              <w:rPr>
                <w:rFonts w:ascii="宋体" w:hAnsi="宋体" w:cs="宋体" w:eastAsia="宋体" w:hint="default"/>
                <w:b/>
                <w:bCs/>
                <w:spacing w:val="-89"/>
                <w:sz w:val="18"/>
                <w:szCs w:val="18"/>
              </w:rPr>
              <w:t> </w:t>
            </w:r>
            <w:r>
              <w:rPr>
                <w:rFonts w:ascii="宋体" w:hAnsi="宋体" w:cs="宋体" w:eastAsia="宋体" w:hint="default"/>
                <w:b/>
                <w:bCs/>
                <w:sz w:val="18"/>
                <w:szCs w:val="18"/>
              </w:rPr>
              <w:t>次数</w:t>
            </w:r>
            <w:r>
              <w:rPr>
                <w:rFonts w:ascii="宋体" w:hAnsi="宋体" w:cs="宋体" w:eastAsia="宋体" w:hint="default"/>
                <w:sz w:val="18"/>
                <w:szCs w:val="18"/>
              </w:rPr>
            </w:r>
          </w:p>
        </w:tc>
        <w:tc>
          <w:tcPr>
            <w:tcW w:w="84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2" w:lineRule="exact" w:before="112"/>
              <w:ind w:left="232" w:right="236"/>
              <w:jc w:val="left"/>
              <w:rPr>
                <w:rFonts w:ascii="宋体" w:hAnsi="宋体" w:cs="宋体" w:eastAsia="宋体" w:hint="default"/>
                <w:sz w:val="18"/>
                <w:szCs w:val="18"/>
              </w:rPr>
            </w:pPr>
            <w:r>
              <w:rPr>
                <w:rFonts w:ascii="宋体" w:hAnsi="宋体" w:cs="宋体" w:eastAsia="宋体" w:hint="default"/>
                <w:b/>
                <w:bCs/>
                <w:sz w:val="18"/>
                <w:szCs w:val="18"/>
              </w:rPr>
              <w:t>缺席</w:t>
            </w:r>
            <w:r>
              <w:rPr>
                <w:rFonts w:ascii="宋体" w:hAnsi="宋体" w:cs="宋体" w:eastAsia="宋体" w:hint="default"/>
                <w:b/>
                <w:bCs/>
                <w:spacing w:val="-89"/>
                <w:sz w:val="18"/>
                <w:szCs w:val="18"/>
              </w:rPr>
              <w:t> </w:t>
            </w:r>
            <w:r>
              <w:rPr>
                <w:rFonts w:ascii="宋体" w:hAnsi="宋体" w:cs="宋体" w:eastAsia="宋体" w:hint="default"/>
                <w:b/>
                <w:bCs/>
                <w:sz w:val="18"/>
                <w:szCs w:val="18"/>
              </w:rPr>
              <w:t>次数</w:t>
            </w:r>
            <w:r>
              <w:rPr>
                <w:rFonts w:ascii="宋体" w:hAnsi="宋体" w:cs="宋体" w:eastAsia="宋体" w:hint="default"/>
                <w:sz w:val="18"/>
                <w:szCs w:val="18"/>
              </w:rPr>
            </w:r>
          </w:p>
        </w:tc>
        <w:tc>
          <w:tcPr>
            <w:tcW w:w="129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4" w:lineRule="exact"/>
              <w:ind w:left="189" w:right="0"/>
              <w:jc w:val="left"/>
              <w:rPr>
                <w:rFonts w:ascii="宋体" w:hAnsi="宋体" w:cs="宋体" w:eastAsia="宋体" w:hint="default"/>
                <w:sz w:val="18"/>
                <w:szCs w:val="18"/>
              </w:rPr>
            </w:pPr>
            <w:r>
              <w:rPr>
                <w:rFonts w:ascii="宋体" w:hAnsi="宋体" w:cs="宋体" w:eastAsia="宋体" w:hint="default"/>
                <w:b/>
                <w:bCs/>
                <w:sz w:val="18"/>
                <w:szCs w:val="18"/>
              </w:rPr>
              <w:t>是否连续两</w:t>
            </w:r>
            <w:r>
              <w:rPr>
                <w:rFonts w:ascii="宋体" w:hAnsi="宋体" w:cs="宋体" w:eastAsia="宋体" w:hint="default"/>
                <w:sz w:val="18"/>
                <w:szCs w:val="18"/>
              </w:rPr>
            </w:r>
          </w:p>
          <w:p>
            <w:pPr>
              <w:pStyle w:val="TableParagraph"/>
              <w:spacing w:line="240" w:lineRule="auto"/>
              <w:ind w:left="369" w:right="195" w:hanging="180"/>
              <w:jc w:val="left"/>
              <w:rPr>
                <w:rFonts w:ascii="宋体" w:hAnsi="宋体" w:cs="宋体" w:eastAsia="宋体" w:hint="default"/>
                <w:sz w:val="18"/>
                <w:szCs w:val="18"/>
              </w:rPr>
            </w:pPr>
            <w:r>
              <w:rPr>
                <w:rFonts w:ascii="宋体" w:hAnsi="宋体" w:cs="宋体" w:eastAsia="宋体" w:hint="default"/>
                <w:b/>
                <w:bCs/>
                <w:sz w:val="18"/>
                <w:szCs w:val="18"/>
              </w:rPr>
              <w:t>次未亲自参</w:t>
            </w:r>
            <w:r>
              <w:rPr>
                <w:rFonts w:ascii="宋体" w:hAnsi="宋体" w:cs="宋体" w:eastAsia="宋体" w:hint="default"/>
                <w:b/>
                <w:bCs/>
                <w:w w:val="99"/>
                <w:sz w:val="18"/>
                <w:szCs w:val="18"/>
              </w:rPr>
              <w:t> </w:t>
            </w:r>
            <w:r>
              <w:rPr>
                <w:rFonts w:ascii="宋体" w:hAnsi="宋体" w:cs="宋体" w:eastAsia="宋体" w:hint="default"/>
                <w:b/>
                <w:bCs/>
                <w:sz w:val="18"/>
                <w:szCs w:val="18"/>
              </w:rPr>
              <w:t>加会议</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2" w:lineRule="exact" w:before="112"/>
              <w:ind w:left="259" w:right="171" w:hanging="89"/>
              <w:jc w:val="left"/>
              <w:rPr>
                <w:rFonts w:ascii="宋体" w:hAnsi="宋体" w:cs="宋体" w:eastAsia="宋体" w:hint="default"/>
                <w:sz w:val="18"/>
                <w:szCs w:val="18"/>
              </w:rPr>
            </w:pPr>
            <w:r>
              <w:rPr>
                <w:rFonts w:ascii="宋体" w:hAnsi="宋体" w:cs="宋体" w:eastAsia="宋体" w:hint="default"/>
                <w:b/>
                <w:bCs/>
                <w:sz w:val="18"/>
                <w:szCs w:val="18"/>
              </w:rPr>
              <w:t>出席股东大</w:t>
            </w:r>
            <w:r>
              <w:rPr>
                <w:rFonts w:ascii="宋体" w:hAnsi="宋体" w:cs="宋体" w:eastAsia="宋体" w:hint="default"/>
                <w:b/>
                <w:bCs/>
                <w:w w:val="99"/>
                <w:sz w:val="18"/>
                <w:szCs w:val="18"/>
              </w:rPr>
              <w:t> </w:t>
            </w:r>
            <w:r>
              <w:rPr>
                <w:rFonts w:ascii="宋体" w:hAnsi="宋体" w:cs="宋体" w:eastAsia="宋体" w:hint="default"/>
                <w:b/>
                <w:bCs/>
                <w:sz w:val="18"/>
                <w:szCs w:val="18"/>
              </w:rPr>
              <w:t>会的次数</w:t>
            </w:r>
            <w:r>
              <w:rPr>
                <w:rFonts w:ascii="宋体" w:hAnsi="宋体" w:cs="宋体" w:eastAsia="宋体" w:hint="default"/>
                <w:sz w:val="18"/>
                <w:szCs w:val="18"/>
              </w:rPr>
            </w:r>
          </w:p>
        </w:tc>
      </w:tr>
      <w:tr>
        <w:trPr>
          <w:trHeight w:val="24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常小兵</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7</w:t>
            </w:r>
            <w:r>
              <w:rPr>
                <w:rFonts w:ascii="Arial"/>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Arial" w:hAnsi="Arial" w:cs="Arial" w:eastAsia="Arial" w:hint="default"/>
                <w:sz w:val="18"/>
                <w:szCs w:val="18"/>
              </w:rPr>
            </w:pPr>
            <w:r>
              <w:rPr>
                <w:rFonts w:ascii="Arial"/>
                <w:w w:val="99"/>
                <w:sz w:val="18"/>
              </w:rPr>
              <w:t>7</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Arial" w:hAnsi="Arial" w:cs="Arial" w:eastAsia="Arial" w:hint="default"/>
                <w:sz w:val="18"/>
                <w:szCs w:val="18"/>
              </w:rPr>
            </w:pPr>
            <w:r>
              <w:rPr>
                <w:rFonts w:ascii="Arial"/>
                <w:w w:val="99"/>
                <w:sz w:val="18"/>
              </w:rPr>
              <w:t>5</w:t>
            </w:r>
            <w:r>
              <w:rPr>
                <w:rFonts w:ascii="Arial"/>
                <w:sz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0</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Arial" w:hAnsi="Arial" w:cs="Arial" w:eastAsia="Arial" w:hint="default"/>
                <w:sz w:val="18"/>
                <w:szCs w:val="18"/>
              </w:rPr>
            </w:pPr>
            <w:r>
              <w:rPr>
                <w:rFonts w:ascii="Arial"/>
                <w:w w:val="99"/>
                <w:sz w:val="18"/>
              </w:rPr>
              <w:t>0</w:t>
            </w:r>
            <w:r>
              <w:rPr>
                <w:rFonts w:ascii="Arial"/>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hAnsi="宋体" w:cs="宋体" w:eastAsia="宋体" w:hint="default"/>
                <w:sz w:val="18"/>
                <w:szCs w:val="18"/>
              </w:rPr>
              <w:t>否</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2</w:t>
            </w:r>
            <w:r>
              <w:rPr>
                <w:rFonts w:ascii="Arial"/>
                <w:sz w:val="18"/>
              </w:rPr>
            </w:r>
          </w:p>
        </w:tc>
      </w:tr>
      <w:tr>
        <w:trPr>
          <w:trHeight w:val="24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陆益民</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7</w:t>
            </w:r>
            <w:r>
              <w:rPr>
                <w:rFonts w:ascii="Arial"/>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Arial" w:hAnsi="Arial" w:cs="Arial" w:eastAsia="Arial" w:hint="default"/>
                <w:sz w:val="18"/>
                <w:szCs w:val="18"/>
              </w:rPr>
            </w:pPr>
            <w:r>
              <w:rPr>
                <w:rFonts w:ascii="Arial"/>
                <w:w w:val="99"/>
                <w:sz w:val="18"/>
              </w:rPr>
              <w:t>7</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Arial" w:hAnsi="Arial" w:cs="Arial" w:eastAsia="Arial" w:hint="default"/>
                <w:sz w:val="18"/>
                <w:szCs w:val="18"/>
              </w:rPr>
            </w:pPr>
            <w:r>
              <w:rPr>
                <w:rFonts w:ascii="Arial"/>
                <w:w w:val="99"/>
                <w:sz w:val="18"/>
              </w:rPr>
              <w:t>5</w:t>
            </w:r>
            <w:r>
              <w:rPr>
                <w:rFonts w:ascii="Arial"/>
                <w:sz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0</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Arial" w:hAnsi="Arial" w:cs="Arial" w:eastAsia="Arial" w:hint="default"/>
                <w:sz w:val="18"/>
                <w:szCs w:val="18"/>
              </w:rPr>
            </w:pPr>
            <w:r>
              <w:rPr>
                <w:rFonts w:ascii="Arial"/>
                <w:w w:val="99"/>
                <w:sz w:val="18"/>
              </w:rPr>
              <w:t>0</w:t>
            </w:r>
            <w:r>
              <w:rPr>
                <w:rFonts w:ascii="Arial"/>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hAnsi="宋体" w:cs="宋体" w:eastAsia="宋体" w:hint="default"/>
                <w:sz w:val="18"/>
                <w:szCs w:val="18"/>
              </w:rPr>
              <w:t>否</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2</w:t>
            </w:r>
            <w:r>
              <w:rPr>
                <w:rFonts w:ascii="Arial"/>
                <w:sz w:val="18"/>
              </w:rPr>
            </w:r>
          </w:p>
        </w:tc>
      </w:tr>
      <w:tr>
        <w:trPr>
          <w:trHeight w:val="24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佟吉禄</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6</w:t>
            </w:r>
            <w:r>
              <w:rPr>
                <w:rFonts w:ascii="Arial"/>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Arial" w:hAnsi="Arial" w:cs="Arial" w:eastAsia="Arial" w:hint="default"/>
                <w:sz w:val="18"/>
                <w:szCs w:val="18"/>
              </w:rPr>
            </w:pPr>
            <w:r>
              <w:rPr>
                <w:rFonts w:ascii="Arial"/>
                <w:w w:val="99"/>
                <w:sz w:val="18"/>
              </w:rPr>
              <w:t>5</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Arial" w:hAnsi="Arial" w:cs="Arial" w:eastAsia="Arial" w:hint="default"/>
                <w:sz w:val="18"/>
                <w:szCs w:val="18"/>
              </w:rPr>
            </w:pPr>
            <w:r>
              <w:rPr>
                <w:rFonts w:ascii="Arial"/>
                <w:w w:val="99"/>
                <w:sz w:val="18"/>
              </w:rPr>
              <w:t>4</w:t>
            </w:r>
            <w:r>
              <w:rPr>
                <w:rFonts w:ascii="Arial"/>
                <w:sz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1</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Arial" w:hAnsi="Arial" w:cs="Arial" w:eastAsia="Arial" w:hint="default"/>
                <w:sz w:val="18"/>
                <w:szCs w:val="18"/>
              </w:rPr>
            </w:pPr>
            <w:r>
              <w:rPr>
                <w:rFonts w:ascii="Arial"/>
                <w:w w:val="99"/>
                <w:sz w:val="18"/>
              </w:rPr>
              <w:t>0</w:t>
            </w:r>
            <w:r>
              <w:rPr>
                <w:rFonts w:ascii="Arial"/>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hAnsi="宋体" w:cs="宋体" w:eastAsia="宋体" w:hint="default"/>
                <w:sz w:val="18"/>
                <w:szCs w:val="18"/>
              </w:rPr>
              <w:t>否</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1</w:t>
            </w:r>
            <w:r>
              <w:rPr>
                <w:rFonts w:ascii="Arial"/>
                <w:sz w:val="18"/>
              </w:rPr>
            </w:r>
          </w:p>
        </w:tc>
      </w:tr>
      <w:tr>
        <w:trPr>
          <w:trHeight w:val="24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李福申</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Arial" w:hAnsi="Arial" w:cs="Arial" w:eastAsia="Arial" w:hint="default"/>
                <w:sz w:val="18"/>
                <w:szCs w:val="18"/>
              </w:rPr>
            </w:pPr>
            <w:r>
              <w:rPr>
                <w:rFonts w:ascii="Arial"/>
                <w:w w:val="99"/>
                <w:sz w:val="18"/>
              </w:rPr>
              <w:t>7</w:t>
            </w:r>
            <w:r>
              <w:rPr>
                <w:rFonts w:ascii="Arial"/>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4"/>
              <w:jc w:val="right"/>
              <w:rPr>
                <w:rFonts w:ascii="Arial" w:hAnsi="Arial" w:cs="Arial" w:eastAsia="Arial" w:hint="default"/>
                <w:sz w:val="18"/>
                <w:szCs w:val="18"/>
              </w:rPr>
            </w:pPr>
            <w:r>
              <w:rPr>
                <w:rFonts w:ascii="Arial"/>
                <w:w w:val="99"/>
                <w:sz w:val="18"/>
              </w:rPr>
              <w:t>7</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4"/>
              <w:jc w:val="right"/>
              <w:rPr>
                <w:rFonts w:ascii="Arial" w:hAnsi="Arial" w:cs="Arial" w:eastAsia="Arial" w:hint="default"/>
                <w:sz w:val="18"/>
                <w:szCs w:val="18"/>
              </w:rPr>
            </w:pPr>
            <w:r>
              <w:rPr>
                <w:rFonts w:ascii="Arial"/>
                <w:w w:val="99"/>
                <w:sz w:val="18"/>
              </w:rPr>
              <w:t>5</w:t>
            </w:r>
            <w:r>
              <w:rPr>
                <w:rFonts w:ascii="Arial"/>
                <w:sz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Arial" w:hAnsi="Arial" w:cs="Arial" w:eastAsia="Arial" w:hint="default"/>
                <w:sz w:val="18"/>
                <w:szCs w:val="18"/>
              </w:rPr>
            </w:pPr>
            <w:r>
              <w:rPr>
                <w:rFonts w:ascii="Arial"/>
                <w:w w:val="99"/>
                <w:sz w:val="18"/>
              </w:rPr>
              <w:t>0</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4"/>
              <w:jc w:val="right"/>
              <w:rPr>
                <w:rFonts w:ascii="Arial" w:hAnsi="Arial" w:cs="Arial" w:eastAsia="Arial" w:hint="default"/>
                <w:sz w:val="18"/>
                <w:szCs w:val="18"/>
              </w:rPr>
            </w:pPr>
            <w:r>
              <w:rPr>
                <w:rFonts w:ascii="Arial"/>
                <w:w w:val="99"/>
                <w:sz w:val="18"/>
              </w:rPr>
              <w:t>0</w:t>
            </w:r>
            <w:r>
              <w:rPr>
                <w:rFonts w:ascii="Arial"/>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hAnsi="宋体" w:cs="宋体" w:eastAsia="宋体" w:hint="default"/>
                <w:sz w:val="18"/>
                <w:szCs w:val="18"/>
              </w:rPr>
              <w:t>否</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Arial" w:hAnsi="Arial" w:cs="Arial" w:eastAsia="Arial" w:hint="default"/>
                <w:sz w:val="18"/>
                <w:szCs w:val="18"/>
              </w:rPr>
            </w:pPr>
            <w:r>
              <w:rPr>
                <w:rFonts w:ascii="Arial"/>
                <w:w w:val="99"/>
                <w:sz w:val="18"/>
              </w:rPr>
              <w:t>3</w:t>
            </w:r>
            <w:r>
              <w:rPr>
                <w:rFonts w:ascii="Arial"/>
                <w:sz w:val="18"/>
              </w:rPr>
            </w:r>
          </w:p>
        </w:tc>
      </w:tr>
      <w:tr>
        <w:trPr>
          <w:trHeight w:val="24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张钧安</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Arial" w:hAnsi="Arial" w:cs="Arial" w:eastAsia="Arial" w:hint="default"/>
                <w:sz w:val="18"/>
                <w:szCs w:val="18"/>
              </w:rPr>
            </w:pPr>
            <w:r>
              <w:rPr>
                <w:rFonts w:ascii="Arial"/>
                <w:w w:val="99"/>
                <w:sz w:val="18"/>
              </w:rPr>
              <w:t>1</w:t>
            </w:r>
            <w:r>
              <w:rPr>
                <w:rFonts w:ascii="Arial"/>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4"/>
              <w:jc w:val="right"/>
              <w:rPr>
                <w:rFonts w:ascii="Arial" w:hAnsi="Arial" w:cs="Arial" w:eastAsia="Arial" w:hint="default"/>
                <w:sz w:val="18"/>
                <w:szCs w:val="18"/>
              </w:rPr>
            </w:pPr>
            <w:r>
              <w:rPr>
                <w:rFonts w:ascii="Arial"/>
                <w:w w:val="99"/>
                <w:sz w:val="18"/>
              </w:rPr>
              <w:t>1</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4"/>
              <w:jc w:val="right"/>
              <w:rPr>
                <w:rFonts w:ascii="Arial" w:hAnsi="Arial" w:cs="Arial" w:eastAsia="Arial" w:hint="default"/>
                <w:sz w:val="18"/>
                <w:szCs w:val="18"/>
              </w:rPr>
            </w:pPr>
            <w:r>
              <w:rPr>
                <w:rFonts w:ascii="Arial"/>
                <w:w w:val="99"/>
                <w:sz w:val="18"/>
              </w:rPr>
              <w:t>1</w:t>
            </w:r>
            <w:r>
              <w:rPr>
                <w:rFonts w:ascii="Arial"/>
                <w:sz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Arial" w:hAnsi="Arial" w:cs="Arial" w:eastAsia="Arial" w:hint="default"/>
                <w:sz w:val="18"/>
                <w:szCs w:val="18"/>
              </w:rPr>
            </w:pPr>
            <w:r>
              <w:rPr>
                <w:rFonts w:ascii="Arial"/>
                <w:w w:val="99"/>
                <w:sz w:val="18"/>
              </w:rPr>
              <w:t>0</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4"/>
              <w:jc w:val="right"/>
              <w:rPr>
                <w:rFonts w:ascii="Arial" w:hAnsi="Arial" w:cs="Arial" w:eastAsia="Arial" w:hint="default"/>
                <w:sz w:val="18"/>
                <w:szCs w:val="18"/>
              </w:rPr>
            </w:pPr>
            <w:r>
              <w:rPr>
                <w:rFonts w:ascii="Arial"/>
                <w:w w:val="99"/>
                <w:sz w:val="18"/>
              </w:rPr>
              <w:t>0</w:t>
            </w:r>
            <w:r>
              <w:rPr>
                <w:rFonts w:ascii="Arial"/>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hAnsi="宋体" w:cs="宋体" w:eastAsia="宋体" w:hint="default"/>
                <w:sz w:val="18"/>
                <w:szCs w:val="18"/>
              </w:rPr>
              <w:t>否</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Arial" w:hAnsi="Arial" w:cs="Arial" w:eastAsia="Arial" w:hint="default"/>
                <w:sz w:val="18"/>
                <w:szCs w:val="18"/>
              </w:rPr>
            </w:pPr>
            <w:r>
              <w:rPr>
                <w:rFonts w:ascii="Arial"/>
                <w:w w:val="99"/>
                <w:sz w:val="18"/>
              </w:rPr>
              <w:t>1</w:t>
            </w:r>
            <w:r>
              <w:rPr>
                <w:rFonts w:ascii="Arial"/>
                <w:sz w:val="18"/>
              </w:rPr>
            </w:r>
          </w:p>
        </w:tc>
      </w:tr>
      <w:tr>
        <w:trPr>
          <w:trHeight w:val="24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刘彩</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7</w:t>
            </w:r>
            <w:r>
              <w:rPr>
                <w:rFonts w:ascii="Arial"/>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Arial" w:hAnsi="Arial" w:cs="Arial" w:eastAsia="Arial" w:hint="default"/>
                <w:sz w:val="18"/>
                <w:szCs w:val="18"/>
              </w:rPr>
            </w:pPr>
            <w:r>
              <w:rPr>
                <w:rFonts w:ascii="Arial"/>
                <w:w w:val="99"/>
                <w:sz w:val="18"/>
              </w:rPr>
              <w:t>7</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Arial" w:hAnsi="Arial" w:cs="Arial" w:eastAsia="Arial" w:hint="default"/>
                <w:sz w:val="18"/>
                <w:szCs w:val="18"/>
              </w:rPr>
            </w:pPr>
            <w:r>
              <w:rPr>
                <w:rFonts w:ascii="Arial"/>
                <w:w w:val="99"/>
                <w:sz w:val="18"/>
              </w:rPr>
              <w:t>5</w:t>
            </w:r>
            <w:r>
              <w:rPr>
                <w:rFonts w:ascii="Arial"/>
                <w:sz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0</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Arial" w:hAnsi="Arial" w:cs="Arial" w:eastAsia="Arial" w:hint="default"/>
                <w:sz w:val="18"/>
                <w:szCs w:val="18"/>
              </w:rPr>
            </w:pPr>
            <w:r>
              <w:rPr>
                <w:rFonts w:ascii="Arial"/>
                <w:w w:val="99"/>
                <w:sz w:val="18"/>
              </w:rPr>
              <w:t>0</w:t>
            </w:r>
            <w:r>
              <w:rPr>
                <w:rFonts w:ascii="Arial"/>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hAnsi="宋体" w:cs="宋体" w:eastAsia="宋体" w:hint="default"/>
                <w:sz w:val="18"/>
                <w:szCs w:val="18"/>
              </w:rPr>
              <w:t>否</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3</w:t>
            </w:r>
            <w:r>
              <w:rPr>
                <w:rFonts w:ascii="Arial"/>
                <w:sz w:val="18"/>
              </w:rPr>
            </w:r>
          </w:p>
        </w:tc>
      </w:tr>
      <w:tr>
        <w:trPr>
          <w:trHeight w:val="24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赵纯均</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Arial" w:hAnsi="Arial" w:cs="Arial" w:eastAsia="Arial" w:hint="default"/>
                <w:sz w:val="18"/>
                <w:szCs w:val="18"/>
              </w:rPr>
            </w:pPr>
            <w:r>
              <w:rPr>
                <w:rFonts w:ascii="Arial"/>
                <w:w w:val="99"/>
                <w:sz w:val="18"/>
              </w:rPr>
              <w:t>7</w:t>
            </w:r>
            <w:r>
              <w:rPr>
                <w:rFonts w:ascii="Arial"/>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4"/>
              <w:jc w:val="right"/>
              <w:rPr>
                <w:rFonts w:ascii="Arial" w:hAnsi="Arial" w:cs="Arial" w:eastAsia="Arial" w:hint="default"/>
                <w:sz w:val="18"/>
                <w:szCs w:val="18"/>
              </w:rPr>
            </w:pPr>
            <w:r>
              <w:rPr>
                <w:rFonts w:ascii="Arial"/>
                <w:w w:val="99"/>
                <w:sz w:val="18"/>
              </w:rPr>
              <w:t>7</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4"/>
              <w:jc w:val="right"/>
              <w:rPr>
                <w:rFonts w:ascii="Arial" w:hAnsi="Arial" w:cs="Arial" w:eastAsia="Arial" w:hint="default"/>
                <w:sz w:val="18"/>
                <w:szCs w:val="18"/>
              </w:rPr>
            </w:pPr>
            <w:r>
              <w:rPr>
                <w:rFonts w:ascii="Arial"/>
                <w:w w:val="99"/>
                <w:sz w:val="18"/>
              </w:rPr>
              <w:t>5</w:t>
            </w:r>
            <w:r>
              <w:rPr>
                <w:rFonts w:ascii="Arial"/>
                <w:sz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Arial" w:hAnsi="Arial" w:cs="Arial" w:eastAsia="Arial" w:hint="default"/>
                <w:sz w:val="18"/>
                <w:szCs w:val="18"/>
              </w:rPr>
            </w:pPr>
            <w:r>
              <w:rPr>
                <w:rFonts w:ascii="Arial"/>
                <w:w w:val="99"/>
                <w:sz w:val="18"/>
              </w:rPr>
              <w:t>0</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4"/>
              <w:jc w:val="right"/>
              <w:rPr>
                <w:rFonts w:ascii="Arial" w:hAnsi="Arial" w:cs="Arial" w:eastAsia="Arial" w:hint="default"/>
                <w:sz w:val="18"/>
                <w:szCs w:val="18"/>
              </w:rPr>
            </w:pPr>
            <w:r>
              <w:rPr>
                <w:rFonts w:ascii="Arial"/>
                <w:w w:val="99"/>
                <w:sz w:val="18"/>
              </w:rPr>
              <w:t>0</w:t>
            </w:r>
            <w:r>
              <w:rPr>
                <w:rFonts w:ascii="Arial"/>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hAnsi="宋体" w:cs="宋体" w:eastAsia="宋体" w:hint="default"/>
                <w:sz w:val="18"/>
                <w:szCs w:val="18"/>
              </w:rPr>
              <w:t>否</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Arial" w:hAnsi="Arial" w:cs="Arial" w:eastAsia="Arial" w:hint="default"/>
                <w:sz w:val="18"/>
                <w:szCs w:val="18"/>
              </w:rPr>
            </w:pPr>
            <w:r>
              <w:rPr>
                <w:rFonts w:ascii="Arial"/>
                <w:w w:val="99"/>
                <w:sz w:val="18"/>
              </w:rPr>
              <w:t>1</w:t>
            </w:r>
            <w:r>
              <w:rPr>
                <w:rFonts w:ascii="Arial"/>
                <w:sz w:val="18"/>
              </w:rPr>
            </w:r>
          </w:p>
        </w:tc>
      </w:tr>
      <w:tr>
        <w:trPr>
          <w:trHeight w:val="24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张英海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7</w:t>
            </w:r>
            <w:r>
              <w:rPr>
                <w:rFonts w:ascii="Arial"/>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Arial" w:hAnsi="Arial" w:cs="Arial" w:eastAsia="Arial" w:hint="default"/>
                <w:sz w:val="18"/>
                <w:szCs w:val="18"/>
              </w:rPr>
            </w:pPr>
            <w:r>
              <w:rPr>
                <w:rFonts w:ascii="Arial"/>
                <w:w w:val="99"/>
                <w:sz w:val="18"/>
              </w:rPr>
              <w:t>6</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Arial" w:hAnsi="Arial" w:cs="Arial" w:eastAsia="Arial" w:hint="default"/>
                <w:sz w:val="18"/>
                <w:szCs w:val="18"/>
              </w:rPr>
            </w:pPr>
            <w:r>
              <w:rPr>
                <w:rFonts w:ascii="Arial"/>
                <w:w w:val="99"/>
                <w:sz w:val="18"/>
              </w:rPr>
              <w:t>5</w:t>
            </w:r>
            <w:r>
              <w:rPr>
                <w:rFonts w:ascii="Arial"/>
                <w:sz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1</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Arial" w:hAnsi="Arial" w:cs="Arial" w:eastAsia="Arial" w:hint="default"/>
                <w:sz w:val="18"/>
                <w:szCs w:val="18"/>
              </w:rPr>
            </w:pPr>
            <w:r>
              <w:rPr>
                <w:rFonts w:ascii="Arial"/>
                <w:w w:val="99"/>
                <w:sz w:val="18"/>
              </w:rPr>
              <w:t>0</w:t>
            </w:r>
            <w:r>
              <w:rPr>
                <w:rFonts w:ascii="Arial"/>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hAnsi="宋体" w:cs="宋体" w:eastAsia="宋体" w:hint="default"/>
                <w:sz w:val="18"/>
                <w:szCs w:val="18"/>
              </w:rPr>
              <w:t>否</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2</w:t>
            </w:r>
            <w:r>
              <w:rPr>
                <w:rFonts w:ascii="Arial"/>
                <w:sz w:val="18"/>
              </w:rPr>
            </w:r>
          </w:p>
        </w:tc>
      </w:tr>
      <w:tr>
        <w:trPr>
          <w:trHeight w:val="24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夏大慰</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7</w:t>
            </w:r>
            <w:r>
              <w:rPr>
                <w:rFonts w:ascii="Arial"/>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Arial" w:hAnsi="Arial" w:cs="Arial" w:eastAsia="Arial" w:hint="default"/>
                <w:sz w:val="18"/>
                <w:szCs w:val="18"/>
              </w:rPr>
            </w:pPr>
            <w:r>
              <w:rPr>
                <w:rFonts w:ascii="Arial"/>
                <w:w w:val="99"/>
                <w:sz w:val="18"/>
              </w:rPr>
              <w:t>6</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Arial" w:hAnsi="Arial" w:cs="Arial" w:eastAsia="Arial" w:hint="default"/>
                <w:sz w:val="18"/>
                <w:szCs w:val="18"/>
              </w:rPr>
            </w:pPr>
            <w:r>
              <w:rPr>
                <w:rFonts w:ascii="Arial"/>
                <w:w w:val="99"/>
                <w:sz w:val="18"/>
              </w:rPr>
              <w:t>5</w:t>
            </w:r>
            <w:r>
              <w:rPr>
                <w:rFonts w:ascii="Arial"/>
                <w:sz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1</w:t>
            </w:r>
            <w:r>
              <w:rPr>
                <w:rFonts w:ascii="Arial"/>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Arial" w:hAnsi="Arial" w:cs="Arial" w:eastAsia="Arial" w:hint="default"/>
                <w:sz w:val="18"/>
                <w:szCs w:val="18"/>
              </w:rPr>
            </w:pPr>
            <w:r>
              <w:rPr>
                <w:rFonts w:ascii="Arial"/>
                <w:w w:val="99"/>
                <w:sz w:val="18"/>
              </w:rPr>
              <w:t>0</w:t>
            </w:r>
            <w:r>
              <w:rPr>
                <w:rFonts w:ascii="Arial"/>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hAnsi="宋体" w:cs="宋体" w:eastAsia="宋体" w:hint="default"/>
                <w:sz w:val="18"/>
                <w:szCs w:val="18"/>
              </w:rPr>
              <w:t>否</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0</w:t>
            </w:r>
            <w:r>
              <w:rPr>
                <w:rFonts w:ascii="Arial"/>
                <w:sz w:val="18"/>
              </w:rPr>
            </w:r>
          </w:p>
        </w:tc>
      </w:tr>
    </w:tbl>
    <w:p>
      <w:pPr>
        <w:spacing w:line="240" w:lineRule="auto" w:before="4"/>
        <w:rPr>
          <w:rFonts w:ascii="宋体" w:hAnsi="宋体" w:cs="宋体" w:eastAsia="宋体" w:hint="default"/>
          <w:b/>
          <w:bCs/>
          <w:sz w:val="18"/>
          <w:szCs w:val="18"/>
        </w:rPr>
      </w:pPr>
    </w:p>
    <w:tbl>
      <w:tblPr>
        <w:tblW w:w="0" w:type="auto"/>
        <w:jc w:val="left"/>
        <w:tblInd w:w="560" w:type="dxa"/>
        <w:tblLayout w:type="fixed"/>
        <w:tblCellMar>
          <w:top w:w="0" w:type="dxa"/>
          <w:left w:w="0" w:type="dxa"/>
          <w:bottom w:w="0" w:type="dxa"/>
          <w:right w:w="0" w:type="dxa"/>
        </w:tblCellMar>
        <w:tblLook w:val="01E0"/>
      </w:tblPr>
      <w:tblGrid>
        <w:gridCol w:w="3990"/>
        <w:gridCol w:w="4525"/>
      </w:tblGrid>
      <w:tr>
        <w:trPr>
          <w:trHeight w:val="245" w:hRule="exact"/>
        </w:trPr>
        <w:tc>
          <w:tcPr>
            <w:tcW w:w="399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Arial" w:hAnsi="Arial" w:cs="Arial" w:eastAsia="Arial" w:hint="default"/>
                <w:sz w:val="18"/>
                <w:szCs w:val="18"/>
              </w:rPr>
            </w:pPr>
            <w:r>
              <w:rPr>
                <w:rFonts w:ascii="Arial"/>
                <w:w w:val="99"/>
                <w:sz w:val="18"/>
              </w:rPr>
              <w:t>7</w:t>
            </w:r>
            <w:r>
              <w:rPr>
                <w:rFonts w:ascii="Arial"/>
                <w:sz w:val="18"/>
              </w:rPr>
            </w:r>
          </w:p>
        </w:tc>
      </w:tr>
      <w:tr>
        <w:trPr>
          <w:trHeight w:val="242" w:hRule="exact"/>
        </w:trPr>
        <w:tc>
          <w:tcPr>
            <w:tcW w:w="399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2</w:t>
            </w:r>
            <w:r>
              <w:rPr>
                <w:rFonts w:ascii="Arial"/>
                <w:sz w:val="18"/>
              </w:rPr>
            </w:r>
          </w:p>
        </w:tc>
      </w:tr>
      <w:tr>
        <w:trPr>
          <w:trHeight w:val="245" w:hRule="exact"/>
        </w:trPr>
        <w:tc>
          <w:tcPr>
            <w:tcW w:w="399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5</w:t>
            </w:r>
            <w:r>
              <w:rPr>
                <w:rFonts w:ascii="Arial"/>
                <w:sz w:val="18"/>
              </w:rPr>
            </w:r>
          </w:p>
        </w:tc>
      </w:tr>
      <w:tr>
        <w:trPr>
          <w:trHeight w:val="242" w:hRule="exact"/>
        </w:trPr>
        <w:tc>
          <w:tcPr>
            <w:tcW w:w="399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0</w:t>
            </w:r>
            <w:r>
              <w:rPr>
                <w:rFonts w:ascii="Arial"/>
                <w:sz w:val="18"/>
              </w:rPr>
            </w:r>
          </w:p>
        </w:tc>
      </w:tr>
    </w:tbl>
    <w:p>
      <w:pPr>
        <w:spacing w:after="0" w:line="206" w:lineRule="exact"/>
        <w:jc w:val="right"/>
        <w:rPr>
          <w:rFonts w:ascii="Arial" w:hAnsi="Arial" w:cs="Arial" w:eastAsia="Arial" w:hint="default"/>
          <w:sz w:val="18"/>
          <w:szCs w:val="18"/>
        </w:rPr>
        <w:sectPr>
          <w:pgSz w:w="11910" w:h="16840"/>
          <w:pgMar w:header="880" w:footer="1194" w:top="1120" w:bottom="1380" w:left="1660" w:right="1040"/>
        </w:sectPr>
      </w:pPr>
    </w:p>
    <w:p>
      <w:pPr>
        <w:spacing w:line="240" w:lineRule="auto" w:before="11"/>
        <w:rPr>
          <w:rFonts w:ascii="宋体" w:hAnsi="宋体" w:cs="宋体" w:eastAsia="宋体" w:hint="default"/>
          <w:b/>
          <w:bCs/>
          <w:sz w:val="29"/>
          <w:szCs w:val="29"/>
        </w:rPr>
      </w:pPr>
    </w:p>
    <w:p>
      <w:pPr>
        <w:spacing w:before="36"/>
        <w:ind w:left="138" w:right="2529" w:firstLine="0"/>
        <w:jc w:val="left"/>
        <w:rPr>
          <w:rFonts w:ascii="宋体" w:hAnsi="宋体" w:cs="宋体" w:eastAsia="宋体" w:hint="default"/>
          <w:sz w:val="21"/>
          <w:szCs w:val="21"/>
        </w:rPr>
      </w:pPr>
      <w:r>
        <w:rPr>
          <w:rFonts w:ascii="宋体" w:hAnsi="宋体" w:cs="宋体" w:eastAsia="宋体" w:hint="default"/>
          <w:b/>
          <w:bCs/>
          <w:sz w:val="21"/>
          <w:szCs w:val="21"/>
        </w:rPr>
        <w:t>三、董事履行职责情况（续）</w:t>
      </w:r>
      <w:r>
        <w:rPr>
          <w:rFonts w:ascii="宋体" w:hAnsi="宋体" w:cs="宋体" w:eastAsia="宋体" w:hint="default"/>
          <w:sz w:val="21"/>
          <w:szCs w:val="21"/>
        </w:rPr>
      </w:r>
    </w:p>
    <w:p>
      <w:pPr>
        <w:spacing w:line="240" w:lineRule="auto" w:before="0"/>
        <w:rPr>
          <w:rFonts w:ascii="宋体" w:hAnsi="宋体" w:cs="宋体" w:eastAsia="宋体" w:hint="default"/>
          <w:b/>
          <w:bCs/>
          <w:sz w:val="23"/>
          <w:szCs w:val="23"/>
        </w:rPr>
      </w:pPr>
    </w:p>
    <w:p>
      <w:pPr>
        <w:spacing w:line="475" w:lineRule="auto" w:before="0"/>
        <w:ind w:left="565" w:right="0" w:hanging="428"/>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二</w:t>
      </w:r>
      <w:r>
        <w:rPr>
          <w:rFonts w:ascii="Arial" w:hAnsi="Arial" w:cs="Arial" w:eastAsia="Arial" w:hint="default"/>
          <w:b/>
          <w:bCs/>
          <w:sz w:val="21"/>
          <w:szCs w:val="21"/>
        </w:rPr>
        <w:t>)</w:t>
      </w:r>
      <w:r>
        <w:rPr>
          <w:rFonts w:ascii="Arial" w:hAnsi="Arial" w:cs="Arial" w:eastAsia="Arial" w:hint="default"/>
          <w:b/>
          <w:bCs/>
          <w:spacing w:val="8"/>
          <w:sz w:val="21"/>
          <w:szCs w:val="21"/>
        </w:rPr>
        <w:t> </w:t>
      </w:r>
      <w:r>
        <w:rPr>
          <w:rFonts w:ascii="宋体" w:hAnsi="宋体" w:cs="宋体" w:eastAsia="宋体" w:hint="default"/>
          <w:b/>
          <w:bCs/>
          <w:sz w:val="21"/>
          <w:szCs w:val="21"/>
        </w:rPr>
        <w:t>独立董事对公司有关事项提出异议的情况</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报告期内，公司独立董事未对公司本年度的董事会议案及其他非董事会议案事项提出异议。</w:t>
      </w:r>
    </w:p>
    <w:p>
      <w:pPr>
        <w:spacing w:before="93"/>
        <w:ind w:left="138" w:right="2529"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三</w:t>
      </w:r>
      <w:r>
        <w:rPr>
          <w:rFonts w:ascii="Arial" w:hAnsi="Arial" w:cs="Arial" w:eastAsia="Arial" w:hint="default"/>
          <w:b/>
          <w:bCs/>
          <w:sz w:val="21"/>
          <w:szCs w:val="21"/>
        </w:rPr>
        <w:t>)</w:t>
      </w:r>
      <w:r>
        <w:rPr>
          <w:rFonts w:ascii="Arial" w:hAnsi="Arial" w:cs="Arial" w:eastAsia="Arial" w:hint="default"/>
          <w:b/>
          <w:bCs/>
          <w:spacing w:val="10"/>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1"/>
        <w:rPr>
          <w:rFonts w:ascii="宋体" w:hAnsi="宋体" w:cs="宋体" w:eastAsia="宋体" w:hint="default"/>
          <w:b/>
          <w:bCs/>
          <w:sz w:val="21"/>
          <w:szCs w:val="21"/>
        </w:rPr>
      </w:pPr>
    </w:p>
    <w:p>
      <w:pPr>
        <w:spacing w:line="237" w:lineRule="auto" w:before="0"/>
        <w:ind w:left="565" w:right="130" w:firstLine="0"/>
        <w:jc w:val="both"/>
        <w:rPr>
          <w:rFonts w:ascii="宋体" w:hAnsi="宋体" w:cs="宋体" w:eastAsia="宋体" w:hint="default"/>
          <w:sz w:val="21"/>
          <w:szCs w:val="21"/>
        </w:rPr>
      </w:pPr>
      <w:r>
        <w:rPr>
          <w:rFonts w:ascii="宋体" w:hAnsi="宋体" w:cs="宋体" w:eastAsia="宋体" w:hint="default"/>
          <w:spacing w:val="-2"/>
          <w:sz w:val="21"/>
          <w:szCs w:val="21"/>
        </w:rPr>
        <w:t>报告期内，本公司共召开了四次独立董事会议。独立董事就对外担保、更换公司董事的议案</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发表了独立意见，很好地履行作为独立董事的职责。此外，本年度，独立董事保持了与管理</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层及外部审计师的充分沟通：</w:t>
      </w:r>
    </w:p>
    <w:p>
      <w:pPr>
        <w:spacing w:line="240" w:lineRule="auto" w:before="11"/>
        <w:rPr>
          <w:rFonts w:ascii="宋体" w:hAnsi="宋体" w:cs="宋体" w:eastAsia="宋体" w:hint="default"/>
          <w:sz w:val="18"/>
          <w:szCs w:val="18"/>
        </w:rPr>
      </w:pPr>
    </w:p>
    <w:p>
      <w:pPr>
        <w:spacing w:line="232" w:lineRule="auto" w:before="0"/>
        <w:ind w:left="990" w:right="125" w:hanging="425"/>
        <w:jc w:val="both"/>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pacing w:val="-10"/>
          <w:sz w:val="21"/>
          <w:szCs w:val="21"/>
        </w:rPr>
        <w:t> </w:t>
      </w:r>
      <w:r>
        <w:rPr>
          <w:rFonts w:ascii="宋体" w:hAnsi="宋体" w:cs="宋体" w:eastAsia="宋体" w:hint="default"/>
          <w:sz w:val="21"/>
          <w:szCs w:val="21"/>
        </w:rPr>
        <w:t>在</w:t>
      </w:r>
      <w:r>
        <w:rPr>
          <w:rFonts w:ascii="宋体" w:hAnsi="宋体" w:cs="宋体" w:eastAsia="宋体" w:hint="default"/>
          <w:spacing w:val="-78"/>
          <w:sz w:val="21"/>
          <w:szCs w:val="21"/>
        </w:rPr>
        <w:t> </w:t>
      </w:r>
      <w:r>
        <w:rPr>
          <w:rFonts w:ascii="Arial" w:hAnsi="Arial" w:cs="Arial" w:eastAsia="Arial" w:hint="default"/>
          <w:sz w:val="21"/>
          <w:szCs w:val="21"/>
        </w:rPr>
        <w:t>2013</w:t>
      </w:r>
      <w:r>
        <w:rPr>
          <w:rFonts w:ascii="Arial" w:hAnsi="Arial" w:cs="Arial" w:eastAsia="Arial" w:hint="default"/>
          <w:spacing w:val="-30"/>
          <w:sz w:val="21"/>
          <w:szCs w:val="21"/>
        </w:rPr>
        <w:t> </w:t>
      </w:r>
      <w:r>
        <w:rPr>
          <w:rFonts w:ascii="宋体" w:hAnsi="宋体" w:cs="宋体" w:eastAsia="宋体" w:hint="default"/>
          <w:sz w:val="21"/>
          <w:szCs w:val="21"/>
        </w:rPr>
        <w:t>年度财务报告及内部控制报告披露前听取了外部审计师有关</w:t>
      </w:r>
      <w:r>
        <w:rPr>
          <w:rFonts w:ascii="宋体" w:hAnsi="宋体" w:cs="宋体" w:eastAsia="宋体" w:hint="default"/>
          <w:spacing w:val="-78"/>
          <w:sz w:val="21"/>
          <w:szCs w:val="21"/>
        </w:rPr>
        <w:t> </w:t>
      </w:r>
      <w:r>
        <w:rPr>
          <w:rFonts w:ascii="Arial" w:hAnsi="Arial" w:cs="Arial" w:eastAsia="Arial" w:hint="default"/>
          <w:sz w:val="21"/>
          <w:szCs w:val="21"/>
        </w:rPr>
        <w:t>2013</w:t>
      </w:r>
      <w:r>
        <w:rPr>
          <w:rFonts w:ascii="Arial" w:hAnsi="Arial" w:cs="Arial" w:eastAsia="Arial" w:hint="default"/>
          <w:spacing w:val="-30"/>
          <w:sz w:val="21"/>
          <w:szCs w:val="21"/>
        </w:rPr>
        <w:t> </w:t>
      </w:r>
      <w:r>
        <w:rPr>
          <w:rFonts w:ascii="宋体" w:hAnsi="宋体" w:cs="宋体" w:eastAsia="宋体" w:hint="default"/>
          <w:sz w:val="21"/>
          <w:szCs w:val="21"/>
        </w:rPr>
        <w:t>年度财务报告</w:t>
      </w:r>
      <w:r>
        <w:rPr>
          <w:rFonts w:ascii="宋体" w:hAnsi="宋体" w:cs="宋体" w:eastAsia="宋体" w:hint="default"/>
          <w:w w:val="100"/>
          <w:sz w:val="21"/>
          <w:szCs w:val="21"/>
        </w:rPr>
        <w:t> </w:t>
      </w:r>
      <w:r>
        <w:rPr>
          <w:rFonts w:ascii="宋体" w:hAnsi="宋体" w:cs="宋体" w:eastAsia="宋体" w:hint="default"/>
          <w:spacing w:val="-2"/>
          <w:sz w:val="21"/>
          <w:szCs w:val="21"/>
        </w:rPr>
        <w:t>及内部控制审计发现的汇报，还听取了本公司财务部代表公司做出的关于外部审计师工</w:t>
      </w:r>
      <w:r>
        <w:rPr>
          <w:rFonts w:ascii="宋体" w:hAnsi="宋体" w:cs="宋体" w:eastAsia="宋体" w:hint="default"/>
          <w:w w:val="100"/>
          <w:sz w:val="21"/>
          <w:szCs w:val="21"/>
        </w:rPr>
        <w:t> </w:t>
      </w:r>
      <w:r>
        <w:rPr>
          <w:rFonts w:ascii="宋体" w:hAnsi="宋体" w:cs="宋体" w:eastAsia="宋体" w:hint="default"/>
          <w:sz w:val="21"/>
          <w:szCs w:val="21"/>
        </w:rPr>
        <w:t>作发现及管理建议书的反馈或改进方面的汇报；</w:t>
      </w:r>
    </w:p>
    <w:p>
      <w:pPr>
        <w:spacing w:line="240" w:lineRule="auto" w:before="6"/>
        <w:rPr>
          <w:rFonts w:ascii="宋体" w:hAnsi="宋体" w:cs="宋体" w:eastAsia="宋体" w:hint="default"/>
          <w:sz w:val="19"/>
          <w:szCs w:val="19"/>
        </w:rPr>
      </w:pPr>
    </w:p>
    <w:p>
      <w:pPr>
        <w:spacing w:line="225" w:lineRule="auto" w:before="0"/>
        <w:ind w:left="961" w:right="125" w:hanging="360"/>
        <w:jc w:val="both"/>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pacing w:val="-74"/>
          <w:sz w:val="21"/>
          <w:szCs w:val="21"/>
        </w:rPr>
        <w:t> </w:t>
      </w:r>
      <w:r>
        <w:rPr>
          <w:rFonts w:ascii="宋体" w:hAnsi="宋体" w:cs="宋体" w:eastAsia="宋体" w:hint="default"/>
          <w:sz w:val="21"/>
          <w:szCs w:val="21"/>
        </w:rPr>
        <w:t>独立董事在</w:t>
      </w:r>
      <w:r>
        <w:rPr>
          <w:rFonts w:ascii="宋体" w:hAnsi="宋体" w:cs="宋体" w:eastAsia="宋体" w:hint="default"/>
          <w:spacing w:val="-69"/>
          <w:sz w:val="21"/>
          <w:szCs w:val="21"/>
        </w:rPr>
        <w:t> </w:t>
      </w:r>
      <w:r>
        <w:rPr>
          <w:rFonts w:ascii="Arial" w:hAnsi="Arial" w:cs="Arial" w:eastAsia="Arial" w:hint="default"/>
          <w:sz w:val="21"/>
          <w:szCs w:val="21"/>
        </w:rPr>
        <w:t>2014</w:t>
      </w:r>
      <w:r>
        <w:rPr>
          <w:rFonts w:ascii="Arial" w:hAnsi="Arial" w:cs="Arial" w:eastAsia="Arial" w:hint="default"/>
          <w:spacing w:val="-23"/>
          <w:sz w:val="21"/>
          <w:szCs w:val="21"/>
        </w:rPr>
        <w:t> </w:t>
      </w:r>
      <w:r>
        <w:rPr>
          <w:rFonts w:ascii="宋体" w:hAnsi="宋体" w:cs="宋体" w:eastAsia="宋体" w:hint="default"/>
          <w:sz w:val="21"/>
          <w:szCs w:val="21"/>
        </w:rPr>
        <w:t>年半年度报告披露前听取了外部审计师有关</w:t>
      </w:r>
      <w:r>
        <w:rPr>
          <w:rFonts w:ascii="宋体" w:hAnsi="宋体" w:cs="宋体" w:eastAsia="宋体" w:hint="default"/>
          <w:spacing w:val="-71"/>
          <w:sz w:val="21"/>
          <w:szCs w:val="21"/>
        </w:rPr>
        <w:t> </w:t>
      </w:r>
      <w:r>
        <w:rPr>
          <w:rFonts w:ascii="Arial" w:hAnsi="Arial" w:cs="Arial" w:eastAsia="Arial" w:hint="default"/>
          <w:sz w:val="21"/>
          <w:szCs w:val="21"/>
        </w:rPr>
        <w:t>2014</w:t>
      </w:r>
      <w:r>
        <w:rPr>
          <w:rFonts w:ascii="Arial" w:hAnsi="Arial" w:cs="Arial" w:eastAsia="Arial" w:hint="default"/>
          <w:spacing w:val="-25"/>
          <w:sz w:val="21"/>
          <w:szCs w:val="21"/>
        </w:rPr>
        <w:t> </w:t>
      </w:r>
      <w:r>
        <w:rPr>
          <w:rFonts w:ascii="宋体" w:hAnsi="宋体" w:cs="宋体" w:eastAsia="宋体" w:hint="default"/>
          <w:sz w:val="21"/>
          <w:szCs w:val="21"/>
        </w:rPr>
        <w:t>年中期审阅情况及发</w:t>
      </w:r>
      <w:r>
        <w:rPr>
          <w:rFonts w:ascii="宋体" w:hAnsi="宋体" w:cs="宋体" w:eastAsia="宋体" w:hint="default"/>
          <w:w w:val="100"/>
          <w:sz w:val="21"/>
          <w:szCs w:val="21"/>
        </w:rPr>
        <w:t> </w:t>
      </w:r>
      <w:r>
        <w:rPr>
          <w:rFonts w:ascii="宋体" w:hAnsi="宋体" w:cs="宋体" w:eastAsia="宋体" w:hint="default"/>
          <w:spacing w:val="-7"/>
          <w:sz w:val="21"/>
          <w:szCs w:val="21"/>
        </w:rPr>
        <w:t>现、</w:t>
      </w:r>
      <w:r>
        <w:rPr>
          <w:rFonts w:ascii="Arial" w:hAnsi="Arial" w:cs="Arial" w:eastAsia="Arial" w:hint="default"/>
          <w:spacing w:val="-7"/>
          <w:sz w:val="21"/>
          <w:szCs w:val="21"/>
        </w:rPr>
        <w:t>2014</w:t>
      </w:r>
      <w:r>
        <w:rPr>
          <w:rFonts w:ascii="Arial" w:hAnsi="Arial" w:cs="Arial" w:eastAsia="Arial" w:hint="default"/>
          <w:spacing w:val="-5"/>
          <w:sz w:val="21"/>
          <w:szCs w:val="21"/>
        </w:rPr>
        <w:t> </w:t>
      </w:r>
      <w:r>
        <w:rPr>
          <w:rFonts w:ascii="宋体" w:hAnsi="宋体" w:cs="宋体" w:eastAsia="宋体" w:hint="default"/>
          <w:spacing w:val="-3"/>
          <w:sz w:val="21"/>
          <w:szCs w:val="21"/>
        </w:rPr>
        <w:t>年上半年内控评审的工作汇报，还听取了本公司财务部代表公司做出的关于外</w:t>
      </w:r>
      <w:r>
        <w:rPr>
          <w:rFonts w:ascii="宋体" w:hAnsi="宋体" w:cs="宋体" w:eastAsia="宋体" w:hint="default"/>
          <w:w w:val="100"/>
          <w:sz w:val="21"/>
          <w:szCs w:val="21"/>
        </w:rPr>
        <w:t> </w:t>
      </w:r>
      <w:r>
        <w:rPr>
          <w:rFonts w:ascii="宋体" w:hAnsi="宋体" w:cs="宋体" w:eastAsia="宋体" w:hint="default"/>
          <w:sz w:val="21"/>
          <w:szCs w:val="21"/>
        </w:rPr>
        <w:t>部审计师工作发现及管理建议书的反馈或改进方面的汇报。</w:t>
      </w:r>
    </w:p>
    <w:p>
      <w:pPr>
        <w:spacing w:line="240" w:lineRule="auto" w:before="5"/>
        <w:rPr>
          <w:rFonts w:ascii="宋体" w:hAnsi="宋体" w:cs="宋体" w:eastAsia="宋体" w:hint="default"/>
          <w:sz w:val="18"/>
          <w:szCs w:val="18"/>
        </w:rPr>
      </w:pPr>
    </w:p>
    <w:p>
      <w:pPr>
        <w:spacing w:line="424" w:lineRule="auto" w:before="0"/>
        <w:ind w:left="565" w:right="130" w:firstLine="36"/>
        <w:jc w:val="both"/>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spacing w:val="-74"/>
          <w:sz w:val="21"/>
          <w:szCs w:val="21"/>
        </w:rPr>
        <w:t> </w:t>
      </w:r>
      <w:r>
        <w:rPr>
          <w:rFonts w:ascii="宋体" w:hAnsi="宋体" w:cs="宋体" w:eastAsia="宋体" w:hint="default"/>
          <w:sz w:val="21"/>
          <w:szCs w:val="21"/>
        </w:rPr>
        <w:t>独立董事听取了外部审计师对于</w:t>
      </w:r>
      <w:r>
        <w:rPr>
          <w:rFonts w:ascii="宋体" w:hAnsi="宋体" w:cs="宋体" w:eastAsia="宋体" w:hint="default"/>
          <w:spacing w:val="-53"/>
          <w:sz w:val="21"/>
          <w:szCs w:val="21"/>
        </w:rPr>
        <w:t> </w:t>
      </w:r>
      <w:r>
        <w:rPr>
          <w:rFonts w:ascii="Arial" w:hAnsi="Arial" w:cs="Arial" w:eastAsia="Arial" w:hint="default"/>
          <w:sz w:val="21"/>
          <w:szCs w:val="21"/>
        </w:rPr>
        <w:t>2014</w:t>
      </w:r>
      <w:r>
        <w:rPr>
          <w:rFonts w:ascii="Arial" w:hAnsi="Arial" w:cs="Arial" w:eastAsia="Arial" w:hint="default"/>
          <w:spacing w:val="-9"/>
          <w:sz w:val="21"/>
          <w:szCs w:val="21"/>
        </w:rPr>
        <w:t> </w:t>
      </w:r>
      <w:r>
        <w:rPr>
          <w:rFonts w:ascii="宋体" w:hAnsi="宋体" w:cs="宋体" w:eastAsia="宋体" w:hint="default"/>
          <w:sz w:val="21"/>
          <w:szCs w:val="21"/>
        </w:rPr>
        <w:t>年度的审计计划的汇报。</w:t>
      </w:r>
      <w:r>
        <w:rPr>
          <w:rFonts w:ascii="宋体" w:hAnsi="宋体" w:cs="宋体" w:eastAsia="宋体" w:hint="default"/>
          <w:w w:val="100"/>
          <w:sz w:val="21"/>
          <w:szCs w:val="21"/>
        </w:rPr>
        <w:t> </w:t>
      </w:r>
      <w:r>
        <w:rPr>
          <w:rFonts w:ascii="宋体" w:hAnsi="宋体" w:cs="宋体" w:eastAsia="宋体" w:hint="default"/>
          <w:spacing w:val="-2"/>
          <w:sz w:val="21"/>
          <w:szCs w:val="21"/>
        </w:rPr>
        <w:t>报告期内，公司独立董事未对公司本年度的董事会议案及其他非董事会议案事项提出异议。</w:t>
      </w:r>
    </w:p>
    <w:p>
      <w:pPr>
        <w:spacing w:before="137"/>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四、董事会下设专门委员会在报告期内履行职责时所提出的重要意见和建议</w:t>
      </w:r>
      <w:r>
        <w:rPr>
          <w:rFonts w:ascii="宋体" w:hAnsi="宋体" w:cs="宋体" w:eastAsia="宋体" w:hint="default"/>
          <w:sz w:val="21"/>
          <w:szCs w:val="21"/>
        </w:rPr>
      </w:r>
    </w:p>
    <w:p>
      <w:pPr>
        <w:spacing w:line="240" w:lineRule="auto" w:before="11"/>
        <w:rPr>
          <w:rFonts w:ascii="宋体" w:hAnsi="宋体" w:cs="宋体" w:eastAsia="宋体" w:hint="default"/>
          <w:b/>
          <w:bCs/>
          <w:sz w:val="22"/>
          <w:szCs w:val="22"/>
        </w:rPr>
      </w:pPr>
    </w:p>
    <w:p>
      <w:pPr>
        <w:spacing w:before="0"/>
        <w:ind w:left="138" w:right="2529" w:firstLine="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9"/>
          <w:sz w:val="21"/>
          <w:szCs w:val="21"/>
        </w:rPr>
        <w:t> </w:t>
      </w:r>
      <w:r>
        <w:rPr>
          <w:rFonts w:ascii="宋体" w:hAnsi="宋体" w:cs="宋体" w:eastAsia="宋体" w:hint="default"/>
          <w:sz w:val="21"/>
          <w:szCs w:val="21"/>
        </w:rPr>
        <w:t>年董事会下设的审计委员会的履职情况汇总：</w:t>
      </w:r>
    </w:p>
    <w:p>
      <w:pPr>
        <w:spacing w:line="240" w:lineRule="auto" w:before="9"/>
        <w:rPr>
          <w:rFonts w:ascii="宋体" w:hAnsi="宋体" w:cs="宋体" w:eastAsia="宋体" w:hint="default"/>
          <w:sz w:val="23"/>
          <w:szCs w:val="23"/>
        </w:rPr>
      </w:pPr>
    </w:p>
    <w:p>
      <w:pPr>
        <w:spacing w:line="274" w:lineRule="exact" w:before="0"/>
        <w:ind w:left="562" w:right="0" w:hanging="425"/>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一</w:t>
      </w:r>
      <w:r>
        <w:rPr>
          <w:rFonts w:ascii="Arial" w:hAnsi="Arial" w:cs="Arial" w:eastAsia="Arial" w:hint="default"/>
          <w:sz w:val="21"/>
          <w:szCs w:val="21"/>
        </w:rPr>
        <w:t>)</w:t>
      </w:r>
      <w:r>
        <w:rPr>
          <w:rFonts w:ascii="Arial" w:hAnsi="Arial" w:cs="Arial" w:eastAsia="Arial" w:hint="default"/>
          <w:spacing w:val="14"/>
          <w:sz w:val="21"/>
          <w:szCs w:val="21"/>
        </w:rPr>
        <w:t> </w:t>
      </w:r>
      <w:r>
        <w:rPr>
          <w:rFonts w:ascii="宋体" w:hAnsi="宋体" w:cs="宋体" w:eastAsia="宋体" w:hint="default"/>
          <w:sz w:val="21"/>
          <w:szCs w:val="21"/>
        </w:rPr>
        <w:t>第四届董事会审计委员会第六次会议于</w:t>
      </w:r>
      <w:r>
        <w:rPr>
          <w:rFonts w:ascii="宋体" w:hAnsi="宋体" w:cs="宋体" w:eastAsia="宋体" w:hint="default"/>
          <w:spacing w:val="-49"/>
          <w:sz w:val="21"/>
          <w:szCs w:val="21"/>
        </w:rPr>
        <w:t> </w:t>
      </w:r>
      <w:r>
        <w:rPr>
          <w:rFonts w:ascii="Arial" w:hAnsi="Arial" w:cs="Arial" w:eastAsia="Arial" w:hint="default"/>
          <w:sz w:val="21"/>
          <w:szCs w:val="21"/>
        </w:rPr>
        <w:t>2014</w:t>
      </w:r>
      <w:r>
        <w:rPr>
          <w:rFonts w:ascii="Arial" w:hAnsi="Arial" w:cs="Arial" w:eastAsia="Arial"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Arial" w:hAnsi="Arial" w:cs="Arial" w:eastAsia="Arial" w:hint="default"/>
          <w:sz w:val="21"/>
          <w:szCs w:val="21"/>
        </w:rPr>
        <w:t>26</w:t>
      </w:r>
      <w:r>
        <w:rPr>
          <w:rFonts w:ascii="Arial" w:hAnsi="Arial" w:cs="Arial" w:eastAsia="Arial" w:hint="default"/>
          <w:spacing w:val="-5"/>
          <w:sz w:val="21"/>
          <w:szCs w:val="21"/>
        </w:rPr>
        <w:t> </w:t>
      </w:r>
      <w:r>
        <w:rPr>
          <w:rFonts w:ascii="宋体" w:hAnsi="宋体" w:cs="宋体" w:eastAsia="宋体" w:hint="default"/>
          <w:spacing w:val="-6"/>
          <w:sz w:val="21"/>
          <w:szCs w:val="21"/>
        </w:rPr>
        <w:t>日在北京召开，审议并通过了以下事</w:t>
      </w:r>
      <w:r>
        <w:rPr>
          <w:rFonts w:ascii="宋体" w:hAnsi="宋体" w:cs="宋体" w:eastAsia="宋体" w:hint="default"/>
          <w:w w:val="100"/>
          <w:sz w:val="21"/>
          <w:szCs w:val="21"/>
        </w:rPr>
        <w:t> </w:t>
      </w:r>
      <w:r>
        <w:rPr>
          <w:rFonts w:ascii="宋体" w:hAnsi="宋体" w:cs="宋体" w:eastAsia="宋体" w:hint="default"/>
          <w:sz w:val="21"/>
          <w:szCs w:val="21"/>
        </w:rPr>
        <w:t>项：</w:t>
      </w:r>
    </w:p>
    <w:p>
      <w:pPr>
        <w:spacing w:line="240" w:lineRule="auto" w:before="12"/>
        <w:rPr>
          <w:rFonts w:ascii="宋体" w:hAnsi="宋体" w:cs="宋体" w:eastAsia="宋体" w:hint="default"/>
          <w:sz w:val="20"/>
          <w:szCs w:val="20"/>
        </w:rPr>
      </w:pPr>
    </w:p>
    <w:p>
      <w:pPr>
        <w:spacing w:before="0"/>
        <w:ind w:left="565" w:right="0" w:firstLine="0"/>
        <w:jc w:val="both"/>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pacing w:val="-12"/>
          <w:sz w:val="21"/>
          <w:szCs w:val="21"/>
        </w:rPr>
        <w:t> </w:t>
      </w:r>
      <w:r>
        <w:rPr>
          <w:rFonts w:ascii="宋体" w:hAnsi="宋体" w:cs="宋体" w:eastAsia="宋体" w:hint="default"/>
          <w:sz w:val="21"/>
          <w:szCs w:val="21"/>
        </w:rPr>
        <w:t>公司</w:t>
      </w:r>
      <w:r>
        <w:rPr>
          <w:rFonts w:ascii="宋体" w:hAnsi="宋体" w:cs="宋体" w:eastAsia="宋体" w:hint="default"/>
          <w:spacing w:val="-55"/>
          <w:sz w:val="21"/>
          <w:szCs w:val="21"/>
        </w:rPr>
        <w:t> </w:t>
      </w: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年年度报告中的财务报告、财务决算报告</w:t>
      </w:r>
    </w:p>
    <w:p>
      <w:pPr>
        <w:spacing w:line="240" w:lineRule="auto" w:before="1"/>
        <w:rPr>
          <w:rFonts w:ascii="宋体" w:hAnsi="宋体" w:cs="宋体" w:eastAsia="宋体" w:hint="default"/>
          <w:sz w:val="17"/>
          <w:szCs w:val="17"/>
        </w:rPr>
      </w:pPr>
    </w:p>
    <w:p>
      <w:pPr>
        <w:spacing w:before="0"/>
        <w:ind w:left="565" w:right="0" w:firstLine="0"/>
        <w:jc w:val="both"/>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pacing w:val="-10"/>
          <w:sz w:val="21"/>
          <w:szCs w:val="21"/>
        </w:rPr>
        <w:t> </w:t>
      </w: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Arial" w:hAnsi="Arial" w:cs="Arial" w:eastAsia="Arial" w:hint="default"/>
          <w:sz w:val="21"/>
          <w:szCs w:val="21"/>
        </w:rPr>
        <w:t>2013</w:t>
      </w:r>
      <w:r>
        <w:rPr>
          <w:rFonts w:ascii="Arial" w:hAnsi="Arial" w:cs="Arial" w:eastAsia="Arial" w:hint="default"/>
          <w:spacing w:val="-6"/>
          <w:sz w:val="21"/>
          <w:szCs w:val="21"/>
        </w:rPr>
        <w:t> </w:t>
      </w:r>
      <w:r>
        <w:rPr>
          <w:rFonts w:ascii="宋体" w:hAnsi="宋体" w:cs="宋体" w:eastAsia="宋体" w:hint="default"/>
          <w:sz w:val="21"/>
          <w:szCs w:val="21"/>
        </w:rPr>
        <w:t>年度计提资产减值准备及核销资产损失的议案</w:t>
      </w:r>
    </w:p>
    <w:p>
      <w:pPr>
        <w:spacing w:line="240" w:lineRule="auto" w:before="1"/>
        <w:rPr>
          <w:rFonts w:ascii="宋体" w:hAnsi="宋体" w:cs="宋体" w:eastAsia="宋体" w:hint="default"/>
          <w:sz w:val="17"/>
          <w:szCs w:val="17"/>
        </w:rPr>
      </w:pPr>
    </w:p>
    <w:p>
      <w:pPr>
        <w:spacing w:before="0"/>
        <w:ind w:left="565" w:right="0" w:firstLine="0"/>
        <w:jc w:val="both"/>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spacing w:val="-12"/>
          <w:sz w:val="21"/>
          <w:szCs w:val="21"/>
        </w:rPr>
        <w:t> </w:t>
      </w:r>
      <w:r>
        <w:rPr>
          <w:rFonts w:ascii="宋体" w:hAnsi="宋体" w:cs="宋体" w:eastAsia="宋体" w:hint="default"/>
          <w:sz w:val="21"/>
          <w:szCs w:val="21"/>
        </w:rPr>
        <w:t>关于公司</w:t>
      </w:r>
      <w:r>
        <w:rPr>
          <w:rFonts w:ascii="宋体" w:hAnsi="宋体" w:cs="宋体" w:eastAsia="宋体" w:hint="default"/>
          <w:spacing w:val="-54"/>
          <w:sz w:val="21"/>
          <w:szCs w:val="21"/>
        </w:rPr>
        <w:t> </w:t>
      </w: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年内控总体情况和</w:t>
      </w:r>
      <w:r>
        <w:rPr>
          <w:rFonts w:ascii="宋体" w:hAnsi="宋体" w:cs="宋体" w:eastAsia="宋体" w:hint="default"/>
          <w:spacing w:val="-55"/>
          <w:sz w:val="21"/>
          <w:szCs w:val="21"/>
        </w:rPr>
        <w:t> </w:t>
      </w: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年工作计划</w:t>
      </w:r>
    </w:p>
    <w:p>
      <w:pPr>
        <w:spacing w:line="240" w:lineRule="auto" w:before="1"/>
        <w:rPr>
          <w:rFonts w:ascii="宋体" w:hAnsi="宋体" w:cs="宋体" w:eastAsia="宋体" w:hint="default"/>
          <w:sz w:val="17"/>
          <w:szCs w:val="17"/>
        </w:rPr>
      </w:pPr>
    </w:p>
    <w:p>
      <w:pPr>
        <w:spacing w:before="0"/>
        <w:ind w:left="565" w:right="0" w:firstLine="0"/>
        <w:jc w:val="both"/>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w:t>
      </w:r>
      <w:r>
        <w:rPr>
          <w:rFonts w:ascii="宋体" w:hAnsi="宋体" w:cs="宋体" w:eastAsia="宋体" w:hint="default"/>
          <w:spacing w:val="-11"/>
          <w:sz w:val="21"/>
          <w:szCs w:val="21"/>
        </w:rPr>
        <w:t> </w:t>
      </w: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Arial" w:hAnsi="Arial" w:cs="Arial" w:eastAsia="Arial" w:hint="default"/>
          <w:sz w:val="21"/>
          <w:szCs w:val="21"/>
        </w:rPr>
        <w:t>2013</w:t>
      </w:r>
      <w:r>
        <w:rPr>
          <w:rFonts w:ascii="Arial" w:hAnsi="Arial" w:cs="Arial" w:eastAsia="Arial" w:hint="default"/>
          <w:spacing w:val="-6"/>
          <w:sz w:val="21"/>
          <w:szCs w:val="21"/>
        </w:rPr>
        <w:t> </w:t>
      </w:r>
      <w:r>
        <w:rPr>
          <w:rFonts w:ascii="宋体" w:hAnsi="宋体" w:cs="宋体" w:eastAsia="宋体" w:hint="default"/>
          <w:sz w:val="21"/>
          <w:szCs w:val="21"/>
        </w:rPr>
        <w:t>年内控自我评估报告的议案</w:t>
      </w:r>
    </w:p>
    <w:p>
      <w:pPr>
        <w:spacing w:line="240" w:lineRule="auto" w:before="2"/>
        <w:rPr>
          <w:rFonts w:ascii="宋体" w:hAnsi="宋体" w:cs="宋体" w:eastAsia="宋体" w:hint="default"/>
          <w:sz w:val="17"/>
          <w:szCs w:val="17"/>
        </w:rPr>
      </w:pPr>
    </w:p>
    <w:p>
      <w:pPr>
        <w:spacing w:before="0"/>
        <w:ind w:left="565" w:right="0" w:firstLine="0"/>
        <w:jc w:val="both"/>
        <w:rPr>
          <w:rFonts w:ascii="宋体" w:hAnsi="宋体" w:cs="宋体" w:eastAsia="宋体" w:hint="default"/>
          <w:sz w:val="21"/>
          <w:szCs w:val="21"/>
        </w:rPr>
      </w:pPr>
      <w:r>
        <w:rPr>
          <w:rFonts w:ascii="Arial" w:hAnsi="Arial" w:cs="Arial" w:eastAsia="Arial" w:hint="default"/>
          <w:sz w:val="21"/>
          <w:szCs w:val="21"/>
        </w:rPr>
        <w:t>5</w:t>
      </w:r>
      <w:r>
        <w:rPr>
          <w:rFonts w:ascii="宋体" w:hAnsi="宋体" w:cs="宋体" w:eastAsia="宋体" w:hint="default"/>
          <w:sz w:val="21"/>
          <w:szCs w:val="21"/>
        </w:rPr>
        <w:t>、</w:t>
      </w:r>
      <w:r>
        <w:rPr>
          <w:rFonts w:ascii="宋体" w:hAnsi="宋体" w:cs="宋体" w:eastAsia="宋体" w:hint="default"/>
          <w:spacing w:val="-7"/>
          <w:sz w:val="21"/>
          <w:szCs w:val="21"/>
        </w:rPr>
        <w:t> </w:t>
      </w:r>
      <w:r>
        <w:rPr>
          <w:rFonts w:ascii="宋体" w:hAnsi="宋体" w:cs="宋体" w:eastAsia="宋体" w:hint="default"/>
          <w:sz w:val="21"/>
          <w:szCs w:val="21"/>
        </w:rPr>
        <w:t>关于聘请会计师事务所的议案</w:t>
      </w:r>
    </w:p>
    <w:p>
      <w:pPr>
        <w:spacing w:line="240" w:lineRule="auto" w:before="1"/>
        <w:rPr>
          <w:rFonts w:ascii="宋体" w:hAnsi="宋体" w:cs="宋体" w:eastAsia="宋体" w:hint="default"/>
          <w:sz w:val="17"/>
          <w:szCs w:val="17"/>
        </w:rPr>
      </w:pPr>
    </w:p>
    <w:p>
      <w:pPr>
        <w:spacing w:line="424" w:lineRule="auto" w:before="0"/>
        <w:ind w:left="565" w:right="2529" w:firstLine="0"/>
        <w:jc w:val="left"/>
        <w:rPr>
          <w:rFonts w:ascii="宋体" w:hAnsi="宋体" w:cs="宋体" w:eastAsia="宋体" w:hint="default"/>
          <w:sz w:val="21"/>
          <w:szCs w:val="21"/>
        </w:rPr>
      </w:pPr>
      <w:r>
        <w:rPr>
          <w:rFonts w:ascii="Arial" w:hAnsi="Arial" w:cs="Arial" w:eastAsia="Arial" w:hint="default"/>
          <w:sz w:val="21"/>
          <w:szCs w:val="21"/>
        </w:rPr>
        <w:t>6</w:t>
      </w:r>
      <w:r>
        <w:rPr>
          <w:rFonts w:ascii="宋体" w:hAnsi="宋体" w:cs="宋体" w:eastAsia="宋体" w:hint="default"/>
          <w:sz w:val="21"/>
          <w:szCs w:val="21"/>
        </w:rPr>
        <w:t>、</w:t>
      </w:r>
      <w:r>
        <w:rPr>
          <w:rFonts w:ascii="宋体" w:hAnsi="宋体" w:cs="宋体" w:eastAsia="宋体" w:hint="default"/>
          <w:spacing w:val="-9"/>
          <w:sz w:val="21"/>
          <w:szCs w:val="21"/>
        </w:rPr>
        <w:t> </w:t>
      </w:r>
      <w:r>
        <w:rPr>
          <w:rFonts w:ascii="宋体" w:hAnsi="宋体" w:cs="宋体" w:eastAsia="宋体" w:hint="default"/>
          <w:sz w:val="21"/>
          <w:szCs w:val="21"/>
        </w:rPr>
        <w:t>审计委员会</w:t>
      </w:r>
      <w:r>
        <w:rPr>
          <w:rFonts w:ascii="宋体" w:hAnsi="宋体" w:cs="宋体" w:eastAsia="宋体" w:hint="default"/>
          <w:spacing w:val="-52"/>
          <w:sz w:val="21"/>
          <w:szCs w:val="21"/>
        </w:rPr>
        <w:t> </w:t>
      </w: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年度履职情况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会议经表决一致同意上述议案并提交董事会审议。</w:t>
      </w:r>
    </w:p>
    <w:p>
      <w:pPr>
        <w:spacing w:line="272" w:lineRule="exact" w:before="107"/>
        <w:ind w:left="565" w:right="130" w:firstLine="0"/>
        <w:jc w:val="both"/>
        <w:rPr>
          <w:rFonts w:ascii="宋体" w:hAnsi="宋体" w:cs="宋体" w:eastAsia="宋体" w:hint="default"/>
          <w:sz w:val="21"/>
          <w:szCs w:val="21"/>
        </w:rPr>
      </w:pPr>
      <w:r>
        <w:rPr>
          <w:rFonts w:ascii="宋体" w:hAnsi="宋体" w:cs="宋体" w:eastAsia="宋体" w:hint="default"/>
          <w:sz w:val="21"/>
          <w:szCs w:val="21"/>
        </w:rPr>
        <w:t>会议还听取并讨论了外部审计师有关</w:t>
      </w:r>
      <w:r>
        <w:rPr>
          <w:rFonts w:ascii="宋体" w:hAnsi="宋体" w:cs="宋体" w:eastAsia="宋体" w:hint="default"/>
          <w:spacing w:val="-54"/>
          <w:sz w:val="21"/>
          <w:szCs w:val="21"/>
        </w:rPr>
        <w:t> </w:t>
      </w:r>
      <w:r>
        <w:rPr>
          <w:rFonts w:ascii="Arial" w:hAnsi="Arial" w:cs="Arial" w:eastAsia="Arial" w:hint="default"/>
          <w:sz w:val="21"/>
          <w:szCs w:val="21"/>
        </w:rPr>
        <w:t>2013</w:t>
      </w:r>
      <w:r>
        <w:rPr>
          <w:rFonts w:ascii="Arial" w:hAnsi="Arial" w:cs="Arial" w:eastAsia="Arial" w:hint="default"/>
          <w:spacing w:val="-10"/>
          <w:sz w:val="21"/>
          <w:szCs w:val="21"/>
        </w:rPr>
        <w:t> </w:t>
      </w:r>
      <w:r>
        <w:rPr>
          <w:rFonts w:ascii="宋体" w:hAnsi="宋体" w:cs="宋体" w:eastAsia="宋体" w:hint="default"/>
          <w:sz w:val="21"/>
          <w:szCs w:val="21"/>
        </w:rPr>
        <w:t>年年报审计相关问题及审计意见的汇报及本公司</w:t>
      </w:r>
      <w:r>
        <w:rPr>
          <w:rFonts w:ascii="宋体" w:hAnsi="宋体" w:cs="宋体" w:eastAsia="宋体" w:hint="default"/>
          <w:w w:val="100"/>
          <w:sz w:val="21"/>
          <w:szCs w:val="21"/>
        </w:rPr>
        <w:t> </w:t>
      </w:r>
      <w:r>
        <w:rPr>
          <w:rFonts w:ascii="宋体" w:hAnsi="宋体" w:cs="宋体" w:eastAsia="宋体" w:hint="default"/>
          <w:sz w:val="21"/>
          <w:szCs w:val="21"/>
        </w:rPr>
        <w:t>财务部关于审计师所提问题的改进措施的汇报。</w:t>
      </w:r>
    </w:p>
    <w:p>
      <w:pPr>
        <w:spacing w:line="240" w:lineRule="auto" w:before="12"/>
        <w:rPr>
          <w:rFonts w:ascii="宋体" w:hAnsi="宋体" w:cs="宋体" w:eastAsia="宋体" w:hint="default"/>
          <w:sz w:val="16"/>
          <w:szCs w:val="16"/>
        </w:rPr>
      </w:pPr>
    </w:p>
    <w:p>
      <w:pPr>
        <w:spacing w:line="232" w:lineRule="auto" w:before="0"/>
        <w:ind w:left="565" w:right="130" w:firstLine="0"/>
        <w:jc w:val="both"/>
        <w:rPr>
          <w:rFonts w:ascii="宋体" w:hAnsi="宋体" w:cs="宋体" w:eastAsia="宋体" w:hint="default"/>
          <w:sz w:val="21"/>
          <w:szCs w:val="21"/>
        </w:rPr>
      </w:pPr>
      <w:r>
        <w:rPr>
          <w:rFonts w:ascii="宋体" w:hAnsi="宋体" w:cs="宋体" w:eastAsia="宋体" w:hint="default"/>
          <w:spacing w:val="-2"/>
          <w:sz w:val="21"/>
          <w:szCs w:val="21"/>
        </w:rPr>
        <w:t>会议认为公司管理层对内部控制和外部审计过程中所发现的问题及提出的审计建议给予了高</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度重视，制定的改进措施是可行的，希望公司在</w:t>
      </w:r>
      <w:r>
        <w:rPr>
          <w:rFonts w:ascii="宋体" w:hAnsi="宋体" w:cs="宋体" w:eastAsia="宋体" w:hint="default"/>
          <w:spacing w:val="-55"/>
          <w:sz w:val="21"/>
          <w:szCs w:val="21"/>
        </w:rPr>
        <w:t> </w:t>
      </w: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年度对外部审计师所提问题在下一年</w:t>
      </w:r>
      <w:r>
        <w:rPr>
          <w:rFonts w:ascii="宋体" w:hAnsi="宋体" w:cs="宋体" w:eastAsia="宋体" w:hint="default"/>
          <w:w w:val="100"/>
          <w:sz w:val="21"/>
          <w:szCs w:val="21"/>
        </w:rPr>
        <w:t> </w:t>
      </w:r>
      <w:r>
        <w:rPr>
          <w:rFonts w:ascii="宋体" w:hAnsi="宋体" w:cs="宋体" w:eastAsia="宋体" w:hint="default"/>
          <w:sz w:val="21"/>
          <w:szCs w:val="21"/>
        </w:rPr>
        <w:t>度予以跟进，对改进措施认真落实，切实强化内控，不断提高公司的各项管理水平。</w:t>
      </w:r>
    </w:p>
    <w:p>
      <w:pPr>
        <w:spacing w:after="0" w:line="232" w:lineRule="auto"/>
        <w:jc w:val="both"/>
        <w:rPr>
          <w:rFonts w:ascii="宋体" w:hAnsi="宋体" w:cs="宋体" w:eastAsia="宋体" w:hint="default"/>
          <w:sz w:val="21"/>
          <w:szCs w:val="21"/>
        </w:rPr>
        <w:sectPr>
          <w:pgSz w:w="11910" w:h="16840"/>
          <w:pgMar w:header="880" w:footer="1194" w:top="1120" w:bottom="1380" w:left="1660" w:right="1140"/>
        </w:sectPr>
      </w:pPr>
    </w:p>
    <w:p>
      <w:pPr>
        <w:spacing w:line="240" w:lineRule="auto" w:before="3"/>
        <w:rPr>
          <w:rFonts w:ascii="宋体" w:hAnsi="宋体" w:cs="宋体" w:eastAsia="宋体" w:hint="default"/>
          <w:sz w:val="25"/>
          <w:szCs w:val="25"/>
        </w:rPr>
      </w:pPr>
    </w:p>
    <w:p>
      <w:pPr>
        <w:spacing w:before="36"/>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四、董事会下设专门委员会在报告期内履行职责时所提出的重要意见和建议</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p>
      <w:pPr>
        <w:spacing w:line="280" w:lineRule="exact" w:before="0"/>
        <w:ind w:left="138" w:right="0" w:firstLine="0"/>
        <w:jc w:val="both"/>
        <w:rPr>
          <w:rFonts w:ascii="Arial" w:hAnsi="Arial" w:cs="Arial" w:eastAsia="Arial" w:hint="default"/>
          <w:sz w:val="21"/>
          <w:szCs w:val="21"/>
        </w:rPr>
      </w:pPr>
      <w:r>
        <w:rPr>
          <w:rFonts w:ascii="Arial" w:hAnsi="Arial" w:cs="Arial" w:eastAsia="Arial" w:hint="default"/>
          <w:spacing w:val="-1"/>
          <w:w w:val="100"/>
          <w:sz w:val="21"/>
          <w:szCs w:val="21"/>
        </w:rPr>
        <w:t>(</w:t>
      </w:r>
      <w:r>
        <w:rPr>
          <w:rFonts w:ascii="宋体" w:hAnsi="宋体" w:cs="宋体" w:eastAsia="宋体" w:hint="default"/>
          <w:spacing w:val="-1"/>
          <w:w w:val="100"/>
          <w:sz w:val="21"/>
          <w:szCs w:val="21"/>
        </w:rPr>
        <w:t>二</w:t>
      </w:r>
      <w:r>
        <w:rPr>
          <w:rFonts w:ascii="Arial" w:hAnsi="Arial" w:cs="Arial" w:eastAsia="Arial" w:hint="default"/>
          <w:w w:val="100"/>
          <w:sz w:val="21"/>
          <w:szCs w:val="21"/>
        </w:rPr>
        <w:t>)</w:t>
      </w:r>
      <w:r>
        <w:rPr>
          <w:rFonts w:ascii="Arial" w:hAnsi="Arial" w:cs="Arial" w:eastAsia="Arial" w:hint="default"/>
          <w:spacing w:val="10"/>
          <w:sz w:val="21"/>
          <w:szCs w:val="21"/>
        </w:rPr>
        <w:t> </w:t>
      </w:r>
      <w:r>
        <w:rPr>
          <w:rFonts w:ascii="宋体" w:hAnsi="宋体" w:cs="宋体" w:eastAsia="宋体" w:hint="default"/>
          <w:w w:val="100"/>
          <w:sz w:val="21"/>
          <w:szCs w:val="21"/>
        </w:rPr>
        <w:t>第四</w:t>
      </w:r>
      <w:r>
        <w:rPr>
          <w:rFonts w:ascii="宋体" w:hAnsi="宋体" w:cs="宋体" w:eastAsia="宋体" w:hint="default"/>
          <w:spacing w:val="-3"/>
          <w:w w:val="100"/>
          <w:sz w:val="21"/>
          <w:szCs w:val="21"/>
        </w:rPr>
        <w:t>届</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审</w:t>
      </w:r>
      <w:r>
        <w:rPr>
          <w:rFonts w:ascii="宋体" w:hAnsi="宋体" w:cs="宋体" w:eastAsia="宋体" w:hint="default"/>
          <w:w w:val="100"/>
          <w:sz w:val="21"/>
          <w:szCs w:val="21"/>
        </w:rPr>
        <w:t>计</w:t>
      </w:r>
      <w:r>
        <w:rPr>
          <w:rFonts w:ascii="宋体" w:hAnsi="宋体" w:cs="宋体" w:eastAsia="宋体" w:hint="default"/>
          <w:spacing w:val="-3"/>
          <w:w w:val="100"/>
          <w:sz w:val="21"/>
          <w:szCs w:val="21"/>
        </w:rPr>
        <w:t>委</w:t>
      </w:r>
      <w:r>
        <w:rPr>
          <w:rFonts w:ascii="宋体" w:hAnsi="宋体" w:cs="宋体" w:eastAsia="宋体" w:hint="default"/>
          <w:w w:val="100"/>
          <w:sz w:val="21"/>
          <w:szCs w:val="21"/>
        </w:rPr>
        <w:t>员</w:t>
      </w:r>
      <w:r>
        <w:rPr>
          <w:rFonts w:ascii="宋体" w:hAnsi="宋体" w:cs="宋体" w:eastAsia="宋体" w:hint="default"/>
          <w:spacing w:val="-3"/>
          <w:w w:val="100"/>
          <w:sz w:val="21"/>
          <w:szCs w:val="21"/>
        </w:rPr>
        <w:t>会</w:t>
      </w:r>
      <w:r>
        <w:rPr>
          <w:rFonts w:ascii="宋体" w:hAnsi="宋体" w:cs="宋体" w:eastAsia="宋体" w:hint="default"/>
          <w:w w:val="100"/>
          <w:sz w:val="21"/>
          <w:szCs w:val="21"/>
        </w:rPr>
        <w:t>第七</w:t>
      </w:r>
      <w:r>
        <w:rPr>
          <w:rFonts w:ascii="宋体" w:hAnsi="宋体" w:cs="宋体" w:eastAsia="宋体" w:hint="default"/>
          <w:spacing w:val="-3"/>
          <w:w w:val="100"/>
          <w:sz w:val="21"/>
          <w:szCs w:val="21"/>
        </w:rPr>
        <w:t>次</w:t>
      </w:r>
      <w:r>
        <w:rPr>
          <w:rFonts w:ascii="宋体" w:hAnsi="宋体" w:cs="宋体" w:eastAsia="宋体" w:hint="default"/>
          <w:w w:val="100"/>
          <w:sz w:val="21"/>
          <w:szCs w:val="21"/>
        </w:rPr>
        <w:t>会</w:t>
      </w:r>
      <w:r>
        <w:rPr>
          <w:rFonts w:ascii="宋体" w:hAnsi="宋体" w:cs="宋体" w:eastAsia="宋体" w:hint="default"/>
          <w:spacing w:val="-3"/>
          <w:w w:val="100"/>
          <w:sz w:val="21"/>
          <w:szCs w:val="21"/>
        </w:rPr>
        <w:t>议</w:t>
      </w:r>
      <w:r>
        <w:rPr>
          <w:rFonts w:ascii="宋体" w:hAnsi="宋体" w:cs="宋体" w:eastAsia="宋体" w:hint="default"/>
          <w:w w:val="100"/>
          <w:sz w:val="21"/>
          <w:szCs w:val="21"/>
        </w:rPr>
        <w:t>于</w:t>
      </w:r>
      <w:r>
        <w:rPr>
          <w:rFonts w:ascii="宋体" w:hAnsi="宋体" w:cs="宋体" w:eastAsia="宋体" w:hint="default"/>
          <w:spacing w:val="-52"/>
          <w:sz w:val="21"/>
          <w:szCs w:val="21"/>
        </w:rPr>
        <w:t> </w:t>
      </w:r>
      <w:r>
        <w:rPr>
          <w:rFonts w:ascii="Arial" w:hAnsi="Arial" w:cs="Arial" w:eastAsia="Arial" w:hint="default"/>
          <w:spacing w:val="-3"/>
          <w:w w:val="100"/>
          <w:sz w:val="21"/>
          <w:szCs w:val="21"/>
        </w:rPr>
        <w:t>2</w:t>
      </w:r>
      <w:r>
        <w:rPr>
          <w:rFonts w:ascii="Arial" w:hAnsi="Arial" w:cs="Arial" w:eastAsia="Arial" w:hint="default"/>
          <w:w w:val="100"/>
          <w:sz w:val="21"/>
          <w:szCs w:val="21"/>
        </w:rPr>
        <w:t>0</w:t>
      </w:r>
      <w:r>
        <w:rPr>
          <w:rFonts w:ascii="Arial" w:hAnsi="Arial" w:cs="Arial" w:eastAsia="Arial" w:hint="default"/>
          <w:spacing w:val="-3"/>
          <w:w w:val="100"/>
          <w:sz w:val="21"/>
          <w:szCs w:val="21"/>
        </w:rPr>
        <w:t>1</w:t>
      </w:r>
      <w:r>
        <w:rPr>
          <w:rFonts w:ascii="Arial" w:hAnsi="Arial" w:cs="Arial" w:eastAsia="Arial" w:hint="default"/>
          <w:w w:val="100"/>
          <w:sz w:val="21"/>
          <w:szCs w:val="21"/>
        </w:rPr>
        <w:t>4</w:t>
      </w:r>
      <w:r>
        <w:rPr>
          <w:rFonts w:ascii="Arial" w:hAnsi="Arial" w:cs="Arial" w:eastAsia="Arial" w:hint="default"/>
          <w:spacing w:val="-6"/>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Arial" w:hAnsi="Arial" w:cs="Arial" w:eastAsia="Arial" w:hint="default"/>
          <w:w w:val="100"/>
          <w:sz w:val="21"/>
          <w:szCs w:val="21"/>
        </w:rPr>
        <w:t>4</w:t>
      </w:r>
      <w:r>
        <w:rPr>
          <w:rFonts w:ascii="Arial" w:hAnsi="Arial" w:cs="Arial" w:eastAsia="Arial" w:hint="default"/>
          <w:spacing w:val="-8"/>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Arial" w:hAnsi="Arial" w:cs="Arial" w:eastAsia="Arial" w:hint="default"/>
          <w:w w:val="100"/>
          <w:sz w:val="21"/>
          <w:szCs w:val="21"/>
        </w:rPr>
        <w:t>17</w:t>
      </w:r>
      <w:r>
        <w:rPr>
          <w:rFonts w:ascii="Arial" w:hAnsi="Arial" w:cs="Arial" w:eastAsia="Arial" w:hint="default"/>
          <w:spacing w:val="-8"/>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以</w:t>
      </w:r>
      <w:r>
        <w:rPr>
          <w:rFonts w:ascii="宋体" w:hAnsi="宋体" w:cs="宋体" w:eastAsia="宋体" w:hint="default"/>
          <w:w w:val="100"/>
          <w:sz w:val="21"/>
          <w:szCs w:val="21"/>
        </w:rPr>
        <w:t>通</w:t>
      </w:r>
      <w:r>
        <w:rPr>
          <w:rFonts w:ascii="宋体" w:hAnsi="宋体" w:cs="宋体" w:eastAsia="宋体" w:hint="default"/>
          <w:spacing w:val="-3"/>
          <w:w w:val="100"/>
          <w:sz w:val="21"/>
          <w:szCs w:val="21"/>
        </w:rPr>
        <w:t>信</w:t>
      </w:r>
      <w:r>
        <w:rPr>
          <w:rFonts w:ascii="宋体" w:hAnsi="宋体" w:cs="宋体" w:eastAsia="宋体" w:hint="default"/>
          <w:w w:val="100"/>
          <w:sz w:val="21"/>
          <w:szCs w:val="21"/>
        </w:rPr>
        <w:t>方</w:t>
      </w:r>
      <w:r>
        <w:rPr>
          <w:rFonts w:ascii="宋体" w:hAnsi="宋体" w:cs="宋体" w:eastAsia="宋体" w:hint="default"/>
          <w:spacing w:val="-3"/>
          <w:w w:val="100"/>
          <w:sz w:val="21"/>
          <w:szCs w:val="21"/>
        </w:rPr>
        <w:t>式</w:t>
      </w:r>
      <w:r>
        <w:rPr>
          <w:rFonts w:ascii="宋体" w:hAnsi="宋体" w:cs="宋体" w:eastAsia="宋体" w:hint="default"/>
          <w:w w:val="100"/>
          <w:sz w:val="21"/>
          <w:szCs w:val="21"/>
        </w:rPr>
        <w:t>召</w:t>
      </w:r>
      <w:r>
        <w:rPr>
          <w:rFonts w:ascii="宋体" w:hAnsi="宋体" w:cs="宋体" w:eastAsia="宋体" w:hint="default"/>
          <w:spacing w:val="-3"/>
          <w:w w:val="100"/>
          <w:sz w:val="21"/>
          <w:szCs w:val="21"/>
        </w:rPr>
        <w:t>开</w:t>
      </w:r>
      <w:r>
        <w:rPr>
          <w:rFonts w:ascii="宋体" w:hAnsi="宋体" w:cs="宋体" w:eastAsia="宋体" w:hint="default"/>
          <w:spacing w:val="-87"/>
          <w:w w:val="100"/>
          <w:sz w:val="21"/>
          <w:szCs w:val="21"/>
        </w:rPr>
        <w:t>，</w:t>
      </w:r>
      <w:r>
        <w:rPr>
          <w:rFonts w:ascii="宋体" w:hAnsi="宋体" w:cs="宋体" w:eastAsia="宋体" w:hint="default"/>
          <w:w w:val="100"/>
          <w:sz w:val="21"/>
          <w:szCs w:val="21"/>
        </w:rPr>
        <w:t>审</w:t>
      </w:r>
      <w:r>
        <w:rPr>
          <w:rFonts w:ascii="宋体" w:hAnsi="宋体" w:cs="宋体" w:eastAsia="宋体" w:hint="default"/>
          <w:spacing w:val="-85"/>
          <w:w w:val="100"/>
          <w:sz w:val="21"/>
          <w:szCs w:val="21"/>
        </w:rPr>
        <w:t>议</w:t>
      </w:r>
      <w:r>
        <w:rPr>
          <w:rFonts w:ascii="宋体" w:hAnsi="宋体" w:cs="宋体" w:eastAsia="宋体" w:hint="default"/>
          <w:spacing w:val="-3"/>
          <w:w w:val="100"/>
          <w:sz w:val="21"/>
          <w:szCs w:val="21"/>
        </w:rPr>
        <w:t>《</w:t>
      </w:r>
      <w:r>
        <w:rPr>
          <w:rFonts w:ascii="宋体" w:hAnsi="宋体" w:cs="宋体" w:eastAsia="宋体" w:hint="default"/>
          <w:w w:val="100"/>
          <w:sz w:val="21"/>
          <w:szCs w:val="21"/>
        </w:rPr>
        <w:t>公司</w:t>
      </w:r>
      <w:r>
        <w:rPr>
          <w:rFonts w:ascii="宋体" w:hAnsi="宋体" w:cs="宋体" w:eastAsia="宋体" w:hint="default"/>
          <w:spacing w:val="-54"/>
          <w:sz w:val="21"/>
          <w:szCs w:val="21"/>
        </w:rPr>
        <w:t> </w:t>
      </w:r>
      <w:r>
        <w:rPr>
          <w:rFonts w:ascii="Arial" w:hAnsi="Arial" w:cs="Arial" w:eastAsia="Arial" w:hint="default"/>
          <w:w w:val="100"/>
          <w:sz w:val="21"/>
          <w:szCs w:val="21"/>
        </w:rPr>
        <w:t>20</w:t>
      </w:r>
      <w:r>
        <w:rPr>
          <w:rFonts w:ascii="Arial" w:hAnsi="Arial" w:cs="Arial" w:eastAsia="Arial" w:hint="default"/>
          <w:spacing w:val="-2"/>
          <w:w w:val="100"/>
          <w:sz w:val="21"/>
          <w:szCs w:val="21"/>
        </w:rPr>
        <w:t>1</w:t>
      </w:r>
      <w:r>
        <w:rPr>
          <w:rFonts w:ascii="Arial" w:hAnsi="Arial" w:cs="Arial" w:eastAsia="Arial" w:hint="default"/>
          <w:w w:val="100"/>
          <w:sz w:val="21"/>
          <w:szCs w:val="21"/>
        </w:rPr>
        <w:t>4</w:t>
      </w:r>
    </w:p>
    <w:p>
      <w:pPr>
        <w:spacing w:line="271" w:lineRule="exact" w:before="0"/>
        <w:ind w:left="562" w:right="0" w:firstLine="0"/>
        <w:jc w:val="both"/>
        <w:rPr>
          <w:rFonts w:ascii="宋体" w:hAnsi="宋体" w:cs="宋体" w:eastAsia="宋体" w:hint="default"/>
          <w:sz w:val="21"/>
          <w:szCs w:val="21"/>
        </w:rPr>
      </w:pPr>
      <w:r>
        <w:rPr>
          <w:rFonts w:ascii="宋体" w:hAnsi="宋体" w:cs="宋体" w:eastAsia="宋体" w:hint="default"/>
          <w:w w:val="100"/>
          <w:sz w:val="21"/>
          <w:szCs w:val="21"/>
        </w:rPr>
        <w:t>年第</w:t>
      </w:r>
      <w:r>
        <w:rPr>
          <w:rFonts w:ascii="宋体" w:hAnsi="宋体" w:cs="宋体" w:eastAsia="宋体" w:hint="default"/>
          <w:spacing w:val="-3"/>
          <w:w w:val="100"/>
          <w:sz w:val="21"/>
          <w:szCs w:val="21"/>
        </w:rPr>
        <w:t>一</w:t>
      </w:r>
      <w:r>
        <w:rPr>
          <w:rFonts w:ascii="宋体" w:hAnsi="宋体" w:cs="宋体" w:eastAsia="宋体" w:hint="default"/>
          <w:w w:val="100"/>
          <w:sz w:val="21"/>
          <w:szCs w:val="21"/>
        </w:rPr>
        <w:t>季</w:t>
      </w:r>
      <w:r>
        <w:rPr>
          <w:rFonts w:ascii="宋体" w:hAnsi="宋体" w:cs="宋体" w:eastAsia="宋体" w:hint="default"/>
          <w:spacing w:val="-3"/>
          <w:w w:val="100"/>
          <w:sz w:val="21"/>
          <w:szCs w:val="21"/>
        </w:rPr>
        <w:t>度</w:t>
      </w:r>
      <w:r>
        <w:rPr>
          <w:rFonts w:ascii="宋体" w:hAnsi="宋体" w:cs="宋体" w:eastAsia="宋体" w:hint="default"/>
          <w:w w:val="100"/>
          <w:sz w:val="21"/>
          <w:szCs w:val="21"/>
        </w:rPr>
        <w:t>报</w:t>
      </w:r>
      <w:r>
        <w:rPr>
          <w:rFonts w:ascii="宋体" w:hAnsi="宋体" w:cs="宋体" w:eastAsia="宋体" w:hint="default"/>
          <w:spacing w:val="-13"/>
          <w:w w:val="100"/>
          <w:sz w:val="21"/>
          <w:szCs w:val="21"/>
        </w:rPr>
        <w:t>告</w:t>
      </w:r>
      <w:r>
        <w:rPr>
          <w:rFonts w:ascii="宋体" w:hAnsi="宋体" w:cs="宋体" w:eastAsia="宋体" w:hint="default"/>
          <w:w w:val="100"/>
          <w:sz w:val="21"/>
          <w:szCs w:val="21"/>
        </w:rPr>
        <w:t>（</w:t>
      </w:r>
      <w:r>
        <w:rPr>
          <w:rFonts w:ascii="宋体" w:hAnsi="宋体" w:cs="宋体" w:eastAsia="宋体" w:hint="default"/>
          <w:spacing w:val="-3"/>
          <w:w w:val="100"/>
          <w:sz w:val="21"/>
          <w:szCs w:val="21"/>
        </w:rPr>
        <w:t>草</w:t>
      </w:r>
      <w:r>
        <w:rPr>
          <w:rFonts w:ascii="宋体" w:hAnsi="宋体" w:cs="宋体" w:eastAsia="宋体" w:hint="default"/>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13"/>
          <w:w w:val="100"/>
          <w:sz w:val="21"/>
          <w:szCs w:val="21"/>
        </w:rPr>
        <w:t>》</w:t>
      </w:r>
      <w:r>
        <w:rPr>
          <w:rFonts w:ascii="宋体" w:hAnsi="宋体" w:cs="宋体" w:eastAsia="宋体" w:hint="default"/>
          <w:w w:val="100"/>
          <w:sz w:val="21"/>
          <w:szCs w:val="21"/>
        </w:rPr>
        <w:t>中有</w:t>
      </w:r>
      <w:r>
        <w:rPr>
          <w:rFonts w:ascii="宋体" w:hAnsi="宋体" w:cs="宋体" w:eastAsia="宋体" w:hint="default"/>
          <w:spacing w:val="-3"/>
          <w:w w:val="100"/>
          <w:sz w:val="21"/>
          <w:szCs w:val="21"/>
        </w:rPr>
        <w:t>关</w:t>
      </w:r>
      <w:r>
        <w:rPr>
          <w:rFonts w:ascii="宋体" w:hAnsi="宋体" w:cs="宋体" w:eastAsia="宋体" w:hint="default"/>
          <w:w w:val="100"/>
          <w:sz w:val="21"/>
          <w:szCs w:val="21"/>
        </w:rPr>
        <w:t>财</w:t>
      </w:r>
      <w:r>
        <w:rPr>
          <w:rFonts w:ascii="宋体" w:hAnsi="宋体" w:cs="宋体" w:eastAsia="宋体" w:hint="default"/>
          <w:spacing w:val="-3"/>
          <w:w w:val="100"/>
          <w:sz w:val="21"/>
          <w:szCs w:val="21"/>
        </w:rPr>
        <w:t>务</w:t>
      </w:r>
      <w:r>
        <w:rPr>
          <w:rFonts w:ascii="宋体" w:hAnsi="宋体" w:cs="宋体" w:eastAsia="宋体" w:hint="default"/>
          <w:w w:val="100"/>
          <w:sz w:val="21"/>
          <w:szCs w:val="21"/>
        </w:rPr>
        <w:t>的</w:t>
      </w:r>
      <w:r>
        <w:rPr>
          <w:rFonts w:ascii="宋体" w:hAnsi="宋体" w:cs="宋体" w:eastAsia="宋体" w:hint="default"/>
          <w:spacing w:val="-3"/>
          <w:w w:val="100"/>
          <w:sz w:val="21"/>
          <w:szCs w:val="21"/>
        </w:rPr>
        <w:t>数</w:t>
      </w:r>
      <w:r>
        <w:rPr>
          <w:rFonts w:ascii="宋体" w:hAnsi="宋体" w:cs="宋体" w:eastAsia="宋体" w:hint="default"/>
          <w:w w:val="100"/>
          <w:sz w:val="21"/>
          <w:szCs w:val="21"/>
        </w:rPr>
        <w:t>据</w:t>
      </w:r>
      <w:r>
        <w:rPr>
          <w:rFonts w:ascii="宋体" w:hAnsi="宋体" w:cs="宋体" w:eastAsia="宋体" w:hint="default"/>
          <w:spacing w:val="-3"/>
          <w:w w:val="100"/>
          <w:sz w:val="21"/>
          <w:szCs w:val="21"/>
        </w:rPr>
        <w:t>和</w:t>
      </w:r>
      <w:r>
        <w:rPr>
          <w:rFonts w:ascii="宋体" w:hAnsi="宋体" w:cs="宋体" w:eastAsia="宋体" w:hint="default"/>
          <w:w w:val="100"/>
          <w:sz w:val="21"/>
          <w:szCs w:val="21"/>
        </w:rPr>
        <w:t>资</w:t>
      </w:r>
      <w:r>
        <w:rPr>
          <w:rFonts w:ascii="宋体" w:hAnsi="宋体" w:cs="宋体" w:eastAsia="宋体" w:hint="default"/>
          <w:spacing w:val="-3"/>
          <w:w w:val="100"/>
          <w:sz w:val="21"/>
          <w:szCs w:val="21"/>
        </w:rPr>
        <w:t>料</w:t>
      </w:r>
      <w:r>
        <w:rPr>
          <w:rFonts w:ascii="宋体" w:hAnsi="宋体" w:cs="宋体" w:eastAsia="宋体" w:hint="default"/>
          <w:spacing w:val="-10"/>
          <w:w w:val="100"/>
          <w:sz w:val="21"/>
          <w:szCs w:val="21"/>
        </w:rPr>
        <w:t>，</w:t>
      </w:r>
      <w:r>
        <w:rPr>
          <w:rFonts w:ascii="宋体" w:hAnsi="宋体" w:cs="宋体" w:eastAsia="宋体" w:hint="default"/>
          <w:w w:val="100"/>
          <w:sz w:val="21"/>
          <w:szCs w:val="21"/>
        </w:rPr>
        <w:t>并</w:t>
      </w:r>
      <w:r>
        <w:rPr>
          <w:rFonts w:ascii="宋体" w:hAnsi="宋体" w:cs="宋体" w:eastAsia="宋体" w:hint="default"/>
          <w:spacing w:val="-3"/>
          <w:w w:val="100"/>
          <w:sz w:val="21"/>
          <w:szCs w:val="21"/>
        </w:rPr>
        <w:t>同</w:t>
      </w:r>
      <w:r>
        <w:rPr>
          <w:rFonts w:ascii="宋体" w:hAnsi="宋体" w:cs="宋体" w:eastAsia="宋体" w:hint="default"/>
          <w:w w:val="100"/>
          <w:sz w:val="21"/>
          <w:szCs w:val="21"/>
        </w:rPr>
        <w:t>意</w:t>
      </w:r>
      <w:r>
        <w:rPr>
          <w:rFonts w:ascii="宋体" w:hAnsi="宋体" w:cs="宋体" w:eastAsia="宋体" w:hint="default"/>
          <w:spacing w:val="-13"/>
          <w:w w:val="100"/>
          <w:sz w:val="21"/>
          <w:szCs w:val="21"/>
        </w:rPr>
        <w:t>将</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2"/>
          <w:sz w:val="21"/>
          <w:szCs w:val="21"/>
        </w:rPr>
        <w:t> </w:t>
      </w:r>
      <w:r>
        <w:rPr>
          <w:rFonts w:ascii="Arial" w:hAnsi="Arial" w:cs="Arial" w:eastAsia="Arial" w:hint="default"/>
          <w:w w:val="100"/>
          <w:sz w:val="21"/>
          <w:szCs w:val="21"/>
        </w:rPr>
        <w:t>2</w:t>
      </w:r>
      <w:r>
        <w:rPr>
          <w:rFonts w:ascii="Arial" w:hAnsi="Arial" w:cs="Arial" w:eastAsia="Arial" w:hint="default"/>
          <w:spacing w:val="-3"/>
          <w:w w:val="100"/>
          <w:sz w:val="21"/>
          <w:szCs w:val="21"/>
        </w:rPr>
        <w:t>0</w:t>
      </w:r>
      <w:r>
        <w:rPr>
          <w:rFonts w:ascii="Arial" w:hAnsi="Arial" w:cs="Arial" w:eastAsia="Arial" w:hint="default"/>
          <w:w w:val="100"/>
          <w:sz w:val="21"/>
          <w:szCs w:val="21"/>
        </w:rPr>
        <w:t>14</w:t>
      </w:r>
      <w:r>
        <w:rPr>
          <w:rFonts w:ascii="Arial" w:hAnsi="Arial" w:cs="Arial" w:eastAsia="Arial" w:hint="default"/>
          <w:spacing w:val="-8"/>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第一</w:t>
      </w:r>
      <w:r>
        <w:rPr>
          <w:rFonts w:ascii="宋体" w:hAnsi="宋体" w:cs="宋体" w:eastAsia="宋体" w:hint="default"/>
          <w:spacing w:val="-3"/>
          <w:w w:val="100"/>
          <w:sz w:val="21"/>
          <w:szCs w:val="21"/>
        </w:rPr>
        <w:t>季</w:t>
      </w:r>
      <w:r>
        <w:rPr>
          <w:rFonts w:ascii="宋体" w:hAnsi="宋体" w:cs="宋体" w:eastAsia="宋体" w:hint="default"/>
          <w:w w:val="100"/>
          <w:sz w:val="21"/>
          <w:szCs w:val="21"/>
        </w:rPr>
        <w:t>度</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p>
    <w:p>
      <w:pPr>
        <w:spacing w:line="266" w:lineRule="exact" w:before="0"/>
        <w:ind w:left="562" w:right="0" w:firstLine="0"/>
        <w:jc w:val="both"/>
        <w:rPr>
          <w:rFonts w:ascii="宋体" w:hAnsi="宋体" w:cs="宋体" w:eastAsia="宋体" w:hint="default"/>
          <w:sz w:val="21"/>
          <w:szCs w:val="21"/>
        </w:rPr>
      </w:pPr>
      <w:r>
        <w:rPr>
          <w:rFonts w:ascii="宋体" w:hAnsi="宋体" w:cs="宋体" w:eastAsia="宋体" w:hint="default"/>
          <w:w w:val="100"/>
          <w:sz w:val="21"/>
          <w:szCs w:val="21"/>
        </w:rPr>
        <w:t>（草</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提</w:t>
      </w:r>
      <w:r>
        <w:rPr>
          <w:rFonts w:ascii="宋体" w:hAnsi="宋体" w:cs="宋体" w:eastAsia="宋体" w:hint="default"/>
          <w:spacing w:val="-3"/>
          <w:w w:val="100"/>
          <w:sz w:val="21"/>
          <w:szCs w:val="21"/>
        </w:rPr>
        <w:t>交</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审议</w:t>
      </w:r>
      <w:r>
        <w:rPr>
          <w:rFonts w:ascii="宋体" w:hAnsi="宋体" w:cs="宋体" w:eastAsia="宋体" w:hint="default"/>
          <w:w w:val="100"/>
          <w:sz w:val="21"/>
          <w:szCs w:val="21"/>
        </w:rPr>
        <w:t>。</w:t>
      </w:r>
    </w:p>
    <w:p>
      <w:pPr>
        <w:spacing w:line="240" w:lineRule="auto" w:before="8"/>
        <w:rPr>
          <w:rFonts w:ascii="宋体" w:hAnsi="宋体" w:cs="宋体" w:eastAsia="宋体" w:hint="default"/>
          <w:sz w:val="27"/>
          <w:szCs w:val="27"/>
        </w:rPr>
      </w:pPr>
    </w:p>
    <w:p>
      <w:pPr>
        <w:spacing w:before="0"/>
        <w:ind w:left="138" w:right="0" w:firstLine="0"/>
        <w:jc w:val="both"/>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三</w:t>
      </w:r>
      <w:r>
        <w:rPr>
          <w:rFonts w:ascii="Arial" w:hAnsi="Arial" w:cs="Arial" w:eastAsia="Arial" w:hint="default"/>
          <w:sz w:val="21"/>
          <w:szCs w:val="21"/>
        </w:rPr>
        <w:t>)</w:t>
      </w:r>
      <w:r>
        <w:rPr>
          <w:rFonts w:ascii="Arial" w:hAnsi="Arial" w:cs="Arial" w:eastAsia="Arial" w:hint="default"/>
          <w:spacing w:val="14"/>
          <w:sz w:val="21"/>
          <w:szCs w:val="21"/>
        </w:rPr>
        <w:t> </w:t>
      </w:r>
      <w:r>
        <w:rPr>
          <w:rFonts w:ascii="宋体" w:hAnsi="宋体" w:cs="宋体" w:eastAsia="宋体" w:hint="default"/>
          <w:sz w:val="21"/>
          <w:szCs w:val="21"/>
        </w:rPr>
        <w:t>第四届董事会审计委员会第八次会议于</w:t>
      </w:r>
      <w:r>
        <w:rPr>
          <w:rFonts w:ascii="宋体" w:hAnsi="宋体" w:cs="宋体" w:eastAsia="宋体" w:hint="default"/>
          <w:spacing w:val="-49"/>
          <w:sz w:val="21"/>
          <w:szCs w:val="21"/>
        </w:rPr>
        <w:t> </w:t>
      </w:r>
      <w:r>
        <w:rPr>
          <w:rFonts w:ascii="Arial" w:hAnsi="Arial" w:cs="Arial" w:eastAsia="Arial" w:hint="default"/>
          <w:sz w:val="21"/>
          <w:szCs w:val="21"/>
        </w:rPr>
        <w:t>2014</w:t>
      </w:r>
      <w:r>
        <w:rPr>
          <w:rFonts w:ascii="Arial" w:hAnsi="Arial" w:cs="Arial" w:eastAsia="Arial"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8</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Arial" w:hAnsi="Arial" w:cs="Arial" w:eastAsia="Arial" w:hint="default"/>
          <w:sz w:val="21"/>
          <w:szCs w:val="21"/>
        </w:rPr>
        <w:t>6</w:t>
      </w:r>
      <w:r>
        <w:rPr>
          <w:rFonts w:ascii="Arial" w:hAnsi="Arial" w:cs="Arial" w:eastAsia="Arial" w:hint="default"/>
          <w:spacing w:val="-5"/>
          <w:sz w:val="21"/>
          <w:szCs w:val="21"/>
        </w:rPr>
        <w:t> </w:t>
      </w:r>
      <w:r>
        <w:rPr>
          <w:rFonts w:ascii="宋体" w:hAnsi="宋体" w:cs="宋体" w:eastAsia="宋体" w:hint="default"/>
          <w:spacing w:val="-5"/>
          <w:sz w:val="21"/>
          <w:szCs w:val="21"/>
        </w:rPr>
        <w:t>日在北京召开，审议并通过以下事项：</w:t>
      </w:r>
    </w:p>
    <w:p>
      <w:pPr>
        <w:spacing w:line="240" w:lineRule="auto" w:before="9"/>
        <w:rPr>
          <w:rFonts w:ascii="宋体" w:hAnsi="宋体" w:cs="宋体" w:eastAsia="宋体" w:hint="default"/>
          <w:sz w:val="21"/>
          <w:szCs w:val="21"/>
        </w:rPr>
      </w:pPr>
    </w:p>
    <w:p>
      <w:pPr>
        <w:spacing w:before="0"/>
        <w:ind w:left="565" w:right="0" w:firstLine="0"/>
        <w:jc w:val="both"/>
        <w:rPr>
          <w:rFonts w:ascii="宋体" w:hAnsi="宋体" w:cs="宋体" w:eastAsia="宋体" w:hint="default"/>
          <w:sz w:val="21"/>
          <w:szCs w:val="21"/>
        </w:rPr>
      </w:pPr>
      <w:r>
        <w:rPr>
          <w:rFonts w:ascii="Arial" w:hAnsi="Arial" w:cs="Arial" w:eastAsia="Arial" w:hint="default"/>
          <w:sz w:val="21"/>
          <w:szCs w:val="21"/>
        </w:rPr>
        <w:t>1. </w:t>
      </w:r>
      <w:r>
        <w:rPr>
          <w:rFonts w:ascii="宋体" w:hAnsi="宋体" w:cs="宋体" w:eastAsia="宋体" w:hint="default"/>
          <w:sz w:val="21"/>
          <w:szCs w:val="21"/>
        </w:rPr>
        <w:t>审议《公司 </w:t>
      </w:r>
      <w:r>
        <w:rPr>
          <w:rFonts w:ascii="Arial" w:hAnsi="Arial" w:cs="Arial" w:eastAsia="Arial" w:hint="default"/>
          <w:sz w:val="21"/>
          <w:szCs w:val="21"/>
        </w:rPr>
        <w:t>2014</w:t>
      </w:r>
      <w:r>
        <w:rPr>
          <w:rFonts w:ascii="Arial" w:hAnsi="Arial" w:cs="Arial" w:eastAsia="Arial" w:hint="default"/>
          <w:spacing w:val="-11"/>
          <w:sz w:val="21"/>
          <w:szCs w:val="21"/>
        </w:rPr>
        <w:t> </w:t>
      </w:r>
      <w:r>
        <w:rPr>
          <w:rFonts w:ascii="宋体" w:hAnsi="宋体" w:cs="宋体" w:eastAsia="宋体" w:hint="default"/>
          <w:sz w:val="21"/>
          <w:szCs w:val="21"/>
        </w:rPr>
        <w:t>年半年度报告》</w:t>
      </w:r>
    </w:p>
    <w:p>
      <w:pPr>
        <w:spacing w:line="240" w:lineRule="auto" w:before="1"/>
        <w:rPr>
          <w:rFonts w:ascii="宋体" w:hAnsi="宋体" w:cs="宋体" w:eastAsia="宋体" w:hint="default"/>
          <w:sz w:val="17"/>
          <w:szCs w:val="17"/>
        </w:rPr>
      </w:pPr>
    </w:p>
    <w:p>
      <w:pPr>
        <w:spacing w:before="0"/>
        <w:ind w:left="565" w:right="0" w:firstLine="0"/>
        <w:jc w:val="both"/>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Arial" w:hAnsi="Arial" w:cs="Arial" w:eastAsia="Arial" w:hint="default"/>
          <w:sz w:val="21"/>
          <w:szCs w:val="21"/>
        </w:rPr>
        <w:t>2014</w:t>
      </w:r>
      <w:r>
        <w:rPr>
          <w:rFonts w:ascii="Arial" w:hAnsi="Arial" w:cs="Arial" w:eastAsia="Arial" w:hint="default"/>
          <w:spacing w:val="-9"/>
          <w:sz w:val="21"/>
          <w:szCs w:val="21"/>
        </w:rPr>
        <w:t> </w:t>
      </w:r>
      <w:r>
        <w:rPr>
          <w:rFonts w:ascii="宋体" w:hAnsi="宋体" w:cs="宋体" w:eastAsia="宋体" w:hint="default"/>
          <w:sz w:val="21"/>
          <w:szCs w:val="21"/>
        </w:rPr>
        <w:t>年上半年内控评审工作的汇报</w:t>
      </w:r>
    </w:p>
    <w:p>
      <w:pPr>
        <w:spacing w:line="240" w:lineRule="auto" w:before="1"/>
        <w:rPr>
          <w:rFonts w:ascii="宋体" w:hAnsi="宋体" w:cs="宋体" w:eastAsia="宋体" w:hint="default"/>
          <w:sz w:val="17"/>
          <w:szCs w:val="17"/>
        </w:rPr>
      </w:pPr>
    </w:p>
    <w:p>
      <w:pPr>
        <w:spacing w:before="0"/>
        <w:ind w:left="565" w:right="0" w:firstLine="0"/>
        <w:jc w:val="both"/>
        <w:rPr>
          <w:rFonts w:ascii="宋体" w:hAnsi="宋体" w:cs="宋体" w:eastAsia="宋体" w:hint="default"/>
          <w:sz w:val="21"/>
          <w:szCs w:val="21"/>
        </w:rPr>
      </w:pPr>
      <w:r>
        <w:rPr>
          <w:rFonts w:ascii="宋体" w:hAnsi="宋体" w:cs="宋体" w:eastAsia="宋体" w:hint="default"/>
          <w:sz w:val="21"/>
          <w:szCs w:val="21"/>
        </w:rPr>
        <w:t>会议经表决一致同意《公司</w:t>
      </w:r>
      <w:r>
        <w:rPr>
          <w:rFonts w:ascii="宋体" w:hAnsi="宋体" w:cs="宋体" w:eastAsia="宋体" w:hint="default"/>
          <w:spacing w:val="-54"/>
          <w:sz w:val="21"/>
          <w:szCs w:val="21"/>
        </w:rPr>
        <w:t> </w:t>
      </w:r>
      <w:r>
        <w:rPr>
          <w:rFonts w:ascii="Arial" w:hAnsi="Arial" w:cs="Arial" w:eastAsia="Arial" w:hint="default"/>
          <w:sz w:val="21"/>
          <w:szCs w:val="21"/>
        </w:rPr>
        <w:t>2014</w:t>
      </w:r>
      <w:r>
        <w:rPr>
          <w:rFonts w:ascii="Arial" w:hAnsi="Arial" w:cs="Arial" w:eastAsia="Arial" w:hint="default"/>
          <w:spacing w:val="-10"/>
          <w:sz w:val="21"/>
          <w:szCs w:val="21"/>
        </w:rPr>
        <w:t> </w:t>
      </w:r>
      <w:r>
        <w:rPr>
          <w:rFonts w:ascii="宋体" w:hAnsi="宋体" w:cs="宋体" w:eastAsia="宋体" w:hint="default"/>
          <w:sz w:val="21"/>
          <w:szCs w:val="21"/>
        </w:rPr>
        <w:t>年半年度报告》并同意提交董事会审议。</w:t>
      </w:r>
    </w:p>
    <w:p>
      <w:pPr>
        <w:spacing w:line="240" w:lineRule="auto" w:before="2"/>
        <w:rPr>
          <w:rFonts w:ascii="宋体" w:hAnsi="宋体" w:cs="宋体" w:eastAsia="宋体" w:hint="default"/>
          <w:sz w:val="17"/>
          <w:szCs w:val="17"/>
        </w:rPr>
      </w:pPr>
    </w:p>
    <w:p>
      <w:pPr>
        <w:spacing w:line="280" w:lineRule="exact" w:before="0"/>
        <w:ind w:left="565" w:right="0" w:firstLine="0"/>
        <w:jc w:val="both"/>
        <w:rPr>
          <w:rFonts w:ascii="宋体" w:hAnsi="宋体" w:cs="宋体" w:eastAsia="宋体" w:hint="default"/>
          <w:sz w:val="21"/>
          <w:szCs w:val="21"/>
        </w:rPr>
      </w:pPr>
      <w:r>
        <w:rPr>
          <w:rFonts w:ascii="宋体" w:hAnsi="宋体" w:cs="宋体" w:eastAsia="宋体" w:hint="default"/>
          <w:sz w:val="21"/>
          <w:szCs w:val="21"/>
        </w:rPr>
        <w:t>会议听取和讨论了外部审计师有关</w:t>
      </w:r>
      <w:r>
        <w:rPr>
          <w:rFonts w:ascii="宋体" w:hAnsi="宋体" w:cs="宋体" w:eastAsia="宋体" w:hint="default"/>
          <w:spacing w:val="-57"/>
          <w:sz w:val="21"/>
          <w:szCs w:val="21"/>
        </w:rPr>
        <w:t> </w:t>
      </w:r>
      <w:r>
        <w:rPr>
          <w:rFonts w:ascii="Arial" w:hAnsi="Arial" w:cs="Arial" w:eastAsia="Arial" w:hint="default"/>
          <w:sz w:val="21"/>
          <w:szCs w:val="21"/>
        </w:rPr>
        <w:t>2014</w:t>
      </w:r>
      <w:r>
        <w:rPr>
          <w:rFonts w:ascii="Arial" w:hAnsi="Arial" w:cs="Arial" w:eastAsia="Arial" w:hint="default"/>
          <w:spacing w:val="-10"/>
          <w:sz w:val="21"/>
          <w:szCs w:val="21"/>
        </w:rPr>
        <w:t> </w:t>
      </w:r>
      <w:r>
        <w:rPr>
          <w:rFonts w:ascii="宋体" w:hAnsi="宋体" w:cs="宋体" w:eastAsia="宋体" w:hint="default"/>
          <w:sz w:val="21"/>
          <w:szCs w:val="21"/>
        </w:rPr>
        <w:t>年中期审阅情况及发现的问题、及财务部关于对</w:t>
      </w:r>
    </w:p>
    <w:p>
      <w:pPr>
        <w:spacing w:line="280" w:lineRule="exact" w:before="0"/>
        <w:ind w:left="565" w:right="0" w:firstLine="0"/>
        <w:jc w:val="both"/>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9"/>
          <w:sz w:val="21"/>
          <w:szCs w:val="21"/>
        </w:rPr>
        <w:t> </w:t>
      </w:r>
      <w:r>
        <w:rPr>
          <w:rFonts w:ascii="宋体" w:hAnsi="宋体" w:cs="宋体" w:eastAsia="宋体" w:hint="default"/>
          <w:sz w:val="21"/>
          <w:szCs w:val="21"/>
        </w:rPr>
        <w:t>年中期审阅发现的问题整改落实汇报。</w:t>
      </w:r>
    </w:p>
    <w:p>
      <w:pPr>
        <w:spacing w:line="240" w:lineRule="auto" w:before="4"/>
        <w:rPr>
          <w:rFonts w:ascii="宋体" w:hAnsi="宋体" w:cs="宋体" w:eastAsia="宋体" w:hint="default"/>
          <w:sz w:val="17"/>
          <w:szCs w:val="17"/>
        </w:rPr>
      </w:pPr>
    </w:p>
    <w:p>
      <w:pPr>
        <w:spacing w:line="237" w:lineRule="auto" w:before="0"/>
        <w:ind w:left="565" w:right="210" w:firstLine="0"/>
        <w:jc w:val="both"/>
        <w:rPr>
          <w:rFonts w:ascii="宋体" w:hAnsi="宋体" w:cs="宋体" w:eastAsia="宋体" w:hint="default"/>
          <w:sz w:val="21"/>
          <w:szCs w:val="21"/>
        </w:rPr>
      </w:pPr>
      <w:r>
        <w:rPr>
          <w:rFonts w:ascii="宋体" w:hAnsi="宋体" w:cs="宋体" w:eastAsia="宋体" w:hint="default"/>
          <w:spacing w:val="-2"/>
          <w:sz w:val="21"/>
          <w:szCs w:val="21"/>
        </w:rPr>
        <w:t>会议认为公司管理层对内控评审和中期审阅过程中所发现的问题及提出的审计建议给予了高</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度重视，制定的改进措施是可行的，希望公司在下半年的工作中切实加以落实。同时对于改</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进意见希望公司能持续跟进，从而推动公司内控制度的持续优化和经营效率的有效提高。</w:t>
      </w:r>
    </w:p>
    <w:p>
      <w:pPr>
        <w:spacing w:line="240" w:lineRule="auto" w:before="1"/>
        <w:rPr>
          <w:rFonts w:ascii="宋体" w:hAnsi="宋体" w:cs="宋体" w:eastAsia="宋体" w:hint="default"/>
          <w:sz w:val="23"/>
          <w:szCs w:val="23"/>
        </w:rPr>
      </w:pPr>
    </w:p>
    <w:p>
      <w:pPr>
        <w:spacing w:line="280" w:lineRule="exact" w:before="0"/>
        <w:ind w:left="138" w:right="0" w:firstLine="0"/>
        <w:jc w:val="both"/>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四</w:t>
      </w:r>
      <w:r>
        <w:rPr>
          <w:rFonts w:ascii="Arial" w:hAnsi="Arial" w:cs="Arial" w:eastAsia="Arial" w:hint="default"/>
          <w:sz w:val="21"/>
          <w:szCs w:val="21"/>
        </w:rPr>
        <w:t>)</w:t>
      </w:r>
      <w:r>
        <w:rPr>
          <w:rFonts w:ascii="Arial" w:hAnsi="Arial" w:cs="Arial" w:eastAsia="Arial" w:hint="default"/>
          <w:spacing w:val="9"/>
          <w:sz w:val="21"/>
          <w:szCs w:val="21"/>
        </w:rPr>
        <w:t> </w:t>
      </w:r>
      <w:r>
        <w:rPr>
          <w:rFonts w:ascii="宋体" w:hAnsi="宋体" w:cs="宋体" w:eastAsia="宋体" w:hint="default"/>
          <w:sz w:val="21"/>
          <w:szCs w:val="21"/>
        </w:rPr>
        <w:t>第四届董事会审计委员会第九次会议于</w:t>
      </w:r>
      <w:r>
        <w:rPr>
          <w:rFonts w:ascii="宋体" w:hAnsi="宋体" w:cs="宋体" w:eastAsia="宋体" w:hint="default"/>
          <w:spacing w:val="-51"/>
          <w:sz w:val="21"/>
          <w:szCs w:val="21"/>
        </w:rPr>
        <w:t> </w:t>
      </w:r>
      <w:r>
        <w:rPr>
          <w:rFonts w:ascii="Arial" w:hAnsi="Arial" w:cs="Arial" w:eastAsia="Arial" w:hint="default"/>
          <w:sz w:val="21"/>
          <w:szCs w:val="21"/>
        </w:rPr>
        <w:t>2014</w:t>
      </w:r>
      <w:r>
        <w:rPr>
          <w:rFonts w:ascii="Arial" w:hAnsi="Arial" w:cs="Arial" w:eastAsia="Arial"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w:hAnsi="Arial" w:cs="Arial" w:eastAsia="Arial" w:hint="default"/>
          <w:sz w:val="21"/>
          <w:szCs w:val="21"/>
        </w:rPr>
        <w:t>10</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Arial" w:hAnsi="Arial" w:cs="Arial" w:eastAsia="Arial" w:hint="default"/>
          <w:sz w:val="21"/>
          <w:szCs w:val="21"/>
        </w:rPr>
        <w:t>22</w:t>
      </w:r>
      <w:r>
        <w:rPr>
          <w:rFonts w:ascii="Arial" w:hAnsi="Arial" w:cs="Arial" w:eastAsia="Arial" w:hint="default"/>
          <w:spacing w:val="-2"/>
          <w:sz w:val="21"/>
          <w:szCs w:val="21"/>
        </w:rPr>
        <w:t> </w:t>
      </w:r>
      <w:r>
        <w:rPr>
          <w:rFonts w:ascii="宋体" w:hAnsi="宋体" w:cs="宋体" w:eastAsia="宋体" w:hint="default"/>
          <w:sz w:val="21"/>
          <w:szCs w:val="21"/>
        </w:rPr>
        <w:t>日以通信方式召开，审议并同意将</w:t>
      </w:r>
    </w:p>
    <w:p>
      <w:pPr>
        <w:spacing w:line="271" w:lineRule="exact" w:before="0"/>
        <w:ind w:left="562" w:right="0" w:firstLine="0"/>
        <w:jc w:val="both"/>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Arial" w:hAnsi="Arial" w:cs="Arial" w:eastAsia="Arial" w:hint="default"/>
          <w:w w:val="100"/>
          <w:sz w:val="21"/>
          <w:szCs w:val="21"/>
        </w:rPr>
        <w:t>2</w:t>
      </w:r>
      <w:r>
        <w:rPr>
          <w:rFonts w:ascii="Arial" w:hAnsi="Arial" w:cs="Arial" w:eastAsia="Arial" w:hint="default"/>
          <w:spacing w:val="-3"/>
          <w:w w:val="100"/>
          <w:sz w:val="21"/>
          <w:szCs w:val="21"/>
        </w:rPr>
        <w:t>0</w:t>
      </w:r>
      <w:r>
        <w:rPr>
          <w:rFonts w:ascii="Arial" w:hAnsi="Arial" w:cs="Arial" w:eastAsia="Arial" w:hint="default"/>
          <w:w w:val="100"/>
          <w:sz w:val="21"/>
          <w:szCs w:val="21"/>
        </w:rPr>
        <w:t>14</w:t>
      </w:r>
      <w:r>
        <w:rPr>
          <w:rFonts w:ascii="Arial" w:hAnsi="Arial" w:cs="Arial" w:eastAsia="Arial" w:hint="default"/>
          <w:spacing w:val="-7"/>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第</w:t>
      </w:r>
      <w:r>
        <w:rPr>
          <w:rFonts w:ascii="宋体" w:hAnsi="宋体" w:cs="宋体" w:eastAsia="宋体" w:hint="default"/>
          <w:w w:val="100"/>
          <w:sz w:val="21"/>
          <w:szCs w:val="21"/>
        </w:rPr>
        <w:t>三</w:t>
      </w:r>
      <w:r>
        <w:rPr>
          <w:rFonts w:ascii="宋体" w:hAnsi="宋体" w:cs="宋体" w:eastAsia="宋体" w:hint="default"/>
          <w:spacing w:val="-3"/>
          <w:w w:val="100"/>
          <w:sz w:val="21"/>
          <w:szCs w:val="21"/>
        </w:rPr>
        <w:t>季度</w:t>
      </w:r>
      <w:r>
        <w:rPr>
          <w:rFonts w:ascii="宋体" w:hAnsi="宋体" w:cs="宋体" w:eastAsia="宋体" w:hint="default"/>
          <w:w w:val="100"/>
          <w:sz w:val="21"/>
          <w:szCs w:val="21"/>
        </w:rPr>
        <w:t>报</w:t>
      </w:r>
      <w:r>
        <w:rPr>
          <w:rFonts w:ascii="宋体" w:hAnsi="宋体" w:cs="宋体" w:eastAsia="宋体" w:hint="default"/>
          <w:spacing w:val="-15"/>
          <w:w w:val="100"/>
          <w:sz w:val="21"/>
          <w:szCs w:val="21"/>
        </w:rPr>
        <w:t>告</w:t>
      </w:r>
      <w:r>
        <w:rPr>
          <w:rFonts w:ascii="宋体" w:hAnsi="宋体" w:cs="宋体" w:eastAsia="宋体" w:hint="default"/>
          <w:w w:val="100"/>
          <w:sz w:val="21"/>
          <w:szCs w:val="21"/>
        </w:rPr>
        <w:t>（</w:t>
      </w:r>
      <w:r>
        <w:rPr>
          <w:rFonts w:ascii="宋体" w:hAnsi="宋体" w:cs="宋体" w:eastAsia="宋体" w:hint="default"/>
          <w:spacing w:val="-3"/>
          <w:w w:val="100"/>
          <w:sz w:val="21"/>
          <w:szCs w:val="21"/>
        </w:rPr>
        <w:t>草</w:t>
      </w:r>
      <w:r>
        <w:rPr>
          <w:rFonts w:ascii="宋体" w:hAnsi="宋体" w:cs="宋体" w:eastAsia="宋体" w:hint="default"/>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spacing w:val="-13"/>
          <w:w w:val="100"/>
          <w:sz w:val="21"/>
          <w:szCs w:val="21"/>
        </w:rPr>
        <w:t>》</w:t>
      </w:r>
      <w:r>
        <w:rPr>
          <w:rFonts w:ascii="宋体" w:hAnsi="宋体" w:cs="宋体" w:eastAsia="宋体" w:hint="default"/>
          <w:spacing w:val="-3"/>
          <w:w w:val="100"/>
          <w:sz w:val="21"/>
          <w:szCs w:val="21"/>
        </w:rPr>
        <w:t>提</w:t>
      </w:r>
      <w:r>
        <w:rPr>
          <w:rFonts w:ascii="宋体" w:hAnsi="宋体" w:cs="宋体" w:eastAsia="宋体" w:hint="default"/>
          <w:w w:val="100"/>
          <w:sz w:val="21"/>
          <w:szCs w:val="21"/>
        </w:rPr>
        <w:t>交</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审</w:t>
      </w:r>
      <w:r>
        <w:rPr>
          <w:rFonts w:ascii="宋体" w:hAnsi="宋体" w:cs="宋体" w:eastAsia="宋体" w:hint="default"/>
          <w:spacing w:val="-3"/>
          <w:w w:val="100"/>
          <w:sz w:val="21"/>
          <w:szCs w:val="21"/>
        </w:rPr>
        <w:t>议</w:t>
      </w:r>
      <w:r>
        <w:rPr>
          <w:rFonts w:ascii="宋体" w:hAnsi="宋体" w:cs="宋体" w:eastAsia="宋体" w:hint="default"/>
          <w:spacing w:val="-13"/>
          <w:w w:val="100"/>
          <w:sz w:val="21"/>
          <w:szCs w:val="21"/>
        </w:rPr>
        <w:t>，</w:t>
      </w:r>
      <w:r>
        <w:rPr>
          <w:rFonts w:ascii="宋体" w:hAnsi="宋体" w:cs="宋体" w:eastAsia="宋体" w:hint="default"/>
          <w:spacing w:val="-3"/>
          <w:w w:val="100"/>
          <w:sz w:val="21"/>
          <w:szCs w:val="21"/>
        </w:rPr>
        <w:t>同</w:t>
      </w:r>
      <w:r>
        <w:rPr>
          <w:rFonts w:ascii="宋体" w:hAnsi="宋体" w:cs="宋体" w:eastAsia="宋体" w:hint="default"/>
          <w:w w:val="100"/>
          <w:sz w:val="21"/>
          <w:szCs w:val="21"/>
        </w:rPr>
        <w:t>时</w:t>
      </w:r>
      <w:r>
        <w:rPr>
          <w:rFonts w:ascii="宋体" w:hAnsi="宋体" w:cs="宋体" w:eastAsia="宋体" w:hint="default"/>
          <w:spacing w:val="-3"/>
          <w:w w:val="100"/>
          <w:sz w:val="21"/>
          <w:szCs w:val="21"/>
        </w:rPr>
        <w:t>还</w:t>
      </w:r>
      <w:r>
        <w:rPr>
          <w:rFonts w:ascii="宋体" w:hAnsi="宋体" w:cs="宋体" w:eastAsia="宋体" w:hint="default"/>
          <w:w w:val="100"/>
          <w:sz w:val="21"/>
          <w:szCs w:val="21"/>
        </w:rPr>
        <w:t>审</w:t>
      </w:r>
      <w:r>
        <w:rPr>
          <w:rFonts w:ascii="宋体" w:hAnsi="宋体" w:cs="宋体" w:eastAsia="宋体" w:hint="default"/>
          <w:spacing w:val="-3"/>
          <w:w w:val="100"/>
          <w:sz w:val="21"/>
          <w:szCs w:val="21"/>
        </w:rPr>
        <w:t>议</w:t>
      </w:r>
      <w:r>
        <w:rPr>
          <w:rFonts w:ascii="宋体" w:hAnsi="宋体" w:cs="宋体" w:eastAsia="宋体" w:hint="default"/>
          <w:w w:val="100"/>
          <w:sz w:val="21"/>
          <w:szCs w:val="21"/>
        </w:rPr>
        <w:t>通</w:t>
      </w:r>
      <w:r>
        <w:rPr>
          <w:rFonts w:ascii="宋体" w:hAnsi="宋体" w:cs="宋体" w:eastAsia="宋体" w:hint="default"/>
          <w:spacing w:val="-3"/>
          <w:w w:val="100"/>
          <w:sz w:val="21"/>
          <w:szCs w:val="21"/>
        </w:rPr>
        <w:t>过了</w:t>
      </w:r>
      <w:r>
        <w:rPr>
          <w:rFonts w:ascii="宋体" w:hAnsi="宋体" w:cs="宋体" w:eastAsia="宋体" w:hint="default"/>
          <w:w w:val="100"/>
          <w:sz w:val="21"/>
          <w:szCs w:val="21"/>
        </w:rPr>
        <w:t>外部</w:t>
      </w:r>
      <w:r>
        <w:rPr>
          <w:rFonts w:ascii="宋体" w:hAnsi="宋体" w:cs="宋体" w:eastAsia="宋体" w:hint="default"/>
          <w:spacing w:val="-3"/>
          <w:w w:val="100"/>
          <w:sz w:val="21"/>
          <w:szCs w:val="21"/>
        </w:rPr>
        <w:t>审</w:t>
      </w:r>
      <w:r>
        <w:rPr>
          <w:rFonts w:ascii="宋体" w:hAnsi="宋体" w:cs="宋体" w:eastAsia="宋体" w:hint="default"/>
          <w:w w:val="100"/>
          <w:sz w:val="21"/>
          <w:szCs w:val="21"/>
        </w:rPr>
        <w:t>计</w:t>
      </w:r>
      <w:r>
        <w:rPr>
          <w:rFonts w:ascii="宋体" w:hAnsi="宋体" w:cs="宋体" w:eastAsia="宋体" w:hint="default"/>
          <w:spacing w:val="-3"/>
          <w:w w:val="100"/>
          <w:sz w:val="21"/>
          <w:szCs w:val="21"/>
        </w:rPr>
        <w:t>师</w:t>
      </w:r>
      <w:r>
        <w:rPr>
          <w:rFonts w:ascii="宋体" w:hAnsi="宋体" w:cs="宋体" w:eastAsia="宋体" w:hint="default"/>
          <w:w w:val="100"/>
          <w:sz w:val="21"/>
          <w:szCs w:val="21"/>
        </w:rPr>
        <w:t>关于</w:t>
      </w:r>
    </w:p>
    <w:p>
      <w:pPr>
        <w:spacing w:line="525" w:lineRule="auto" w:before="0"/>
        <w:ind w:left="138" w:right="5515" w:firstLine="424"/>
        <w:jc w:val="left"/>
        <w:rPr>
          <w:rFonts w:ascii="宋体" w:hAnsi="宋体" w:cs="宋体" w:eastAsia="宋体" w:hint="default"/>
          <w:sz w:val="21"/>
          <w:szCs w:val="21"/>
        </w:rPr>
      </w:pPr>
      <w:r>
        <w:rPr>
          <w:rFonts w:ascii="宋体" w:hAnsi="宋体" w:cs="宋体" w:eastAsia="宋体" w:hint="default"/>
          <w:sz w:val="21"/>
          <w:szCs w:val="21"/>
        </w:rPr>
        <w:t>对公司</w:t>
      </w:r>
      <w:r>
        <w:rPr>
          <w:rFonts w:ascii="宋体" w:hAnsi="宋体" w:cs="宋体" w:eastAsia="宋体" w:hint="default"/>
          <w:spacing w:val="-54"/>
          <w:sz w:val="21"/>
          <w:szCs w:val="21"/>
        </w:rPr>
        <w:t> </w:t>
      </w: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年度审计工作计划。</w:t>
      </w:r>
      <w:r>
        <w:rPr>
          <w:rFonts w:ascii="宋体" w:hAnsi="宋体" w:cs="宋体" w:eastAsia="宋体" w:hint="default"/>
          <w:w w:val="100"/>
          <w:sz w:val="21"/>
          <w:szCs w:val="21"/>
        </w:rPr>
        <w:t> </w:t>
      </w:r>
      <w:r>
        <w:rPr>
          <w:rFonts w:ascii="宋体" w:hAnsi="宋体" w:cs="宋体" w:eastAsia="宋体" w:hint="default"/>
          <w:b/>
          <w:bCs/>
          <w:sz w:val="21"/>
          <w:szCs w:val="21"/>
        </w:rPr>
        <w:t>五、监事会发现公司存在风险的说明</w:t>
      </w:r>
      <w:r>
        <w:rPr>
          <w:rFonts w:ascii="宋体" w:hAnsi="宋体" w:cs="宋体" w:eastAsia="宋体" w:hint="default"/>
          <w:sz w:val="21"/>
          <w:szCs w:val="21"/>
        </w:rPr>
      </w:r>
    </w:p>
    <w:p>
      <w:pPr>
        <w:spacing w:line="232" w:lineRule="auto" w:before="56"/>
        <w:ind w:left="138" w:right="217" w:firstLine="0"/>
        <w:jc w:val="both"/>
        <w:rPr>
          <w:rFonts w:ascii="宋体" w:hAnsi="宋体" w:cs="宋体" w:eastAsia="宋体" w:hint="default"/>
          <w:sz w:val="21"/>
          <w:szCs w:val="21"/>
        </w:rPr>
      </w:pPr>
      <w:r>
        <w:rPr>
          <w:rFonts w:ascii="宋体" w:hAnsi="宋体" w:cs="宋体" w:eastAsia="宋体" w:hint="default"/>
          <w:spacing w:val="-2"/>
          <w:sz w:val="21"/>
          <w:szCs w:val="21"/>
        </w:rPr>
        <w:t>公司监事会在报告期内共召开了五次会议，审议了公司的定期报告、公司内控自我评价报告、更</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换公司监事等议案。公司监事会列席了</w:t>
      </w:r>
      <w:r>
        <w:rPr>
          <w:rFonts w:ascii="宋体" w:hAnsi="宋体" w:cs="宋体" w:eastAsia="宋体" w:hint="default"/>
          <w:spacing w:val="-56"/>
          <w:sz w:val="21"/>
          <w:szCs w:val="21"/>
        </w:rPr>
        <w:t> </w:t>
      </w: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年度所有董事会现场会议。通过列席董事会会议，</w:t>
      </w:r>
      <w:r>
        <w:rPr>
          <w:rFonts w:ascii="宋体" w:hAnsi="宋体" w:cs="宋体" w:eastAsia="宋体" w:hint="default"/>
          <w:w w:val="100"/>
          <w:sz w:val="21"/>
          <w:szCs w:val="21"/>
        </w:rPr>
        <w:t> </w:t>
      </w:r>
      <w:r>
        <w:rPr>
          <w:rFonts w:ascii="宋体" w:hAnsi="宋体" w:cs="宋体" w:eastAsia="宋体" w:hint="default"/>
          <w:sz w:val="21"/>
          <w:szCs w:val="21"/>
        </w:rPr>
        <w:t>了解公司的经营情况、发展状况以及重大事项的决策等。</w:t>
      </w:r>
    </w:p>
    <w:p>
      <w:pPr>
        <w:spacing w:line="240" w:lineRule="auto" w:before="7"/>
        <w:rPr>
          <w:rFonts w:ascii="宋体" w:hAnsi="宋体" w:cs="宋体" w:eastAsia="宋体" w:hint="default"/>
          <w:sz w:val="18"/>
          <w:szCs w:val="18"/>
        </w:rPr>
      </w:pPr>
    </w:p>
    <w:p>
      <w:pPr>
        <w:spacing w:line="237" w:lineRule="auto" w:before="0"/>
        <w:ind w:left="138" w:right="217" w:firstLine="0"/>
        <w:jc w:val="both"/>
        <w:rPr>
          <w:rFonts w:ascii="宋体" w:hAnsi="宋体" w:cs="宋体" w:eastAsia="宋体" w:hint="default"/>
          <w:sz w:val="21"/>
          <w:szCs w:val="21"/>
        </w:rPr>
      </w:pPr>
      <w:r>
        <w:rPr>
          <w:rFonts w:ascii="宋体" w:hAnsi="宋体" w:cs="宋体" w:eastAsia="宋体" w:hint="default"/>
          <w:spacing w:val="-2"/>
          <w:sz w:val="21"/>
          <w:szCs w:val="21"/>
        </w:rPr>
        <w:t>公司监事会在报告期内，按照《公司法》和《公司章程》所赋予的职权，重点从公司依法运作、</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董事、高级管理人员执行公司职务、公司财务检查等方面进行了监督。并对公司依法运作情况、</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检查公司财务情况、更换监事情况、关联交易情况、公司内部控制自我评价报告的审阅情况均发</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表了独立意见。</w:t>
      </w:r>
    </w:p>
    <w:p>
      <w:pPr>
        <w:spacing w:line="240" w:lineRule="auto" w:before="4"/>
        <w:rPr>
          <w:rFonts w:ascii="宋体" w:hAnsi="宋体" w:cs="宋体" w:eastAsia="宋体" w:hint="default"/>
          <w:sz w:val="18"/>
          <w:szCs w:val="18"/>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公司监事会对报告期内的监督事项无异议。</w:t>
      </w:r>
    </w:p>
    <w:p>
      <w:pPr>
        <w:spacing w:after="0"/>
        <w:jc w:val="both"/>
        <w:rPr>
          <w:rFonts w:ascii="宋体" w:hAnsi="宋体" w:cs="宋体" w:eastAsia="宋体" w:hint="default"/>
          <w:sz w:val="21"/>
          <w:szCs w:val="21"/>
        </w:rPr>
        <w:sectPr>
          <w:pgSz w:w="11910" w:h="16840"/>
          <w:pgMar w:header="880" w:footer="1194" w:top="1120" w:bottom="1380" w:left="1660" w:right="1060"/>
        </w:sectPr>
      </w:pPr>
    </w:p>
    <w:p>
      <w:pPr>
        <w:spacing w:line="240" w:lineRule="auto" w:before="0"/>
        <w:rPr>
          <w:rFonts w:ascii="宋体" w:hAnsi="宋体" w:cs="宋体" w:eastAsia="宋体" w:hint="default"/>
          <w:sz w:val="20"/>
          <w:szCs w:val="20"/>
        </w:rPr>
      </w:pPr>
    </w:p>
    <w:p>
      <w:pPr>
        <w:pStyle w:val="Heading1"/>
        <w:tabs>
          <w:tab w:pos="1260" w:val="left" w:leader="none"/>
        </w:tabs>
        <w:spacing w:line="240" w:lineRule="auto"/>
        <w:ind w:right="74"/>
        <w:jc w:val="center"/>
        <w:rPr>
          <w:b w:val="0"/>
          <w:bCs w:val="0"/>
        </w:rPr>
      </w:pPr>
      <w:bookmarkStart w:name="_TOC_250002" w:id="9"/>
      <w:r>
        <w:rPr>
          <w:w w:val="95"/>
        </w:rPr>
        <w:t>第九节</w:t>
        <w:tab/>
      </w:r>
      <w:r>
        <w:rPr/>
        <w:t>内部控制</w:t>
      </w:r>
      <w:bookmarkEnd w:id="9"/>
      <w:r>
        <w:rPr>
          <w:b w:val="0"/>
          <w:bCs w:val="0"/>
        </w:rPr>
      </w:r>
    </w:p>
    <w:p>
      <w:pPr>
        <w:spacing w:line="240" w:lineRule="auto" w:before="4"/>
        <w:rPr>
          <w:rFonts w:ascii="黑体" w:hAnsi="黑体" w:cs="黑体" w:eastAsia="黑体" w:hint="default"/>
          <w:b/>
          <w:bCs/>
          <w:sz w:val="19"/>
          <w:szCs w:val="19"/>
        </w:rPr>
      </w:pPr>
    </w:p>
    <w:p>
      <w:pPr>
        <w:spacing w:before="0"/>
        <w:ind w:left="138" w:right="259" w:firstLine="0"/>
        <w:jc w:val="left"/>
        <w:rPr>
          <w:rFonts w:ascii="宋体" w:hAnsi="宋体" w:cs="宋体" w:eastAsia="宋体" w:hint="default"/>
          <w:sz w:val="21"/>
          <w:szCs w:val="21"/>
        </w:rPr>
      </w:pPr>
      <w:r>
        <w:rPr>
          <w:rFonts w:ascii="宋体" w:hAnsi="宋体" w:cs="宋体" w:eastAsia="宋体" w:hint="default"/>
          <w:b/>
          <w:bCs/>
          <w:sz w:val="21"/>
          <w:szCs w:val="21"/>
        </w:rPr>
        <w:t>一、内部控制责任声明及内部控制制度建设情况</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p>
      <w:pPr>
        <w:spacing w:before="0"/>
        <w:ind w:left="138" w:right="259"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一</w:t>
      </w:r>
      <w:r>
        <w:rPr>
          <w:rFonts w:ascii="Arial" w:hAnsi="Arial" w:cs="Arial" w:eastAsia="Arial" w:hint="default"/>
          <w:b/>
          <w:bCs/>
          <w:sz w:val="21"/>
          <w:szCs w:val="21"/>
        </w:rPr>
        <w:t>)</w:t>
      </w:r>
      <w:r>
        <w:rPr>
          <w:rFonts w:ascii="Arial" w:hAnsi="Arial" w:cs="Arial" w:eastAsia="Arial" w:hint="default"/>
          <w:b/>
          <w:bCs/>
          <w:spacing w:val="13"/>
          <w:sz w:val="21"/>
          <w:szCs w:val="21"/>
        </w:rPr>
        <w:t> </w:t>
      </w:r>
      <w:r>
        <w:rPr>
          <w:rFonts w:ascii="宋体" w:hAnsi="宋体" w:cs="宋体" w:eastAsia="宋体" w:hint="default"/>
          <w:b/>
          <w:bCs/>
          <w:sz w:val="21"/>
          <w:szCs w:val="21"/>
        </w:rPr>
        <w:t>内部控制责任声明</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line="237" w:lineRule="auto" w:before="0"/>
        <w:ind w:left="565" w:right="97" w:firstLine="0"/>
        <w:jc w:val="left"/>
        <w:rPr>
          <w:rFonts w:ascii="宋体" w:hAnsi="宋体" w:cs="宋体" w:eastAsia="宋体" w:hint="default"/>
          <w:sz w:val="21"/>
          <w:szCs w:val="21"/>
        </w:rPr>
      </w:pPr>
      <w:r>
        <w:rPr>
          <w:rFonts w:ascii="宋体" w:hAnsi="宋体" w:cs="宋体" w:eastAsia="宋体" w:hint="default"/>
          <w:sz w:val="21"/>
          <w:szCs w:val="21"/>
        </w:rPr>
        <w:t>按照企业内部控制规范体系的规定，建立健全和有效实施内部控制，评价其有效性，并如实</w:t>
      </w:r>
      <w:r>
        <w:rPr>
          <w:rFonts w:ascii="宋体" w:hAnsi="宋体" w:cs="宋体" w:eastAsia="宋体" w:hint="default"/>
          <w:w w:val="100"/>
          <w:sz w:val="21"/>
          <w:szCs w:val="21"/>
        </w:rPr>
        <w:t> </w:t>
      </w:r>
      <w:r>
        <w:rPr>
          <w:rFonts w:ascii="宋体" w:hAnsi="宋体" w:cs="宋体" w:eastAsia="宋体" w:hint="default"/>
          <w:spacing w:val="-4"/>
          <w:w w:val="100"/>
          <w:sz w:val="21"/>
          <w:szCs w:val="21"/>
        </w:rPr>
        <w:t>披露内部控制评价报告是公司董事会的责任。监事会对董事会建立和实施内部控制进行监督。</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经理层负责组织领导企业内部控制的日常运行。公司董事会、监事会及董事、监事、高级管</w:t>
      </w:r>
      <w:r>
        <w:rPr>
          <w:rFonts w:ascii="宋体" w:hAnsi="宋体" w:cs="宋体" w:eastAsia="宋体" w:hint="default"/>
          <w:w w:val="100"/>
          <w:sz w:val="21"/>
          <w:szCs w:val="21"/>
        </w:rPr>
        <w:t> </w:t>
      </w:r>
      <w:r>
        <w:rPr>
          <w:rFonts w:ascii="宋体" w:hAnsi="宋体" w:cs="宋体" w:eastAsia="宋体" w:hint="default"/>
          <w:sz w:val="21"/>
          <w:szCs w:val="21"/>
        </w:rPr>
        <w:t>理人员保证本报告内容不存在任何虚假记载、误导性陈述或重大遗漏，并对报告内容的真实</w:t>
      </w:r>
      <w:r>
        <w:rPr>
          <w:rFonts w:ascii="宋体" w:hAnsi="宋体" w:cs="宋体" w:eastAsia="宋体" w:hint="default"/>
          <w:w w:val="100"/>
          <w:sz w:val="21"/>
          <w:szCs w:val="21"/>
        </w:rPr>
        <w:t> </w:t>
      </w:r>
      <w:r>
        <w:rPr>
          <w:rFonts w:ascii="宋体" w:hAnsi="宋体" w:cs="宋体" w:eastAsia="宋体" w:hint="default"/>
          <w:sz w:val="21"/>
          <w:szCs w:val="21"/>
        </w:rPr>
        <w:t>性、准确性和完整性承担个别及连带法律责任。</w:t>
      </w:r>
    </w:p>
    <w:p>
      <w:pPr>
        <w:spacing w:line="240" w:lineRule="auto" w:before="8"/>
        <w:rPr>
          <w:rFonts w:ascii="宋体" w:hAnsi="宋体" w:cs="宋体" w:eastAsia="宋体" w:hint="default"/>
          <w:sz w:val="18"/>
          <w:szCs w:val="18"/>
        </w:rPr>
      </w:pPr>
    </w:p>
    <w:p>
      <w:pPr>
        <w:spacing w:line="237" w:lineRule="auto" w:before="0"/>
        <w:ind w:left="565" w:right="210" w:firstLine="0"/>
        <w:jc w:val="both"/>
        <w:rPr>
          <w:rFonts w:ascii="宋体" w:hAnsi="宋体" w:cs="宋体" w:eastAsia="宋体" w:hint="default"/>
          <w:sz w:val="21"/>
          <w:szCs w:val="21"/>
        </w:rPr>
      </w:pPr>
      <w:r>
        <w:rPr>
          <w:rFonts w:ascii="宋体" w:hAnsi="宋体" w:cs="宋体" w:eastAsia="宋体" w:hint="default"/>
          <w:spacing w:val="-2"/>
          <w:sz w:val="21"/>
          <w:szCs w:val="21"/>
        </w:rPr>
        <w:t>公司内部控制的目标是合理保证经营管理合法合规、资产安全、财务报告及相关信息真实完</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整，提高经营效率和效果，促进实现发展战略。由于内部控制存在的固有局限性，故仅能为</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实现上述目标提供合理保证。此外，由于情况的变化可能导致内部控制变得不恰当，或对控</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制政策和程序遵循的程度降低，根据内部控制评价结果推测未来内部控制的有效性具有一定</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的风险。</w:t>
      </w:r>
    </w:p>
    <w:p>
      <w:pPr>
        <w:spacing w:line="240" w:lineRule="auto" w:before="1"/>
        <w:rPr>
          <w:rFonts w:ascii="宋体" w:hAnsi="宋体" w:cs="宋体" w:eastAsia="宋体" w:hint="default"/>
          <w:sz w:val="23"/>
          <w:szCs w:val="23"/>
        </w:rPr>
      </w:pPr>
    </w:p>
    <w:p>
      <w:pPr>
        <w:spacing w:before="0"/>
        <w:ind w:left="138" w:right="259"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二</w:t>
      </w:r>
      <w:r>
        <w:rPr>
          <w:rFonts w:ascii="Arial" w:hAnsi="Arial" w:cs="Arial" w:eastAsia="Arial" w:hint="default"/>
          <w:b/>
          <w:bCs/>
          <w:sz w:val="21"/>
          <w:szCs w:val="21"/>
        </w:rPr>
        <w:t>)</w:t>
      </w:r>
      <w:r>
        <w:rPr>
          <w:rFonts w:ascii="Arial" w:hAnsi="Arial" w:cs="Arial" w:eastAsia="Arial" w:hint="default"/>
          <w:b/>
          <w:bCs/>
          <w:spacing w:val="10"/>
          <w:sz w:val="21"/>
          <w:szCs w:val="21"/>
        </w:rPr>
        <w:t> </w:t>
      </w:r>
      <w:r>
        <w:rPr>
          <w:rFonts w:ascii="宋体" w:hAnsi="宋体" w:cs="宋体" w:eastAsia="宋体" w:hint="default"/>
          <w:b/>
          <w:bCs/>
          <w:sz w:val="21"/>
          <w:szCs w:val="21"/>
        </w:rPr>
        <w:t>内部控制制度建设情况</w:t>
      </w:r>
      <w:r>
        <w:rPr>
          <w:rFonts w:ascii="宋体" w:hAnsi="宋体" w:cs="宋体" w:eastAsia="宋体" w:hint="default"/>
          <w:sz w:val="21"/>
          <w:szCs w:val="21"/>
        </w:rPr>
      </w:r>
    </w:p>
    <w:p>
      <w:pPr>
        <w:spacing w:line="240" w:lineRule="auto" w:before="11"/>
        <w:rPr>
          <w:rFonts w:ascii="宋体" w:hAnsi="宋体" w:cs="宋体" w:eastAsia="宋体" w:hint="default"/>
          <w:b/>
          <w:bCs/>
          <w:sz w:val="21"/>
          <w:szCs w:val="21"/>
        </w:rPr>
      </w:pPr>
    </w:p>
    <w:p>
      <w:pPr>
        <w:spacing w:line="237" w:lineRule="auto" w:before="0"/>
        <w:ind w:left="565" w:right="97" w:firstLine="0"/>
        <w:jc w:val="left"/>
        <w:rPr>
          <w:rFonts w:ascii="宋体" w:hAnsi="宋体" w:cs="宋体" w:eastAsia="宋体" w:hint="default"/>
          <w:sz w:val="21"/>
          <w:szCs w:val="21"/>
        </w:rPr>
      </w:pPr>
      <w:r>
        <w:rPr>
          <w:rFonts w:ascii="宋体" w:hAnsi="宋体" w:cs="宋体" w:eastAsia="宋体" w:hint="default"/>
          <w:sz w:val="21"/>
          <w:szCs w:val="21"/>
        </w:rPr>
        <w:t>本公司根据《公司法》、《证券法》、《上市公司内部控制指引》、《企业内部控制基本规</w:t>
      </w:r>
      <w:r>
        <w:rPr>
          <w:rFonts w:ascii="宋体" w:hAnsi="宋体" w:cs="宋体" w:eastAsia="宋体" w:hint="default"/>
          <w:w w:val="100"/>
          <w:sz w:val="21"/>
          <w:szCs w:val="21"/>
        </w:rPr>
        <w:t> </w:t>
      </w:r>
      <w:r>
        <w:rPr>
          <w:rFonts w:ascii="宋体" w:hAnsi="宋体" w:cs="宋体" w:eastAsia="宋体" w:hint="default"/>
          <w:spacing w:val="-4"/>
          <w:sz w:val="21"/>
          <w:szCs w:val="21"/>
        </w:rPr>
        <w:t>范》及配套指引等境内外资本市场监管相关要求，结合公司管理需要，构建了切合公司实际、</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具有中国联通特色的内控与风险管理体系。</w:t>
      </w:r>
    </w:p>
    <w:p>
      <w:pPr>
        <w:spacing w:line="240" w:lineRule="auto" w:before="4"/>
        <w:rPr>
          <w:rFonts w:ascii="宋体" w:hAnsi="宋体" w:cs="宋体" w:eastAsia="宋体" w:hint="default"/>
          <w:sz w:val="18"/>
          <w:szCs w:val="18"/>
        </w:rPr>
      </w:pPr>
    </w:p>
    <w:p>
      <w:pPr>
        <w:spacing w:before="0"/>
        <w:ind w:left="565" w:right="259" w:firstLine="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pacing w:val="-20"/>
          <w:sz w:val="21"/>
          <w:szCs w:val="21"/>
        </w:rPr>
        <w:t> </w:t>
      </w:r>
      <w:r>
        <w:rPr>
          <w:rFonts w:ascii="宋体" w:hAnsi="宋体" w:cs="宋体" w:eastAsia="宋体" w:hint="default"/>
          <w:sz w:val="21"/>
          <w:szCs w:val="21"/>
        </w:rPr>
        <w:t>建立健全内控与风险管理组织体系</w:t>
      </w:r>
    </w:p>
    <w:p>
      <w:pPr>
        <w:spacing w:line="240" w:lineRule="auto" w:before="4"/>
        <w:rPr>
          <w:rFonts w:ascii="宋体" w:hAnsi="宋体" w:cs="宋体" w:eastAsia="宋体" w:hint="default"/>
          <w:sz w:val="17"/>
          <w:szCs w:val="17"/>
        </w:rPr>
      </w:pPr>
    </w:p>
    <w:p>
      <w:pPr>
        <w:spacing w:line="237" w:lineRule="auto" w:before="0"/>
        <w:ind w:left="990" w:right="205" w:firstLine="0"/>
        <w:jc w:val="both"/>
        <w:rPr>
          <w:rFonts w:ascii="宋体" w:hAnsi="宋体" w:cs="宋体" w:eastAsia="宋体" w:hint="default"/>
          <w:sz w:val="21"/>
          <w:szCs w:val="21"/>
        </w:rPr>
      </w:pPr>
      <w:r>
        <w:rPr>
          <w:rFonts w:ascii="宋体" w:hAnsi="宋体" w:cs="宋体" w:eastAsia="宋体" w:hint="default"/>
          <w:spacing w:val="-2"/>
          <w:sz w:val="21"/>
          <w:szCs w:val="21"/>
        </w:rPr>
        <w:t>为有效推进内控与风险管理工作，本公司采取集团总部统一领导，各分、子公司全员参</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与、分级负责的管理模式，建立了由董事会、内控与风险管理委员会、内控与风险管理</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办公室以及各相关专业职能管理部门构成的涵盖全业务、覆盖全集团范围的内控与风险</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管理组织体系。</w:t>
      </w:r>
    </w:p>
    <w:p>
      <w:pPr>
        <w:spacing w:line="240" w:lineRule="auto" w:before="8"/>
        <w:rPr>
          <w:rFonts w:ascii="宋体" w:hAnsi="宋体" w:cs="宋体" w:eastAsia="宋体" w:hint="default"/>
          <w:sz w:val="18"/>
          <w:szCs w:val="18"/>
        </w:rPr>
      </w:pPr>
    </w:p>
    <w:p>
      <w:pPr>
        <w:spacing w:line="235" w:lineRule="auto" w:before="0"/>
        <w:ind w:left="990" w:right="97" w:firstLine="0"/>
        <w:jc w:val="left"/>
        <w:rPr>
          <w:rFonts w:ascii="宋体" w:hAnsi="宋体" w:cs="宋体" w:eastAsia="宋体" w:hint="default"/>
          <w:sz w:val="21"/>
          <w:szCs w:val="21"/>
        </w:rPr>
      </w:pPr>
      <w:r>
        <w:rPr>
          <w:rFonts w:ascii="宋体" w:hAnsi="宋体" w:cs="宋体" w:eastAsia="宋体" w:hint="default"/>
          <w:sz w:val="21"/>
          <w:szCs w:val="21"/>
        </w:rPr>
        <w:t>经过多年努力，本公司已经构建了适合公司实际情况、覆盖全集团的、相对完善，具有</w:t>
      </w:r>
      <w:r>
        <w:rPr>
          <w:rFonts w:ascii="宋体" w:hAnsi="宋体" w:cs="宋体" w:eastAsia="宋体" w:hint="default"/>
          <w:w w:val="100"/>
          <w:sz w:val="21"/>
          <w:szCs w:val="21"/>
        </w:rPr>
        <w:t> </w:t>
      </w:r>
      <w:r>
        <w:rPr>
          <w:rFonts w:ascii="宋体" w:hAnsi="宋体" w:cs="宋体" w:eastAsia="宋体" w:hint="default"/>
          <w:sz w:val="21"/>
          <w:szCs w:val="21"/>
        </w:rPr>
        <w:t>中国联通特色的内部控制体系。该内控体系是根据财政部、审计署、证监会等五部委于</w:t>
      </w:r>
      <w:r>
        <w:rPr>
          <w:rFonts w:ascii="宋体" w:hAnsi="宋体" w:cs="宋体" w:eastAsia="宋体" w:hint="default"/>
          <w:w w:val="100"/>
          <w:sz w:val="21"/>
          <w:szCs w:val="21"/>
        </w:rPr>
        <w:t> </w:t>
      </w:r>
      <w:r>
        <w:rPr>
          <w:rFonts w:ascii="Arial" w:hAnsi="Arial" w:cs="Arial" w:eastAsia="Arial" w:hint="default"/>
          <w:sz w:val="21"/>
          <w:szCs w:val="21"/>
        </w:rPr>
        <w:t>2008</w:t>
      </w:r>
      <w:r>
        <w:rPr>
          <w:rFonts w:ascii="Arial" w:hAnsi="Arial" w:cs="Arial" w:eastAsia="Arial" w:hint="default"/>
          <w:spacing w:val="1"/>
          <w:sz w:val="21"/>
          <w:szCs w:val="21"/>
        </w:rPr>
        <w:t> </w:t>
      </w:r>
      <w:r>
        <w:rPr>
          <w:rFonts w:ascii="宋体" w:hAnsi="宋体" w:cs="宋体" w:eastAsia="宋体" w:hint="default"/>
          <w:spacing w:val="-5"/>
          <w:sz w:val="21"/>
          <w:szCs w:val="21"/>
        </w:rPr>
        <w:t>年下发的《企业内部控制基本规范》的规定并参考美国</w:t>
      </w:r>
      <w:r>
        <w:rPr>
          <w:rFonts w:ascii="宋体" w:hAnsi="宋体" w:cs="宋体" w:eastAsia="宋体" w:hint="default"/>
          <w:spacing w:val="-45"/>
          <w:sz w:val="21"/>
          <w:szCs w:val="21"/>
        </w:rPr>
        <w:t> </w:t>
      </w:r>
      <w:r>
        <w:rPr>
          <w:rFonts w:ascii="Arial" w:hAnsi="Arial" w:cs="Arial" w:eastAsia="Arial" w:hint="default"/>
          <w:sz w:val="21"/>
          <w:szCs w:val="21"/>
        </w:rPr>
        <w:t>COSO</w:t>
      </w:r>
      <w:r>
        <w:rPr>
          <w:rFonts w:ascii="Arial" w:hAnsi="Arial" w:cs="Arial" w:eastAsia="Arial" w:hint="default"/>
          <w:spacing w:val="2"/>
          <w:sz w:val="21"/>
          <w:szCs w:val="21"/>
        </w:rPr>
        <w:t> </w:t>
      </w:r>
      <w:r>
        <w:rPr>
          <w:rFonts w:ascii="宋体" w:hAnsi="宋体" w:cs="宋体" w:eastAsia="宋体" w:hint="default"/>
          <w:sz w:val="21"/>
          <w:szCs w:val="21"/>
        </w:rPr>
        <w:t>内部控制框架制定，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以风险评估为基础，包括公司层面控制及流程层面控制。其中，公司层面控制通过制定、</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颁布及实施一系列规章制度而逐步建立适当的内部控制环境。流程层面控制主要围绕资</w:t>
      </w:r>
      <w:r>
        <w:rPr>
          <w:rFonts w:ascii="宋体" w:hAnsi="宋体" w:cs="宋体" w:eastAsia="宋体" w:hint="default"/>
          <w:w w:val="100"/>
          <w:sz w:val="21"/>
          <w:szCs w:val="21"/>
        </w:rPr>
        <w:t> </w:t>
      </w:r>
      <w:r>
        <w:rPr>
          <w:rFonts w:ascii="宋体" w:hAnsi="宋体" w:cs="宋体" w:eastAsia="宋体" w:hint="default"/>
          <w:sz w:val="21"/>
          <w:szCs w:val="21"/>
        </w:rPr>
        <w:t>本性支出、收入、成本费用、资金及资产、财务及信息披露、其他共性等六个业务循环</w:t>
      </w:r>
      <w:r>
        <w:rPr>
          <w:rFonts w:ascii="宋体" w:hAnsi="宋体" w:cs="宋体" w:eastAsia="宋体" w:hint="default"/>
          <w:w w:val="100"/>
          <w:sz w:val="21"/>
          <w:szCs w:val="21"/>
        </w:rPr>
        <w:t> </w:t>
      </w:r>
      <w:r>
        <w:rPr>
          <w:rFonts w:ascii="宋体" w:hAnsi="宋体" w:cs="宋体" w:eastAsia="宋体" w:hint="default"/>
          <w:spacing w:val="-5"/>
          <w:sz w:val="21"/>
          <w:szCs w:val="21"/>
        </w:rPr>
        <w:t>建立控制措施和程序，覆盖公司全业务，并将信息系统应用控制内嵌到各个控制措施中。</w:t>
      </w:r>
    </w:p>
    <w:p>
      <w:pPr>
        <w:spacing w:line="240" w:lineRule="auto" w:before="7"/>
        <w:rPr>
          <w:rFonts w:ascii="宋体" w:hAnsi="宋体" w:cs="宋体" w:eastAsia="宋体" w:hint="default"/>
          <w:sz w:val="18"/>
          <w:szCs w:val="18"/>
        </w:rPr>
      </w:pPr>
    </w:p>
    <w:p>
      <w:pPr>
        <w:spacing w:line="237" w:lineRule="auto" w:before="0"/>
        <w:ind w:left="990" w:right="205" w:firstLine="0"/>
        <w:jc w:val="both"/>
        <w:rPr>
          <w:rFonts w:ascii="宋体" w:hAnsi="宋体" w:cs="宋体" w:eastAsia="宋体" w:hint="default"/>
          <w:sz w:val="21"/>
          <w:szCs w:val="21"/>
        </w:rPr>
      </w:pPr>
      <w:r>
        <w:rPr>
          <w:rFonts w:ascii="宋体" w:hAnsi="宋体" w:cs="宋体" w:eastAsia="宋体" w:hint="default"/>
          <w:spacing w:val="-2"/>
          <w:sz w:val="21"/>
          <w:szCs w:val="21"/>
        </w:rPr>
        <w:t>本公司的内部控制体系，有力地保障和促进了公司各项业务持续健康发展，整体抗风险</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能力进一步增强，基础管理水平明显提升，公司自身价值不断提高，实现了国有资产保</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值增值。</w:t>
      </w:r>
    </w:p>
    <w:p>
      <w:pPr>
        <w:spacing w:after="0" w:line="237" w:lineRule="auto"/>
        <w:jc w:val="both"/>
        <w:rPr>
          <w:rFonts w:ascii="宋体" w:hAnsi="宋体" w:cs="宋体" w:eastAsia="宋体" w:hint="default"/>
          <w:sz w:val="21"/>
          <w:szCs w:val="21"/>
        </w:rPr>
        <w:sectPr>
          <w:pgSz w:w="11910" w:h="16840"/>
          <w:pgMar w:header="880" w:footer="1194" w:top="1120" w:bottom="1380" w:left="1660" w:right="1060"/>
        </w:sectPr>
      </w:pPr>
    </w:p>
    <w:p>
      <w:pPr>
        <w:spacing w:line="240" w:lineRule="auto" w:before="11"/>
        <w:rPr>
          <w:rFonts w:ascii="宋体" w:hAnsi="宋体" w:cs="宋体" w:eastAsia="宋体" w:hint="default"/>
          <w:sz w:val="29"/>
          <w:szCs w:val="29"/>
        </w:rPr>
      </w:pPr>
    </w:p>
    <w:p>
      <w:pPr>
        <w:spacing w:before="36"/>
        <w:ind w:left="138" w:right="259" w:firstLine="0"/>
        <w:jc w:val="left"/>
        <w:rPr>
          <w:rFonts w:ascii="宋体" w:hAnsi="宋体" w:cs="宋体" w:eastAsia="宋体" w:hint="default"/>
          <w:sz w:val="21"/>
          <w:szCs w:val="21"/>
        </w:rPr>
      </w:pPr>
      <w:r>
        <w:rPr>
          <w:rFonts w:ascii="宋体" w:hAnsi="宋体" w:cs="宋体" w:eastAsia="宋体" w:hint="default"/>
          <w:b/>
          <w:bCs/>
          <w:sz w:val="21"/>
          <w:szCs w:val="21"/>
        </w:rPr>
        <w:t>一、内部控制责任声明及内部控制制度建设情况</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p>
      <w:pPr>
        <w:spacing w:before="0"/>
        <w:ind w:left="138" w:right="259"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二</w:t>
      </w:r>
      <w:r>
        <w:rPr>
          <w:rFonts w:ascii="Arial" w:hAnsi="Arial" w:cs="Arial" w:eastAsia="Arial" w:hint="default"/>
          <w:b/>
          <w:bCs/>
          <w:sz w:val="21"/>
          <w:szCs w:val="21"/>
        </w:rPr>
        <w:t>)</w:t>
      </w:r>
      <w:r>
        <w:rPr>
          <w:rFonts w:ascii="Arial" w:hAnsi="Arial" w:cs="Arial" w:eastAsia="Arial" w:hint="default"/>
          <w:b/>
          <w:bCs/>
          <w:spacing w:val="9"/>
          <w:sz w:val="21"/>
          <w:szCs w:val="21"/>
        </w:rPr>
        <w:t> </w:t>
      </w:r>
      <w:r>
        <w:rPr>
          <w:rFonts w:ascii="宋体" w:hAnsi="宋体" w:cs="宋体" w:eastAsia="宋体" w:hint="default"/>
          <w:b/>
          <w:bCs/>
          <w:sz w:val="21"/>
          <w:szCs w:val="21"/>
        </w:rPr>
        <w:t>内部控制制度建设情况（续）</w:t>
      </w:r>
      <w:r>
        <w:rPr>
          <w:rFonts w:ascii="宋体" w:hAnsi="宋体" w:cs="宋体" w:eastAsia="宋体" w:hint="default"/>
          <w:sz w:val="21"/>
          <w:szCs w:val="21"/>
        </w:rPr>
      </w:r>
    </w:p>
    <w:p>
      <w:pPr>
        <w:spacing w:line="240" w:lineRule="auto" w:before="9"/>
        <w:rPr>
          <w:rFonts w:ascii="宋体" w:hAnsi="宋体" w:cs="宋体" w:eastAsia="宋体" w:hint="default"/>
          <w:b/>
          <w:bCs/>
          <w:sz w:val="21"/>
          <w:szCs w:val="21"/>
        </w:rPr>
      </w:pPr>
    </w:p>
    <w:p>
      <w:pPr>
        <w:spacing w:before="0"/>
        <w:ind w:left="565" w:right="259" w:firstLine="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 </w:t>
      </w:r>
      <w:r>
        <w:rPr>
          <w:rFonts w:ascii="Arial" w:hAnsi="Arial" w:cs="Arial" w:eastAsia="Arial" w:hint="default"/>
          <w:sz w:val="21"/>
          <w:szCs w:val="21"/>
        </w:rPr>
        <w:t>2014</w:t>
      </w:r>
      <w:r>
        <w:rPr>
          <w:rFonts w:ascii="Arial" w:hAnsi="Arial" w:cs="Arial" w:eastAsia="Arial" w:hint="default"/>
          <w:spacing w:val="-24"/>
          <w:sz w:val="21"/>
          <w:szCs w:val="21"/>
        </w:rPr>
        <w:t> </w:t>
      </w:r>
      <w:r>
        <w:rPr>
          <w:rFonts w:ascii="宋体" w:hAnsi="宋体" w:cs="宋体" w:eastAsia="宋体" w:hint="default"/>
          <w:sz w:val="21"/>
          <w:szCs w:val="21"/>
        </w:rPr>
        <w:t>年度内控建设工作</w:t>
      </w:r>
    </w:p>
    <w:p>
      <w:pPr>
        <w:spacing w:line="240" w:lineRule="auto" w:before="4"/>
        <w:rPr>
          <w:rFonts w:ascii="宋体" w:hAnsi="宋体" w:cs="宋体" w:eastAsia="宋体" w:hint="default"/>
          <w:sz w:val="17"/>
          <w:szCs w:val="17"/>
        </w:rPr>
      </w:pPr>
    </w:p>
    <w:p>
      <w:pPr>
        <w:spacing w:line="237" w:lineRule="auto" w:before="0"/>
        <w:ind w:left="990" w:right="205" w:firstLine="0"/>
        <w:jc w:val="both"/>
        <w:rPr>
          <w:rFonts w:ascii="宋体" w:hAnsi="宋体" w:cs="宋体" w:eastAsia="宋体" w:hint="default"/>
          <w:sz w:val="21"/>
          <w:szCs w:val="21"/>
        </w:rPr>
      </w:pPr>
      <w:r>
        <w:rPr>
          <w:rFonts w:ascii="宋体" w:hAnsi="宋体" w:cs="宋体" w:eastAsia="宋体" w:hint="default"/>
          <w:spacing w:val="-2"/>
          <w:sz w:val="21"/>
          <w:szCs w:val="21"/>
        </w:rPr>
        <w:t>为进一步完善内部控制和风险防范机制，公司内控与风险管理委员会办公室组织各专业</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组，重点梳理与公司财务报告相关的业务流程，查找公司管理中存在的薄弱环节，收集</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整理公司内控规范风险控制矩阵中未涵盖的风险点，持续开展了内控规范更新优化及落</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地实施工作。</w:t>
      </w:r>
    </w:p>
    <w:p>
      <w:pPr>
        <w:spacing w:line="240" w:lineRule="auto" w:before="4"/>
        <w:rPr>
          <w:rFonts w:ascii="宋体" w:hAnsi="宋体" w:cs="宋体" w:eastAsia="宋体" w:hint="default"/>
          <w:sz w:val="18"/>
          <w:szCs w:val="18"/>
        </w:rPr>
      </w:pPr>
    </w:p>
    <w:p>
      <w:pPr>
        <w:spacing w:before="0"/>
        <w:ind w:left="990" w:right="0" w:firstLine="0"/>
        <w:jc w:val="both"/>
        <w:rPr>
          <w:rFonts w:ascii="宋体" w:hAnsi="宋体" w:cs="宋体" w:eastAsia="宋体" w:hint="default"/>
          <w:sz w:val="21"/>
          <w:szCs w:val="21"/>
        </w:rPr>
      </w:pPr>
      <w:r>
        <w:rPr>
          <w:rFonts w:ascii="Arial" w:hAnsi="Arial" w:cs="Arial" w:eastAsia="Arial" w:hint="default"/>
          <w:sz w:val="21"/>
          <w:szCs w:val="21"/>
        </w:rPr>
        <w:t>2.1</w:t>
      </w:r>
      <w:r>
        <w:rPr>
          <w:rFonts w:ascii="Arial" w:hAnsi="Arial" w:cs="Arial" w:eastAsia="Arial" w:hint="default"/>
          <w:spacing w:val="56"/>
          <w:sz w:val="21"/>
          <w:szCs w:val="21"/>
        </w:rPr>
        <w:t> </w:t>
      </w:r>
      <w:r>
        <w:rPr>
          <w:rFonts w:ascii="宋体" w:hAnsi="宋体" w:cs="宋体" w:eastAsia="宋体" w:hint="default"/>
          <w:sz w:val="21"/>
          <w:szCs w:val="21"/>
        </w:rPr>
        <w:t>组织开展内控自我测试工作</w:t>
      </w:r>
    </w:p>
    <w:p>
      <w:pPr>
        <w:spacing w:line="240" w:lineRule="auto" w:before="4"/>
        <w:rPr>
          <w:rFonts w:ascii="宋体" w:hAnsi="宋体" w:cs="宋体" w:eastAsia="宋体" w:hint="default"/>
          <w:sz w:val="17"/>
          <w:szCs w:val="17"/>
        </w:rPr>
      </w:pPr>
    </w:p>
    <w:p>
      <w:pPr>
        <w:spacing w:line="237" w:lineRule="auto" w:before="0"/>
        <w:ind w:left="1414" w:right="205" w:firstLine="0"/>
        <w:jc w:val="both"/>
        <w:rPr>
          <w:rFonts w:ascii="宋体" w:hAnsi="宋体" w:cs="宋体" w:eastAsia="宋体" w:hint="default"/>
          <w:sz w:val="21"/>
          <w:szCs w:val="21"/>
        </w:rPr>
      </w:pPr>
      <w:r>
        <w:rPr>
          <w:rFonts w:ascii="宋体" w:hAnsi="宋体" w:cs="宋体" w:eastAsia="宋体" w:hint="default"/>
          <w:spacing w:val="-2"/>
          <w:sz w:val="21"/>
          <w:szCs w:val="21"/>
        </w:rPr>
        <w:t>为进一步验证公司内控规范的健全性和执行有效性，公司内控与风险管理委员会办</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2"/>
          <w:sz w:val="21"/>
          <w:szCs w:val="21"/>
        </w:rPr>
        <w:t>公室组织各省分公司开展内控自我测试工作，进一步拓展了内部控制管理的专业深</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2"/>
          <w:sz w:val="21"/>
          <w:szCs w:val="21"/>
        </w:rPr>
        <w:t>度。通过全面验证公司内控规范，深入剖析制约公司经营发展的风险因素，提出管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理建议。在关注相关内控制度的设计及执行情况的同时，宣贯风险控制要求，培育</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了内控与风险管理文化。</w:t>
      </w:r>
    </w:p>
    <w:p>
      <w:pPr>
        <w:spacing w:line="240" w:lineRule="auto" w:before="4"/>
        <w:rPr>
          <w:rFonts w:ascii="宋体" w:hAnsi="宋体" w:cs="宋体" w:eastAsia="宋体" w:hint="default"/>
          <w:sz w:val="18"/>
          <w:szCs w:val="18"/>
        </w:rPr>
      </w:pPr>
    </w:p>
    <w:p>
      <w:pPr>
        <w:spacing w:before="0"/>
        <w:ind w:left="990" w:right="0" w:firstLine="0"/>
        <w:jc w:val="both"/>
        <w:rPr>
          <w:rFonts w:ascii="宋体" w:hAnsi="宋体" w:cs="宋体" w:eastAsia="宋体" w:hint="default"/>
          <w:sz w:val="21"/>
          <w:szCs w:val="21"/>
        </w:rPr>
      </w:pPr>
      <w:r>
        <w:rPr>
          <w:rFonts w:ascii="Arial" w:hAnsi="Arial" w:cs="Arial" w:eastAsia="Arial" w:hint="default"/>
          <w:sz w:val="21"/>
          <w:szCs w:val="21"/>
        </w:rPr>
        <w:t>2.2  </w:t>
      </w:r>
      <w:r>
        <w:rPr>
          <w:rFonts w:ascii="宋体" w:hAnsi="宋体" w:cs="宋体" w:eastAsia="宋体" w:hint="default"/>
          <w:sz w:val="21"/>
          <w:szCs w:val="21"/>
        </w:rPr>
        <w:t>组织开展内控规范更新优化工作</w:t>
      </w:r>
    </w:p>
    <w:p>
      <w:pPr>
        <w:spacing w:line="240" w:lineRule="auto" w:before="9"/>
        <w:rPr>
          <w:rFonts w:ascii="宋体" w:hAnsi="宋体" w:cs="宋体" w:eastAsia="宋体" w:hint="default"/>
          <w:sz w:val="17"/>
          <w:szCs w:val="17"/>
        </w:rPr>
      </w:pPr>
    </w:p>
    <w:p>
      <w:pPr>
        <w:spacing w:line="232" w:lineRule="auto" w:before="0"/>
        <w:ind w:left="1414" w:right="97" w:firstLine="0"/>
        <w:jc w:val="left"/>
        <w:rPr>
          <w:rFonts w:ascii="宋体" w:hAnsi="宋体" w:cs="宋体" w:eastAsia="宋体" w:hint="default"/>
          <w:sz w:val="21"/>
          <w:szCs w:val="21"/>
        </w:rPr>
      </w:pPr>
      <w:r>
        <w:rPr>
          <w:rFonts w:ascii="宋体" w:hAnsi="宋体" w:cs="宋体" w:eastAsia="宋体" w:hint="default"/>
          <w:sz w:val="21"/>
          <w:szCs w:val="21"/>
        </w:rPr>
        <w:t>公司内控与风险管理委员会办公室组织各专业组，根据内控自我测试结果、更新优</w:t>
      </w:r>
      <w:r>
        <w:rPr>
          <w:rFonts w:ascii="宋体" w:hAnsi="宋体" w:cs="宋体" w:eastAsia="宋体" w:hint="default"/>
          <w:w w:val="100"/>
          <w:sz w:val="21"/>
          <w:szCs w:val="21"/>
        </w:rPr>
        <w:t> </w:t>
      </w:r>
      <w:r>
        <w:rPr>
          <w:rFonts w:ascii="宋体" w:hAnsi="宋体" w:cs="宋体" w:eastAsia="宋体" w:hint="default"/>
          <w:sz w:val="21"/>
          <w:szCs w:val="21"/>
        </w:rPr>
        <w:t>化的征求意见、风险评估结果、内外部内控评审发现的问题，对内控规范标准版进</w:t>
      </w:r>
      <w:r>
        <w:rPr>
          <w:rFonts w:ascii="宋体" w:hAnsi="宋体" w:cs="宋体" w:eastAsia="宋体" w:hint="default"/>
          <w:w w:val="100"/>
          <w:sz w:val="21"/>
          <w:szCs w:val="21"/>
        </w:rPr>
        <w:t> </w:t>
      </w:r>
      <w:r>
        <w:rPr>
          <w:rFonts w:ascii="宋体" w:hAnsi="宋体" w:cs="宋体" w:eastAsia="宋体" w:hint="default"/>
          <w:spacing w:val="-4"/>
          <w:sz w:val="21"/>
          <w:szCs w:val="21"/>
        </w:rPr>
        <w:t>行了集中更新优化，在 </w:t>
      </w:r>
      <w:r>
        <w:rPr>
          <w:rFonts w:ascii="Arial" w:hAnsi="Arial" w:cs="Arial" w:eastAsia="Arial" w:hint="default"/>
          <w:sz w:val="21"/>
          <w:szCs w:val="21"/>
        </w:rPr>
        <w:t>2013 </w:t>
      </w:r>
      <w:r>
        <w:rPr>
          <w:rFonts w:ascii="宋体" w:hAnsi="宋体" w:cs="宋体" w:eastAsia="宋体" w:hint="default"/>
          <w:spacing w:val="-3"/>
          <w:sz w:val="21"/>
          <w:szCs w:val="21"/>
        </w:rPr>
        <w:t>版内部控制规范的基础上，修改完善了内部控制规范，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增加了相关末级流程、控制措施。</w:t>
      </w:r>
      <w:r>
        <w:rPr>
          <w:rFonts w:ascii="Arial" w:hAnsi="Arial" w:cs="Arial" w:eastAsia="Arial" w:hint="default"/>
          <w:sz w:val="21"/>
          <w:szCs w:val="21"/>
        </w:rPr>
        <w:t>7</w:t>
      </w:r>
      <w:r>
        <w:rPr>
          <w:rFonts w:ascii="Arial" w:hAnsi="Arial" w:cs="Arial" w:eastAsia="Arial" w:hint="default"/>
          <w:spacing w:val="-8"/>
          <w:sz w:val="21"/>
          <w:szCs w:val="21"/>
        </w:rPr>
        <w:t> </w:t>
      </w:r>
      <w:r>
        <w:rPr>
          <w:rFonts w:ascii="宋体" w:hAnsi="宋体" w:cs="宋体" w:eastAsia="宋体" w:hint="default"/>
          <w:sz w:val="21"/>
          <w:szCs w:val="21"/>
        </w:rPr>
        <w:t>月份，经公司管理层审批通过后正式印发《中</w:t>
      </w:r>
      <w:r>
        <w:rPr>
          <w:rFonts w:ascii="宋体" w:hAnsi="宋体" w:cs="宋体" w:eastAsia="宋体" w:hint="default"/>
          <w:w w:val="100"/>
          <w:sz w:val="21"/>
          <w:szCs w:val="21"/>
        </w:rPr>
        <w:t> </w:t>
      </w:r>
      <w:r>
        <w:rPr>
          <w:rFonts w:ascii="宋体" w:hAnsi="宋体" w:cs="宋体" w:eastAsia="宋体" w:hint="default"/>
          <w:sz w:val="21"/>
          <w:szCs w:val="21"/>
        </w:rPr>
        <w:t>国联通内部控制规范（</w:t>
      </w: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版）》。</w:t>
      </w:r>
    </w:p>
    <w:p>
      <w:pPr>
        <w:spacing w:line="240" w:lineRule="auto" w:before="3"/>
        <w:rPr>
          <w:rFonts w:ascii="宋体" w:hAnsi="宋体" w:cs="宋体" w:eastAsia="宋体" w:hint="default"/>
          <w:sz w:val="17"/>
          <w:szCs w:val="17"/>
        </w:rPr>
      </w:pPr>
    </w:p>
    <w:p>
      <w:pPr>
        <w:spacing w:before="0"/>
        <w:ind w:left="990" w:right="0" w:firstLine="0"/>
        <w:jc w:val="both"/>
        <w:rPr>
          <w:rFonts w:ascii="宋体" w:hAnsi="宋体" w:cs="宋体" w:eastAsia="宋体" w:hint="default"/>
          <w:sz w:val="21"/>
          <w:szCs w:val="21"/>
        </w:rPr>
      </w:pPr>
      <w:r>
        <w:rPr>
          <w:rFonts w:ascii="Arial" w:hAnsi="Arial" w:cs="Arial" w:eastAsia="Arial" w:hint="default"/>
          <w:sz w:val="21"/>
          <w:szCs w:val="21"/>
        </w:rPr>
        <w:t>2.3</w:t>
      </w:r>
      <w:r>
        <w:rPr>
          <w:rFonts w:ascii="Arial" w:hAnsi="Arial" w:cs="Arial" w:eastAsia="Arial" w:hint="default"/>
          <w:spacing w:val="57"/>
          <w:sz w:val="21"/>
          <w:szCs w:val="21"/>
        </w:rPr>
        <w:t> </w:t>
      </w:r>
      <w:r>
        <w:rPr>
          <w:rFonts w:ascii="宋体" w:hAnsi="宋体" w:cs="宋体" w:eastAsia="宋体" w:hint="default"/>
          <w:sz w:val="21"/>
          <w:szCs w:val="21"/>
        </w:rPr>
        <w:t>组织各省分公司开展内控规范本地化工作</w:t>
      </w:r>
    </w:p>
    <w:p>
      <w:pPr>
        <w:spacing w:line="240" w:lineRule="auto" w:before="6"/>
        <w:rPr>
          <w:rFonts w:ascii="宋体" w:hAnsi="宋体" w:cs="宋体" w:eastAsia="宋体" w:hint="default"/>
          <w:sz w:val="17"/>
          <w:szCs w:val="17"/>
        </w:rPr>
      </w:pPr>
    </w:p>
    <w:p>
      <w:pPr>
        <w:spacing w:line="235" w:lineRule="auto" w:before="0"/>
        <w:ind w:left="1414" w:right="205" w:firstLine="0"/>
        <w:jc w:val="both"/>
        <w:rPr>
          <w:rFonts w:ascii="宋体" w:hAnsi="宋体" w:cs="宋体" w:eastAsia="宋体" w:hint="default"/>
          <w:sz w:val="21"/>
          <w:szCs w:val="21"/>
        </w:rPr>
      </w:pPr>
      <w:r>
        <w:rPr>
          <w:rFonts w:ascii="宋体" w:hAnsi="宋体" w:cs="宋体" w:eastAsia="宋体" w:hint="default"/>
          <w:sz w:val="21"/>
          <w:szCs w:val="21"/>
        </w:rPr>
        <w:t>为确保各省落实内控规范标准版各项内控措施的要求，公司于</w:t>
      </w:r>
      <w:r>
        <w:rPr>
          <w:rFonts w:ascii="宋体" w:hAnsi="宋体" w:cs="宋体" w:eastAsia="宋体" w:hint="default"/>
          <w:spacing w:val="-60"/>
          <w:sz w:val="21"/>
          <w:szCs w:val="21"/>
        </w:rPr>
        <w:t> </w:t>
      </w:r>
      <w:r>
        <w:rPr>
          <w:rFonts w:ascii="Arial" w:hAnsi="Arial" w:cs="Arial" w:eastAsia="Arial" w:hint="default"/>
          <w:sz w:val="21"/>
          <w:szCs w:val="21"/>
        </w:rPr>
        <w:t>6</w:t>
      </w:r>
      <w:r>
        <w:rPr>
          <w:rFonts w:ascii="Arial" w:hAnsi="Arial" w:cs="Arial" w:eastAsia="Arial" w:hint="default"/>
          <w:spacing w:val="-16"/>
          <w:sz w:val="21"/>
          <w:szCs w:val="21"/>
        </w:rPr>
        <w:t> </w:t>
      </w:r>
      <w:r>
        <w:rPr>
          <w:rFonts w:ascii="宋体" w:hAnsi="宋体" w:cs="宋体" w:eastAsia="宋体" w:hint="default"/>
          <w:sz w:val="21"/>
          <w:szCs w:val="21"/>
        </w:rPr>
        <w:t>月份组织了集中讲</w:t>
      </w:r>
      <w:r>
        <w:rPr>
          <w:rFonts w:ascii="宋体" w:hAnsi="宋体" w:cs="宋体" w:eastAsia="宋体" w:hint="default"/>
          <w:w w:val="100"/>
          <w:sz w:val="21"/>
          <w:szCs w:val="21"/>
        </w:rPr>
        <w:t> </w:t>
      </w:r>
      <w:r>
        <w:rPr>
          <w:rFonts w:ascii="宋体" w:hAnsi="宋体" w:cs="宋体" w:eastAsia="宋体" w:hint="default"/>
          <w:spacing w:val="-2"/>
          <w:sz w:val="21"/>
          <w:szCs w:val="21"/>
        </w:rPr>
        <w:t>解和培训，并制定了《内控规范本地化指导意见》，指导各省分公司按照符合属地</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原则对本省内部控制规范进行更新优化。各省分公司根据公司统一部署，全部完成</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内控规范本地化工作，将风险点及对应的控制措施落实到岗、责任到人。</w:t>
      </w:r>
    </w:p>
    <w:p>
      <w:pPr>
        <w:spacing w:line="240" w:lineRule="auto" w:before="4"/>
        <w:rPr>
          <w:rFonts w:ascii="宋体" w:hAnsi="宋体" w:cs="宋体" w:eastAsia="宋体" w:hint="default"/>
          <w:sz w:val="18"/>
          <w:szCs w:val="18"/>
        </w:rPr>
      </w:pPr>
    </w:p>
    <w:p>
      <w:pPr>
        <w:spacing w:before="0"/>
        <w:ind w:left="990" w:right="0" w:firstLine="0"/>
        <w:jc w:val="both"/>
        <w:rPr>
          <w:rFonts w:ascii="宋体" w:hAnsi="宋体" w:cs="宋体" w:eastAsia="宋体" w:hint="default"/>
          <w:sz w:val="21"/>
          <w:szCs w:val="21"/>
        </w:rPr>
      </w:pPr>
      <w:r>
        <w:rPr>
          <w:rFonts w:ascii="Arial" w:hAnsi="Arial" w:cs="Arial" w:eastAsia="Arial" w:hint="default"/>
          <w:sz w:val="21"/>
          <w:szCs w:val="21"/>
        </w:rPr>
        <w:t>2.4</w:t>
      </w:r>
      <w:r>
        <w:rPr>
          <w:rFonts w:ascii="Arial" w:hAnsi="Arial" w:cs="Arial" w:eastAsia="Arial" w:hint="default"/>
          <w:spacing w:val="56"/>
          <w:sz w:val="21"/>
          <w:szCs w:val="21"/>
        </w:rPr>
        <w:t> </w:t>
      </w:r>
      <w:r>
        <w:rPr>
          <w:rFonts w:ascii="宋体" w:hAnsi="宋体" w:cs="宋体" w:eastAsia="宋体" w:hint="default"/>
          <w:sz w:val="21"/>
          <w:szCs w:val="21"/>
        </w:rPr>
        <w:t>组织子公司开展内控规范更新优化工作</w:t>
      </w:r>
    </w:p>
    <w:p>
      <w:pPr>
        <w:spacing w:line="240" w:lineRule="auto" w:before="6"/>
        <w:rPr>
          <w:rFonts w:ascii="宋体" w:hAnsi="宋体" w:cs="宋体" w:eastAsia="宋体" w:hint="default"/>
          <w:sz w:val="17"/>
          <w:szCs w:val="17"/>
        </w:rPr>
      </w:pPr>
    </w:p>
    <w:p>
      <w:pPr>
        <w:spacing w:line="235" w:lineRule="auto" w:before="0"/>
        <w:ind w:left="1414" w:right="205" w:firstLine="0"/>
        <w:jc w:val="both"/>
        <w:rPr>
          <w:rFonts w:ascii="宋体" w:hAnsi="宋体" w:cs="宋体" w:eastAsia="宋体" w:hint="default"/>
          <w:sz w:val="21"/>
          <w:szCs w:val="21"/>
        </w:rPr>
      </w:pPr>
      <w:r>
        <w:rPr>
          <w:rFonts w:ascii="宋体" w:hAnsi="宋体" w:cs="宋体" w:eastAsia="宋体" w:hint="default"/>
          <w:spacing w:val="-2"/>
          <w:sz w:val="21"/>
          <w:szCs w:val="21"/>
        </w:rPr>
        <w:t>按照内控工作整体部署，公司内控与风险管理委员会办公室组织各子公司开展了内</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控规范更新优化工作。各上市子公司在</w:t>
      </w:r>
      <w:r>
        <w:rPr>
          <w:rFonts w:ascii="宋体" w:hAnsi="宋体" w:cs="宋体" w:eastAsia="宋体" w:hint="default"/>
          <w:spacing w:val="-54"/>
          <w:sz w:val="21"/>
          <w:szCs w:val="21"/>
        </w:rPr>
        <w:t> </w:t>
      </w: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年内部控制规范基础上，围绕本公司</w:t>
      </w:r>
      <w:r>
        <w:rPr>
          <w:rFonts w:ascii="宋体" w:hAnsi="宋体" w:cs="宋体" w:eastAsia="宋体" w:hint="default"/>
          <w:w w:val="100"/>
          <w:sz w:val="21"/>
          <w:szCs w:val="21"/>
        </w:rPr>
        <w:t> </w:t>
      </w:r>
      <w:r>
        <w:rPr>
          <w:rFonts w:ascii="宋体" w:hAnsi="宋体" w:cs="宋体" w:eastAsia="宋体" w:hint="default"/>
          <w:spacing w:val="-2"/>
          <w:sz w:val="21"/>
          <w:szCs w:val="21"/>
        </w:rPr>
        <w:t>业务范围和业务模式调整、经营管理要求变化、新业务系统上线等影响因素，进一</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步完善了内控规范并组织实施。</w:t>
      </w:r>
    </w:p>
    <w:p>
      <w:pPr>
        <w:spacing w:line="240" w:lineRule="auto" w:before="4"/>
        <w:rPr>
          <w:rFonts w:ascii="宋体" w:hAnsi="宋体" w:cs="宋体" w:eastAsia="宋体" w:hint="default"/>
          <w:sz w:val="18"/>
          <w:szCs w:val="18"/>
        </w:rPr>
      </w:pPr>
    </w:p>
    <w:p>
      <w:pPr>
        <w:spacing w:before="0"/>
        <w:ind w:left="990" w:right="0" w:firstLine="0"/>
        <w:jc w:val="both"/>
        <w:rPr>
          <w:rFonts w:ascii="宋体" w:hAnsi="宋体" w:cs="宋体" w:eastAsia="宋体" w:hint="default"/>
          <w:sz w:val="21"/>
          <w:szCs w:val="21"/>
        </w:rPr>
      </w:pPr>
      <w:r>
        <w:rPr>
          <w:rFonts w:ascii="Arial" w:hAnsi="Arial" w:cs="Arial" w:eastAsia="Arial" w:hint="default"/>
          <w:sz w:val="21"/>
          <w:szCs w:val="21"/>
        </w:rPr>
        <w:t>2.5</w:t>
      </w:r>
      <w:r>
        <w:rPr>
          <w:rFonts w:ascii="Arial" w:hAnsi="Arial" w:cs="Arial" w:eastAsia="Arial" w:hint="default"/>
          <w:spacing w:val="57"/>
          <w:sz w:val="21"/>
          <w:szCs w:val="21"/>
        </w:rPr>
        <w:t> </w:t>
      </w:r>
      <w:r>
        <w:rPr>
          <w:rFonts w:ascii="宋体" w:hAnsi="宋体" w:cs="宋体" w:eastAsia="宋体" w:hint="default"/>
          <w:sz w:val="21"/>
          <w:szCs w:val="21"/>
        </w:rPr>
        <w:t>组织内控规范推广实施</w:t>
      </w:r>
    </w:p>
    <w:p>
      <w:pPr>
        <w:spacing w:line="240" w:lineRule="auto" w:before="6"/>
        <w:rPr>
          <w:rFonts w:ascii="宋体" w:hAnsi="宋体" w:cs="宋体" w:eastAsia="宋体" w:hint="default"/>
          <w:sz w:val="17"/>
          <w:szCs w:val="17"/>
        </w:rPr>
      </w:pPr>
    </w:p>
    <w:p>
      <w:pPr>
        <w:spacing w:line="235" w:lineRule="auto" w:before="0"/>
        <w:ind w:left="1414" w:right="97" w:firstLine="0"/>
        <w:jc w:val="left"/>
        <w:rPr>
          <w:rFonts w:ascii="宋体" w:hAnsi="宋体" w:cs="宋体" w:eastAsia="宋体" w:hint="default"/>
          <w:sz w:val="21"/>
          <w:szCs w:val="21"/>
        </w:rPr>
      </w:pPr>
      <w:r>
        <w:rPr>
          <w:rFonts w:ascii="宋体" w:hAnsi="宋体" w:cs="宋体" w:eastAsia="宋体" w:hint="default"/>
          <w:sz w:val="21"/>
          <w:szCs w:val="21"/>
        </w:rPr>
        <w:t>各级分、子公司按照内控与风险管理委员会办公室统一部署，组织开展了</w:t>
      </w:r>
      <w:r>
        <w:rPr>
          <w:rFonts w:ascii="宋体" w:hAnsi="宋体" w:cs="宋体" w:eastAsia="宋体" w:hint="default"/>
          <w:spacing w:val="-54"/>
          <w:sz w:val="21"/>
          <w:szCs w:val="21"/>
        </w:rPr>
        <w:t> </w:t>
      </w: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内控规范推广实施工作。公司聘请外部专家进行内部控制专业培训，推动各省分公</w:t>
      </w:r>
      <w:r>
        <w:rPr>
          <w:rFonts w:ascii="宋体" w:hAnsi="宋体" w:cs="宋体" w:eastAsia="宋体" w:hint="default"/>
          <w:w w:val="100"/>
          <w:sz w:val="21"/>
          <w:szCs w:val="21"/>
        </w:rPr>
        <w:t> </w:t>
      </w:r>
      <w:r>
        <w:rPr>
          <w:rFonts w:ascii="宋体" w:hAnsi="宋体" w:cs="宋体" w:eastAsia="宋体" w:hint="default"/>
          <w:spacing w:val="-5"/>
          <w:sz w:val="21"/>
          <w:szCs w:val="21"/>
        </w:rPr>
        <w:t>司之间加强沟通交流，总结推广成熟的本地化实施经验；各级分、子公司通过视频、</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现场培训等多种方式，对内部控制规范进行系统培训，并分解落实各项风险点及对</w:t>
      </w:r>
      <w:r>
        <w:rPr>
          <w:rFonts w:ascii="宋体" w:hAnsi="宋体" w:cs="宋体" w:eastAsia="宋体" w:hint="default"/>
          <w:w w:val="100"/>
          <w:sz w:val="21"/>
          <w:szCs w:val="21"/>
        </w:rPr>
        <w:t> </w:t>
      </w:r>
      <w:r>
        <w:rPr>
          <w:rFonts w:ascii="宋体" w:hAnsi="宋体" w:cs="宋体" w:eastAsia="宋体" w:hint="default"/>
          <w:sz w:val="21"/>
          <w:szCs w:val="21"/>
        </w:rPr>
        <w:t>应的控制措施。举办面向全系统员工的内控与风险管理网络学习培训及答题活动，</w:t>
      </w:r>
      <w:r>
        <w:rPr>
          <w:rFonts w:ascii="宋体" w:hAnsi="宋体" w:cs="宋体" w:eastAsia="宋体" w:hint="default"/>
          <w:w w:val="100"/>
          <w:sz w:val="21"/>
          <w:szCs w:val="21"/>
        </w:rPr>
        <w:t> </w:t>
      </w:r>
      <w:r>
        <w:rPr>
          <w:rFonts w:ascii="宋体" w:hAnsi="宋体" w:cs="宋体" w:eastAsia="宋体" w:hint="default"/>
          <w:sz w:val="21"/>
          <w:szCs w:val="21"/>
        </w:rPr>
        <w:t>普及了内控与风险管理理念、知识，增强了员工的风险意识，推动了内控的有效执</w:t>
      </w:r>
      <w:r>
        <w:rPr>
          <w:rFonts w:ascii="宋体" w:hAnsi="宋体" w:cs="宋体" w:eastAsia="宋体" w:hint="default"/>
          <w:w w:val="100"/>
          <w:sz w:val="21"/>
          <w:szCs w:val="21"/>
        </w:rPr>
        <w:t> </w:t>
      </w:r>
      <w:r>
        <w:rPr>
          <w:rFonts w:ascii="宋体" w:hAnsi="宋体" w:cs="宋体" w:eastAsia="宋体" w:hint="default"/>
          <w:sz w:val="21"/>
          <w:szCs w:val="21"/>
        </w:rPr>
        <w:t>行。</w:t>
      </w:r>
    </w:p>
    <w:p>
      <w:pPr>
        <w:spacing w:after="0" w:line="235" w:lineRule="auto"/>
        <w:jc w:val="left"/>
        <w:rPr>
          <w:rFonts w:ascii="宋体" w:hAnsi="宋体" w:cs="宋体" w:eastAsia="宋体" w:hint="default"/>
          <w:sz w:val="21"/>
          <w:szCs w:val="21"/>
        </w:rPr>
        <w:sectPr>
          <w:pgSz w:w="11910" w:h="16840"/>
          <w:pgMar w:header="880" w:footer="1194" w:top="1120" w:bottom="1380" w:left="1660" w:right="1060"/>
        </w:sectPr>
      </w:pPr>
    </w:p>
    <w:p>
      <w:pPr>
        <w:spacing w:line="240" w:lineRule="auto" w:before="3"/>
        <w:rPr>
          <w:rFonts w:ascii="宋体" w:hAnsi="宋体" w:cs="宋体" w:eastAsia="宋体" w:hint="default"/>
          <w:sz w:val="25"/>
          <w:szCs w:val="25"/>
        </w:rPr>
      </w:pPr>
    </w:p>
    <w:p>
      <w:pPr>
        <w:spacing w:before="36"/>
        <w:ind w:left="138" w:right="259" w:firstLine="0"/>
        <w:jc w:val="left"/>
        <w:rPr>
          <w:rFonts w:ascii="宋体" w:hAnsi="宋体" w:cs="宋体" w:eastAsia="宋体" w:hint="default"/>
          <w:sz w:val="21"/>
          <w:szCs w:val="21"/>
        </w:rPr>
      </w:pPr>
      <w:r>
        <w:rPr>
          <w:rFonts w:ascii="宋体" w:hAnsi="宋体" w:cs="宋体" w:eastAsia="宋体" w:hint="default"/>
          <w:b/>
          <w:bCs/>
          <w:sz w:val="21"/>
          <w:szCs w:val="21"/>
        </w:rPr>
        <w:t>一、内部控制责任声明及内部控制制度建设情况</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p>
      <w:pPr>
        <w:spacing w:before="0"/>
        <w:ind w:left="138" w:right="259"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二</w:t>
      </w:r>
      <w:r>
        <w:rPr>
          <w:rFonts w:ascii="Arial" w:hAnsi="Arial" w:cs="Arial" w:eastAsia="Arial" w:hint="default"/>
          <w:b/>
          <w:bCs/>
          <w:sz w:val="21"/>
          <w:szCs w:val="21"/>
        </w:rPr>
        <w:t>)</w:t>
      </w:r>
      <w:r>
        <w:rPr>
          <w:rFonts w:ascii="Arial" w:hAnsi="Arial" w:cs="Arial" w:eastAsia="Arial" w:hint="default"/>
          <w:b/>
          <w:bCs/>
          <w:spacing w:val="9"/>
          <w:sz w:val="21"/>
          <w:szCs w:val="21"/>
        </w:rPr>
        <w:t> </w:t>
      </w:r>
      <w:r>
        <w:rPr>
          <w:rFonts w:ascii="宋体" w:hAnsi="宋体" w:cs="宋体" w:eastAsia="宋体" w:hint="default"/>
          <w:b/>
          <w:bCs/>
          <w:sz w:val="21"/>
          <w:szCs w:val="21"/>
        </w:rPr>
        <w:t>内部控制制度建设情况（续）</w:t>
      </w:r>
      <w:r>
        <w:rPr>
          <w:rFonts w:ascii="宋体" w:hAnsi="宋体" w:cs="宋体" w:eastAsia="宋体" w:hint="default"/>
          <w:sz w:val="21"/>
          <w:szCs w:val="21"/>
        </w:rPr>
      </w:r>
    </w:p>
    <w:p>
      <w:pPr>
        <w:spacing w:line="240" w:lineRule="auto" w:before="9"/>
        <w:rPr>
          <w:rFonts w:ascii="宋体" w:hAnsi="宋体" w:cs="宋体" w:eastAsia="宋体" w:hint="default"/>
          <w:b/>
          <w:bCs/>
          <w:sz w:val="21"/>
          <w:szCs w:val="21"/>
        </w:rPr>
      </w:pPr>
    </w:p>
    <w:p>
      <w:pPr>
        <w:spacing w:before="0"/>
        <w:ind w:left="565" w:right="259" w:firstLine="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 </w:t>
      </w:r>
      <w:r>
        <w:rPr>
          <w:rFonts w:ascii="Arial" w:hAnsi="Arial" w:cs="Arial" w:eastAsia="Arial" w:hint="default"/>
          <w:sz w:val="21"/>
          <w:szCs w:val="21"/>
        </w:rPr>
        <w:t>2014</w:t>
      </w:r>
      <w:r>
        <w:rPr>
          <w:rFonts w:ascii="Arial" w:hAnsi="Arial" w:cs="Arial" w:eastAsia="Arial" w:hint="default"/>
          <w:spacing w:val="-27"/>
          <w:sz w:val="21"/>
          <w:szCs w:val="21"/>
        </w:rPr>
        <w:t> </w:t>
      </w:r>
      <w:r>
        <w:rPr>
          <w:rFonts w:ascii="宋体" w:hAnsi="宋体" w:cs="宋体" w:eastAsia="宋体" w:hint="default"/>
          <w:sz w:val="21"/>
          <w:szCs w:val="21"/>
        </w:rPr>
        <w:t>年度内控建设工作（续）</w:t>
      </w:r>
    </w:p>
    <w:p>
      <w:pPr>
        <w:spacing w:line="240" w:lineRule="auto" w:before="1"/>
        <w:rPr>
          <w:rFonts w:ascii="宋体" w:hAnsi="宋体" w:cs="宋体" w:eastAsia="宋体" w:hint="default"/>
          <w:sz w:val="17"/>
          <w:szCs w:val="17"/>
        </w:rPr>
      </w:pPr>
    </w:p>
    <w:p>
      <w:pPr>
        <w:spacing w:before="0"/>
        <w:ind w:left="990" w:right="0" w:firstLine="0"/>
        <w:jc w:val="both"/>
        <w:rPr>
          <w:rFonts w:ascii="宋体" w:hAnsi="宋体" w:cs="宋体" w:eastAsia="宋体" w:hint="default"/>
          <w:sz w:val="21"/>
          <w:szCs w:val="21"/>
        </w:rPr>
      </w:pPr>
      <w:r>
        <w:rPr>
          <w:rFonts w:ascii="Arial" w:hAnsi="Arial" w:cs="Arial" w:eastAsia="Arial" w:hint="default"/>
          <w:sz w:val="21"/>
          <w:szCs w:val="21"/>
        </w:rPr>
        <w:t>2.6  </w:t>
      </w:r>
      <w:r>
        <w:rPr>
          <w:rFonts w:ascii="宋体" w:hAnsi="宋体" w:cs="宋体" w:eastAsia="宋体" w:hint="default"/>
          <w:sz w:val="21"/>
          <w:szCs w:val="21"/>
        </w:rPr>
        <w:t>其他</w:t>
      </w:r>
    </w:p>
    <w:p>
      <w:pPr>
        <w:spacing w:line="240" w:lineRule="auto" w:before="9"/>
        <w:rPr>
          <w:rFonts w:ascii="宋体" w:hAnsi="宋体" w:cs="宋体" w:eastAsia="宋体" w:hint="default"/>
          <w:sz w:val="17"/>
          <w:szCs w:val="17"/>
        </w:rPr>
      </w:pPr>
    </w:p>
    <w:p>
      <w:pPr>
        <w:spacing w:line="232" w:lineRule="auto" w:before="0"/>
        <w:ind w:left="1414" w:right="205" w:firstLine="0"/>
        <w:jc w:val="both"/>
        <w:rPr>
          <w:rFonts w:ascii="宋体" w:hAnsi="宋体" w:cs="宋体" w:eastAsia="宋体" w:hint="default"/>
          <w:sz w:val="21"/>
          <w:szCs w:val="21"/>
        </w:rPr>
      </w:pPr>
      <w:r>
        <w:rPr>
          <w:rFonts w:ascii="Arial" w:hAnsi="Arial" w:cs="Arial" w:eastAsia="Arial" w:hint="default"/>
          <w:w w:val="100"/>
          <w:sz w:val="21"/>
          <w:szCs w:val="21"/>
        </w:rPr>
        <w:t>2014 </w:t>
      </w:r>
      <w:r>
        <w:rPr>
          <w:rFonts w:ascii="宋体" w:hAnsi="宋体" w:cs="宋体" w:eastAsia="宋体" w:hint="default"/>
          <w:spacing w:val="-5"/>
          <w:w w:val="100"/>
          <w:sz w:val="21"/>
          <w:szCs w:val="21"/>
        </w:rPr>
        <w:t>年公司有管理人员因个人违纪违法受到查处，暴露了个别管理人员在遵纪守法</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2"/>
          <w:sz w:val="21"/>
          <w:szCs w:val="21"/>
        </w:rPr>
        <w:t>方面存在不足，公司会进一步加强思想教育及风险防范。上述管理人员的个案行为</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没有对公司内部控制的有效性造成影响。</w:t>
      </w:r>
    </w:p>
    <w:p>
      <w:pPr>
        <w:spacing w:line="240" w:lineRule="auto" w:before="6"/>
        <w:rPr>
          <w:rFonts w:ascii="宋体" w:hAnsi="宋体" w:cs="宋体" w:eastAsia="宋体" w:hint="default"/>
          <w:sz w:val="19"/>
          <w:szCs w:val="19"/>
        </w:rPr>
      </w:pPr>
    </w:p>
    <w:p>
      <w:pPr>
        <w:spacing w:line="225" w:lineRule="auto" w:before="0"/>
        <w:ind w:left="990" w:right="212" w:firstLine="0"/>
        <w:jc w:val="both"/>
        <w:rPr>
          <w:rFonts w:ascii="宋体" w:hAnsi="宋体" w:cs="宋体" w:eastAsia="宋体" w:hint="default"/>
          <w:sz w:val="21"/>
          <w:szCs w:val="21"/>
        </w:rPr>
      </w:pPr>
      <w:r>
        <w:rPr>
          <w:rFonts w:ascii="宋体" w:hAnsi="宋体" w:cs="宋体" w:eastAsia="宋体" w:hint="default"/>
          <w:sz w:val="21"/>
          <w:szCs w:val="21"/>
        </w:rPr>
        <w:t>根据公司财务报告内部控制重大缺陷的认定情况，于内部控制评价报告基准日</w:t>
      </w: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31</w:t>
      </w:r>
      <w:r>
        <w:rPr>
          <w:rFonts w:ascii="Arial" w:hAnsi="Arial" w:cs="Arial" w:eastAsia="Arial" w:hint="default"/>
          <w:spacing w:val="-9"/>
          <w:sz w:val="21"/>
          <w:szCs w:val="21"/>
        </w:rPr>
        <w:t> </w:t>
      </w:r>
      <w:r>
        <w:rPr>
          <w:rFonts w:ascii="宋体" w:hAnsi="宋体" w:cs="宋体" w:eastAsia="宋体" w:hint="default"/>
          <w:sz w:val="21"/>
          <w:szCs w:val="21"/>
        </w:rPr>
        <w:t>日），不存在财务报告内部控制重大缺陷，董事会认为，公司已按照企业内部</w:t>
      </w:r>
      <w:r>
        <w:rPr>
          <w:rFonts w:ascii="宋体" w:hAnsi="宋体" w:cs="宋体" w:eastAsia="宋体" w:hint="default"/>
          <w:w w:val="100"/>
          <w:sz w:val="21"/>
          <w:szCs w:val="21"/>
        </w:rPr>
        <w:t> </w:t>
      </w:r>
      <w:r>
        <w:rPr>
          <w:rFonts w:ascii="宋体" w:hAnsi="宋体" w:cs="宋体" w:eastAsia="宋体" w:hint="default"/>
          <w:sz w:val="21"/>
          <w:szCs w:val="21"/>
        </w:rPr>
        <w:t>控制规范体系和相关规定的要求在所有重大方面保持了有效的财务报告内部控制。</w:t>
      </w:r>
    </w:p>
    <w:p>
      <w:pPr>
        <w:spacing w:line="240" w:lineRule="auto" w:before="5"/>
        <w:rPr>
          <w:rFonts w:ascii="宋体" w:hAnsi="宋体" w:cs="宋体" w:eastAsia="宋体" w:hint="default"/>
          <w:sz w:val="18"/>
          <w:szCs w:val="18"/>
        </w:rPr>
      </w:pPr>
    </w:p>
    <w:p>
      <w:pPr>
        <w:spacing w:line="280" w:lineRule="exact" w:before="0"/>
        <w:ind w:left="990" w:right="0" w:firstLine="0"/>
        <w:jc w:val="both"/>
        <w:rPr>
          <w:rFonts w:ascii="宋体" w:hAnsi="宋体" w:cs="宋体" w:eastAsia="宋体" w:hint="default"/>
          <w:sz w:val="21"/>
          <w:szCs w:val="21"/>
        </w:rPr>
      </w:pPr>
      <w:r>
        <w:rPr>
          <w:rFonts w:ascii="宋体" w:hAnsi="宋体" w:cs="宋体" w:eastAsia="宋体" w:hint="default"/>
          <w:spacing w:val="-2"/>
          <w:sz w:val="21"/>
          <w:szCs w:val="21"/>
        </w:rPr>
        <w:t>根据公司非财务报告内部控制重大缺陷认定情况，于内部控制评价报告基准日</w:t>
      </w:r>
      <w:r>
        <w:rPr>
          <w:rFonts w:ascii="Arial" w:hAnsi="Arial" w:cs="Arial" w:eastAsia="Arial" w:hint="default"/>
          <w:spacing w:val="-2"/>
          <w:sz w:val="21"/>
          <w:szCs w:val="21"/>
        </w:rPr>
        <w:t>(2014</w:t>
      </w:r>
      <w:r>
        <w:rPr>
          <w:rFonts w:ascii="Arial" w:hAnsi="Arial" w:cs="Arial" w:eastAsia="Arial" w:hint="default"/>
          <w:sz w:val="21"/>
          <w:szCs w:val="21"/>
        </w:rPr>
        <w:t> </w:t>
      </w:r>
      <w:r>
        <w:rPr>
          <w:rFonts w:ascii="Arial" w:hAnsi="Arial" w:cs="Arial" w:eastAsia="Arial" w:hint="default"/>
          <w:spacing w:val="10"/>
          <w:sz w:val="21"/>
          <w:szCs w:val="21"/>
        </w:rPr>
        <w:t> </w:t>
      </w:r>
      <w:r>
        <w:rPr>
          <w:rFonts w:ascii="宋体" w:hAnsi="宋体" w:cs="宋体" w:eastAsia="宋体" w:hint="default"/>
          <w:sz w:val="21"/>
          <w:szCs w:val="21"/>
        </w:rPr>
        <w:t>年</w:t>
      </w:r>
    </w:p>
    <w:p>
      <w:pPr>
        <w:spacing w:line="280" w:lineRule="exact" w:before="0"/>
        <w:ind w:left="990" w:right="0" w:firstLine="0"/>
        <w:jc w:val="both"/>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日），公司未发现非财务报告内部控制重大缺陷。</w:t>
      </w:r>
    </w:p>
    <w:p>
      <w:pPr>
        <w:spacing w:line="240" w:lineRule="auto" w:before="1"/>
        <w:rPr>
          <w:rFonts w:ascii="宋体" w:hAnsi="宋体" w:cs="宋体" w:eastAsia="宋体" w:hint="default"/>
          <w:sz w:val="17"/>
          <w:szCs w:val="17"/>
        </w:rPr>
      </w:pPr>
    </w:p>
    <w:p>
      <w:pPr>
        <w:spacing w:before="0"/>
        <w:ind w:left="990" w:right="205" w:firstLine="0"/>
        <w:jc w:val="both"/>
        <w:rPr>
          <w:rFonts w:ascii="宋体" w:hAnsi="宋体" w:cs="宋体" w:eastAsia="宋体" w:hint="default"/>
          <w:sz w:val="21"/>
          <w:szCs w:val="21"/>
        </w:rPr>
      </w:pPr>
      <w:r>
        <w:rPr>
          <w:rFonts w:ascii="宋体" w:hAnsi="宋体" w:cs="宋体" w:eastAsia="宋体" w:hint="default"/>
          <w:spacing w:val="-2"/>
          <w:sz w:val="21"/>
          <w:szCs w:val="21"/>
        </w:rPr>
        <w:t>自内部控制评价报告基准日至内部控制评价报告发出日之间未发生影响内部控制有效性</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评价结论的因素。</w:t>
      </w:r>
    </w:p>
    <w:p>
      <w:pPr>
        <w:spacing w:line="240" w:lineRule="auto" w:before="5"/>
        <w:rPr>
          <w:rFonts w:ascii="宋体" w:hAnsi="宋体" w:cs="宋体" w:eastAsia="宋体" w:hint="default"/>
          <w:sz w:val="20"/>
          <w:szCs w:val="20"/>
        </w:rPr>
      </w:pPr>
    </w:p>
    <w:p>
      <w:pPr>
        <w:spacing w:line="272" w:lineRule="exact" w:before="0"/>
        <w:ind w:left="990" w:right="205" w:firstLine="0"/>
        <w:jc w:val="both"/>
        <w:rPr>
          <w:rFonts w:ascii="宋体" w:hAnsi="宋体" w:cs="宋体" w:eastAsia="宋体" w:hint="default"/>
          <w:sz w:val="21"/>
          <w:szCs w:val="21"/>
        </w:rPr>
      </w:pPr>
      <w:r>
        <w:rPr>
          <w:rFonts w:ascii="宋体" w:hAnsi="宋体" w:cs="宋体" w:eastAsia="宋体" w:hint="default"/>
          <w:spacing w:val="-2"/>
          <w:sz w:val="21"/>
          <w:szCs w:val="21"/>
        </w:rPr>
        <w:t>公司聘请的毕马威华振会计师事务所（特殊普通合伙）已对公司财务报告相关内部控制</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的有效性进行了审计，出具了标准无保留意见的内部控制审计报告。</w:t>
      </w:r>
    </w:p>
    <w:p>
      <w:pPr>
        <w:spacing w:line="240" w:lineRule="auto" w:before="7"/>
        <w:rPr>
          <w:rFonts w:ascii="宋体" w:hAnsi="宋体" w:cs="宋体" w:eastAsia="宋体" w:hint="default"/>
          <w:sz w:val="16"/>
          <w:szCs w:val="16"/>
        </w:rPr>
      </w:pPr>
    </w:p>
    <w:p>
      <w:pPr>
        <w:spacing w:line="280" w:lineRule="exact" w:before="0"/>
        <w:ind w:left="990" w:right="0" w:firstLine="0"/>
        <w:jc w:val="both"/>
        <w:rPr>
          <w:rFonts w:ascii="宋体" w:hAnsi="宋体" w:cs="宋体" w:eastAsia="宋体" w:hint="default"/>
          <w:sz w:val="21"/>
          <w:szCs w:val="21"/>
        </w:rPr>
      </w:pPr>
      <w:r>
        <w:rPr>
          <w:rFonts w:ascii="宋体" w:hAnsi="宋体" w:cs="宋体" w:eastAsia="宋体" w:hint="default"/>
          <w:spacing w:val="-6"/>
          <w:sz w:val="21"/>
          <w:szCs w:val="21"/>
        </w:rPr>
        <w:t>公司《</w:t>
      </w:r>
      <w:r>
        <w:rPr>
          <w:rFonts w:ascii="Arial" w:hAnsi="Arial" w:cs="Arial" w:eastAsia="Arial" w:hint="default"/>
          <w:spacing w:val="-6"/>
          <w:sz w:val="21"/>
          <w:szCs w:val="21"/>
        </w:rPr>
        <w:t>2014</w:t>
      </w:r>
      <w:r>
        <w:rPr>
          <w:rFonts w:ascii="Arial" w:hAnsi="Arial" w:cs="Arial" w:eastAsia="Arial" w:hint="default"/>
          <w:spacing w:val="-1"/>
          <w:sz w:val="21"/>
          <w:szCs w:val="21"/>
        </w:rPr>
        <w:t> </w:t>
      </w:r>
      <w:r>
        <w:rPr>
          <w:rFonts w:ascii="宋体" w:hAnsi="宋体" w:cs="宋体" w:eastAsia="宋体" w:hint="default"/>
          <w:spacing w:val="-4"/>
          <w:sz w:val="21"/>
          <w:szCs w:val="21"/>
        </w:rPr>
        <w:t>年度内部控制自我评价报告》详见</w:t>
      </w:r>
      <w:r>
        <w:rPr>
          <w:rFonts w:ascii="宋体" w:hAnsi="宋体" w:cs="宋体" w:eastAsia="宋体" w:hint="default"/>
          <w:spacing w:val="-50"/>
          <w:sz w:val="21"/>
          <w:szCs w:val="21"/>
        </w:rPr>
        <w:t> </w:t>
      </w:r>
      <w:r>
        <w:rPr>
          <w:rFonts w:ascii="Arial" w:hAnsi="Arial" w:cs="Arial" w:eastAsia="Arial" w:hint="default"/>
          <w:sz w:val="21"/>
          <w:szCs w:val="21"/>
        </w:rPr>
        <w:t>2015</w:t>
      </w:r>
      <w:r>
        <w:rPr>
          <w:rFonts w:ascii="Arial" w:hAnsi="Arial" w:cs="Arial" w:eastAsia="Arial"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Arial" w:hAnsi="Arial" w:cs="Arial" w:eastAsia="Arial" w:hint="default"/>
          <w:sz w:val="21"/>
          <w:szCs w:val="21"/>
        </w:rPr>
        <w:t>3</w:t>
      </w:r>
      <w:r>
        <w:rPr>
          <w:rFonts w:ascii="Arial" w:hAnsi="Arial" w:cs="Arial" w:eastAsia="Arial"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Arial" w:hAnsi="Arial" w:cs="Arial" w:eastAsia="Arial" w:hint="default"/>
          <w:sz w:val="21"/>
          <w:szCs w:val="21"/>
        </w:rPr>
        <w:t>3</w:t>
      </w:r>
      <w:r>
        <w:rPr>
          <w:rFonts w:ascii="Arial" w:hAnsi="Arial" w:cs="Arial" w:eastAsia="Arial" w:hint="default"/>
          <w:spacing w:val="-3"/>
          <w:sz w:val="21"/>
          <w:szCs w:val="21"/>
        </w:rPr>
        <w:t> </w:t>
      </w:r>
      <w:r>
        <w:rPr>
          <w:rFonts w:ascii="宋体" w:hAnsi="宋体" w:cs="宋体" w:eastAsia="宋体" w:hint="default"/>
          <w:sz w:val="21"/>
          <w:szCs w:val="21"/>
        </w:rPr>
        <w:t>日在上海证券交易所网站</w:t>
      </w:r>
    </w:p>
    <w:p>
      <w:pPr>
        <w:spacing w:line="424" w:lineRule="auto" w:before="0"/>
        <w:ind w:left="990" w:right="259" w:firstLine="0"/>
        <w:jc w:val="left"/>
        <w:rPr>
          <w:rFonts w:ascii="宋体" w:hAnsi="宋体" w:cs="宋体" w:eastAsia="宋体" w:hint="default"/>
          <w:sz w:val="21"/>
          <w:szCs w:val="21"/>
        </w:rPr>
      </w:pPr>
      <w:r>
        <w:rPr>
          <w:rFonts w:ascii="Arial" w:hAnsi="Arial" w:cs="Arial" w:eastAsia="Arial" w:hint="default"/>
          <w:spacing w:val="-2"/>
          <w:sz w:val="21"/>
          <w:szCs w:val="21"/>
        </w:rPr>
        <w:t>(www.sse.com.cn)</w:t>
      </w:r>
      <w:r>
        <w:rPr>
          <w:rFonts w:ascii="宋体" w:hAnsi="宋体" w:cs="宋体" w:eastAsia="宋体" w:hint="default"/>
          <w:spacing w:val="-2"/>
          <w:sz w:val="21"/>
          <w:szCs w:val="21"/>
        </w:rPr>
        <w:t>和公司网站</w:t>
      </w:r>
      <w:r>
        <w:rPr>
          <w:rFonts w:ascii="Arial" w:hAnsi="Arial" w:cs="Arial" w:eastAsia="Arial" w:hint="default"/>
          <w:spacing w:val="-2"/>
          <w:sz w:val="21"/>
          <w:szCs w:val="21"/>
        </w:rPr>
        <w:t>(www.chinaunicom-a.com)</w:t>
      </w:r>
      <w:r>
        <w:rPr>
          <w:rFonts w:ascii="宋体" w:hAnsi="宋体" w:cs="宋体" w:eastAsia="宋体" w:hint="default"/>
          <w:spacing w:val="-2"/>
          <w:sz w:val="21"/>
          <w:szCs w:val="21"/>
        </w:rPr>
        <w:t>相关公告。</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是否披露内部控制自我评价报告：是</w:t>
      </w:r>
    </w:p>
    <w:p>
      <w:pPr>
        <w:spacing w:before="137"/>
        <w:ind w:left="138" w:right="259" w:firstLine="0"/>
        <w:jc w:val="left"/>
        <w:rPr>
          <w:rFonts w:ascii="宋体" w:hAnsi="宋体" w:cs="宋体" w:eastAsia="宋体" w:hint="default"/>
          <w:sz w:val="21"/>
          <w:szCs w:val="21"/>
        </w:rPr>
      </w:pPr>
      <w:r>
        <w:rPr>
          <w:rFonts w:ascii="宋体" w:hAnsi="宋体" w:cs="宋体" w:eastAsia="宋体" w:hint="default"/>
          <w:b/>
          <w:bCs/>
          <w:sz w:val="21"/>
          <w:szCs w:val="21"/>
        </w:rPr>
        <w:t>二、内部控制审计报告的相关情况说明</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line="230" w:lineRule="auto" w:before="0"/>
        <w:ind w:left="138" w:right="217" w:firstLine="0"/>
        <w:jc w:val="left"/>
        <w:rPr>
          <w:rFonts w:ascii="宋体" w:hAnsi="宋体" w:cs="宋体" w:eastAsia="宋体" w:hint="default"/>
          <w:sz w:val="21"/>
          <w:szCs w:val="21"/>
        </w:rPr>
      </w:pPr>
      <w:r>
        <w:rPr>
          <w:rFonts w:ascii="宋体" w:hAnsi="宋体" w:cs="宋体" w:eastAsia="宋体" w:hint="default"/>
          <w:sz w:val="21"/>
          <w:szCs w:val="21"/>
        </w:rPr>
        <w:t>我公司聘请的毕马威华振会计师事务所（特殊普通合伙）已对公司于</w:t>
      </w:r>
      <w:r>
        <w:rPr>
          <w:rFonts w:ascii="宋体" w:hAnsi="宋体" w:cs="宋体" w:eastAsia="宋体" w:hint="default"/>
          <w:spacing w:val="-54"/>
          <w:sz w:val="21"/>
          <w:szCs w:val="21"/>
        </w:rPr>
        <w:t> </w:t>
      </w:r>
      <w:r>
        <w:rPr>
          <w:rFonts w:ascii="Arial" w:hAnsi="Arial" w:cs="Arial" w:eastAsia="Arial" w:hint="default"/>
          <w:sz w:val="21"/>
          <w:szCs w:val="21"/>
        </w:rPr>
        <w:t>2014</w:t>
      </w:r>
      <w:r>
        <w:rPr>
          <w:rFonts w:ascii="Arial" w:hAnsi="Arial" w:cs="Arial" w:eastAsia="Arial"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日的财务</w:t>
      </w:r>
      <w:r>
        <w:rPr>
          <w:rFonts w:ascii="宋体" w:hAnsi="宋体" w:cs="宋体" w:eastAsia="宋体" w:hint="default"/>
          <w:w w:val="100"/>
          <w:sz w:val="21"/>
          <w:szCs w:val="21"/>
        </w:rPr>
        <w:t> </w:t>
      </w:r>
      <w:r>
        <w:rPr>
          <w:rFonts w:ascii="宋体" w:hAnsi="宋体" w:cs="宋体" w:eastAsia="宋体" w:hint="default"/>
          <w:spacing w:val="-2"/>
          <w:sz w:val="21"/>
          <w:szCs w:val="21"/>
        </w:rPr>
        <w:t>报告内部控制的有效性进行了审计，出具了标准无保留意见的内部控制审计报告（毕马威华振审</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字第</w:t>
      </w:r>
      <w:r>
        <w:rPr>
          <w:rFonts w:ascii="宋体" w:hAnsi="宋体" w:cs="宋体" w:eastAsia="宋体" w:hint="default"/>
          <w:spacing w:val="-54"/>
          <w:sz w:val="21"/>
          <w:szCs w:val="21"/>
        </w:rPr>
        <w:t> </w:t>
      </w:r>
      <w:r>
        <w:rPr>
          <w:rFonts w:ascii="Arial" w:hAnsi="Arial" w:cs="Arial" w:eastAsia="Arial" w:hint="default"/>
          <w:sz w:val="22"/>
          <w:szCs w:val="22"/>
        </w:rPr>
        <w:t>1500122</w:t>
      </w:r>
      <w:r>
        <w:rPr>
          <w:rFonts w:ascii="Arial" w:hAnsi="Arial" w:cs="Arial" w:eastAsia="Arial" w:hint="default"/>
          <w:spacing w:val="-10"/>
          <w:sz w:val="22"/>
          <w:szCs w:val="22"/>
        </w:rPr>
        <w:t> </w:t>
      </w:r>
      <w:r>
        <w:rPr>
          <w:rFonts w:ascii="宋体" w:hAnsi="宋体" w:cs="宋体" w:eastAsia="宋体" w:hint="default"/>
          <w:sz w:val="21"/>
          <w:szCs w:val="21"/>
        </w:rPr>
        <w:t>号）。《内部控制审计报告》详见</w:t>
      </w:r>
      <w:r>
        <w:rPr>
          <w:rFonts w:ascii="宋体" w:hAnsi="宋体" w:cs="宋体" w:eastAsia="宋体" w:hint="default"/>
          <w:spacing w:val="-53"/>
          <w:sz w:val="21"/>
          <w:szCs w:val="21"/>
        </w:rPr>
        <w:t> </w:t>
      </w:r>
      <w:r>
        <w:rPr>
          <w:rFonts w:ascii="Arial" w:hAnsi="Arial" w:cs="Arial" w:eastAsia="Arial" w:hint="default"/>
          <w:sz w:val="21"/>
          <w:szCs w:val="21"/>
        </w:rPr>
        <w:t>2015</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4</w:t>
      </w:r>
      <w:r>
        <w:rPr>
          <w:rFonts w:ascii="Arial" w:hAnsi="Arial" w:cs="Arial" w:eastAsia="Arial" w:hint="default"/>
          <w:spacing w:val="-6"/>
          <w:sz w:val="21"/>
          <w:szCs w:val="21"/>
        </w:rPr>
        <w:t> </w:t>
      </w:r>
      <w:r>
        <w:rPr>
          <w:rFonts w:ascii="宋体" w:hAnsi="宋体" w:cs="宋体" w:eastAsia="宋体" w:hint="default"/>
          <w:sz w:val="21"/>
          <w:szCs w:val="21"/>
        </w:rPr>
        <w:t>日在上海证券交易所网站</w:t>
      </w:r>
      <w:r>
        <w:rPr>
          <w:rFonts w:ascii="宋体" w:hAnsi="宋体" w:cs="宋体" w:eastAsia="宋体" w:hint="default"/>
          <w:w w:val="100"/>
          <w:sz w:val="21"/>
          <w:szCs w:val="21"/>
        </w:rPr>
        <w:t> </w:t>
      </w:r>
      <w:r>
        <w:rPr>
          <w:rFonts w:ascii="Arial" w:hAnsi="Arial" w:cs="Arial" w:eastAsia="Arial" w:hint="default"/>
          <w:sz w:val="21"/>
          <w:szCs w:val="21"/>
        </w:rPr>
        <w:t>(www.sse.com.cn)</w:t>
      </w:r>
      <w:r>
        <w:rPr>
          <w:rFonts w:ascii="宋体" w:hAnsi="宋体" w:cs="宋体" w:eastAsia="宋体" w:hint="default"/>
          <w:sz w:val="21"/>
          <w:szCs w:val="21"/>
        </w:rPr>
        <w:t>和公司网站</w:t>
      </w:r>
      <w:r>
        <w:rPr>
          <w:rFonts w:ascii="Arial" w:hAnsi="Arial" w:cs="Arial" w:eastAsia="Arial" w:hint="default"/>
          <w:sz w:val="21"/>
          <w:szCs w:val="21"/>
        </w:rPr>
        <w:t>(www.chinaunicom-a.com)</w:t>
      </w:r>
      <w:r>
        <w:rPr>
          <w:rFonts w:ascii="宋体" w:hAnsi="宋体" w:cs="宋体" w:eastAsia="宋体" w:hint="default"/>
          <w:sz w:val="21"/>
          <w:szCs w:val="21"/>
        </w:rPr>
        <w:t>的相关公告。</w:t>
      </w:r>
    </w:p>
    <w:p>
      <w:pPr>
        <w:spacing w:line="240" w:lineRule="auto" w:before="3"/>
        <w:rPr>
          <w:rFonts w:ascii="宋体" w:hAnsi="宋体" w:cs="宋体" w:eastAsia="宋体" w:hint="default"/>
          <w:sz w:val="17"/>
          <w:szCs w:val="17"/>
        </w:rPr>
      </w:pPr>
    </w:p>
    <w:p>
      <w:pPr>
        <w:spacing w:line="501" w:lineRule="auto" w:before="0"/>
        <w:ind w:left="138" w:right="882" w:firstLine="0"/>
        <w:jc w:val="left"/>
        <w:rPr>
          <w:rFonts w:ascii="宋体" w:hAnsi="宋体" w:cs="宋体" w:eastAsia="宋体" w:hint="default"/>
          <w:sz w:val="21"/>
          <w:szCs w:val="21"/>
        </w:rPr>
      </w:pPr>
      <w:r>
        <w:rPr>
          <w:rFonts w:ascii="宋体" w:hAnsi="宋体" w:cs="宋体" w:eastAsia="宋体" w:hint="default"/>
          <w:sz w:val="21"/>
          <w:szCs w:val="21"/>
        </w:rPr>
        <w:t>是否披露内部控制审计报告：是</w:t>
      </w:r>
      <w:r>
        <w:rPr>
          <w:rFonts w:ascii="宋体" w:hAnsi="宋体" w:cs="宋体" w:eastAsia="宋体" w:hint="default"/>
          <w:w w:val="100"/>
          <w:sz w:val="21"/>
          <w:szCs w:val="21"/>
        </w:rPr>
        <w:t> </w:t>
      </w:r>
      <w:r>
        <w:rPr>
          <w:rFonts w:ascii="宋体" w:hAnsi="宋体" w:cs="宋体" w:eastAsia="宋体" w:hint="default"/>
          <w:b/>
          <w:bCs/>
          <w:spacing w:val="-1"/>
          <w:sz w:val="21"/>
          <w:szCs w:val="21"/>
        </w:rPr>
        <w:t>三、年度报告重大差错责任追究制度及相关执行情况说明</w:t>
      </w:r>
      <w:r>
        <w:rPr>
          <w:rFonts w:ascii="宋体" w:hAnsi="宋体" w:cs="宋体" w:eastAsia="宋体" w:hint="default"/>
          <w:spacing w:val="-1"/>
          <w:sz w:val="21"/>
          <w:szCs w:val="21"/>
        </w:rPr>
      </w:r>
    </w:p>
    <w:p>
      <w:pPr>
        <w:spacing w:line="237" w:lineRule="auto" w:before="72"/>
        <w:ind w:left="138" w:right="97" w:firstLine="0"/>
        <w:jc w:val="left"/>
        <w:rPr>
          <w:rFonts w:ascii="宋体" w:hAnsi="宋体" w:cs="宋体" w:eastAsia="宋体" w:hint="default"/>
          <w:sz w:val="21"/>
          <w:szCs w:val="21"/>
        </w:rPr>
      </w:pPr>
      <w:r>
        <w:rPr>
          <w:rFonts w:ascii="宋体" w:hAnsi="宋体" w:cs="宋体" w:eastAsia="宋体" w:hint="default"/>
          <w:sz w:val="21"/>
          <w:szCs w:val="21"/>
        </w:rPr>
        <w:t>根据公司《信息披露管理办法》规定，由于工作失职或者在信息披露过程中不严格按照工作流程</w:t>
      </w:r>
      <w:r>
        <w:rPr>
          <w:rFonts w:ascii="宋体" w:hAnsi="宋体" w:cs="宋体" w:eastAsia="宋体" w:hint="default"/>
          <w:w w:val="100"/>
          <w:sz w:val="21"/>
          <w:szCs w:val="21"/>
        </w:rPr>
        <w:t> </w:t>
      </w:r>
      <w:r>
        <w:rPr>
          <w:rFonts w:ascii="宋体" w:hAnsi="宋体" w:cs="宋体" w:eastAsia="宋体" w:hint="default"/>
          <w:spacing w:val="-4"/>
          <w:sz w:val="21"/>
          <w:szCs w:val="21"/>
        </w:rPr>
        <w:t>操作，导致公司信息披露违规，给公司造成严重影响或损失的，公司将对该责任人给予内部批评、</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警告，甚至解除其职务等处分。</w:t>
      </w:r>
    </w:p>
    <w:p>
      <w:pPr>
        <w:spacing w:line="240" w:lineRule="auto" w:before="4"/>
        <w:rPr>
          <w:rFonts w:ascii="宋体" w:hAnsi="宋体" w:cs="宋体" w:eastAsia="宋体" w:hint="default"/>
          <w:sz w:val="18"/>
          <w:szCs w:val="18"/>
        </w:rPr>
      </w:pPr>
    </w:p>
    <w:p>
      <w:pPr>
        <w:spacing w:before="0"/>
        <w:ind w:left="138" w:right="259" w:firstLine="0"/>
        <w:jc w:val="left"/>
        <w:rPr>
          <w:rFonts w:ascii="宋体" w:hAnsi="宋体" w:cs="宋体" w:eastAsia="宋体" w:hint="default"/>
          <w:sz w:val="21"/>
          <w:szCs w:val="21"/>
        </w:rPr>
      </w:pPr>
      <w:r>
        <w:rPr>
          <w:rFonts w:ascii="宋体" w:hAnsi="宋体" w:cs="宋体" w:eastAsia="宋体" w:hint="default"/>
          <w:sz w:val="21"/>
          <w:szCs w:val="21"/>
        </w:rPr>
        <w:t>报告期内，公司未出现年报信息披露重大差错。</w:t>
      </w:r>
    </w:p>
    <w:p>
      <w:pPr>
        <w:spacing w:after="0"/>
        <w:jc w:val="left"/>
        <w:rPr>
          <w:rFonts w:ascii="宋体" w:hAnsi="宋体" w:cs="宋体" w:eastAsia="宋体" w:hint="default"/>
          <w:sz w:val="21"/>
          <w:szCs w:val="21"/>
        </w:rPr>
        <w:sectPr>
          <w:pgSz w:w="11910" w:h="16840"/>
          <w:pgMar w:header="880" w:footer="1194"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1"/>
        <w:tabs>
          <w:tab w:pos="1263" w:val="left" w:leader="none"/>
        </w:tabs>
        <w:spacing w:line="240" w:lineRule="auto" w:before="14"/>
        <w:ind w:left="3" w:right="0"/>
        <w:jc w:val="center"/>
        <w:rPr>
          <w:rFonts w:ascii="宋体" w:hAnsi="宋体" w:cs="宋体" w:eastAsia="宋体" w:hint="default"/>
          <w:b w:val="0"/>
          <w:bCs w:val="0"/>
        </w:rPr>
      </w:pPr>
      <w:bookmarkStart w:name="_TOC_250001" w:id="10"/>
      <w:r>
        <w:rPr>
          <w:rFonts w:ascii="宋体" w:hAnsi="宋体" w:cs="宋体" w:eastAsia="宋体" w:hint="default"/>
          <w:w w:val="95"/>
        </w:rPr>
        <w:t>第十节</w:t>
        <w:tab/>
      </w:r>
      <w:r>
        <w:rPr>
          <w:rFonts w:ascii="宋体" w:hAnsi="宋体" w:cs="宋体" w:eastAsia="宋体" w:hint="default"/>
        </w:rPr>
        <w:t>财务报告</w:t>
      </w:r>
      <w:bookmarkEnd w:id="10"/>
      <w:r>
        <w:rPr>
          <w:rFonts w:ascii="宋体" w:hAnsi="宋体" w:cs="宋体" w:eastAsia="宋体" w:hint="default"/>
          <w:b w:val="0"/>
          <w:bCs w:val="0"/>
        </w:rPr>
      </w:r>
    </w:p>
    <w:p>
      <w:pPr>
        <w:spacing w:after="0" w:line="240" w:lineRule="auto"/>
        <w:jc w:val="center"/>
        <w:rPr>
          <w:rFonts w:ascii="宋体" w:hAnsi="宋体" w:cs="宋体" w:eastAsia="宋体" w:hint="default"/>
        </w:rPr>
        <w:sectPr>
          <w:pgSz w:w="11910" w:h="16840"/>
          <w:pgMar w:header="880" w:footer="1194" w:top="1120" w:bottom="1380" w:left="1660" w:right="11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spacing w:before="14"/>
        <w:ind w:left="2211" w:right="2232" w:firstLine="0"/>
        <w:jc w:val="center"/>
        <w:rPr>
          <w:rFonts w:ascii="黑体" w:hAnsi="黑体" w:cs="黑体" w:eastAsia="黑体" w:hint="default"/>
          <w:sz w:val="28"/>
          <w:szCs w:val="28"/>
        </w:rPr>
      </w:pPr>
      <w:r>
        <w:rPr>
          <w:rFonts w:ascii="黑体" w:hAnsi="黑体" w:cs="黑体" w:eastAsia="黑体" w:hint="default"/>
          <w:sz w:val="28"/>
          <w:szCs w:val="28"/>
        </w:rPr>
        <w:t>中国联合网络通信股份有限公司</w:t>
      </w: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9"/>
        <w:rPr>
          <w:rFonts w:ascii="黑体" w:hAnsi="黑体" w:cs="黑体" w:eastAsia="黑体" w:hint="default"/>
          <w:sz w:val="19"/>
          <w:szCs w:val="19"/>
        </w:rPr>
      </w:pPr>
    </w:p>
    <w:p>
      <w:pPr>
        <w:pStyle w:val="Heading3"/>
        <w:spacing w:line="322" w:lineRule="exact"/>
        <w:ind w:left="2211" w:right="2233"/>
        <w:jc w:val="center"/>
        <w:rPr>
          <w:rFonts w:ascii="黑体" w:hAnsi="黑体" w:cs="黑体" w:eastAsia="黑体" w:hint="default"/>
        </w:rPr>
      </w:pPr>
      <w:r>
        <w:rPr>
          <w:rFonts w:ascii="黑体" w:hAnsi="黑体" w:cs="黑体" w:eastAsia="黑体" w:hint="default"/>
        </w:rPr>
        <w:t>自</w:t>
      </w:r>
      <w:r>
        <w:rPr>
          <w:rFonts w:ascii="黑体" w:hAnsi="黑体" w:cs="黑体" w:eastAsia="黑体" w:hint="default"/>
          <w:spacing w:val="-61"/>
        </w:rPr>
        <w:t> </w:t>
      </w: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w:t>
      </w:r>
      <w:r>
        <w:rPr>
          <w:rFonts w:ascii="黑体" w:hAnsi="黑体" w:cs="黑体" w:eastAsia="黑体" w:hint="default"/>
          <w:spacing w:val="-61"/>
        </w:rPr>
        <w:t> </w:t>
      </w:r>
      <w:r>
        <w:rPr>
          <w:rFonts w:ascii="Arial" w:hAnsi="Arial" w:cs="Arial" w:eastAsia="Arial" w:hint="default"/>
        </w:rPr>
        <w:t>1</w:t>
      </w:r>
      <w:r>
        <w:rPr>
          <w:rFonts w:ascii="Arial" w:hAnsi="Arial" w:cs="Arial" w:eastAsia="Arial" w:hint="default"/>
          <w:spacing w:val="-7"/>
        </w:rPr>
        <w:t> </w:t>
      </w:r>
      <w:r>
        <w:rPr>
          <w:rFonts w:ascii="黑体" w:hAnsi="黑体" w:cs="黑体" w:eastAsia="黑体" w:hint="default"/>
        </w:rPr>
        <w:t>月</w:t>
      </w:r>
      <w:r>
        <w:rPr>
          <w:rFonts w:ascii="黑体" w:hAnsi="黑体" w:cs="黑体" w:eastAsia="黑体" w:hint="default"/>
          <w:spacing w:val="-61"/>
        </w:rPr>
        <w:t> </w:t>
      </w:r>
      <w:r>
        <w:rPr>
          <w:rFonts w:ascii="Arial" w:hAnsi="Arial" w:cs="Arial" w:eastAsia="Arial" w:hint="default"/>
        </w:rPr>
        <w:t>1</w:t>
      </w:r>
      <w:r>
        <w:rPr>
          <w:rFonts w:ascii="Arial" w:hAnsi="Arial" w:cs="Arial" w:eastAsia="Arial" w:hint="default"/>
          <w:spacing w:val="-7"/>
        </w:rPr>
        <w:t> </w:t>
      </w:r>
      <w:r>
        <w:rPr>
          <w:rFonts w:ascii="黑体" w:hAnsi="黑体" w:cs="黑体" w:eastAsia="黑体" w:hint="default"/>
        </w:rPr>
        <w:t>日</w:t>
      </w:r>
    </w:p>
    <w:p>
      <w:pPr>
        <w:pStyle w:val="Heading3"/>
        <w:spacing w:line="322" w:lineRule="exact"/>
        <w:ind w:left="2211" w:right="2235"/>
        <w:jc w:val="center"/>
        <w:rPr>
          <w:rFonts w:ascii="黑体" w:hAnsi="黑体" w:cs="黑体" w:eastAsia="黑体" w:hint="default"/>
        </w:rPr>
      </w:pPr>
      <w:r>
        <w:rPr>
          <w:rFonts w:ascii="黑体" w:hAnsi="黑体" w:cs="黑体" w:eastAsia="黑体" w:hint="default"/>
        </w:rPr>
        <w:t>至</w:t>
      </w:r>
      <w:r>
        <w:rPr>
          <w:rFonts w:ascii="黑体" w:hAnsi="黑体" w:cs="黑体" w:eastAsia="黑体" w:hint="default"/>
          <w:spacing w:val="-61"/>
        </w:rPr>
        <w:t> </w:t>
      </w: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w:t>
      </w:r>
      <w:r>
        <w:rPr>
          <w:rFonts w:ascii="黑体" w:hAnsi="黑体" w:cs="黑体" w:eastAsia="黑体" w:hint="default"/>
          <w:spacing w:val="-61"/>
        </w:rPr>
        <w:t> </w:t>
      </w:r>
      <w:r>
        <w:rPr>
          <w:rFonts w:ascii="Arial" w:hAnsi="Arial" w:cs="Arial" w:eastAsia="Arial" w:hint="default"/>
        </w:rPr>
        <w:t>12</w:t>
      </w:r>
      <w:r>
        <w:rPr>
          <w:rFonts w:ascii="Arial" w:hAnsi="Arial" w:cs="Arial" w:eastAsia="Arial" w:hint="default"/>
          <w:spacing w:val="-7"/>
        </w:rPr>
        <w:t> </w:t>
      </w:r>
      <w:r>
        <w:rPr>
          <w:rFonts w:ascii="黑体" w:hAnsi="黑体" w:cs="黑体" w:eastAsia="黑体" w:hint="default"/>
        </w:rPr>
        <w:t>月</w:t>
      </w:r>
      <w:r>
        <w:rPr>
          <w:rFonts w:ascii="黑体" w:hAnsi="黑体" w:cs="黑体" w:eastAsia="黑体" w:hint="default"/>
          <w:spacing w:val="-64"/>
        </w:rPr>
        <w:t> </w:t>
      </w:r>
      <w:r>
        <w:rPr>
          <w:rFonts w:ascii="Arial" w:hAnsi="Arial" w:cs="Arial" w:eastAsia="Arial" w:hint="default"/>
        </w:rPr>
        <w:t>31</w:t>
      </w:r>
      <w:r>
        <w:rPr>
          <w:rFonts w:ascii="Arial" w:hAnsi="Arial" w:cs="Arial" w:eastAsia="Arial" w:hint="default"/>
          <w:spacing w:val="-7"/>
        </w:rPr>
        <w:t> </w:t>
      </w:r>
      <w:r>
        <w:rPr>
          <w:rFonts w:ascii="黑体" w:hAnsi="黑体" w:cs="黑体" w:eastAsia="黑体" w:hint="default"/>
        </w:rPr>
        <w:t>日止年度财务报表</w:t>
      </w:r>
    </w:p>
    <w:p>
      <w:pPr>
        <w:spacing w:after="0" w:line="322" w:lineRule="exact"/>
        <w:jc w:val="center"/>
        <w:rPr>
          <w:rFonts w:ascii="黑体" w:hAnsi="黑体" w:cs="黑体" w:eastAsia="黑体" w:hint="default"/>
        </w:rPr>
        <w:sectPr>
          <w:headerReference w:type="default" r:id="rId19"/>
          <w:footerReference w:type="default" r:id="rId20"/>
          <w:pgSz w:w="11910" w:h="16840"/>
          <w:pgMar w:header="0" w:footer="923" w:top="1580" w:bottom="1120" w:left="1680" w:right="1680"/>
          <w:pgNumType w:start="54"/>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24"/>
          <w:szCs w:val="24"/>
        </w:rPr>
      </w:pPr>
    </w:p>
    <w:p>
      <w:pPr>
        <w:pStyle w:val="Heading2"/>
        <w:spacing w:line="240" w:lineRule="auto"/>
        <w:ind w:left="3840" w:right="3965"/>
        <w:jc w:val="center"/>
        <w:rPr>
          <w:b w:val="0"/>
          <w:bCs w:val="0"/>
        </w:rPr>
      </w:pPr>
      <w:r>
        <w:rPr/>
        <w:t>审计报告</w:t>
      </w:r>
      <w:r>
        <w:rPr>
          <w:b w:val="0"/>
          <w:bCs w:val="0"/>
        </w:rPr>
      </w:r>
    </w:p>
    <w:p>
      <w:pPr>
        <w:spacing w:line="240" w:lineRule="auto" w:before="9"/>
        <w:rPr>
          <w:rFonts w:ascii="宋体" w:hAnsi="宋体" w:cs="宋体" w:eastAsia="宋体" w:hint="default"/>
          <w:b/>
          <w:bCs/>
          <w:sz w:val="17"/>
          <w:szCs w:val="17"/>
        </w:rPr>
      </w:pPr>
    </w:p>
    <w:p>
      <w:pPr>
        <w:spacing w:before="36"/>
        <w:ind w:left="5769" w:right="0" w:firstLine="0"/>
        <w:jc w:val="left"/>
        <w:rPr>
          <w:rFonts w:ascii="宋体" w:hAnsi="宋体" w:cs="宋体" w:eastAsia="宋体" w:hint="default"/>
          <w:sz w:val="21"/>
          <w:szCs w:val="21"/>
        </w:rPr>
      </w:pPr>
      <w:r>
        <w:rPr>
          <w:rFonts w:ascii="宋体" w:hAnsi="宋体" w:cs="宋体" w:eastAsia="宋体" w:hint="default"/>
          <w:sz w:val="21"/>
          <w:szCs w:val="21"/>
        </w:rPr>
        <w:t>毕马威华振审字第</w:t>
      </w:r>
      <w:r>
        <w:rPr>
          <w:rFonts w:ascii="宋体" w:hAnsi="宋体" w:cs="宋体" w:eastAsia="宋体" w:hint="default"/>
          <w:spacing w:val="-54"/>
          <w:sz w:val="21"/>
          <w:szCs w:val="21"/>
        </w:rPr>
        <w:t> </w:t>
      </w:r>
      <w:r>
        <w:rPr>
          <w:rFonts w:ascii="Arial" w:hAnsi="Arial" w:cs="Arial" w:eastAsia="Arial" w:hint="default"/>
          <w:sz w:val="21"/>
          <w:szCs w:val="21"/>
        </w:rPr>
        <w:t>1500117</w:t>
      </w:r>
      <w:r>
        <w:rPr>
          <w:rFonts w:ascii="Arial" w:hAnsi="Arial" w:cs="Arial" w:eastAsia="Arial" w:hint="default"/>
          <w:spacing w:val="-6"/>
          <w:sz w:val="21"/>
          <w:szCs w:val="21"/>
        </w:rPr>
        <w:t> </w:t>
      </w:r>
      <w:r>
        <w:rPr>
          <w:rFonts w:ascii="宋体" w:hAnsi="宋体" w:cs="宋体" w:eastAsia="宋体" w:hint="default"/>
          <w:sz w:val="21"/>
          <w:szCs w:val="21"/>
        </w:rPr>
        <w:t>号</w:t>
      </w:r>
    </w:p>
    <w:p>
      <w:pPr>
        <w:spacing w:line="240" w:lineRule="auto" w:before="6"/>
        <w:rPr>
          <w:rFonts w:ascii="宋体" w:hAnsi="宋体" w:cs="宋体" w:eastAsia="宋体" w:hint="default"/>
          <w:sz w:val="17"/>
          <w:szCs w:val="17"/>
        </w:rPr>
      </w:pPr>
    </w:p>
    <w:p>
      <w:pPr>
        <w:pStyle w:val="Heading3"/>
        <w:spacing w:line="240" w:lineRule="auto" w:before="26"/>
        <w:ind w:right="0"/>
        <w:jc w:val="left"/>
      </w:pPr>
      <w:r>
        <w:rPr/>
        <w:t>中国联合网络通信股份有限公司全体股东：</w:t>
      </w:r>
    </w:p>
    <w:p>
      <w:pPr>
        <w:spacing w:line="240" w:lineRule="auto" w:before="8"/>
        <w:rPr>
          <w:rFonts w:ascii="宋体" w:hAnsi="宋体" w:cs="宋体" w:eastAsia="宋体" w:hint="default"/>
          <w:sz w:val="21"/>
          <w:szCs w:val="21"/>
        </w:rPr>
      </w:pPr>
    </w:p>
    <w:p>
      <w:pPr>
        <w:pStyle w:val="Heading3"/>
        <w:spacing w:line="230" w:lineRule="auto"/>
        <w:ind w:right="222" w:firstLine="482"/>
        <w:jc w:val="left"/>
      </w:pPr>
      <w:r>
        <w:rPr>
          <w:spacing w:val="-3"/>
        </w:rPr>
        <w:t>我们审计了后附的中国联合网络通信股份有限公司（以下简称</w:t>
      </w:r>
      <w:r>
        <w:rPr>
          <w:rFonts w:ascii="Arial" w:hAnsi="Arial" w:cs="Arial" w:eastAsia="Arial" w:hint="default"/>
          <w:spacing w:val="-3"/>
        </w:rPr>
        <w:t>“</w:t>
      </w:r>
      <w:r>
        <w:rPr>
          <w:spacing w:val="-3"/>
        </w:rPr>
        <w:t>贵公司</w:t>
      </w:r>
      <w:r>
        <w:rPr>
          <w:rFonts w:ascii="Arial" w:hAnsi="Arial" w:cs="Arial" w:eastAsia="Arial" w:hint="default"/>
          <w:spacing w:val="-3"/>
        </w:rPr>
        <w:t>”</w:t>
      </w:r>
      <w:r>
        <w:rPr>
          <w:spacing w:val="-3"/>
        </w:rPr>
        <w:t>）财务</w:t>
      </w:r>
      <w:r>
        <w:rPr/>
        <w:t> </w:t>
      </w:r>
      <w:r>
        <w:rPr>
          <w:spacing w:val="-3"/>
        </w:rPr>
        <w:t>报表，包括</w:t>
      </w:r>
      <w:r>
        <w:rPr>
          <w:spacing w:val="-64"/>
        </w:rPr>
        <w:t> </w:t>
      </w:r>
      <w:r>
        <w:rPr>
          <w:rFonts w:ascii="Arial" w:hAnsi="Arial" w:cs="Arial" w:eastAsia="Arial" w:hint="default"/>
        </w:rPr>
        <w:t>2014</w:t>
      </w:r>
      <w:r>
        <w:rPr>
          <w:rFonts w:ascii="Arial" w:hAnsi="Arial" w:cs="Arial" w:eastAsia="Arial" w:hint="default"/>
          <w:spacing w:val="-9"/>
        </w:rPr>
        <w:t> </w:t>
      </w:r>
      <w:r>
        <w:rPr/>
        <w:t>年</w:t>
      </w:r>
      <w:r>
        <w:rPr>
          <w:spacing w:val="-66"/>
        </w:rPr>
        <w:t> </w:t>
      </w:r>
      <w:r>
        <w:rPr>
          <w:rFonts w:ascii="Arial" w:hAnsi="Arial" w:cs="Arial" w:eastAsia="Arial" w:hint="default"/>
        </w:rPr>
        <w:t>12</w:t>
      </w:r>
      <w:r>
        <w:rPr>
          <w:rFonts w:ascii="Arial" w:hAnsi="Arial" w:cs="Arial" w:eastAsia="Arial" w:hint="default"/>
          <w:spacing w:val="-9"/>
        </w:rPr>
        <w:t> </w:t>
      </w:r>
      <w:r>
        <w:rPr/>
        <w:t>月</w:t>
      </w:r>
      <w:r>
        <w:rPr>
          <w:spacing w:val="-63"/>
        </w:rPr>
        <w:t> </w:t>
      </w:r>
      <w:r>
        <w:rPr>
          <w:rFonts w:ascii="Arial" w:hAnsi="Arial" w:cs="Arial" w:eastAsia="Arial" w:hint="default"/>
        </w:rPr>
        <w:t>31</w:t>
      </w:r>
      <w:r>
        <w:rPr>
          <w:rFonts w:ascii="Arial" w:hAnsi="Arial" w:cs="Arial" w:eastAsia="Arial" w:hint="default"/>
          <w:spacing w:val="-9"/>
        </w:rPr>
        <w:t> </w:t>
      </w:r>
      <w:r>
        <w:rPr/>
        <w:t>日的合并资产负债表和资产负债表，</w:t>
      </w:r>
      <w:r>
        <w:rPr>
          <w:rFonts w:ascii="Arial" w:hAnsi="Arial" w:cs="Arial" w:eastAsia="Arial" w:hint="default"/>
        </w:rPr>
        <w:t>2014</w:t>
      </w:r>
      <w:r>
        <w:rPr>
          <w:rFonts w:ascii="Arial" w:hAnsi="Arial" w:cs="Arial" w:eastAsia="Arial" w:hint="default"/>
          <w:spacing w:val="-9"/>
        </w:rPr>
        <w:t> </w:t>
      </w:r>
      <w:r>
        <w:rPr/>
        <w:t>年度的合 并利润表和利润表、合并现金流量表和现金流量表、合并股东权益变动表和股东 权益变动表以及财务报表附注。</w:t>
      </w:r>
    </w:p>
    <w:p>
      <w:pPr>
        <w:spacing w:line="588" w:lineRule="exact" w:before="85"/>
        <w:ind w:left="584" w:right="219" w:firstLine="0"/>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2"/>
          <w:sz w:val="24"/>
          <w:szCs w:val="24"/>
        </w:rPr>
        <w:t>编制和公允列报财务报表是贵公司管理层的责任，这种责任包括：（</w:t>
      </w:r>
      <w:r>
        <w:rPr>
          <w:rFonts w:ascii="Arial" w:hAnsi="Arial" w:cs="Arial" w:eastAsia="Arial" w:hint="default"/>
          <w:spacing w:val="-2"/>
          <w:sz w:val="24"/>
          <w:szCs w:val="24"/>
        </w:rPr>
        <w:t>1</w:t>
      </w:r>
      <w:r>
        <w:rPr>
          <w:rFonts w:ascii="宋体" w:hAnsi="宋体" w:cs="宋体" w:eastAsia="宋体" w:hint="default"/>
          <w:spacing w:val="-2"/>
          <w:sz w:val="24"/>
          <w:szCs w:val="24"/>
        </w:rPr>
        <w:t>）按照</w:t>
      </w:r>
    </w:p>
    <w:p>
      <w:pPr>
        <w:pStyle w:val="Heading3"/>
        <w:spacing w:line="225" w:lineRule="exact"/>
        <w:ind w:right="0"/>
        <w:jc w:val="left"/>
      </w:pPr>
      <w:r>
        <w:rPr/>
        <w:t>中华人民共和国财政部颁布的企业会计准则的规定编制财务报表，并使其实现公</w:t>
      </w:r>
    </w:p>
    <w:p>
      <w:pPr>
        <w:pStyle w:val="Heading3"/>
        <w:spacing w:line="312" w:lineRule="exact" w:before="29"/>
        <w:ind w:right="0"/>
        <w:jc w:val="left"/>
      </w:pPr>
      <w:r>
        <w:rPr>
          <w:spacing w:val="-2"/>
        </w:rPr>
        <w:t>允反映；（</w:t>
      </w:r>
      <w:r>
        <w:rPr>
          <w:rFonts w:ascii="Arial" w:hAnsi="Arial" w:cs="Arial" w:eastAsia="Arial" w:hint="default"/>
          <w:spacing w:val="-2"/>
        </w:rPr>
        <w:t>2</w:t>
      </w:r>
      <w:r>
        <w:rPr>
          <w:spacing w:val="-2"/>
        </w:rPr>
        <w:t>）设计、执行和维护必要的内部控制，以使财务报表不存在由于舞弊</w:t>
      </w:r>
      <w:r>
        <w:rPr>
          <w:spacing w:val="-103"/>
        </w:rPr>
        <w:t> </w:t>
      </w:r>
      <w:r>
        <w:rPr>
          <w:spacing w:val="-103"/>
        </w:rPr>
      </w:r>
      <w:r>
        <w:rPr/>
        <w:t>或错误导致的重大错报。</w:t>
      </w:r>
    </w:p>
    <w:p>
      <w:pPr>
        <w:spacing w:line="586" w:lineRule="exact" w:before="56"/>
        <w:ind w:left="584" w:right="284" w:firstLine="0"/>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z w:val="24"/>
          <w:szCs w:val="24"/>
        </w:rPr>
        <w:t>我们的责任是在执行审计工作的基础上对财务报表发表审计意见。我们按照</w:t>
      </w:r>
    </w:p>
    <w:p>
      <w:pPr>
        <w:pStyle w:val="Heading3"/>
        <w:spacing w:line="228" w:lineRule="exact"/>
        <w:ind w:right="0"/>
        <w:jc w:val="left"/>
      </w:pPr>
      <w:r>
        <w:rPr/>
        <w:t>中国注册会计师审计准则的规定执行了审计工作。中国注册会计师审计准则要求</w:t>
      </w:r>
    </w:p>
    <w:p>
      <w:pPr>
        <w:pStyle w:val="Heading3"/>
        <w:spacing w:line="310" w:lineRule="exact" w:before="31"/>
        <w:ind w:right="286"/>
        <w:jc w:val="left"/>
      </w:pPr>
      <w:r>
        <w:rPr/>
        <w:t>我们遵守中国注册会计师职业道德守则，计划和执行审计工作以对财务报表是否 不存在重大错报获取合理保证。</w:t>
      </w:r>
    </w:p>
    <w:p>
      <w:pPr>
        <w:spacing w:line="240" w:lineRule="auto" w:before="0"/>
        <w:rPr>
          <w:rFonts w:ascii="宋体" w:hAnsi="宋体" w:cs="宋体" w:eastAsia="宋体" w:hint="default"/>
          <w:sz w:val="19"/>
          <w:szCs w:val="19"/>
        </w:rPr>
      </w:pPr>
    </w:p>
    <w:p>
      <w:pPr>
        <w:pStyle w:val="Heading3"/>
        <w:spacing w:line="237" w:lineRule="auto"/>
        <w:ind w:right="0" w:firstLine="482"/>
        <w:jc w:val="left"/>
      </w:pPr>
      <w:r>
        <w:rPr/>
        <w:t>审计工作涉及实施审计程序，以获取有关财务报表金额和披露的审计证据。 选择的审计程序取决于注册会计师的判断，包括对由于舞弊或错误导致的财务报 表重大错报风险的评估。在进行风险评估时，注册会计师考虑与财务报表编制和 公允列报相关的内部控制，以设计恰当的审计程序。审计工作还包括评价管理层 </w:t>
      </w:r>
      <w:r>
        <w:rPr>
          <w:spacing w:val="-2"/>
        </w:rPr>
        <w:t>选用会计政策的恰当性和作出会计估计的合理性，以及评价财务报表的总体列报。</w:t>
      </w:r>
    </w:p>
    <w:p>
      <w:pPr>
        <w:spacing w:line="240" w:lineRule="auto" w:before="10"/>
        <w:rPr>
          <w:rFonts w:ascii="宋体" w:hAnsi="宋体" w:cs="宋体" w:eastAsia="宋体" w:hint="default"/>
          <w:sz w:val="18"/>
          <w:szCs w:val="18"/>
        </w:rPr>
      </w:pPr>
    </w:p>
    <w:p>
      <w:pPr>
        <w:pStyle w:val="Heading3"/>
        <w:spacing w:line="313" w:lineRule="exact" w:before="26"/>
        <w:ind w:left="584" w:right="0"/>
        <w:jc w:val="left"/>
      </w:pPr>
      <w:r>
        <w:rPr/>
        <w:t>我们相信，我们获取的审计证据是充分、适当的，为发表审计意见提供了基</w:t>
      </w:r>
    </w:p>
    <w:p>
      <w:pPr>
        <w:pStyle w:val="Heading3"/>
        <w:spacing w:line="313" w:lineRule="exact"/>
        <w:ind w:right="0"/>
        <w:jc w:val="left"/>
      </w:pPr>
      <w:r>
        <w:rPr/>
        <w:t>础。</w:t>
      </w:r>
    </w:p>
    <w:p>
      <w:pPr>
        <w:spacing w:after="0" w:line="313" w:lineRule="exact"/>
        <w:jc w:val="left"/>
        <w:sectPr>
          <w:headerReference w:type="default" r:id="rId21"/>
          <w:footerReference w:type="default" r:id="rId22"/>
          <w:pgSz w:w="11910" w:h="16840"/>
          <w:pgMar w:header="0" w:footer="923" w:top="1580" w:bottom="1120" w:left="1600" w:right="1500"/>
          <w:pgNumType w:start="5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Heading2"/>
        <w:spacing w:line="240" w:lineRule="auto"/>
        <w:ind w:left="3479" w:right="3482"/>
        <w:jc w:val="center"/>
        <w:rPr>
          <w:b w:val="0"/>
          <w:bCs w:val="0"/>
        </w:rPr>
      </w:pPr>
      <w:r>
        <w:rPr/>
        <w:t>审计报告（续）</w:t>
      </w:r>
      <w:r>
        <w:rPr>
          <w:b w:val="0"/>
          <w:bCs w:val="0"/>
        </w:rPr>
      </w:r>
    </w:p>
    <w:p>
      <w:pPr>
        <w:spacing w:line="240" w:lineRule="auto" w:before="8"/>
        <w:rPr>
          <w:rFonts w:ascii="宋体" w:hAnsi="宋体" w:cs="宋体" w:eastAsia="宋体" w:hint="default"/>
          <w:b/>
          <w:bCs/>
          <w:sz w:val="18"/>
          <w:szCs w:val="18"/>
        </w:rPr>
      </w:pPr>
    </w:p>
    <w:p>
      <w:pPr>
        <w:spacing w:before="36"/>
        <w:ind w:left="5769" w:right="0" w:firstLine="0"/>
        <w:jc w:val="left"/>
        <w:rPr>
          <w:rFonts w:ascii="宋体" w:hAnsi="宋体" w:cs="宋体" w:eastAsia="宋体" w:hint="default"/>
          <w:sz w:val="21"/>
          <w:szCs w:val="21"/>
        </w:rPr>
      </w:pPr>
      <w:r>
        <w:rPr>
          <w:rFonts w:ascii="宋体" w:hAnsi="宋体" w:cs="宋体" w:eastAsia="宋体" w:hint="default"/>
          <w:sz w:val="21"/>
          <w:szCs w:val="21"/>
        </w:rPr>
        <w:t>毕马威华振审字第</w:t>
      </w:r>
      <w:r>
        <w:rPr>
          <w:rFonts w:ascii="宋体" w:hAnsi="宋体" w:cs="宋体" w:eastAsia="宋体" w:hint="default"/>
          <w:spacing w:val="-54"/>
          <w:sz w:val="21"/>
          <w:szCs w:val="21"/>
        </w:rPr>
        <w:t> </w:t>
      </w:r>
      <w:r>
        <w:rPr>
          <w:rFonts w:ascii="Arial" w:hAnsi="Arial" w:cs="Arial" w:eastAsia="Arial" w:hint="default"/>
          <w:sz w:val="21"/>
          <w:szCs w:val="21"/>
        </w:rPr>
        <w:t>1500117</w:t>
      </w:r>
      <w:r>
        <w:rPr>
          <w:rFonts w:ascii="Arial" w:hAnsi="Arial" w:cs="Arial" w:eastAsia="Arial" w:hint="default"/>
          <w:spacing w:val="-6"/>
          <w:sz w:val="21"/>
          <w:szCs w:val="21"/>
        </w:rPr>
        <w:t> </w:t>
      </w:r>
      <w:r>
        <w:rPr>
          <w:rFonts w:ascii="宋体" w:hAnsi="宋体" w:cs="宋体" w:eastAsia="宋体" w:hint="default"/>
          <w:sz w:val="21"/>
          <w:szCs w:val="21"/>
        </w:rPr>
        <w:t>号</w:t>
      </w:r>
    </w:p>
    <w:p>
      <w:pPr>
        <w:spacing w:line="240" w:lineRule="auto" w:before="3"/>
        <w:rPr>
          <w:rFonts w:ascii="宋体" w:hAnsi="宋体" w:cs="宋体" w:eastAsia="宋体" w:hint="default"/>
          <w:sz w:val="17"/>
          <w:szCs w:val="17"/>
        </w:rPr>
      </w:pPr>
    </w:p>
    <w:p>
      <w:pPr>
        <w:pStyle w:val="Heading2"/>
        <w:spacing w:line="240" w:lineRule="auto"/>
        <w:ind w:right="0"/>
        <w:jc w:val="left"/>
        <w:rPr>
          <w:b w:val="0"/>
          <w:bCs w:val="0"/>
        </w:rPr>
      </w:pPr>
      <w:r>
        <w:rPr/>
        <w:t>三、审计意见</w:t>
      </w:r>
      <w:r>
        <w:rPr>
          <w:b w:val="0"/>
          <w:bCs w:val="0"/>
        </w:rPr>
      </w:r>
    </w:p>
    <w:p>
      <w:pPr>
        <w:spacing w:line="240" w:lineRule="auto" w:before="4"/>
        <w:rPr>
          <w:rFonts w:ascii="宋体" w:hAnsi="宋体" w:cs="宋体" w:eastAsia="宋体" w:hint="default"/>
          <w:b/>
          <w:bCs/>
          <w:sz w:val="23"/>
          <w:szCs w:val="23"/>
        </w:rPr>
      </w:pPr>
    </w:p>
    <w:p>
      <w:pPr>
        <w:pStyle w:val="Heading3"/>
        <w:spacing w:line="312" w:lineRule="exact"/>
        <w:ind w:right="164" w:firstLine="482"/>
        <w:jc w:val="left"/>
      </w:pPr>
      <w:r>
        <w:rPr/>
        <w:t>我们认为，贵公司财务报表在所有重大方面按照中华人民共和国财政部颁布 的企业会计准则的规定编制，公允反映了贵公司</w:t>
      </w:r>
      <w:r>
        <w:rPr>
          <w:spacing w:val="-61"/>
        </w:rPr>
        <w:t> </w:t>
      </w:r>
      <w:r>
        <w:rPr>
          <w:rFonts w:ascii="Arial" w:hAnsi="Arial" w:cs="Arial" w:eastAsia="Arial" w:hint="default"/>
        </w:rPr>
        <w:t>2014</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4"/>
        </w:rPr>
        <w:t> </w:t>
      </w:r>
      <w:r>
        <w:rPr>
          <w:rFonts w:ascii="Arial" w:hAnsi="Arial" w:cs="Arial" w:eastAsia="Arial" w:hint="default"/>
        </w:rPr>
        <w:t>31</w:t>
      </w:r>
      <w:r>
        <w:rPr>
          <w:rFonts w:ascii="Arial" w:hAnsi="Arial" w:cs="Arial" w:eastAsia="Arial" w:hint="default"/>
          <w:spacing w:val="-7"/>
        </w:rPr>
        <w:t> </w:t>
      </w:r>
      <w:r>
        <w:rPr/>
        <w:t>日的合并财务</w:t>
      </w:r>
    </w:p>
    <w:p>
      <w:pPr>
        <w:pStyle w:val="Heading3"/>
        <w:spacing w:line="288" w:lineRule="exact"/>
        <w:ind w:right="0"/>
        <w:jc w:val="left"/>
      </w:pPr>
      <w:r>
        <w:rPr/>
        <w:t>状况和财务状况以及</w:t>
      </w:r>
      <w:r>
        <w:rPr>
          <w:spacing w:val="-63"/>
        </w:rPr>
        <w:t> </w:t>
      </w:r>
      <w:r>
        <w:rPr>
          <w:rFonts w:ascii="Arial" w:hAnsi="Arial" w:cs="Arial" w:eastAsia="Arial" w:hint="default"/>
        </w:rPr>
        <w:t>2014</w:t>
      </w:r>
      <w:r>
        <w:rPr>
          <w:rFonts w:ascii="Arial" w:hAnsi="Arial" w:cs="Arial" w:eastAsia="Arial" w:hint="default"/>
          <w:spacing w:val="-8"/>
        </w:rPr>
        <w:t> </w:t>
      </w:r>
      <w:r>
        <w:rPr/>
        <w:t>年度的合并经营成果和经营成果及合并现金流量和现</w:t>
      </w:r>
    </w:p>
    <w:p>
      <w:pPr>
        <w:pStyle w:val="Heading3"/>
        <w:spacing w:line="304" w:lineRule="exact"/>
        <w:ind w:right="0"/>
        <w:jc w:val="left"/>
      </w:pPr>
      <w:r>
        <w:rPr/>
        <w:t>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tabs>
          <w:tab w:pos="4638" w:val="left" w:leader="none"/>
        </w:tabs>
        <w:spacing w:line="312" w:lineRule="exact" w:before="159"/>
        <w:ind w:left="584" w:right="0"/>
        <w:jc w:val="left"/>
      </w:pPr>
      <w:r>
        <w:rPr/>
        <w:t>毕马威华振会计师事务所</w:t>
        <w:tab/>
        <w:t>中国注册会计师</w:t>
      </w:r>
    </w:p>
    <w:p>
      <w:pPr>
        <w:pStyle w:val="Heading3"/>
        <w:spacing w:line="329" w:lineRule="exact"/>
        <w:ind w:left="584" w:right="0"/>
        <w:jc w:val="left"/>
        <w:rPr>
          <w:rFonts w:ascii="Arial" w:hAnsi="Arial" w:cs="Arial" w:eastAsia="Arial" w:hint="default"/>
        </w:rPr>
      </w:pPr>
      <w:r>
        <w:rPr>
          <w:rFonts w:ascii="Arial" w:hAnsi="Arial" w:cs="Arial" w:eastAsia="Arial" w:hint="default"/>
        </w:rPr>
        <w:t>(</w:t>
      </w:r>
      <w:r>
        <w:rPr/>
        <w:t>特殊普通合伙</w:t>
      </w:r>
      <w:r>
        <w:rPr>
          <w:rFonts w:ascii="Arial" w:hAnsi="Arial" w:cs="Arial" w:eastAsia="Arial" w:hint="default"/>
        </w:rPr>
        <w:t>)</w:t>
      </w:r>
    </w:p>
    <w:p>
      <w:pPr>
        <w:spacing w:line="240" w:lineRule="auto" w:before="4"/>
        <w:rPr>
          <w:rFonts w:ascii="Arial" w:hAnsi="Arial" w:cs="Arial" w:eastAsia="Arial" w:hint="default"/>
          <w:sz w:val="22"/>
          <w:szCs w:val="22"/>
        </w:rPr>
      </w:pPr>
    </w:p>
    <w:p>
      <w:pPr>
        <w:pStyle w:val="Heading3"/>
        <w:spacing w:line="240" w:lineRule="auto"/>
        <w:ind w:left="3479" w:right="2411"/>
        <w:jc w:val="center"/>
      </w:pPr>
      <w:r>
        <w:rPr/>
        <w:t>罗科</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3"/>
          <w:szCs w:val="33"/>
        </w:rPr>
      </w:pPr>
    </w:p>
    <w:p>
      <w:pPr>
        <w:pStyle w:val="Heading3"/>
        <w:tabs>
          <w:tab w:pos="4638" w:val="left" w:leader="none"/>
        </w:tabs>
        <w:spacing w:line="240" w:lineRule="auto"/>
        <w:ind w:left="584" w:right="0"/>
        <w:jc w:val="left"/>
      </w:pPr>
      <w:r>
        <w:rPr/>
        <w:t>中国 北京</w:t>
        <w:tab/>
        <w:t>况琳</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Heading3"/>
        <w:spacing w:line="240" w:lineRule="auto"/>
        <w:ind w:left="4638" w:right="0"/>
        <w:jc w:val="left"/>
      </w:pPr>
      <w:r>
        <w:rPr/>
        <w:t>二○一五年三月三日</w:t>
      </w:r>
    </w:p>
    <w:p>
      <w:pPr>
        <w:spacing w:after="0" w:line="240" w:lineRule="auto"/>
        <w:jc w:val="left"/>
        <w:sectPr>
          <w:headerReference w:type="default" r:id="rId23"/>
          <w:footerReference w:type="default" r:id="rId24"/>
          <w:pgSz w:w="11910" w:h="16840"/>
          <w:pgMar w:header="0" w:footer="923" w:top="1580" w:bottom="1120" w:left="1600" w:right="1620"/>
          <w:pgNumType w:start="56"/>
        </w:sectPr>
      </w:pPr>
    </w:p>
    <w:p>
      <w:pPr>
        <w:pStyle w:val="BodyText"/>
        <w:spacing w:line="240" w:lineRule="auto" w:before="6"/>
        <w:ind w:left="107"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1"/>
        <w:rPr>
          <w:rFonts w:ascii="黑体" w:hAnsi="黑体" w:cs="黑体" w:eastAsia="黑体" w:hint="default"/>
          <w:sz w:val="19"/>
          <w:szCs w:val="19"/>
        </w:rPr>
      </w:pPr>
    </w:p>
    <w:p>
      <w:pPr>
        <w:pStyle w:val="BodyText"/>
        <w:spacing w:line="295" w:lineRule="exact"/>
        <w:ind w:left="107"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w:t>
      </w:r>
      <w:r>
        <w:rPr>
          <w:rFonts w:ascii="黑体" w:hAnsi="黑体" w:cs="黑体" w:eastAsia="黑体" w:hint="default"/>
          <w:spacing w:val="-56"/>
        </w:rPr>
        <w:t> </w:t>
      </w:r>
      <w:r>
        <w:rPr>
          <w:rFonts w:ascii="Arial" w:hAnsi="Arial" w:cs="Arial" w:eastAsia="Arial" w:hint="default"/>
        </w:rPr>
        <w:t>12</w:t>
      </w:r>
      <w:r>
        <w:rPr>
          <w:rFonts w:ascii="Arial" w:hAnsi="Arial" w:cs="Arial" w:eastAsia="Arial" w:hint="default"/>
          <w:spacing w:val="-8"/>
        </w:rPr>
        <w:t> </w:t>
      </w:r>
      <w:r>
        <w:rPr>
          <w:rFonts w:ascii="黑体" w:hAnsi="黑体" w:cs="黑体" w:eastAsia="黑体" w:hint="default"/>
        </w:rPr>
        <w:t>月</w:t>
      </w:r>
      <w:r>
        <w:rPr>
          <w:rFonts w:ascii="黑体" w:hAnsi="黑体" w:cs="黑体" w:eastAsia="黑体" w:hint="default"/>
          <w:spacing w:val="-56"/>
        </w:rPr>
        <w:t> </w:t>
      </w:r>
      <w:r>
        <w:rPr>
          <w:rFonts w:ascii="Arial" w:hAnsi="Arial" w:cs="Arial" w:eastAsia="Arial" w:hint="default"/>
        </w:rPr>
        <w:t>31</w:t>
      </w:r>
      <w:r>
        <w:rPr>
          <w:rFonts w:ascii="Arial" w:hAnsi="Arial" w:cs="Arial" w:eastAsia="Arial" w:hint="default"/>
          <w:spacing w:val="-10"/>
        </w:rPr>
        <w:t> </w:t>
      </w:r>
      <w:r>
        <w:rPr>
          <w:rFonts w:ascii="黑体" w:hAnsi="黑体" w:cs="黑体" w:eastAsia="黑体" w:hint="default"/>
        </w:rPr>
        <w:t>日合并及公司资产负债表</w:t>
      </w:r>
    </w:p>
    <w:p>
      <w:pPr>
        <w:pStyle w:val="BodyText"/>
        <w:spacing w:line="279" w:lineRule="exact"/>
        <w:ind w:left="107" w:right="0"/>
        <w:jc w:val="left"/>
        <w:rPr>
          <w:rFonts w:ascii="黑体" w:hAnsi="黑体" w:cs="黑体" w:eastAsia="黑体" w:hint="default"/>
        </w:rPr>
      </w:pPr>
      <w:r>
        <w:rPr>
          <w:rFonts w:ascii="黑体" w:hAnsi="黑体" w:cs="黑体" w:eastAsia="黑体" w:hint="default"/>
        </w:rPr>
        <w:t>（除特别注明外，金额单位为人民币元）</w:t>
      </w:r>
    </w:p>
    <w:p>
      <w:pPr>
        <w:spacing w:line="240" w:lineRule="auto" w:before="0"/>
        <w:rPr>
          <w:rFonts w:ascii="黑体" w:hAnsi="黑体" w:cs="黑体" w:eastAsia="黑体" w:hint="default"/>
          <w:sz w:val="22"/>
          <w:szCs w:val="22"/>
        </w:rPr>
      </w:pPr>
    </w:p>
    <w:tbl>
      <w:tblPr>
        <w:tblW w:w="0" w:type="auto"/>
        <w:jc w:val="left"/>
        <w:tblInd w:w="100" w:type="dxa"/>
        <w:tblLayout w:type="fixed"/>
        <w:tblCellMar>
          <w:top w:w="0" w:type="dxa"/>
          <w:left w:w="0" w:type="dxa"/>
          <w:bottom w:w="0" w:type="dxa"/>
          <w:right w:w="0" w:type="dxa"/>
        </w:tblCellMar>
        <w:tblLook w:val="01E0"/>
      </w:tblPr>
      <w:tblGrid>
        <w:gridCol w:w="2664"/>
        <w:gridCol w:w="908"/>
        <w:gridCol w:w="1680"/>
        <w:gridCol w:w="1652"/>
        <w:gridCol w:w="1637"/>
        <w:gridCol w:w="1625"/>
      </w:tblGrid>
      <w:tr>
        <w:trPr>
          <w:trHeight w:val="602" w:hRule="exact"/>
        </w:trPr>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17"/>
              <w:jc w:val="center"/>
              <w:rPr>
                <w:rFonts w:ascii="黑体" w:hAnsi="黑体" w:cs="黑体" w:eastAsia="黑体" w:hint="default"/>
                <w:sz w:val="18"/>
                <w:szCs w:val="18"/>
              </w:rPr>
            </w:pPr>
            <w:r>
              <w:rPr>
                <w:rFonts w:ascii="黑体" w:hAnsi="黑体" w:cs="黑体" w:eastAsia="黑体" w:hint="default"/>
                <w:sz w:val="18"/>
                <w:szCs w:val="18"/>
              </w:rPr>
              <w:t>资产</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45"/>
              <w:jc w:val="right"/>
              <w:rPr>
                <w:rFonts w:ascii="黑体" w:hAnsi="黑体" w:cs="黑体" w:eastAsia="黑体" w:hint="default"/>
                <w:sz w:val="18"/>
                <w:szCs w:val="18"/>
              </w:rPr>
            </w:pPr>
            <w:r>
              <w:rPr>
                <w:rFonts w:ascii="黑体" w:hAnsi="黑体" w:cs="黑体" w:eastAsia="黑体" w:hint="default"/>
                <w:sz w:val="18"/>
                <w:szCs w:val="18"/>
              </w:rPr>
              <w:t>附注</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32"/>
              <w:ind w:left="24" w:right="0"/>
              <w:jc w:val="center"/>
              <w:rPr>
                <w:rFonts w:ascii="黑体" w:hAnsi="黑体" w:cs="黑体" w:eastAsia="黑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黑体" w:hAnsi="黑体" w:cs="黑体" w:eastAsia="黑体" w:hint="default"/>
                <w:sz w:val="18"/>
                <w:szCs w:val="18"/>
              </w:rPr>
              <w:t>年</w:t>
            </w:r>
            <w:r>
              <w:rPr>
                <w:rFonts w:ascii="黑体" w:hAnsi="黑体" w:cs="黑体" w:eastAsia="黑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w:t>
            </w:r>
          </w:p>
          <w:p>
            <w:pPr>
              <w:pStyle w:val="TableParagraph"/>
              <w:spacing w:line="228" w:lineRule="exact"/>
              <w:ind w:right="71"/>
              <w:jc w:val="center"/>
              <w:rPr>
                <w:rFonts w:ascii="黑体" w:hAnsi="黑体" w:cs="黑体" w:eastAsia="黑体" w:hint="default"/>
                <w:sz w:val="18"/>
                <w:szCs w:val="18"/>
              </w:rPr>
            </w:pPr>
            <w:r>
              <w:rPr>
                <w:rFonts w:ascii="黑体" w:hAnsi="黑体" w:cs="黑体" w:eastAsia="黑体" w:hint="default"/>
                <w:sz w:val="18"/>
                <w:szCs w:val="18"/>
              </w:rPr>
              <w:t>合并</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32"/>
              <w:ind w:left="24" w:right="0"/>
              <w:jc w:val="center"/>
              <w:rPr>
                <w:rFonts w:ascii="黑体" w:hAnsi="黑体" w:cs="黑体" w:eastAsia="黑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黑体" w:hAnsi="黑体" w:cs="黑体" w:eastAsia="黑体" w:hint="default"/>
                <w:sz w:val="18"/>
                <w:szCs w:val="18"/>
              </w:rPr>
              <w:t>年</w:t>
            </w:r>
            <w:r>
              <w:rPr>
                <w:rFonts w:ascii="黑体" w:hAnsi="黑体" w:cs="黑体" w:eastAsia="黑体" w:hint="default"/>
                <w:spacing w:val="-45"/>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w:t>
            </w:r>
          </w:p>
          <w:p>
            <w:pPr>
              <w:pStyle w:val="TableParagraph"/>
              <w:spacing w:line="228" w:lineRule="exact"/>
              <w:ind w:left="24" w:right="0"/>
              <w:jc w:val="center"/>
              <w:rPr>
                <w:rFonts w:ascii="黑体" w:hAnsi="黑体" w:cs="黑体" w:eastAsia="黑体" w:hint="default"/>
                <w:sz w:val="18"/>
                <w:szCs w:val="18"/>
              </w:rPr>
            </w:pPr>
            <w:r>
              <w:rPr>
                <w:rFonts w:ascii="黑体" w:hAnsi="黑体" w:cs="黑体" w:eastAsia="黑体" w:hint="default"/>
                <w:sz w:val="18"/>
                <w:szCs w:val="18"/>
              </w:rPr>
              <w:t>合并</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32"/>
              <w:ind w:right="14"/>
              <w:jc w:val="center"/>
              <w:rPr>
                <w:rFonts w:ascii="黑体" w:hAnsi="黑体" w:cs="黑体" w:eastAsia="黑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黑体" w:hAnsi="黑体" w:cs="黑体" w:eastAsia="黑体" w:hint="default"/>
                <w:sz w:val="18"/>
                <w:szCs w:val="18"/>
              </w:rPr>
              <w:t>年</w:t>
            </w:r>
            <w:r>
              <w:rPr>
                <w:rFonts w:ascii="黑体" w:hAnsi="黑体" w:cs="黑体" w:eastAsia="黑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w:t>
            </w:r>
          </w:p>
          <w:p>
            <w:pPr>
              <w:pStyle w:val="TableParagraph"/>
              <w:spacing w:line="228" w:lineRule="exact"/>
              <w:ind w:left="28" w:right="0"/>
              <w:jc w:val="center"/>
              <w:rPr>
                <w:rFonts w:ascii="黑体" w:hAnsi="黑体" w:cs="黑体" w:eastAsia="黑体" w:hint="default"/>
                <w:sz w:val="18"/>
                <w:szCs w:val="18"/>
              </w:rPr>
            </w:pPr>
            <w:r>
              <w:rPr>
                <w:rFonts w:ascii="黑体" w:hAnsi="黑体" w:cs="黑体" w:eastAsia="黑体" w:hint="default"/>
                <w:sz w:val="18"/>
                <w:szCs w:val="18"/>
              </w:rPr>
              <w:t>公司</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32"/>
              <w:ind w:left="31" w:right="0"/>
              <w:jc w:val="center"/>
              <w:rPr>
                <w:rFonts w:ascii="黑体" w:hAnsi="黑体" w:cs="黑体" w:eastAsia="黑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黑体" w:hAnsi="黑体" w:cs="黑体" w:eastAsia="黑体" w:hint="default"/>
                <w:sz w:val="18"/>
                <w:szCs w:val="18"/>
              </w:rPr>
              <w:t>年</w:t>
            </w:r>
            <w:r>
              <w:rPr>
                <w:rFonts w:ascii="黑体" w:hAnsi="黑体" w:cs="黑体" w:eastAsia="黑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w:t>
            </w:r>
          </w:p>
          <w:p>
            <w:pPr>
              <w:pStyle w:val="TableParagraph"/>
              <w:spacing w:line="228" w:lineRule="exact"/>
              <w:ind w:left="31" w:right="0"/>
              <w:jc w:val="center"/>
              <w:rPr>
                <w:rFonts w:ascii="黑体" w:hAnsi="黑体" w:cs="黑体" w:eastAsia="黑体" w:hint="default"/>
                <w:sz w:val="18"/>
                <w:szCs w:val="18"/>
              </w:rPr>
            </w:pPr>
            <w:r>
              <w:rPr>
                <w:rFonts w:ascii="黑体" w:hAnsi="黑体" w:cs="黑体" w:eastAsia="黑体" w:hint="default"/>
                <w:sz w:val="18"/>
                <w:szCs w:val="18"/>
              </w:rPr>
              <w:t>公司</w:t>
            </w:r>
          </w:p>
        </w:tc>
      </w:tr>
      <w:tr>
        <w:trPr>
          <w:trHeight w:val="262" w:hRule="exact"/>
        </w:trPr>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93" w:right="0"/>
              <w:jc w:val="left"/>
              <w:rPr>
                <w:rFonts w:ascii="黑体" w:hAnsi="黑体" w:cs="黑体" w:eastAsia="黑体" w:hint="default"/>
                <w:sz w:val="18"/>
                <w:szCs w:val="18"/>
              </w:rPr>
            </w:pPr>
            <w:r>
              <w:rPr>
                <w:rFonts w:ascii="黑体" w:hAnsi="黑体" w:cs="黑体" w:eastAsia="黑体" w:hint="default"/>
                <w:sz w:val="18"/>
                <w:szCs w:val="18"/>
              </w:rPr>
              <w:t>流动资产</w:t>
            </w:r>
          </w:p>
        </w:tc>
        <w:tc>
          <w:tcPr>
            <w:tcW w:w="90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20"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w:t>
            </w:r>
          </w:p>
          <w:p>
            <w:pPr>
              <w:pStyle w:val="TableParagraph"/>
              <w:spacing w:line="241" w:lineRule="exact"/>
              <w:ind w:left="156" w:right="0"/>
              <w:jc w:val="left"/>
              <w:rPr>
                <w:rFonts w:ascii="Arial" w:hAnsi="Arial" w:cs="Arial" w:eastAsia="Arial" w:hint="default"/>
                <w:sz w:val="18"/>
                <w:szCs w:val="18"/>
              </w:rPr>
            </w:pPr>
            <w:r>
              <w:rPr>
                <w:rFonts w:ascii="宋体" w:hAnsi="宋体" w:cs="宋体" w:eastAsia="宋体" w:hint="default"/>
                <w:sz w:val="18"/>
                <w:szCs w:val="18"/>
              </w:rPr>
              <w:t>十四</w:t>
            </w:r>
            <w:r>
              <w:rPr>
                <w:rFonts w:ascii="Arial" w:hAnsi="Arial" w:cs="Arial" w:eastAsia="Arial" w:hint="default"/>
                <w:sz w:val="18"/>
                <w:szCs w:val="18"/>
              </w:rPr>
              <w:t>(1)</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92"/>
              <w:jc w:val="right"/>
              <w:rPr>
                <w:rFonts w:ascii="Arial" w:hAnsi="Arial" w:cs="Arial" w:eastAsia="Arial" w:hint="default"/>
                <w:sz w:val="18"/>
                <w:szCs w:val="18"/>
              </w:rPr>
            </w:pPr>
            <w:r>
              <w:rPr>
                <w:rFonts w:ascii="Arial"/>
                <w:spacing w:val="-1"/>
                <w:sz w:val="18"/>
              </w:rPr>
              <w:t>25,399,678,650</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60"/>
              <w:jc w:val="right"/>
              <w:rPr>
                <w:rFonts w:ascii="Arial" w:hAnsi="Arial" w:cs="Arial" w:eastAsia="Arial" w:hint="default"/>
                <w:sz w:val="18"/>
                <w:szCs w:val="18"/>
              </w:rPr>
            </w:pPr>
            <w:r>
              <w:rPr>
                <w:rFonts w:ascii="Arial"/>
                <w:spacing w:val="-1"/>
                <w:sz w:val="18"/>
              </w:rPr>
              <w:t>21,589,060,597</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35,965,094</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28,492,707</w:t>
            </w:r>
          </w:p>
        </w:tc>
      </w:tr>
      <w:tr>
        <w:trPr>
          <w:trHeight w:val="482" w:hRule="exact"/>
        </w:trPr>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2" w:right="0"/>
              <w:jc w:val="center"/>
              <w:rPr>
                <w:rFonts w:ascii="宋体" w:hAnsi="宋体" w:cs="宋体" w:eastAsia="宋体" w:hint="default"/>
                <w:sz w:val="18"/>
                <w:szCs w:val="18"/>
              </w:rPr>
            </w:pPr>
            <w:r>
              <w:rPr>
                <w:rFonts w:ascii="宋体" w:hAnsi="宋体" w:cs="宋体" w:eastAsia="宋体" w:hint="default"/>
                <w:sz w:val="18"/>
                <w:szCs w:val="18"/>
              </w:rPr>
              <w:t>以公允价值计量且其变动计</w:t>
            </w: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入当期损益的金融资产</w:t>
            </w:r>
          </w:p>
        </w:tc>
        <w:tc>
          <w:tcPr>
            <w:tcW w:w="90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90"/>
              <w:jc w:val="right"/>
              <w:rPr>
                <w:rFonts w:ascii="Arial" w:hAnsi="Arial" w:cs="Arial" w:eastAsia="Arial" w:hint="default"/>
                <w:sz w:val="18"/>
                <w:szCs w:val="18"/>
              </w:rPr>
            </w:pPr>
            <w:r>
              <w:rPr>
                <w:rFonts w:ascii="Arial"/>
                <w:spacing w:val="-1"/>
                <w:sz w:val="18"/>
              </w:rPr>
              <w:t>12,871,426</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60"/>
              <w:jc w:val="right"/>
              <w:rPr>
                <w:rFonts w:ascii="Arial" w:hAnsi="Arial" w:cs="Arial" w:eastAsia="Arial" w:hint="default"/>
                <w:sz w:val="18"/>
                <w:szCs w:val="18"/>
              </w:rPr>
            </w:pPr>
            <w:r>
              <w:rPr>
                <w:rFonts w:ascii="Arial"/>
                <w:w w:val="99"/>
                <w:sz w:val="18"/>
              </w:rPr>
              <w:t>-</w:t>
            </w:r>
            <w:r>
              <w:rPr>
                <w:rFonts w:ascii="Arial"/>
                <w:sz w:val="18"/>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62" w:hRule="exact"/>
        </w:trPr>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7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243"/>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(2)</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0"/>
              <w:jc w:val="right"/>
              <w:rPr>
                <w:rFonts w:ascii="Arial" w:hAnsi="Arial" w:cs="Arial" w:eastAsia="Arial" w:hint="default"/>
                <w:sz w:val="18"/>
                <w:szCs w:val="18"/>
              </w:rPr>
            </w:pPr>
            <w:r>
              <w:rPr>
                <w:rFonts w:ascii="Arial"/>
                <w:spacing w:val="-1"/>
                <w:sz w:val="18"/>
              </w:rPr>
              <w:t>38,444,704</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59"/>
              <w:jc w:val="right"/>
              <w:rPr>
                <w:rFonts w:ascii="Arial" w:hAnsi="Arial" w:cs="Arial" w:eastAsia="Arial" w:hint="default"/>
                <w:sz w:val="18"/>
                <w:szCs w:val="18"/>
              </w:rPr>
            </w:pPr>
            <w:r>
              <w:rPr>
                <w:rFonts w:ascii="Arial"/>
                <w:spacing w:val="-1"/>
                <w:sz w:val="18"/>
              </w:rPr>
              <w:t>85,806,786</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62" w:hRule="exact"/>
        </w:trPr>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7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243"/>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(3)</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2"/>
              <w:jc w:val="right"/>
              <w:rPr>
                <w:rFonts w:ascii="Arial" w:hAnsi="Arial" w:cs="Arial" w:eastAsia="Arial" w:hint="default"/>
                <w:sz w:val="18"/>
                <w:szCs w:val="18"/>
              </w:rPr>
            </w:pPr>
            <w:r>
              <w:rPr>
                <w:rFonts w:ascii="Arial"/>
                <w:spacing w:val="-1"/>
                <w:sz w:val="18"/>
              </w:rPr>
              <w:t>16,632,115,939</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60"/>
              <w:jc w:val="right"/>
              <w:rPr>
                <w:rFonts w:ascii="Arial" w:hAnsi="Arial" w:cs="Arial" w:eastAsia="Arial" w:hint="default"/>
                <w:sz w:val="18"/>
                <w:szCs w:val="18"/>
              </w:rPr>
            </w:pPr>
            <w:r>
              <w:rPr>
                <w:rFonts w:ascii="Arial"/>
                <w:spacing w:val="-1"/>
                <w:sz w:val="18"/>
              </w:rPr>
              <w:t>15,312,304,551</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62" w:hRule="exact"/>
        </w:trPr>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76"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243"/>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(5)</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89"/>
              <w:jc w:val="right"/>
              <w:rPr>
                <w:rFonts w:ascii="Arial" w:hAnsi="Arial" w:cs="Arial" w:eastAsia="Arial" w:hint="default"/>
                <w:sz w:val="18"/>
                <w:szCs w:val="18"/>
              </w:rPr>
            </w:pPr>
            <w:r>
              <w:rPr>
                <w:rFonts w:ascii="Arial"/>
                <w:spacing w:val="-1"/>
                <w:sz w:val="18"/>
              </w:rPr>
              <w:t>4,094,478,005</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60"/>
              <w:jc w:val="right"/>
              <w:rPr>
                <w:rFonts w:ascii="Arial" w:hAnsi="Arial" w:cs="Arial" w:eastAsia="Arial" w:hint="default"/>
                <w:sz w:val="18"/>
                <w:szCs w:val="18"/>
              </w:rPr>
            </w:pPr>
            <w:r>
              <w:rPr>
                <w:rFonts w:ascii="Arial"/>
                <w:spacing w:val="-1"/>
                <w:sz w:val="18"/>
              </w:rPr>
              <w:t>4,005,637,554</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64" w:hRule="exact"/>
        </w:trPr>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76"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193"/>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(40)</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0"/>
              <w:jc w:val="right"/>
              <w:rPr>
                <w:rFonts w:ascii="Arial" w:hAnsi="Arial" w:cs="Arial" w:eastAsia="Arial" w:hint="default"/>
                <w:sz w:val="18"/>
                <w:szCs w:val="18"/>
              </w:rPr>
            </w:pPr>
            <w:r>
              <w:rPr>
                <w:rFonts w:ascii="Arial"/>
                <w:spacing w:val="-1"/>
                <w:sz w:val="18"/>
              </w:rPr>
              <w:t>887,145</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59"/>
              <w:jc w:val="right"/>
              <w:rPr>
                <w:rFonts w:ascii="Arial" w:hAnsi="Arial" w:cs="Arial" w:eastAsia="Arial" w:hint="default"/>
                <w:sz w:val="18"/>
                <w:szCs w:val="18"/>
              </w:rPr>
            </w:pPr>
            <w:r>
              <w:rPr>
                <w:rFonts w:ascii="Arial"/>
                <w:spacing w:val="-1"/>
                <w:sz w:val="18"/>
              </w:rPr>
              <w:t>310,566</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62" w:hRule="exact"/>
        </w:trPr>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7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54"/>
              <w:jc w:val="right"/>
              <w:rPr>
                <w:rFonts w:ascii="Arial" w:hAnsi="Arial" w:cs="Arial" w:eastAsia="Arial" w:hint="default"/>
                <w:sz w:val="18"/>
                <w:szCs w:val="18"/>
              </w:rPr>
            </w:pPr>
            <w:r>
              <w:rPr>
                <w:rFonts w:ascii="宋体" w:hAnsi="宋体" w:cs="宋体" w:eastAsia="宋体" w:hint="default"/>
                <w:w w:val="95"/>
                <w:sz w:val="18"/>
                <w:szCs w:val="18"/>
              </w:rPr>
              <w:t>十四</w:t>
            </w:r>
            <w:r>
              <w:rPr>
                <w:rFonts w:ascii="Arial" w:hAnsi="Arial" w:cs="Arial" w:eastAsia="Arial" w:hint="default"/>
                <w:w w:val="95"/>
                <w:sz w:val="18"/>
                <w:szCs w:val="18"/>
              </w:rPr>
              <w:t>(2)</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101"/>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60"/>
              <w:jc w:val="right"/>
              <w:rPr>
                <w:rFonts w:ascii="Arial" w:hAnsi="Arial" w:cs="Arial" w:eastAsia="Arial" w:hint="default"/>
                <w:sz w:val="18"/>
                <w:szCs w:val="18"/>
              </w:rPr>
            </w:pPr>
            <w:r>
              <w:rPr>
                <w:rFonts w:ascii="Arial"/>
                <w:w w:val="99"/>
                <w:sz w:val="18"/>
              </w:rPr>
              <w:t>-</w:t>
            </w:r>
            <w:r>
              <w:rPr>
                <w:rFonts w:ascii="Arial"/>
                <w:sz w:val="18"/>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101"/>
              <w:jc w:val="right"/>
              <w:rPr>
                <w:rFonts w:ascii="Arial" w:hAnsi="Arial" w:cs="Arial" w:eastAsia="Arial" w:hint="default"/>
                <w:sz w:val="18"/>
                <w:szCs w:val="18"/>
              </w:rPr>
            </w:pPr>
            <w:r>
              <w:rPr>
                <w:rFonts w:ascii="Arial"/>
                <w:spacing w:val="-1"/>
                <w:sz w:val="18"/>
              </w:rPr>
              <w:t>770,946,023</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100"/>
              <w:jc w:val="right"/>
              <w:rPr>
                <w:rFonts w:ascii="Arial" w:hAnsi="Arial" w:cs="Arial" w:eastAsia="Arial" w:hint="default"/>
                <w:sz w:val="18"/>
                <w:szCs w:val="18"/>
              </w:rPr>
            </w:pPr>
            <w:r>
              <w:rPr>
                <w:rFonts w:ascii="Arial"/>
                <w:spacing w:val="-1"/>
                <w:sz w:val="18"/>
              </w:rPr>
              <w:t>651,379,217</w:t>
            </w:r>
          </w:p>
        </w:tc>
      </w:tr>
      <w:tr>
        <w:trPr>
          <w:trHeight w:val="262" w:hRule="exact"/>
        </w:trPr>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7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243"/>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(4)</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89"/>
              <w:jc w:val="right"/>
              <w:rPr>
                <w:rFonts w:ascii="Arial" w:hAnsi="Arial" w:cs="Arial" w:eastAsia="Arial" w:hint="default"/>
                <w:sz w:val="18"/>
                <w:szCs w:val="18"/>
              </w:rPr>
            </w:pPr>
            <w:r>
              <w:rPr>
                <w:rFonts w:ascii="Arial"/>
                <w:spacing w:val="-1"/>
                <w:sz w:val="18"/>
              </w:rPr>
              <w:t>4,801,396,395</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60"/>
              <w:jc w:val="right"/>
              <w:rPr>
                <w:rFonts w:ascii="Arial" w:hAnsi="Arial" w:cs="Arial" w:eastAsia="Arial" w:hint="default"/>
                <w:sz w:val="18"/>
                <w:szCs w:val="18"/>
              </w:rPr>
            </w:pPr>
            <w:r>
              <w:rPr>
                <w:rFonts w:ascii="Arial"/>
                <w:spacing w:val="-1"/>
                <w:sz w:val="18"/>
              </w:rPr>
              <w:t>5,643,332,565</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spacing w:val="-1"/>
                <w:sz w:val="18"/>
              </w:rPr>
              <w:t>1,448,866</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Arial" w:hAnsi="Arial" w:cs="Arial" w:eastAsia="Arial" w:hint="default"/>
                <w:sz w:val="18"/>
                <w:szCs w:val="18"/>
              </w:rPr>
            </w:pPr>
            <w:r>
              <w:rPr>
                <w:rFonts w:ascii="Arial"/>
                <w:spacing w:val="-1"/>
                <w:sz w:val="18"/>
              </w:rPr>
              <w:t>1,452,574</w:t>
            </w:r>
          </w:p>
        </w:tc>
      </w:tr>
      <w:tr>
        <w:trPr>
          <w:trHeight w:val="262" w:hRule="exact"/>
        </w:trPr>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76"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243"/>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(6)</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89"/>
              <w:jc w:val="right"/>
              <w:rPr>
                <w:rFonts w:ascii="Arial" w:hAnsi="Arial" w:cs="Arial" w:eastAsia="Arial" w:hint="default"/>
                <w:sz w:val="18"/>
                <w:szCs w:val="18"/>
              </w:rPr>
            </w:pPr>
            <w:r>
              <w:rPr>
                <w:rFonts w:ascii="Arial"/>
                <w:spacing w:val="-1"/>
                <w:sz w:val="18"/>
              </w:rPr>
              <w:t>4,378,472,861</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60"/>
              <w:jc w:val="right"/>
              <w:rPr>
                <w:rFonts w:ascii="Arial" w:hAnsi="Arial" w:cs="Arial" w:eastAsia="Arial" w:hint="default"/>
                <w:sz w:val="18"/>
                <w:szCs w:val="18"/>
              </w:rPr>
            </w:pPr>
            <w:r>
              <w:rPr>
                <w:rFonts w:ascii="Arial"/>
                <w:spacing w:val="-1"/>
                <w:sz w:val="18"/>
              </w:rPr>
              <w:t>5,535,771,415</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62" w:hRule="exact"/>
        </w:trPr>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76"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243"/>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(7)</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89"/>
              <w:jc w:val="right"/>
              <w:rPr>
                <w:rFonts w:ascii="Arial" w:hAnsi="Arial" w:cs="Arial" w:eastAsia="Arial" w:hint="default"/>
                <w:sz w:val="18"/>
                <w:szCs w:val="18"/>
              </w:rPr>
            </w:pPr>
            <w:r>
              <w:rPr>
                <w:rFonts w:ascii="Arial"/>
                <w:spacing w:val="-1"/>
                <w:sz w:val="18"/>
              </w:rPr>
              <w:t>1,262,309,623</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59"/>
              <w:jc w:val="right"/>
              <w:rPr>
                <w:rFonts w:ascii="Arial" w:hAnsi="Arial" w:cs="Arial" w:eastAsia="Arial" w:hint="default"/>
                <w:sz w:val="18"/>
                <w:szCs w:val="18"/>
              </w:rPr>
            </w:pPr>
            <w:r>
              <w:rPr>
                <w:rFonts w:ascii="Arial"/>
                <w:spacing w:val="-1"/>
                <w:sz w:val="18"/>
              </w:rPr>
              <w:t>160,549,881</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62" w:hRule="exact"/>
        </w:trPr>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93" w:right="0"/>
              <w:jc w:val="left"/>
              <w:rPr>
                <w:rFonts w:ascii="黑体" w:hAnsi="黑体" w:cs="黑体" w:eastAsia="黑体" w:hint="default"/>
                <w:sz w:val="18"/>
                <w:szCs w:val="18"/>
              </w:rPr>
            </w:pPr>
            <w:r>
              <w:rPr>
                <w:rFonts w:ascii="黑体" w:hAnsi="黑体" w:cs="黑体" w:eastAsia="黑体" w:hint="default"/>
                <w:sz w:val="18"/>
                <w:szCs w:val="18"/>
              </w:rPr>
              <w:t>流动资产合计</w:t>
            </w:r>
          </w:p>
        </w:tc>
        <w:tc>
          <w:tcPr>
            <w:tcW w:w="90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88"/>
              <w:jc w:val="right"/>
              <w:rPr>
                <w:rFonts w:ascii="Arial" w:hAnsi="Arial" w:cs="Arial" w:eastAsia="Arial" w:hint="default"/>
                <w:sz w:val="18"/>
                <w:szCs w:val="18"/>
              </w:rPr>
            </w:pPr>
            <w:r>
              <w:rPr>
                <w:rFonts w:ascii="Arial"/>
                <w:spacing w:val="-1"/>
                <w:sz w:val="18"/>
              </w:rPr>
              <w:t>56,620,654,748</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60"/>
              <w:jc w:val="right"/>
              <w:rPr>
                <w:rFonts w:ascii="Arial" w:hAnsi="Arial" w:cs="Arial" w:eastAsia="Arial" w:hint="default"/>
                <w:sz w:val="18"/>
                <w:szCs w:val="18"/>
              </w:rPr>
            </w:pPr>
            <w:r>
              <w:rPr>
                <w:rFonts w:ascii="Arial"/>
                <w:spacing w:val="-1"/>
                <w:sz w:val="18"/>
              </w:rPr>
              <w:t>52,332,773,915</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spacing w:val="-1"/>
                <w:sz w:val="18"/>
              </w:rPr>
              <w:t>808,359,983</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Arial" w:hAnsi="Arial" w:cs="Arial" w:eastAsia="Arial" w:hint="default"/>
                <w:sz w:val="18"/>
                <w:szCs w:val="18"/>
              </w:rPr>
            </w:pPr>
            <w:r>
              <w:rPr>
                <w:rFonts w:ascii="Arial"/>
                <w:spacing w:val="-1"/>
                <w:sz w:val="18"/>
              </w:rPr>
              <w:t>681,324,498</w:t>
            </w:r>
          </w:p>
        </w:tc>
      </w:tr>
      <w:tr>
        <w:trPr>
          <w:trHeight w:val="264" w:hRule="exact"/>
        </w:trPr>
        <w:tc>
          <w:tcPr>
            <w:tcW w:w="2664"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262" w:hRule="exact"/>
        </w:trPr>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93" w:right="0"/>
              <w:jc w:val="left"/>
              <w:rPr>
                <w:rFonts w:ascii="黑体" w:hAnsi="黑体" w:cs="黑体" w:eastAsia="黑体" w:hint="default"/>
                <w:sz w:val="18"/>
                <w:szCs w:val="18"/>
              </w:rPr>
            </w:pPr>
            <w:r>
              <w:rPr>
                <w:rFonts w:ascii="黑体" w:hAnsi="黑体" w:cs="黑体" w:eastAsia="黑体" w:hint="default"/>
                <w:sz w:val="18"/>
                <w:szCs w:val="18"/>
              </w:rPr>
              <w:t>非流动资产</w:t>
            </w:r>
          </w:p>
        </w:tc>
        <w:tc>
          <w:tcPr>
            <w:tcW w:w="90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262" w:hRule="exact"/>
        </w:trPr>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76"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243"/>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(8)</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89"/>
              <w:jc w:val="right"/>
              <w:rPr>
                <w:rFonts w:ascii="Arial" w:hAnsi="Arial" w:cs="Arial" w:eastAsia="Arial" w:hint="default"/>
                <w:sz w:val="18"/>
                <w:szCs w:val="18"/>
              </w:rPr>
            </w:pPr>
            <w:r>
              <w:rPr>
                <w:rFonts w:ascii="Arial"/>
                <w:spacing w:val="-1"/>
                <w:sz w:val="18"/>
              </w:rPr>
              <w:t>5,901,979,614</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60"/>
              <w:jc w:val="right"/>
              <w:rPr>
                <w:rFonts w:ascii="Arial" w:hAnsi="Arial" w:cs="Arial" w:eastAsia="Arial" w:hint="default"/>
                <w:sz w:val="18"/>
                <w:szCs w:val="18"/>
              </w:rPr>
            </w:pPr>
            <w:r>
              <w:rPr>
                <w:rFonts w:ascii="Arial"/>
                <w:spacing w:val="-1"/>
                <w:sz w:val="18"/>
              </w:rPr>
              <w:t>6,497,100,997</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483" w:hRule="exact"/>
        </w:trPr>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220"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(9),</w:t>
            </w:r>
          </w:p>
          <w:p>
            <w:pPr>
              <w:pStyle w:val="TableParagraph"/>
              <w:spacing w:line="241" w:lineRule="exact"/>
              <w:ind w:left="156" w:right="0"/>
              <w:jc w:val="left"/>
              <w:rPr>
                <w:rFonts w:ascii="Arial" w:hAnsi="Arial" w:cs="Arial" w:eastAsia="Arial" w:hint="default"/>
                <w:sz w:val="18"/>
                <w:szCs w:val="18"/>
              </w:rPr>
            </w:pPr>
            <w:r>
              <w:rPr>
                <w:rFonts w:ascii="宋体" w:hAnsi="宋体" w:cs="宋体" w:eastAsia="宋体" w:hint="default"/>
                <w:sz w:val="18"/>
                <w:szCs w:val="18"/>
              </w:rPr>
              <w:t>十四</w:t>
            </w:r>
            <w:r>
              <w:rPr>
                <w:rFonts w:ascii="Arial" w:hAnsi="Arial" w:cs="Arial" w:eastAsia="Arial" w:hint="default"/>
                <w:sz w:val="18"/>
                <w:szCs w:val="18"/>
              </w:rPr>
              <w:t>(3)</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86"/>
              <w:jc w:val="right"/>
              <w:rPr>
                <w:rFonts w:ascii="Arial" w:hAnsi="Arial" w:cs="Arial" w:eastAsia="Arial" w:hint="default"/>
                <w:sz w:val="18"/>
                <w:szCs w:val="18"/>
              </w:rPr>
            </w:pPr>
            <w:r>
              <w:rPr>
                <w:rFonts w:ascii="Arial"/>
                <w:spacing w:val="-1"/>
                <w:sz w:val="18"/>
              </w:rPr>
              <w:t>3,056,537,978</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59"/>
              <w:jc w:val="right"/>
              <w:rPr>
                <w:rFonts w:ascii="Arial" w:hAnsi="Arial" w:cs="Arial" w:eastAsia="Arial" w:hint="default"/>
                <w:sz w:val="18"/>
                <w:szCs w:val="18"/>
              </w:rPr>
            </w:pPr>
            <w:r>
              <w:rPr>
                <w:rFonts w:ascii="Arial"/>
                <w:spacing w:val="-1"/>
                <w:sz w:val="18"/>
              </w:rPr>
              <w:t>53,141,130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spacing w:val="-1"/>
                <w:sz w:val="18"/>
              </w:rPr>
              <w:t>38,538,133,791</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38,538,133,791</w:t>
            </w:r>
          </w:p>
        </w:tc>
      </w:tr>
      <w:tr>
        <w:trPr>
          <w:trHeight w:val="262" w:hRule="exact"/>
        </w:trPr>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76"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193"/>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(10)</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88"/>
              <w:jc w:val="right"/>
              <w:rPr>
                <w:rFonts w:ascii="Arial" w:hAnsi="Arial" w:cs="Arial" w:eastAsia="Arial" w:hint="default"/>
                <w:sz w:val="18"/>
                <w:szCs w:val="18"/>
              </w:rPr>
            </w:pPr>
            <w:r>
              <w:rPr>
                <w:rFonts w:ascii="Arial"/>
                <w:spacing w:val="-1"/>
                <w:sz w:val="18"/>
              </w:rPr>
              <w:t>377,765,033,457</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60"/>
              <w:jc w:val="right"/>
              <w:rPr>
                <w:rFonts w:ascii="Arial" w:hAnsi="Arial" w:cs="Arial" w:eastAsia="Arial" w:hint="default"/>
                <w:sz w:val="18"/>
                <w:szCs w:val="18"/>
              </w:rPr>
            </w:pPr>
            <w:r>
              <w:rPr>
                <w:rFonts w:ascii="Arial"/>
                <w:spacing w:val="-1"/>
                <w:sz w:val="18"/>
              </w:rPr>
              <w:t>370,674,381,416</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spacing w:val="-1"/>
                <w:sz w:val="18"/>
              </w:rPr>
              <w:t>5,003,766</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Arial" w:hAnsi="Arial" w:cs="Arial" w:eastAsia="Arial" w:hint="default"/>
                <w:sz w:val="18"/>
                <w:szCs w:val="18"/>
              </w:rPr>
            </w:pPr>
            <w:r>
              <w:rPr>
                <w:rFonts w:ascii="Arial"/>
                <w:spacing w:val="-1"/>
                <w:sz w:val="18"/>
              </w:rPr>
              <w:t>5,255,227</w:t>
            </w:r>
          </w:p>
        </w:tc>
      </w:tr>
      <w:tr>
        <w:trPr>
          <w:trHeight w:val="262" w:hRule="exact"/>
        </w:trPr>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7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193"/>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(11)</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2"/>
              <w:jc w:val="right"/>
              <w:rPr>
                <w:rFonts w:ascii="Arial" w:hAnsi="Arial" w:cs="Arial" w:eastAsia="Arial" w:hint="default"/>
                <w:sz w:val="18"/>
                <w:szCs w:val="18"/>
              </w:rPr>
            </w:pPr>
            <w:r>
              <w:rPr>
                <w:rFonts w:ascii="Arial"/>
                <w:spacing w:val="-1"/>
                <w:sz w:val="18"/>
              </w:rPr>
              <w:t>57,190,574,167</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60"/>
              <w:jc w:val="right"/>
              <w:rPr>
                <w:rFonts w:ascii="Arial" w:hAnsi="Arial" w:cs="Arial" w:eastAsia="Arial" w:hint="default"/>
                <w:sz w:val="18"/>
                <w:szCs w:val="18"/>
              </w:rPr>
            </w:pPr>
            <w:r>
              <w:rPr>
                <w:rFonts w:ascii="Arial"/>
                <w:spacing w:val="-1"/>
                <w:sz w:val="18"/>
              </w:rPr>
              <w:t>57,176,424,958</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62" w:hRule="exact"/>
        </w:trPr>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76"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193"/>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(12)</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89"/>
              <w:jc w:val="right"/>
              <w:rPr>
                <w:rFonts w:ascii="Arial" w:hAnsi="Arial" w:cs="Arial" w:eastAsia="Arial" w:hint="default"/>
                <w:sz w:val="18"/>
                <w:szCs w:val="18"/>
              </w:rPr>
            </w:pPr>
            <w:r>
              <w:rPr>
                <w:rFonts w:ascii="Arial"/>
                <w:spacing w:val="-1"/>
                <w:sz w:val="18"/>
              </w:rPr>
              <w:t>1,375,300,871</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60"/>
              <w:jc w:val="right"/>
              <w:rPr>
                <w:rFonts w:ascii="Arial" w:hAnsi="Arial" w:cs="Arial" w:eastAsia="Arial" w:hint="default"/>
                <w:sz w:val="18"/>
                <w:szCs w:val="18"/>
              </w:rPr>
            </w:pPr>
            <w:r>
              <w:rPr>
                <w:rFonts w:ascii="Arial"/>
                <w:spacing w:val="-1"/>
                <w:sz w:val="18"/>
              </w:rPr>
              <w:t>1,796,895,217</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62" w:hRule="exact"/>
        </w:trPr>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76"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193"/>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(13)</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88"/>
              <w:jc w:val="right"/>
              <w:rPr>
                <w:rFonts w:ascii="Arial" w:hAnsi="Arial" w:cs="Arial" w:eastAsia="Arial" w:hint="default"/>
                <w:sz w:val="18"/>
                <w:szCs w:val="18"/>
              </w:rPr>
            </w:pPr>
            <w:r>
              <w:rPr>
                <w:rFonts w:ascii="Arial"/>
                <w:spacing w:val="-1"/>
                <w:sz w:val="18"/>
              </w:rPr>
              <w:t>25,716,538,830</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60"/>
              <w:jc w:val="right"/>
              <w:rPr>
                <w:rFonts w:ascii="Arial" w:hAnsi="Arial" w:cs="Arial" w:eastAsia="Arial" w:hint="default"/>
                <w:sz w:val="18"/>
                <w:szCs w:val="18"/>
              </w:rPr>
            </w:pPr>
            <w:r>
              <w:rPr>
                <w:rFonts w:ascii="Arial"/>
                <w:spacing w:val="-1"/>
                <w:sz w:val="18"/>
              </w:rPr>
              <w:t>23,822,847,423</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Arial" w:hAnsi="Arial" w:cs="Arial" w:eastAsia="Arial" w:hint="default"/>
                <w:sz w:val="18"/>
                <w:szCs w:val="18"/>
              </w:rPr>
            </w:pPr>
            <w:r>
              <w:rPr>
                <w:rFonts w:ascii="Arial"/>
                <w:spacing w:val="-1"/>
                <w:sz w:val="18"/>
              </w:rPr>
              <w:t>10,007,127</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Arial" w:hAnsi="Arial" w:cs="Arial" w:eastAsia="Arial" w:hint="default"/>
                <w:sz w:val="18"/>
                <w:szCs w:val="18"/>
              </w:rPr>
            </w:pPr>
            <w:r>
              <w:rPr>
                <w:rFonts w:ascii="Arial"/>
                <w:spacing w:val="-1"/>
                <w:sz w:val="18"/>
              </w:rPr>
              <w:t>10,255,234</w:t>
            </w:r>
          </w:p>
        </w:tc>
      </w:tr>
      <w:tr>
        <w:trPr>
          <w:trHeight w:val="262" w:hRule="exact"/>
        </w:trPr>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76"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193"/>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(14)</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2"/>
              <w:jc w:val="right"/>
              <w:rPr>
                <w:rFonts w:ascii="Arial" w:hAnsi="Arial" w:cs="Arial" w:eastAsia="Arial" w:hint="default"/>
                <w:sz w:val="18"/>
                <w:szCs w:val="18"/>
              </w:rPr>
            </w:pPr>
            <w:r>
              <w:rPr>
                <w:rFonts w:ascii="Arial"/>
                <w:spacing w:val="-1"/>
                <w:sz w:val="18"/>
              </w:rPr>
              <w:t>13,623,954,065</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60"/>
              <w:jc w:val="right"/>
              <w:rPr>
                <w:rFonts w:ascii="Arial" w:hAnsi="Arial" w:cs="Arial" w:eastAsia="Arial" w:hint="default"/>
                <w:sz w:val="18"/>
                <w:szCs w:val="18"/>
              </w:rPr>
            </w:pPr>
            <w:r>
              <w:rPr>
                <w:rFonts w:ascii="Arial"/>
                <w:spacing w:val="-1"/>
                <w:sz w:val="18"/>
              </w:rPr>
              <w:t>11,334,651,709</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64" w:hRule="exact"/>
        </w:trPr>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7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193"/>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(45)</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89"/>
              <w:jc w:val="right"/>
              <w:rPr>
                <w:rFonts w:ascii="Arial" w:hAnsi="Arial" w:cs="Arial" w:eastAsia="Arial" w:hint="default"/>
                <w:sz w:val="18"/>
                <w:szCs w:val="18"/>
              </w:rPr>
            </w:pPr>
            <w:r>
              <w:rPr>
                <w:rFonts w:ascii="Arial"/>
                <w:spacing w:val="-1"/>
                <w:sz w:val="18"/>
              </w:rPr>
              <w:t>4,679,264,541</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60"/>
              <w:jc w:val="right"/>
              <w:rPr>
                <w:rFonts w:ascii="Arial" w:hAnsi="Arial" w:cs="Arial" w:eastAsia="Arial" w:hint="default"/>
                <w:sz w:val="18"/>
                <w:szCs w:val="18"/>
              </w:rPr>
            </w:pPr>
            <w:r>
              <w:rPr>
                <w:rFonts w:ascii="Arial"/>
                <w:spacing w:val="-1"/>
                <w:sz w:val="18"/>
              </w:rPr>
              <w:t>5,180,414,136</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62" w:hRule="exact"/>
        </w:trPr>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76"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243"/>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(4)</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89"/>
              <w:jc w:val="right"/>
              <w:rPr>
                <w:rFonts w:ascii="Arial" w:hAnsi="Arial" w:cs="Arial" w:eastAsia="Arial" w:hint="default"/>
                <w:sz w:val="18"/>
                <w:szCs w:val="18"/>
              </w:rPr>
            </w:pPr>
            <w:r>
              <w:rPr>
                <w:rFonts w:ascii="Arial"/>
                <w:spacing w:val="-1"/>
                <w:sz w:val="18"/>
              </w:rPr>
              <w:t>1,194,730,574</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60"/>
              <w:jc w:val="right"/>
              <w:rPr>
                <w:rFonts w:ascii="Arial" w:hAnsi="Arial" w:cs="Arial" w:eastAsia="Arial" w:hint="default"/>
                <w:sz w:val="18"/>
                <w:szCs w:val="18"/>
              </w:rPr>
            </w:pPr>
            <w:r>
              <w:rPr>
                <w:rFonts w:ascii="Arial"/>
                <w:spacing w:val="-1"/>
                <w:sz w:val="18"/>
              </w:rPr>
              <w:t>2,495,822,362</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62" w:hRule="exact"/>
        </w:trPr>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93" w:right="0"/>
              <w:jc w:val="left"/>
              <w:rPr>
                <w:rFonts w:ascii="黑体" w:hAnsi="黑体" w:cs="黑体" w:eastAsia="黑体" w:hint="default"/>
                <w:sz w:val="18"/>
                <w:szCs w:val="18"/>
              </w:rPr>
            </w:pPr>
            <w:r>
              <w:rPr>
                <w:rFonts w:ascii="黑体" w:hAnsi="黑体" w:cs="黑体" w:eastAsia="黑体" w:hint="default"/>
                <w:sz w:val="18"/>
                <w:szCs w:val="18"/>
              </w:rPr>
              <w:t>非流动资产合计</w:t>
            </w:r>
          </w:p>
        </w:tc>
        <w:tc>
          <w:tcPr>
            <w:tcW w:w="90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88"/>
              <w:jc w:val="right"/>
              <w:rPr>
                <w:rFonts w:ascii="Arial" w:hAnsi="Arial" w:cs="Arial" w:eastAsia="Arial" w:hint="default"/>
                <w:sz w:val="18"/>
                <w:szCs w:val="18"/>
              </w:rPr>
            </w:pPr>
            <w:r>
              <w:rPr>
                <w:rFonts w:ascii="Arial"/>
                <w:spacing w:val="-1"/>
                <w:sz w:val="18"/>
              </w:rPr>
              <w:t>490,503,914,097</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60"/>
              <w:jc w:val="right"/>
              <w:rPr>
                <w:rFonts w:ascii="Arial" w:hAnsi="Arial" w:cs="Arial" w:eastAsia="Arial" w:hint="default"/>
                <w:sz w:val="18"/>
                <w:szCs w:val="18"/>
              </w:rPr>
            </w:pPr>
            <w:r>
              <w:rPr>
                <w:rFonts w:ascii="Arial"/>
                <w:spacing w:val="-1"/>
                <w:sz w:val="18"/>
              </w:rPr>
              <w:t>479,031,679,348</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spacing w:val="-1"/>
                <w:sz w:val="18"/>
              </w:rPr>
              <w:t>38,553,144,684</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Arial" w:hAnsi="Arial" w:cs="Arial" w:eastAsia="Arial" w:hint="default"/>
                <w:sz w:val="18"/>
                <w:szCs w:val="18"/>
              </w:rPr>
            </w:pPr>
            <w:r>
              <w:rPr>
                <w:rFonts w:ascii="Arial"/>
                <w:spacing w:val="-1"/>
                <w:sz w:val="18"/>
              </w:rPr>
              <w:t>38,553,644,252</w:t>
            </w:r>
          </w:p>
        </w:tc>
      </w:tr>
      <w:tr>
        <w:trPr>
          <w:trHeight w:val="262" w:hRule="exact"/>
        </w:trPr>
        <w:tc>
          <w:tcPr>
            <w:tcW w:w="2664"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264" w:hRule="exact"/>
        </w:trPr>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93" w:right="0"/>
              <w:jc w:val="left"/>
              <w:rPr>
                <w:rFonts w:ascii="黑体" w:hAnsi="黑体" w:cs="黑体" w:eastAsia="黑体" w:hint="default"/>
                <w:sz w:val="18"/>
                <w:szCs w:val="18"/>
              </w:rPr>
            </w:pPr>
            <w:r>
              <w:rPr>
                <w:rFonts w:ascii="黑体" w:hAnsi="黑体" w:cs="黑体" w:eastAsia="黑体" w:hint="default"/>
                <w:sz w:val="18"/>
                <w:szCs w:val="18"/>
              </w:rPr>
              <w:t>资产总计</w:t>
            </w:r>
          </w:p>
        </w:tc>
        <w:tc>
          <w:tcPr>
            <w:tcW w:w="90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88"/>
              <w:jc w:val="right"/>
              <w:rPr>
                <w:rFonts w:ascii="Arial" w:hAnsi="Arial" w:cs="Arial" w:eastAsia="Arial" w:hint="default"/>
                <w:sz w:val="18"/>
                <w:szCs w:val="18"/>
              </w:rPr>
            </w:pPr>
            <w:r>
              <w:rPr>
                <w:rFonts w:ascii="Arial"/>
                <w:spacing w:val="-1"/>
                <w:sz w:val="18"/>
              </w:rPr>
              <w:t>547,124,568,845</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59"/>
              <w:jc w:val="right"/>
              <w:rPr>
                <w:rFonts w:ascii="Arial" w:hAnsi="Arial" w:cs="Arial" w:eastAsia="Arial" w:hint="default"/>
                <w:sz w:val="18"/>
                <w:szCs w:val="18"/>
              </w:rPr>
            </w:pPr>
            <w:r>
              <w:rPr>
                <w:rFonts w:ascii="Arial"/>
                <w:spacing w:val="-1"/>
                <w:sz w:val="18"/>
              </w:rPr>
              <w:t>531,364,453,263</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spacing w:val="-1"/>
                <w:sz w:val="18"/>
              </w:rPr>
              <w:t>39,361,504,667</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Arial" w:hAnsi="Arial" w:cs="Arial" w:eastAsia="Arial" w:hint="default"/>
                <w:sz w:val="18"/>
                <w:szCs w:val="18"/>
              </w:rPr>
            </w:pPr>
            <w:r>
              <w:rPr>
                <w:rFonts w:ascii="Arial"/>
                <w:spacing w:val="-1"/>
                <w:sz w:val="18"/>
              </w:rPr>
              <w:t>39,234,968,750</w:t>
            </w:r>
          </w:p>
        </w:tc>
      </w:tr>
    </w:tbl>
    <w:p>
      <w:pPr>
        <w:spacing w:after="0" w:line="240" w:lineRule="auto"/>
        <w:jc w:val="right"/>
        <w:rPr>
          <w:rFonts w:ascii="Arial" w:hAnsi="Arial" w:cs="Arial" w:eastAsia="Arial" w:hint="default"/>
          <w:sz w:val="18"/>
          <w:szCs w:val="18"/>
        </w:rPr>
        <w:sectPr>
          <w:headerReference w:type="default" r:id="rId25"/>
          <w:footerReference w:type="default" r:id="rId26"/>
          <w:pgSz w:w="11910" w:h="16840"/>
          <w:pgMar w:header="0" w:footer="923" w:top="1240" w:bottom="1120" w:left="800" w:right="720"/>
          <w:pgNumType w:start="57"/>
        </w:sectPr>
      </w:pPr>
    </w:p>
    <w:p>
      <w:pPr>
        <w:pStyle w:val="BodyText"/>
        <w:spacing w:line="240" w:lineRule="auto" w:before="6"/>
        <w:ind w:left="112"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1"/>
        <w:rPr>
          <w:rFonts w:ascii="黑体" w:hAnsi="黑体" w:cs="黑体" w:eastAsia="黑体" w:hint="default"/>
          <w:sz w:val="19"/>
          <w:szCs w:val="19"/>
        </w:rPr>
      </w:pPr>
    </w:p>
    <w:p>
      <w:pPr>
        <w:pStyle w:val="BodyText"/>
        <w:spacing w:line="295" w:lineRule="exact"/>
        <w:ind w:left="112"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w:t>
      </w:r>
      <w:r>
        <w:rPr>
          <w:rFonts w:ascii="黑体" w:hAnsi="黑体" w:cs="黑体" w:eastAsia="黑体" w:hint="default"/>
          <w:spacing w:val="-56"/>
        </w:rPr>
        <w:t> </w:t>
      </w:r>
      <w:r>
        <w:rPr>
          <w:rFonts w:ascii="Arial" w:hAnsi="Arial" w:cs="Arial" w:eastAsia="Arial" w:hint="default"/>
        </w:rPr>
        <w:t>12</w:t>
      </w:r>
      <w:r>
        <w:rPr>
          <w:rFonts w:ascii="Arial" w:hAnsi="Arial" w:cs="Arial" w:eastAsia="Arial" w:hint="default"/>
          <w:spacing w:val="-8"/>
        </w:rPr>
        <w:t> </w:t>
      </w:r>
      <w:r>
        <w:rPr>
          <w:rFonts w:ascii="黑体" w:hAnsi="黑体" w:cs="黑体" w:eastAsia="黑体" w:hint="default"/>
        </w:rPr>
        <w:t>月</w:t>
      </w:r>
      <w:r>
        <w:rPr>
          <w:rFonts w:ascii="黑体" w:hAnsi="黑体" w:cs="黑体" w:eastAsia="黑体" w:hint="default"/>
          <w:spacing w:val="-56"/>
        </w:rPr>
        <w:t> </w:t>
      </w:r>
      <w:r>
        <w:rPr>
          <w:rFonts w:ascii="Arial" w:hAnsi="Arial" w:cs="Arial" w:eastAsia="Arial" w:hint="default"/>
        </w:rPr>
        <w:t>31</w:t>
      </w:r>
      <w:r>
        <w:rPr>
          <w:rFonts w:ascii="Arial" w:hAnsi="Arial" w:cs="Arial" w:eastAsia="Arial" w:hint="default"/>
          <w:spacing w:val="-10"/>
        </w:rPr>
        <w:t> </w:t>
      </w:r>
      <w:r>
        <w:rPr>
          <w:rFonts w:ascii="黑体" w:hAnsi="黑体" w:cs="黑体" w:eastAsia="黑体" w:hint="default"/>
        </w:rPr>
        <w:t>日合并及公司资产负债表（续）</w:t>
      </w:r>
    </w:p>
    <w:p>
      <w:pPr>
        <w:pStyle w:val="BodyText"/>
        <w:spacing w:line="279" w:lineRule="exact"/>
        <w:ind w:left="112" w:right="0"/>
        <w:jc w:val="left"/>
        <w:rPr>
          <w:rFonts w:ascii="黑体" w:hAnsi="黑体" w:cs="黑体" w:eastAsia="黑体" w:hint="default"/>
        </w:rPr>
      </w:pPr>
      <w:r>
        <w:rPr>
          <w:rFonts w:ascii="黑体" w:hAnsi="黑体" w:cs="黑体" w:eastAsia="黑体" w:hint="default"/>
        </w:rPr>
        <w:t>（除特别注明外，金额单位为人民币元）</w:t>
      </w:r>
    </w:p>
    <w:p>
      <w:pPr>
        <w:spacing w:line="240" w:lineRule="auto" w:before="0"/>
        <w:rPr>
          <w:rFonts w:ascii="黑体" w:hAnsi="黑体" w:cs="黑体" w:eastAsia="黑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2691"/>
        <w:gridCol w:w="896"/>
        <w:gridCol w:w="1680"/>
        <w:gridCol w:w="1666"/>
        <w:gridCol w:w="1609"/>
        <w:gridCol w:w="1639"/>
      </w:tblGrid>
      <w:tr>
        <w:trPr>
          <w:trHeight w:val="682"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黑体" w:hAnsi="黑体" w:cs="黑体" w:eastAsia="黑体" w:hint="default"/>
                <w:sz w:val="14"/>
                <w:szCs w:val="14"/>
              </w:rPr>
            </w:pPr>
          </w:p>
          <w:p>
            <w:pPr>
              <w:pStyle w:val="TableParagraph"/>
              <w:spacing w:line="240" w:lineRule="auto"/>
              <w:ind w:left="708" w:right="0"/>
              <w:jc w:val="left"/>
              <w:rPr>
                <w:rFonts w:ascii="黑体" w:hAnsi="黑体" w:cs="黑体" w:eastAsia="黑体" w:hint="default"/>
                <w:sz w:val="18"/>
                <w:szCs w:val="18"/>
              </w:rPr>
            </w:pPr>
            <w:r>
              <w:rPr>
                <w:rFonts w:ascii="黑体" w:hAnsi="黑体" w:cs="黑体" w:eastAsia="黑体" w:hint="default"/>
                <w:sz w:val="18"/>
                <w:szCs w:val="18"/>
              </w:rPr>
              <w:t>负债和股东权益</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黑体" w:hAnsi="黑体" w:cs="黑体" w:eastAsia="黑体" w:hint="default"/>
                <w:sz w:val="14"/>
                <w:szCs w:val="14"/>
              </w:rPr>
            </w:pPr>
          </w:p>
          <w:p>
            <w:pPr>
              <w:pStyle w:val="TableParagraph"/>
              <w:spacing w:line="240" w:lineRule="auto"/>
              <w:ind w:right="257"/>
              <w:jc w:val="right"/>
              <w:rPr>
                <w:rFonts w:ascii="黑体" w:hAnsi="黑体" w:cs="黑体" w:eastAsia="黑体" w:hint="default"/>
                <w:sz w:val="18"/>
                <w:szCs w:val="18"/>
              </w:rPr>
            </w:pPr>
            <w:r>
              <w:rPr>
                <w:rFonts w:ascii="黑体" w:hAnsi="黑体" w:cs="黑体" w:eastAsia="黑体" w:hint="default"/>
                <w:sz w:val="18"/>
                <w:szCs w:val="18"/>
              </w:rPr>
              <w:t>附注</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70"/>
              <w:ind w:left="24" w:right="0"/>
              <w:jc w:val="center"/>
              <w:rPr>
                <w:rFonts w:ascii="黑体" w:hAnsi="黑体" w:cs="黑体" w:eastAsia="黑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黑体" w:hAnsi="黑体" w:cs="黑体" w:eastAsia="黑体" w:hint="default"/>
                <w:sz w:val="18"/>
                <w:szCs w:val="18"/>
              </w:rPr>
              <w:t>年</w:t>
            </w:r>
            <w:r>
              <w:rPr>
                <w:rFonts w:ascii="黑体" w:hAnsi="黑体" w:cs="黑体" w:eastAsia="黑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w:t>
            </w:r>
          </w:p>
          <w:p>
            <w:pPr>
              <w:pStyle w:val="TableParagraph"/>
              <w:spacing w:line="228" w:lineRule="exact"/>
              <w:ind w:right="71"/>
              <w:jc w:val="center"/>
              <w:rPr>
                <w:rFonts w:ascii="黑体" w:hAnsi="黑体" w:cs="黑体" w:eastAsia="黑体" w:hint="default"/>
                <w:sz w:val="18"/>
                <w:szCs w:val="18"/>
              </w:rPr>
            </w:pPr>
            <w:r>
              <w:rPr>
                <w:rFonts w:ascii="黑体" w:hAnsi="黑体" w:cs="黑体" w:eastAsia="黑体" w:hint="default"/>
                <w:sz w:val="18"/>
                <w:szCs w:val="18"/>
              </w:rPr>
              <w:t>合并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70"/>
              <w:ind w:left="24" w:right="0"/>
              <w:jc w:val="center"/>
              <w:rPr>
                <w:rFonts w:ascii="黑体" w:hAnsi="黑体" w:cs="黑体" w:eastAsia="黑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黑体" w:hAnsi="黑体" w:cs="黑体" w:eastAsia="黑体" w:hint="default"/>
                <w:sz w:val="18"/>
                <w:szCs w:val="18"/>
              </w:rPr>
              <w:t>年</w:t>
            </w:r>
            <w:r>
              <w:rPr>
                <w:rFonts w:ascii="黑体" w:hAnsi="黑体" w:cs="黑体" w:eastAsia="黑体" w:hint="default"/>
                <w:spacing w:val="-45"/>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w:t>
            </w:r>
          </w:p>
          <w:p>
            <w:pPr>
              <w:pStyle w:val="TableParagraph"/>
              <w:spacing w:line="228" w:lineRule="exact"/>
              <w:ind w:left="24" w:right="0"/>
              <w:jc w:val="center"/>
              <w:rPr>
                <w:rFonts w:ascii="黑体" w:hAnsi="黑体" w:cs="黑体" w:eastAsia="黑体" w:hint="default"/>
                <w:sz w:val="18"/>
                <w:szCs w:val="18"/>
              </w:rPr>
            </w:pPr>
            <w:r>
              <w:rPr>
                <w:rFonts w:ascii="黑体" w:hAnsi="黑体" w:cs="黑体" w:eastAsia="黑体" w:hint="default"/>
                <w:sz w:val="18"/>
                <w:szCs w:val="18"/>
              </w:rPr>
              <w:t>合并</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70"/>
              <w:ind w:right="8"/>
              <w:jc w:val="center"/>
              <w:rPr>
                <w:rFonts w:ascii="黑体" w:hAnsi="黑体" w:cs="黑体" w:eastAsia="黑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黑体" w:hAnsi="黑体" w:cs="黑体" w:eastAsia="黑体" w:hint="default"/>
                <w:sz w:val="18"/>
                <w:szCs w:val="18"/>
              </w:rPr>
              <w:t>年</w:t>
            </w:r>
            <w:r>
              <w:rPr>
                <w:rFonts w:ascii="黑体" w:hAnsi="黑体" w:cs="黑体" w:eastAsia="黑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w:t>
            </w:r>
          </w:p>
          <w:p>
            <w:pPr>
              <w:pStyle w:val="TableParagraph"/>
              <w:spacing w:line="228" w:lineRule="exact"/>
              <w:ind w:left="28" w:right="0"/>
              <w:jc w:val="center"/>
              <w:rPr>
                <w:rFonts w:ascii="黑体" w:hAnsi="黑体" w:cs="黑体" w:eastAsia="黑体" w:hint="default"/>
                <w:sz w:val="18"/>
                <w:szCs w:val="18"/>
              </w:rPr>
            </w:pPr>
            <w:r>
              <w:rPr>
                <w:rFonts w:ascii="黑体" w:hAnsi="黑体" w:cs="黑体" w:eastAsia="黑体" w:hint="default"/>
                <w:sz w:val="18"/>
                <w:szCs w:val="18"/>
              </w:rPr>
              <w:t>公司</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70"/>
              <w:ind w:left="31" w:right="0"/>
              <w:jc w:val="center"/>
              <w:rPr>
                <w:rFonts w:ascii="黑体" w:hAnsi="黑体" w:cs="黑体" w:eastAsia="黑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黑体" w:hAnsi="黑体" w:cs="黑体" w:eastAsia="黑体" w:hint="default"/>
                <w:sz w:val="18"/>
                <w:szCs w:val="18"/>
              </w:rPr>
              <w:t>年</w:t>
            </w:r>
            <w:r>
              <w:rPr>
                <w:rFonts w:ascii="黑体" w:hAnsi="黑体" w:cs="黑体" w:eastAsia="黑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w:t>
            </w:r>
          </w:p>
          <w:p>
            <w:pPr>
              <w:pStyle w:val="TableParagraph"/>
              <w:spacing w:line="228" w:lineRule="exact"/>
              <w:ind w:left="31" w:right="0"/>
              <w:jc w:val="center"/>
              <w:rPr>
                <w:rFonts w:ascii="黑体" w:hAnsi="黑体" w:cs="黑体" w:eastAsia="黑体" w:hint="default"/>
                <w:sz w:val="18"/>
                <w:szCs w:val="18"/>
              </w:rPr>
            </w:pPr>
            <w:r>
              <w:rPr>
                <w:rFonts w:ascii="黑体" w:hAnsi="黑体" w:cs="黑体" w:eastAsia="黑体" w:hint="default"/>
                <w:sz w:val="18"/>
                <w:szCs w:val="18"/>
              </w:rPr>
              <w:t>公司</w:t>
            </w:r>
          </w:p>
        </w:tc>
      </w:tr>
      <w:tr>
        <w:trPr>
          <w:trHeight w:val="250"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3" w:right="0"/>
              <w:jc w:val="left"/>
              <w:rPr>
                <w:rFonts w:ascii="黑体" w:hAnsi="黑体" w:cs="黑体" w:eastAsia="黑体" w:hint="default"/>
                <w:sz w:val="18"/>
                <w:szCs w:val="18"/>
              </w:rPr>
            </w:pPr>
            <w:r>
              <w:rPr>
                <w:rFonts w:ascii="黑体" w:hAnsi="黑体" w:cs="黑体" w:eastAsia="黑体" w:hint="default"/>
                <w:sz w:val="18"/>
                <w:szCs w:val="18"/>
              </w:rPr>
              <w:t>流动负债</w:t>
            </w:r>
          </w:p>
        </w:tc>
        <w:tc>
          <w:tcPr>
            <w:tcW w:w="896"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2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(15)</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4"/>
              <w:jc w:val="right"/>
              <w:rPr>
                <w:rFonts w:ascii="Arial" w:hAnsi="Arial" w:cs="Arial" w:eastAsia="Arial" w:hint="default"/>
                <w:sz w:val="18"/>
                <w:szCs w:val="18"/>
              </w:rPr>
            </w:pPr>
            <w:r>
              <w:rPr>
                <w:rFonts w:ascii="Arial"/>
                <w:spacing w:val="-1"/>
                <w:sz w:val="18"/>
              </w:rPr>
              <w:t>93,321,002,921</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95" w:right="0"/>
              <w:jc w:val="left"/>
              <w:rPr>
                <w:rFonts w:ascii="Arial" w:hAnsi="Arial" w:cs="Arial" w:eastAsia="Arial" w:hint="default"/>
                <w:sz w:val="18"/>
                <w:szCs w:val="18"/>
              </w:rPr>
            </w:pPr>
            <w:r>
              <w:rPr>
                <w:rFonts w:ascii="Arial"/>
                <w:sz w:val="18"/>
              </w:rPr>
              <w:t>95,765,895,663</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7"/>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2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(16)</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5"/>
              <w:jc w:val="right"/>
              <w:rPr>
                <w:rFonts w:ascii="Arial" w:hAnsi="Arial" w:cs="Arial" w:eastAsia="Arial" w:hint="default"/>
                <w:sz w:val="18"/>
                <w:szCs w:val="18"/>
              </w:rPr>
            </w:pPr>
            <w:r>
              <w:rPr>
                <w:rFonts w:ascii="Arial"/>
                <w:spacing w:val="-1"/>
                <w:sz w:val="18"/>
              </w:rPr>
              <w:t>107,766,020</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2"/>
              <w:jc w:val="right"/>
              <w:rPr>
                <w:rFonts w:ascii="Arial" w:hAnsi="Arial" w:cs="Arial" w:eastAsia="Arial" w:hint="default"/>
                <w:sz w:val="18"/>
                <w:szCs w:val="18"/>
              </w:rPr>
            </w:pPr>
            <w:r>
              <w:rPr>
                <w:rFonts w:ascii="Arial"/>
                <w:spacing w:val="-1"/>
                <w:sz w:val="18"/>
              </w:rPr>
              <w:t>406,317,719</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7"/>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2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(17)</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3"/>
              <w:jc w:val="right"/>
              <w:rPr>
                <w:rFonts w:ascii="Arial" w:hAnsi="Arial" w:cs="Arial" w:eastAsia="Arial" w:hint="default"/>
                <w:sz w:val="18"/>
                <w:szCs w:val="18"/>
              </w:rPr>
            </w:pPr>
            <w:r>
              <w:rPr>
                <w:rFonts w:ascii="Arial"/>
                <w:spacing w:val="-1"/>
                <w:sz w:val="18"/>
              </w:rPr>
              <w:t>112,372,702,753</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95" w:right="0"/>
              <w:jc w:val="left"/>
              <w:rPr>
                <w:rFonts w:ascii="Arial" w:hAnsi="Arial" w:cs="Arial" w:eastAsia="Arial" w:hint="default"/>
                <w:sz w:val="18"/>
                <w:szCs w:val="18"/>
              </w:rPr>
            </w:pPr>
            <w:r>
              <w:rPr>
                <w:rFonts w:ascii="Arial"/>
                <w:sz w:val="18"/>
              </w:rPr>
              <w:t>95,745,696,314</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7"/>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2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(18)</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4"/>
              <w:jc w:val="right"/>
              <w:rPr>
                <w:rFonts w:ascii="Arial" w:hAnsi="Arial" w:cs="Arial" w:eastAsia="Arial" w:hint="default"/>
                <w:sz w:val="18"/>
                <w:szCs w:val="18"/>
              </w:rPr>
            </w:pPr>
            <w:r>
              <w:rPr>
                <w:rFonts w:ascii="Arial"/>
                <w:spacing w:val="-1"/>
                <w:sz w:val="18"/>
              </w:rPr>
              <w:t>47,470,423,706</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95" w:right="0"/>
              <w:jc w:val="left"/>
              <w:rPr>
                <w:rFonts w:ascii="Arial" w:hAnsi="Arial" w:cs="Arial" w:eastAsia="Arial" w:hint="default"/>
                <w:sz w:val="18"/>
                <w:szCs w:val="18"/>
              </w:rPr>
            </w:pPr>
            <w:r>
              <w:rPr>
                <w:rFonts w:ascii="Arial"/>
                <w:sz w:val="18"/>
              </w:rPr>
              <w:t>50,352,480,435</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7"/>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Arial" w:hAnsi="Arial" w:cs="Arial" w:eastAsia="Arial" w:hint="default"/>
                <w:sz w:val="18"/>
                <w:szCs w:val="18"/>
              </w:rPr>
            </w:pPr>
            <w:r>
              <w:rPr>
                <w:rFonts w:ascii="Arial"/>
                <w:w w:val="99"/>
                <w:sz w:val="18"/>
              </w:rPr>
              <w:t>-</w:t>
            </w:r>
            <w:r>
              <w:rPr>
                <w:rFonts w:ascii="Arial"/>
                <w:sz w:val="18"/>
              </w:rPr>
            </w:r>
          </w:p>
        </w:tc>
      </w:tr>
      <w:tr>
        <w:trPr>
          <w:trHeight w:val="253"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2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(19)</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3"/>
              <w:jc w:val="right"/>
              <w:rPr>
                <w:rFonts w:ascii="Arial" w:hAnsi="Arial" w:cs="Arial" w:eastAsia="Arial" w:hint="default"/>
                <w:sz w:val="18"/>
                <w:szCs w:val="18"/>
              </w:rPr>
            </w:pPr>
            <w:r>
              <w:rPr>
                <w:rFonts w:ascii="Arial"/>
                <w:spacing w:val="-1"/>
                <w:sz w:val="18"/>
              </w:rPr>
              <w:t>6,873,016,135</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93" w:right="0"/>
              <w:jc w:val="left"/>
              <w:rPr>
                <w:rFonts w:ascii="Arial" w:hAnsi="Arial" w:cs="Arial" w:eastAsia="Arial" w:hint="default"/>
                <w:sz w:val="18"/>
                <w:szCs w:val="18"/>
              </w:rPr>
            </w:pPr>
            <w:r>
              <w:rPr>
                <w:rFonts w:ascii="Arial"/>
                <w:sz w:val="18"/>
              </w:rPr>
              <w:t>4,927,070,472</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7"/>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2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(20)</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3"/>
              <w:jc w:val="right"/>
              <w:rPr>
                <w:rFonts w:ascii="Arial" w:hAnsi="Arial" w:cs="Arial" w:eastAsia="Arial" w:hint="default"/>
                <w:sz w:val="18"/>
                <w:szCs w:val="18"/>
              </w:rPr>
            </w:pPr>
            <w:r>
              <w:rPr>
                <w:rFonts w:ascii="Arial"/>
                <w:spacing w:val="-1"/>
                <w:sz w:val="18"/>
              </w:rPr>
              <w:t>1,466,511,521</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93" w:right="0"/>
              <w:jc w:val="left"/>
              <w:rPr>
                <w:rFonts w:ascii="Arial" w:hAnsi="Arial" w:cs="Arial" w:eastAsia="Arial" w:hint="default"/>
                <w:sz w:val="18"/>
                <w:szCs w:val="18"/>
              </w:rPr>
            </w:pPr>
            <w:r>
              <w:rPr>
                <w:rFonts w:ascii="Arial"/>
                <w:sz w:val="18"/>
              </w:rPr>
              <w:t>2,634,109,942</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6"/>
              <w:jc w:val="right"/>
              <w:rPr>
                <w:rFonts w:ascii="Arial" w:hAnsi="Arial" w:cs="Arial" w:eastAsia="Arial" w:hint="default"/>
                <w:sz w:val="18"/>
                <w:szCs w:val="18"/>
              </w:rPr>
            </w:pPr>
            <w:r>
              <w:rPr>
                <w:rFonts w:ascii="Arial"/>
                <w:spacing w:val="-1"/>
                <w:sz w:val="18"/>
              </w:rPr>
              <w:t>38,817</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5"/>
              <w:jc w:val="right"/>
              <w:rPr>
                <w:rFonts w:ascii="Arial" w:hAnsi="Arial" w:cs="Arial" w:eastAsia="Arial" w:hint="default"/>
                <w:sz w:val="18"/>
                <w:szCs w:val="18"/>
              </w:rPr>
            </w:pPr>
            <w:r>
              <w:rPr>
                <w:rFonts w:ascii="Arial"/>
                <w:spacing w:val="-1"/>
                <w:sz w:val="18"/>
              </w:rPr>
              <w:t>75,493</w:t>
            </w:r>
          </w:p>
        </w:tc>
      </w:tr>
      <w:tr>
        <w:trPr>
          <w:trHeight w:val="250"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5"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2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(21)</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5"/>
              <w:jc w:val="right"/>
              <w:rPr>
                <w:rFonts w:ascii="Arial" w:hAnsi="Arial" w:cs="Arial" w:eastAsia="Arial" w:hint="default"/>
                <w:sz w:val="18"/>
                <w:szCs w:val="18"/>
              </w:rPr>
            </w:pPr>
            <w:r>
              <w:rPr>
                <w:rFonts w:ascii="Arial"/>
                <w:spacing w:val="-1"/>
                <w:sz w:val="18"/>
              </w:rPr>
              <w:t>765,503,758</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2"/>
              <w:jc w:val="right"/>
              <w:rPr>
                <w:rFonts w:ascii="Arial" w:hAnsi="Arial" w:cs="Arial" w:eastAsia="Arial" w:hint="default"/>
                <w:sz w:val="18"/>
                <w:szCs w:val="18"/>
              </w:rPr>
            </w:pPr>
            <w:r>
              <w:rPr>
                <w:rFonts w:ascii="Arial"/>
                <w:spacing w:val="-1"/>
                <w:sz w:val="18"/>
              </w:rPr>
              <w:t>568,100,158</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7"/>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5"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2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(22)</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2"/>
              <w:jc w:val="right"/>
              <w:rPr>
                <w:rFonts w:ascii="Arial" w:hAnsi="Arial" w:cs="Arial" w:eastAsia="Arial" w:hint="default"/>
                <w:sz w:val="18"/>
                <w:szCs w:val="18"/>
              </w:rPr>
            </w:pPr>
            <w:r>
              <w:rPr>
                <w:rFonts w:ascii="Arial"/>
                <w:spacing w:val="-1"/>
                <w:sz w:val="18"/>
              </w:rPr>
              <w:t>2,266,014</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2"/>
              <w:jc w:val="right"/>
              <w:rPr>
                <w:rFonts w:ascii="Arial" w:hAnsi="Arial" w:cs="Arial" w:eastAsia="Arial" w:hint="default"/>
                <w:sz w:val="18"/>
                <w:szCs w:val="18"/>
              </w:rPr>
            </w:pPr>
            <w:r>
              <w:rPr>
                <w:rFonts w:ascii="Arial"/>
                <w:spacing w:val="-1"/>
                <w:sz w:val="18"/>
              </w:rPr>
              <w:t>2,266,014</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7"/>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2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(23)</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2"/>
              <w:jc w:val="right"/>
              <w:rPr>
                <w:rFonts w:ascii="Arial" w:hAnsi="Arial" w:cs="Arial" w:eastAsia="Arial" w:hint="default"/>
                <w:sz w:val="18"/>
                <w:szCs w:val="18"/>
              </w:rPr>
            </w:pPr>
            <w:r>
              <w:rPr>
                <w:rFonts w:ascii="Arial"/>
                <w:spacing w:val="-1"/>
                <w:sz w:val="18"/>
              </w:rPr>
              <w:t>7,425,989,256</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93" w:right="0"/>
              <w:jc w:val="left"/>
              <w:rPr>
                <w:rFonts w:ascii="Arial" w:hAnsi="Arial" w:cs="Arial" w:eastAsia="Arial" w:hint="default"/>
                <w:sz w:val="18"/>
                <w:szCs w:val="18"/>
              </w:rPr>
            </w:pPr>
            <w:r>
              <w:rPr>
                <w:rFonts w:ascii="Arial"/>
                <w:sz w:val="18"/>
              </w:rPr>
              <w:t>9,081,352,828</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6"/>
              <w:jc w:val="right"/>
              <w:rPr>
                <w:rFonts w:ascii="Arial" w:hAnsi="Arial" w:cs="Arial" w:eastAsia="Arial" w:hint="default"/>
                <w:sz w:val="18"/>
                <w:szCs w:val="18"/>
              </w:rPr>
            </w:pPr>
            <w:r>
              <w:rPr>
                <w:rFonts w:ascii="Arial"/>
                <w:spacing w:val="-1"/>
                <w:sz w:val="18"/>
              </w:rPr>
              <w:t>4,622,028</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5"/>
              <w:jc w:val="right"/>
              <w:rPr>
                <w:rFonts w:ascii="Arial" w:hAnsi="Arial" w:cs="Arial" w:eastAsia="Arial" w:hint="default"/>
                <w:sz w:val="18"/>
                <w:szCs w:val="18"/>
              </w:rPr>
            </w:pPr>
            <w:r>
              <w:rPr>
                <w:rFonts w:ascii="Arial"/>
                <w:spacing w:val="-1"/>
                <w:sz w:val="18"/>
              </w:rPr>
              <w:t>3,173,915</w:t>
            </w:r>
          </w:p>
        </w:tc>
      </w:tr>
      <w:tr>
        <w:trPr>
          <w:trHeight w:val="250"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418"/>
              <w:jc w:val="righ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2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(24)</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5"/>
              <w:jc w:val="right"/>
              <w:rPr>
                <w:rFonts w:ascii="Arial" w:hAnsi="Arial" w:cs="Arial" w:eastAsia="Arial" w:hint="default"/>
                <w:sz w:val="18"/>
                <w:szCs w:val="18"/>
              </w:rPr>
            </w:pPr>
            <w:r>
              <w:rPr>
                <w:rFonts w:ascii="Arial"/>
                <w:spacing w:val="-1"/>
                <w:sz w:val="18"/>
              </w:rPr>
              <w:t>11,380,300,366</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2"/>
              <w:jc w:val="right"/>
              <w:rPr>
                <w:rFonts w:ascii="Arial" w:hAnsi="Arial" w:cs="Arial" w:eastAsia="Arial" w:hint="default"/>
                <w:sz w:val="18"/>
                <w:szCs w:val="18"/>
              </w:rPr>
            </w:pPr>
            <w:r>
              <w:rPr>
                <w:rFonts w:ascii="Arial"/>
                <w:spacing w:val="-1"/>
                <w:sz w:val="18"/>
              </w:rPr>
              <w:t>209,733,286</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7"/>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Arial" w:hAnsi="Arial" w:cs="Arial" w:eastAsia="Arial" w:hint="default"/>
                <w:sz w:val="18"/>
                <w:szCs w:val="18"/>
              </w:rPr>
            </w:pPr>
            <w:r>
              <w:rPr>
                <w:rFonts w:ascii="Arial"/>
                <w:w w:val="99"/>
                <w:sz w:val="18"/>
              </w:rPr>
              <w:t>-</w:t>
            </w:r>
            <w:r>
              <w:rPr>
                <w:rFonts w:ascii="Arial"/>
                <w:sz w:val="18"/>
              </w:rPr>
            </w:r>
          </w:p>
        </w:tc>
      </w:tr>
      <w:tr>
        <w:trPr>
          <w:trHeight w:val="252"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2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(25)</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3"/>
              <w:jc w:val="right"/>
              <w:rPr>
                <w:rFonts w:ascii="Arial" w:hAnsi="Arial" w:cs="Arial" w:eastAsia="Arial" w:hint="default"/>
                <w:sz w:val="18"/>
                <w:szCs w:val="18"/>
              </w:rPr>
            </w:pPr>
            <w:r>
              <w:rPr>
                <w:rFonts w:ascii="Arial"/>
                <w:spacing w:val="-1"/>
                <w:sz w:val="18"/>
              </w:rPr>
              <w:t>9,978,520,548</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95" w:right="0"/>
              <w:jc w:val="left"/>
              <w:rPr>
                <w:rFonts w:ascii="Arial" w:hAnsi="Arial" w:cs="Arial" w:eastAsia="Arial" w:hint="default"/>
                <w:sz w:val="18"/>
                <w:szCs w:val="18"/>
              </w:rPr>
            </w:pPr>
            <w:r>
              <w:rPr>
                <w:rFonts w:ascii="Arial"/>
                <w:sz w:val="18"/>
              </w:rPr>
              <w:t>35,000,000,000</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7"/>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3" w:right="0"/>
              <w:jc w:val="left"/>
              <w:rPr>
                <w:rFonts w:ascii="黑体" w:hAnsi="黑体" w:cs="黑体" w:eastAsia="黑体" w:hint="default"/>
                <w:sz w:val="18"/>
                <w:szCs w:val="18"/>
              </w:rPr>
            </w:pPr>
            <w:r>
              <w:rPr>
                <w:rFonts w:ascii="黑体" w:hAnsi="黑体" w:cs="黑体" w:eastAsia="黑体" w:hint="default"/>
                <w:sz w:val="18"/>
                <w:szCs w:val="18"/>
              </w:rPr>
              <w:t>流动负债合计</w:t>
            </w:r>
          </w:p>
        </w:tc>
        <w:tc>
          <w:tcPr>
            <w:tcW w:w="896"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3"/>
              <w:jc w:val="right"/>
              <w:rPr>
                <w:rFonts w:ascii="Arial" w:hAnsi="Arial" w:cs="Arial" w:eastAsia="Arial" w:hint="default"/>
                <w:sz w:val="18"/>
                <w:szCs w:val="18"/>
              </w:rPr>
            </w:pPr>
            <w:r>
              <w:rPr>
                <w:rFonts w:ascii="Arial"/>
                <w:spacing w:val="-1"/>
                <w:sz w:val="18"/>
              </w:rPr>
              <w:t>291,164,002,998</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91" w:right="0"/>
              <w:jc w:val="left"/>
              <w:rPr>
                <w:rFonts w:ascii="Arial" w:hAnsi="Arial" w:cs="Arial" w:eastAsia="Arial" w:hint="default"/>
                <w:sz w:val="18"/>
                <w:szCs w:val="18"/>
              </w:rPr>
            </w:pPr>
            <w:r>
              <w:rPr>
                <w:rFonts w:ascii="Arial"/>
                <w:sz w:val="18"/>
              </w:rPr>
              <w:t>294,693,022,831</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6"/>
              <w:jc w:val="right"/>
              <w:rPr>
                <w:rFonts w:ascii="Arial" w:hAnsi="Arial" w:cs="Arial" w:eastAsia="Arial" w:hint="default"/>
                <w:sz w:val="18"/>
                <w:szCs w:val="18"/>
              </w:rPr>
            </w:pPr>
            <w:r>
              <w:rPr>
                <w:rFonts w:ascii="Arial"/>
                <w:spacing w:val="-1"/>
                <w:sz w:val="18"/>
              </w:rPr>
              <w:t>4,660,845</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5"/>
              <w:jc w:val="right"/>
              <w:rPr>
                <w:rFonts w:ascii="Arial" w:hAnsi="Arial" w:cs="Arial" w:eastAsia="Arial" w:hint="default"/>
                <w:sz w:val="18"/>
                <w:szCs w:val="18"/>
              </w:rPr>
            </w:pPr>
            <w:r>
              <w:rPr>
                <w:rFonts w:ascii="Arial"/>
                <w:spacing w:val="-1"/>
                <w:sz w:val="18"/>
              </w:rPr>
              <w:t>3,249,408</w:t>
            </w:r>
          </w:p>
        </w:tc>
      </w:tr>
      <w:tr>
        <w:trPr>
          <w:trHeight w:val="250" w:hRule="exact"/>
        </w:trPr>
        <w:tc>
          <w:tcPr>
            <w:tcW w:w="2691"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3" w:right="0"/>
              <w:jc w:val="left"/>
              <w:rPr>
                <w:rFonts w:ascii="黑体" w:hAnsi="黑体" w:cs="黑体" w:eastAsia="黑体" w:hint="default"/>
                <w:sz w:val="18"/>
                <w:szCs w:val="18"/>
              </w:rPr>
            </w:pPr>
            <w:r>
              <w:rPr>
                <w:rFonts w:ascii="黑体" w:hAnsi="黑体" w:cs="黑体" w:eastAsia="黑体" w:hint="default"/>
                <w:sz w:val="18"/>
                <w:szCs w:val="18"/>
              </w:rPr>
              <w:t>非流动负债</w:t>
            </w:r>
          </w:p>
        </w:tc>
        <w:tc>
          <w:tcPr>
            <w:tcW w:w="896"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2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(26)</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5"/>
              <w:jc w:val="right"/>
              <w:rPr>
                <w:rFonts w:ascii="Arial" w:hAnsi="Arial" w:cs="Arial" w:eastAsia="Arial" w:hint="default"/>
                <w:sz w:val="18"/>
                <w:szCs w:val="18"/>
              </w:rPr>
            </w:pPr>
            <w:r>
              <w:rPr>
                <w:rFonts w:ascii="Arial"/>
                <w:spacing w:val="-1"/>
                <w:sz w:val="18"/>
              </w:rPr>
              <w:t>419,824,527</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2"/>
              <w:jc w:val="right"/>
              <w:rPr>
                <w:rFonts w:ascii="Arial" w:hAnsi="Arial" w:cs="Arial" w:eastAsia="Arial" w:hint="default"/>
                <w:sz w:val="18"/>
                <w:szCs w:val="18"/>
              </w:rPr>
            </w:pPr>
            <w:r>
              <w:rPr>
                <w:rFonts w:ascii="Arial"/>
                <w:spacing w:val="-1"/>
                <w:sz w:val="18"/>
              </w:rPr>
              <w:t>481,296,995</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7"/>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2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(27)</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5"/>
              <w:jc w:val="right"/>
              <w:rPr>
                <w:rFonts w:ascii="Arial" w:hAnsi="Arial" w:cs="Arial" w:eastAsia="Arial" w:hint="default"/>
                <w:sz w:val="18"/>
                <w:szCs w:val="18"/>
              </w:rPr>
            </w:pPr>
            <w:r>
              <w:rPr>
                <w:rFonts w:ascii="Arial"/>
                <w:spacing w:val="-1"/>
                <w:sz w:val="18"/>
              </w:rPr>
              <w:t>23,459,900,328</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95" w:right="0"/>
              <w:jc w:val="left"/>
              <w:rPr>
                <w:rFonts w:ascii="Arial" w:hAnsi="Arial" w:cs="Arial" w:eastAsia="Arial" w:hint="default"/>
                <w:sz w:val="18"/>
                <w:szCs w:val="18"/>
              </w:rPr>
            </w:pPr>
            <w:r>
              <w:rPr>
                <w:rFonts w:ascii="Arial"/>
                <w:sz w:val="18"/>
              </w:rPr>
              <w:t>13,001,630,309</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7"/>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Arial" w:hAnsi="Arial" w:cs="Arial" w:eastAsia="Arial" w:hint="default"/>
                <w:sz w:val="18"/>
                <w:szCs w:val="18"/>
              </w:rPr>
            </w:pPr>
            <w:r>
              <w:rPr>
                <w:rFonts w:ascii="Arial"/>
                <w:w w:val="99"/>
                <w:sz w:val="18"/>
              </w:rPr>
              <w:t>-</w:t>
            </w:r>
            <w:r>
              <w:rPr>
                <w:rFonts w:ascii="Arial"/>
                <w:sz w:val="18"/>
              </w:rPr>
            </w:r>
          </w:p>
        </w:tc>
      </w:tr>
      <w:tr>
        <w:trPr>
          <w:trHeight w:val="252"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2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(28)</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5"/>
              <w:jc w:val="right"/>
              <w:rPr>
                <w:rFonts w:ascii="Arial" w:hAnsi="Arial" w:cs="Arial" w:eastAsia="Arial" w:hint="default"/>
                <w:sz w:val="18"/>
                <w:szCs w:val="18"/>
              </w:rPr>
            </w:pPr>
            <w:r>
              <w:rPr>
                <w:rFonts w:ascii="Arial"/>
                <w:spacing w:val="-1"/>
                <w:sz w:val="18"/>
              </w:rPr>
              <w:t>120,107,898</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2"/>
              <w:jc w:val="right"/>
              <w:rPr>
                <w:rFonts w:ascii="Arial" w:hAnsi="Arial" w:cs="Arial" w:eastAsia="Arial" w:hint="default"/>
                <w:sz w:val="18"/>
                <w:szCs w:val="18"/>
              </w:rPr>
            </w:pPr>
            <w:r>
              <w:rPr>
                <w:rFonts w:ascii="Arial"/>
                <w:spacing w:val="-1"/>
                <w:sz w:val="18"/>
              </w:rPr>
              <w:t>157,397,760</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7"/>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2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(29)</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5"/>
              <w:jc w:val="right"/>
              <w:rPr>
                <w:rFonts w:ascii="Arial" w:hAnsi="Arial" w:cs="Arial" w:eastAsia="Arial" w:hint="default"/>
                <w:sz w:val="18"/>
                <w:szCs w:val="18"/>
              </w:rPr>
            </w:pPr>
            <w:r>
              <w:rPr>
                <w:rFonts w:ascii="Arial"/>
                <w:spacing w:val="-1"/>
                <w:sz w:val="18"/>
              </w:rPr>
              <w:t>96,804,663</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2"/>
              <w:jc w:val="right"/>
              <w:rPr>
                <w:rFonts w:ascii="Arial" w:hAnsi="Arial" w:cs="Arial" w:eastAsia="Arial" w:hint="default"/>
                <w:sz w:val="18"/>
                <w:szCs w:val="18"/>
              </w:rPr>
            </w:pPr>
            <w:r>
              <w:rPr>
                <w:rFonts w:ascii="Arial"/>
                <w:spacing w:val="-1"/>
                <w:sz w:val="18"/>
              </w:rPr>
              <w:t>97,254,594</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7"/>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2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(30)</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3"/>
              <w:jc w:val="right"/>
              <w:rPr>
                <w:rFonts w:ascii="Arial" w:hAnsi="Arial" w:cs="Arial" w:eastAsia="Arial" w:hint="default"/>
                <w:sz w:val="18"/>
                <w:szCs w:val="18"/>
              </w:rPr>
            </w:pPr>
            <w:r>
              <w:rPr>
                <w:rFonts w:ascii="Arial"/>
                <w:spacing w:val="-1"/>
                <w:sz w:val="18"/>
              </w:rPr>
              <w:t>1,496,636,678</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93" w:right="0"/>
              <w:jc w:val="left"/>
              <w:rPr>
                <w:rFonts w:ascii="Arial" w:hAnsi="Arial" w:cs="Arial" w:eastAsia="Arial" w:hint="default"/>
                <w:sz w:val="18"/>
                <w:szCs w:val="18"/>
              </w:rPr>
            </w:pPr>
            <w:r>
              <w:rPr>
                <w:rFonts w:ascii="Arial"/>
                <w:sz w:val="18"/>
              </w:rPr>
              <w:t>1,268,860,999</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7"/>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2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(45)</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5"/>
              <w:jc w:val="right"/>
              <w:rPr>
                <w:rFonts w:ascii="Arial" w:hAnsi="Arial" w:cs="Arial" w:eastAsia="Arial" w:hint="default"/>
                <w:sz w:val="18"/>
                <w:szCs w:val="18"/>
              </w:rPr>
            </w:pPr>
            <w:r>
              <w:rPr>
                <w:rFonts w:ascii="Arial"/>
                <w:spacing w:val="-1"/>
                <w:sz w:val="18"/>
              </w:rPr>
              <w:t>39,370,551</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2"/>
              <w:jc w:val="right"/>
              <w:rPr>
                <w:rFonts w:ascii="Arial" w:hAnsi="Arial" w:cs="Arial" w:eastAsia="Arial" w:hint="default"/>
                <w:sz w:val="18"/>
                <w:szCs w:val="18"/>
              </w:rPr>
            </w:pPr>
            <w:r>
              <w:rPr>
                <w:rFonts w:ascii="Arial"/>
                <w:spacing w:val="-1"/>
                <w:sz w:val="18"/>
              </w:rPr>
              <w:t>38,885,611</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7"/>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3" w:right="0"/>
              <w:jc w:val="left"/>
              <w:rPr>
                <w:rFonts w:ascii="黑体" w:hAnsi="黑体" w:cs="黑体" w:eastAsia="黑体" w:hint="default"/>
                <w:sz w:val="18"/>
                <w:szCs w:val="18"/>
              </w:rPr>
            </w:pPr>
            <w:r>
              <w:rPr>
                <w:rFonts w:ascii="黑体" w:hAnsi="黑体" w:cs="黑体" w:eastAsia="黑体" w:hint="default"/>
                <w:sz w:val="18"/>
                <w:szCs w:val="18"/>
              </w:rPr>
              <w:t>非流动负债合计</w:t>
            </w:r>
          </w:p>
        </w:tc>
        <w:tc>
          <w:tcPr>
            <w:tcW w:w="896"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5"/>
              <w:jc w:val="right"/>
              <w:rPr>
                <w:rFonts w:ascii="Arial" w:hAnsi="Arial" w:cs="Arial" w:eastAsia="Arial" w:hint="default"/>
                <w:sz w:val="18"/>
                <w:szCs w:val="18"/>
              </w:rPr>
            </w:pPr>
            <w:r>
              <w:rPr>
                <w:rFonts w:ascii="Arial"/>
                <w:spacing w:val="-1"/>
                <w:sz w:val="18"/>
              </w:rPr>
              <w:t>25,632,644,645</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95" w:right="0"/>
              <w:jc w:val="left"/>
              <w:rPr>
                <w:rFonts w:ascii="Arial" w:hAnsi="Arial" w:cs="Arial" w:eastAsia="Arial" w:hint="default"/>
                <w:sz w:val="18"/>
                <w:szCs w:val="18"/>
              </w:rPr>
            </w:pPr>
            <w:r>
              <w:rPr>
                <w:rFonts w:ascii="Arial"/>
                <w:sz w:val="18"/>
              </w:rPr>
              <w:t>15,045,326,268</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7"/>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691"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252"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3" w:right="0"/>
              <w:jc w:val="left"/>
              <w:rPr>
                <w:rFonts w:ascii="黑体" w:hAnsi="黑体" w:cs="黑体" w:eastAsia="黑体" w:hint="default"/>
                <w:sz w:val="18"/>
                <w:szCs w:val="18"/>
              </w:rPr>
            </w:pPr>
            <w:r>
              <w:rPr>
                <w:rFonts w:ascii="黑体" w:hAnsi="黑体" w:cs="黑体" w:eastAsia="黑体" w:hint="default"/>
                <w:sz w:val="18"/>
                <w:szCs w:val="18"/>
              </w:rPr>
              <w:t>负债合计</w:t>
            </w:r>
          </w:p>
        </w:tc>
        <w:tc>
          <w:tcPr>
            <w:tcW w:w="896"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3"/>
              <w:jc w:val="right"/>
              <w:rPr>
                <w:rFonts w:ascii="Arial" w:hAnsi="Arial" w:cs="Arial" w:eastAsia="Arial" w:hint="default"/>
                <w:sz w:val="18"/>
                <w:szCs w:val="18"/>
              </w:rPr>
            </w:pPr>
            <w:r>
              <w:rPr>
                <w:rFonts w:ascii="Arial"/>
                <w:spacing w:val="-1"/>
                <w:sz w:val="18"/>
              </w:rPr>
              <w:t>316,796,647,643</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91" w:right="0"/>
              <w:jc w:val="left"/>
              <w:rPr>
                <w:rFonts w:ascii="Arial" w:hAnsi="Arial" w:cs="Arial" w:eastAsia="Arial" w:hint="default"/>
                <w:sz w:val="18"/>
                <w:szCs w:val="18"/>
              </w:rPr>
            </w:pPr>
            <w:r>
              <w:rPr>
                <w:rFonts w:ascii="Arial"/>
                <w:sz w:val="18"/>
              </w:rPr>
              <w:t>309,738,349,099</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6"/>
              <w:jc w:val="right"/>
              <w:rPr>
                <w:rFonts w:ascii="Arial" w:hAnsi="Arial" w:cs="Arial" w:eastAsia="Arial" w:hint="default"/>
                <w:sz w:val="18"/>
                <w:szCs w:val="18"/>
              </w:rPr>
            </w:pPr>
            <w:r>
              <w:rPr>
                <w:rFonts w:ascii="Arial"/>
                <w:spacing w:val="-1"/>
                <w:sz w:val="18"/>
              </w:rPr>
              <w:t>4,660,845</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5"/>
              <w:jc w:val="right"/>
              <w:rPr>
                <w:rFonts w:ascii="Arial" w:hAnsi="Arial" w:cs="Arial" w:eastAsia="Arial" w:hint="default"/>
                <w:sz w:val="18"/>
                <w:szCs w:val="18"/>
              </w:rPr>
            </w:pPr>
            <w:r>
              <w:rPr>
                <w:rFonts w:ascii="Arial"/>
                <w:spacing w:val="-1"/>
                <w:sz w:val="18"/>
              </w:rPr>
              <w:t>3,249,408</w:t>
            </w:r>
          </w:p>
        </w:tc>
      </w:tr>
      <w:tr>
        <w:trPr>
          <w:trHeight w:val="250" w:hRule="exact"/>
        </w:trPr>
        <w:tc>
          <w:tcPr>
            <w:tcW w:w="2691"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3" w:right="0"/>
              <w:jc w:val="left"/>
              <w:rPr>
                <w:rFonts w:ascii="黑体" w:hAnsi="黑体" w:cs="黑体" w:eastAsia="黑体" w:hint="default"/>
                <w:sz w:val="18"/>
                <w:szCs w:val="18"/>
              </w:rPr>
            </w:pPr>
            <w:r>
              <w:rPr>
                <w:rFonts w:ascii="黑体" w:hAnsi="黑体" w:cs="黑体" w:eastAsia="黑体" w:hint="default"/>
                <w:sz w:val="18"/>
                <w:szCs w:val="18"/>
              </w:rPr>
              <w:t>股东权益</w:t>
            </w:r>
          </w:p>
        </w:tc>
        <w:tc>
          <w:tcPr>
            <w:tcW w:w="896"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2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(31)</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5"/>
              <w:jc w:val="right"/>
              <w:rPr>
                <w:rFonts w:ascii="Arial" w:hAnsi="Arial" w:cs="Arial" w:eastAsia="Arial" w:hint="default"/>
                <w:sz w:val="18"/>
                <w:szCs w:val="18"/>
              </w:rPr>
            </w:pPr>
            <w:r>
              <w:rPr>
                <w:rFonts w:ascii="Arial"/>
                <w:spacing w:val="-1"/>
                <w:sz w:val="18"/>
              </w:rPr>
              <w:t>21,196,596,395</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95" w:right="0"/>
              <w:jc w:val="left"/>
              <w:rPr>
                <w:rFonts w:ascii="Arial" w:hAnsi="Arial" w:cs="Arial" w:eastAsia="Arial" w:hint="default"/>
                <w:sz w:val="18"/>
                <w:szCs w:val="18"/>
              </w:rPr>
            </w:pPr>
            <w:r>
              <w:rPr>
                <w:rFonts w:ascii="Arial"/>
                <w:sz w:val="18"/>
              </w:rPr>
              <w:t>21,196,596,395</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6"/>
              <w:jc w:val="right"/>
              <w:rPr>
                <w:rFonts w:ascii="Arial" w:hAnsi="Arial" w:cs="Arial" w:eastAsia="Arial" w:hint="default"/>
                <w:sz w:val="18"/>
                <w:szCs w:val="18"/>
              </w:rPr>
            </w:pPr>
            <w:r>
              <w:rPr>
                <w:rFonts w:ascii="Arial"/>
                <w:spacing w:val="-1"/>
                <w:sz w:val="18"/>
              </w:rPr>
              <w:t>21,196,596,395</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5"/>
              <w:jc w:val="right"/>
              <w:rPr>
                <w:rFonts w:ascii="Arial" w:hAnsi="Arial" w:cs="Arial" w:eastAsia="Arial" w:hint="default"/>
                <w:sz w:val="18"/>
                <w:szCs w:val="18"/>
              </w:rPr>
            </w:pPr>
            <w:r>
              <w:rPr>
                <w:rFonts w:ascii="Arial"/>
                <w:spacing w:val="-1"/>
                <w:sz w:val="18"/>
              </w:rPr>
              <w:t>21,196,596,395</w:t>
            </w:r>
          </w:p>
        </w:tc>
      </w:tr>
      <w:tr>
        <w:trPr>
          <w:trHeight w:val="250"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2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(32)</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5"/>
              <w:jc w:val="right"/>
              <w:rPr>
                <w:rFonts w:ascii="Arial" w:hAnsi="Arial" w:cs="Arial" w:eastAsia="Arial" w:hint="default"/>
                <w:sz w:val="18"/>
                <w:szCs w:val="18"/>
              </w:rPr>
            </w:pPr>
            <w:r>
              <w:rPr>
                <w:rFonts w:ascii="Arial"/>
                <w:spacing w:val="-1"/>
                <w:sz w:val="18"/>
              </w:rPr>
              <w:t>27,811,699,351</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95" w:right="0"/>
              <w:jc w:val="left"/>
              <w:rPr>
                <w:rFonts w:ascii="Arial" w:hAnsi="Arial" w:cs="Arial" w:eastAsia="Arial" w:hint="default"/>
                <w:sz w:val="18"/>
                <w:szCs w:val="18"/>
              </w:rPr>
            </w:pPr>
            <w:r>
              <w:rPr>
                <w:rFonts w:ascii="Arial"/>
                <w:sz w:val="18"/>
              </w:rPr>
              <w:t>28,024,362,928</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6"/>
              <w:jc w:val="right"/>
              <w:rPr>
                <w:rFonts w:ascii="Arial" w:hAnsi="Arial" w:cs="Arial" w:eastAsia="Arial" w:hint="default"/>
                <w:sz w:val="18"/>
                <w:szCs w:val="18"/>
              </w:rPr>
            </w:pPr>
            <w:r>
              <w:rPr>
                <w:rFonts w:ascii="Arial"/>
                <w:spacing w:val="-1"/>
                <w:sz w:val="18"/>
              </w:rPr>
              <w:t>17,111,103,108</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5"/>
              <w:jc w:val="right"/>
              <w:rPr>
                <w:rFonts w:ascii="Arial" w:hAnsi="Arial" w:cs="Arial" w:eastAsia="Arial" w:hint="default"/>
                <w:sz w:val="18"/>
                <w:szCs w:val="18"/>
              </w:rPr>
            </w:pPr>
            <w:r>
              <w:rPr>
                <w:rFonts w:ascii="Arial"/>
                <w:spacing w:val="-1"/>
                <w:sz w:val="18"/>
              </w:rPr>
              <w:t>17,111,103,108</w:t>
            </w:r>
          </w:p>
        </w:tc>
      </w:tr>
      <w:tr>
        <w:trPr>
          <w:trHeight w:val="250"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2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(33)</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5"/>
              <w:jc w:val="right"/>
              <w:rPr>
                <w:rFonts w:ascii="Arial" w:hAnsi="Arial" w:cs="Arial" w:eastAsia="Arial" w:hint="default"/>
                <w:sz w:val="18"/>
                <w:szCs w:val="18"/>
              </w:rPr>
            </w:pPr>
            <w:r>
              <w:rPr>
                <w:rFonts w:ascii="Arial"/>
                <w:spacing w:val="-1"/>
                <w:sz w:val="18"/>
              </w:rPr>
              <w:t>(1,468,152,809)</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8"/>
              <w:jc w:val="right"/>
              <w:rPr>
                <w:rFonts w:ascii="Arial" w:hAnsi="Arial" w:cs="Arial" w:eastAsia="Arial" w:hint="default"/>
                <w:sz w:val="18"/>
                <w:szCs w:val="18"/>
              </w:rPr>
            </w:pPr>
            <w:r>
              <w:rPr>
                <w:rFonts w:ascii="Arial"/>
                <w:spacing w:val="-1"/>
                <w:sz w:val="18"/>
              </w:rPr>
              <w:t>(1,308,556,009)</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7"/>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Arial" w:hAnsi="Arial" w:cs="Arial" w:eastAsia="Arial" w:hint="default"/>
                <w:sz w:val="18"/>
                <w:szCs w:val="18"/>
              </w:rPr>
            </w:pPr>
            <w:r>
              <w:rPr>
                <w:rFonts w:ascii="Arial"/>
                <w:w w:val="99"/>
                <w:sz w:val="18"/>
              </w:rPr>
              <w:t>-</w:t>
            </w:r>
            <w:r>
              <w:rPr>
                <w:rFonts w:ascii="Arial"/>
                <w:sz w:val="18"/>
              </w:rPr>
            </w:r>
          </w:p>
        </w:tc>
      </w:tr>
      <w:tr>
        <w:trPr>
          <w:trHeight w:val="253"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2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(34)</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3"/>
              <w:jc w:val="right"/>
              <w:rPr>
                <w:rFonts w:ascii="Arial" w:hAnsi="Arial" w:cs="Arial" w:eastAsia="Arial" w:hint="default"/>
                <w:sz w:val="18"/>
                <w:szCs w:val="18"/>
              </w:rPr>
            </w:pPr>
            <w:r>
              <w:rPr>
                <w:rFonts w:ascii="Arial"/>
                <w:spacing w:val="-1"/>
                <w:sz w:val="18"/>
              </w:rPr>
              <w:t>1,044,822,759</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5"/>
              <w:jc w:val="right"/>
              <w:rPr>
                <w:rFonts w:ascii="Arial" w:hAnsi="Arial" w:cs="Arial" w:eastAsia="Arial" w:hint="default"/>
                <w:sz w:val="18"/>
                <w:szCs w:val="18"/>
              </w:rPr>
            </w:pPr>
            <w:r>
              <w:rPr>
                <w:rFonts w:ascii="Arial"/>
                <w:spacing w:val="-1"/>
                <w:sz w:val="18"/>
              </w:rPr>
              <w:t>919,120,486</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7"/>
              <w:jc w:val="right"/>
              <w:rPr>
                <w:rFonts w:ascii="Arial" w:hAnsi="Arial" w:cs="Arial" w:eastAsia="Arial" w:hint="default"/>
                <w:sz w:val="18"/>
                <w:szCs w:val="18"/>
              </w:rPr>
            </w:pPr>
            <w:r>
              <w:rPr>
                <w:rFonts w:ascii="Arial"/>
                <w:spacing w:val="-1"/>
                <w:sz w:val="18"/>
              </w:rPr>
              <w:t>1,044,822,759</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74"/>
              <w:jc w:val="right"/>
              <w:rPr>
                <w:rFonts w:ascii="Arial" w:hAnsi="Arial" w:cs="Arial" w:eastAsia="Arial" w:hint="default"/>
                <w:sz w:val="18"/>
                <w:szCs w:val="18"/>
              </w:rPr>
            </w:pPr>
            <w:r>
              <w:rPr>
                <w:rFonts w:ascii="Arial"/>
                <w:spacing w:val="-1"/>
                <w:sz w:val="18"/>
              </w:rPr>
              <w:t>919,120,486</w:t>
            </w:r>
          </w:p>
        </w:tc>
      </w:tr>
      <w:tr>
        <w:trPr>
          <w:trHeight w:val="250"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251"/>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(35)</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5"/>
              <w:jc w:val="right"/>
              <w:rPr>
                <w:rFonts w:ascii="Arial" w:hAnsi="Arial" w:cs="Arial" w:eastAsia="Arial" w:hint="default"/>
                <w:sz w:val="18"/>
                <w:szCs w:val="18"/>
              </w:rPr>
            </w:pPr>
            <w:r>
              <w:rPr>
                <w:rFonts w:ascii="Arial"/>
                <w:spacing w:val="-1"/>
                <w:sz w:val="18"/>
              </w:rPr>
              <w:t>28,751,553,676</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68" w:right="0"/>
              <w:jc w:val="left"/>
              <w:rPr>
                <w:rFonts w:ascii="Arial" w:hAnsi="Arial" w:cs="Arial" w:eastAsia="Arial" w:hint="default"/>
                <w:sz w:val="18"/>
                <w:szCs w:val="18"/>
              </w:rPr>
            </w:pPr>
            <w:r>
              <w:rPr>
                <w:rFonts w:ascii="Arial"/>
                <w:sz w:val="18"/>
              </w:rPr>
              <w:t>26,027,415,661</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6"/>
              <w:jc w:val="right"/>
              <w:rPr>
                <w:rFonts w:ascii="Arial" w:hAnsi="Arial" w:cs="Arial" w:eastAsia="Arial" w:hint="default"/>
                <w:sz w:val="18"/>
                <w:szCs w:val="18"/>
              </w:rPr>
            </w:pPr>
            <w:r>
              <w:rPr>
                <w:rFonts w:ascii="Arial"/>
                <w:spacing w:val="-1"/>
                <w:sz w:val="18"/>
              </w:rPr>
              <w:t>4,321,560</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5"/>
              <w:jc w:val="right"/>
              <w:rPr>
                <w:rFonts w:ascii="Arial" w:hAnsi="Arial" w:cs="Arial" w:eastAsia="Arial" w:hint="default"/>
                <w:sz w:val="18"/>
                <w:szCs w:val="18"/>
              </w:rPr>
            </w:pPr>
            <w:r>
              <w:rPr>
                <w:rFonts w:ascii="Arial"/>
                <w:spacing w:val="-1"/>
                <w:sz w:val="18"/>
              </w:rPr>
              <w:t>4,899,353</w:t>
            </w:r>
          </w:p>
        </w:tc>
      </w:tr>
      <w:tr>
        <w:trPr>
          <w:trHeight w:val="250"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418"/>
              <w:jc w:val="right"/>
              <w:rPr>
                <w:rFonts w:ascii="黑体" w:hAnsi="黑体" w:cs="黑体" w:eastAsia="黑体" w:hint="default"/>
                <w:sz w:val="18"/>
                <w:szCs w:val="18"/>
              </w:rPr>
            </w:pPr>
            <w:r>
              <w:rPr>
                <w:rFonts w:ascii="黑体" w:hAnsi="黑体" w:cs="黑体" w:eastAsia="黑体" w:hint="default"/>
                <w:sz w:val="18"/>
                <w:szCs w:val="18"/>
              </w:rPr>
              <w:t>归属母公司股东权益合计</w:t>
            </w:r>
          </w:p>
        </w:tc>
        <w:tc>
          <w:tcPr>
            <w:tcW w:w="896"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4"/>
              <w:jc w:val="right"/>
              <w:rPr>
                <w:rFonts w:ascii="Arial" w:hAnsi="Arial" w:cs="Arial" w:eastAsia="Arial" w:hint="default"/>
                <w:sz w:val="18"/>
                <w:szCs w:val="18"/>
              </w:rPr>
            </w:pPr>
            <w:r>
              <w:rPr>
                <w:rFonts w:ascii="Arial"/>
                <w:spacing w:val="-1"/>
                <w:sz w:val="18"/>
              </w:rPr>
              <w:t>77,336,519,372</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92" w:right="0"/>
              <w:jc w:val="left"/>
              <w:rPr>
                <w:rFonts w:ascii="Arial" w:hAnsi="Arial" w:cs="Arial" w:eastAsia="Arial" w:hint="default"/>
                <w:sz w:val="18"/>
                <w:szCs w:val="18"/>
              </w:rPr>
            </w:pPr>
            <w:r>
              <w:rPr>
                <w:rFonts w:ascii="Arial"/>
                <w:sz w:val="18"/>
              </w:rPr>
              <w:t>74,858,939,461</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6"/>
              <w:jc w:val="right"/>
              <w:rPr>
                <w:rFonts w:ascii="Arial" w:hAnsi="Arial" w:cs="Arial" w:eastAsia="Arial" w:hint="default"/>
                <w:sz w:val="18"/>
                <w:szCs w:val="18"/>
              </w:rPr>
            </w:pPr>
            <w:r>
              <w:rPr>
                <w:rFonts w:ascii="Arial"/>
                <w:spacing w:val="-1"/>
                <w:sz w:val="18"/>
              </w:rPr>
              <w:t>39,356,843,822</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5"/>
              <w:jc w:val="right"/>
              <w:rPr>
                <w:rFonts w:ascii="Arial" w:hAnsi="Arial" w:cs="Arial" w:eastAsia="Arial" w:hint="default"/>
                <w:sz w:val="18"/>
                <w:szCs w:val="18"/>
              </w:rPr>
            </w:pPr>
            <w:r>
              <w:rPr>
                <w:rFonts w:ascii="Arial"/>
                <w:spacing w:val="-1"/>
                <w:sz w:val="18"/>
              </w:rPr>
              <w:t>39,231,719,342</w:t>
            </w:r>
          </w:p>
        </w:tc>
      </w:tr>
      <w:tr>
        <w:trPr>
          <w:trHeight w:val="250" w:hRule="exact"/>
        </w:trPr>
        <w:tc>
          <w:tcPr>
            <w:tcW w:w="2691"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5" w:right="0"/>
              <w:jc w:val="left"/>
              <w:rPr>
                <w:rFonts w:ascii="黑体" w:hAnsi="黑体" w:cs="黑体" w:eastAsia="黑体" w:hint="default"/>
                <w:sz w:val="18"/>
                <w:szCs w:val="18"/>
              </w:rPr>
            </w:pPr>
            <w:r>
              <w:rPr>
                <w:rFonts w:ascii="黑体" w:hAnsi="黑体" w:cs="黑体" w:eastAsia="黑体" w:hint="default"/>
                <w:sz w:val="18"/>
                <w:szCs w:val="18"/>
              </w:rPr>
              <w:t>少数股东权益</w:t>
            </w:r>
          </w:p>
        </w:tc>
        <w:tc>
          <w:tcPr>
            <w:tcW w:w="896"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3"/>
              <w:jc w:val="right"/>
              <w:rPr>
                <w:rFonts w:ascii="Arial" w:hAnsi="Arial" w:cs="Arial" w:eastAsia="Arial" w:hint="default"/>
                <w:sz w:val="18"/>
                <w:szCs w:val="18"/>
              </w:rPr>
            </w:pPr>
            <w:r>
              <w:rPr>
                <w:rFonts w:ascii="Arial"/>
                <w:spacing w:val="-1"/>
                <w:sz w:val="18"/>
              </w:rPr>
              <w:t>152,991,401,830</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91" w:right="0"/>
              <w:jc w:val="left"/>
              <w:rPr>
                <w:rFonts w:ascii="Arial" w:hAnsi="Arial" w:cs="Arial" w:eastAsia="Arial" w:hint="default"/>
                <w:sz w:val="18"/>
                <w:szCs w:val="18"/>
              </w:rPr>
            </w:pPr>
            <w:r>
              <w:rPr>
                <w:rFonts w:ascii="Arial"/>
                <w:sz w:val="18"/>
              </w:rPr>
              <w:t>146,767,164,703</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7"/>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3" w:right="0"/>
              <w:jc w:val="left"/>
              <w:rPr>
                <w:rFonts w:ascii="黑体" w:hAnsi="黑体" w:cs="黑体" w:eastAsia="黑体" w:hint="default"/>
                <w:sz w:val="18"/>
                <w:szCs w:val="18"/>
              </w:rPr>
            </w:pPr>
            <w:r>
              <w:rPr>
                <w:rFonts w:ascii="黑体" w:hAnsi="黑体" w:cs="黑体" w:eastAsia="黑体" w:hint="default"/>
                <w:sz w:val="18"/>
                <w:szCs w:val="18"/>
              </w:rPr>
              <w:t>股东权益合计</w:t>
            </w:r>
          </w:p>
        </w:tc>
        <w:tc>
          <w:tcPr>
            <w:tcW w:w="896"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3"/>
              <w:jc w:val="right"/>
              <w:rPr>
                <w:rFonts w:ascii="Arial" w:hAnsi="Arial" w:cs="Arial" w:eastAsia="Arial" w:hint="default"/>
                <w:sz w:val="18"/>
                <w:szCs w:val="18"/>
              </w:rPr>
            </w:pPr>
            <w:r>
              <w:rPr>
                <w:rFonts w:ascii="Arial"/>
                <w:spacing w:val="-1"/>
                <w:sz w:val="18"/>
              </w:rPr>
              <w:t>230,327,921,202</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91" w:right="0"/>
              <w:jc w:val="left"/>
              <w:rPr>
                <w:rFonts w:ascii="Arial" w:hAnsi="Arial" w:cs="Arial" w:eastAsia="Arial" w:hint="default"/>
                <w:sz w:val="18"/>
                <w:szCs w:val="18"/>
              </w:rPr>
            </w:pPr>
            <w:r>
              <w:rPr>
                <w:rFonts w:ascii="Arial"/>
                <w:sz w:val="18"/>
              </w:rPr>
              <w:t>221,626,104,164</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6"/>
              <w:jc w:val="right"/>
              <w:rPr>
                <w:rFonts w:ascii="Arial" w:hAnsi="Arial" w:cs="Arial" w:eastAsia="Arial" w:hint="default"/>
                <w:sz w:val="18"/>
                <w:szCs w:val="18"/>
              </w:rPr>
            </w:pPr>
            <w:r>
              <w:rPr>
                <w:rFonts w:ascii="Arial"/>
                <w:spacing w:val="-1"/>
                <w:sz w:val="18"/>
              </w:rPr>
              <w:t>39,356,843,822</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5"/>
              <w:jc w:val="right"/>
              <w:rPr>
                <w:rFonts w:ascii="Arial" w:hAnsi="Arial" w:cs="Arial" w:eastAsia="Arial" w:hint="default"/>
                <w:sz w:val="18"/>
                <w:szCs w:val="18"/>
              </w:rPr>
            </w:pPr>
            <w:r>
              <w:rPr>
                <w:rFonts w:ascii="Arial"/>
                <w:spacing w:val="-1"/>
                <w:sz w:val="18"/>
              </w:rPr>
              <w:t>39,231,719,342</w:t>
            </w:r>
          </w:p>
        </w:tc>
      </w:tr>
      <w:tr>
        <w:trPr>
          <w:trHeight w:val="252" w:hRule="exact"/>
        </w:trPr>
        <w:tc>
          <w:tcPr>
            <w:tcW w:w="2691"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3" w:right="0"/>
              <w:jc w:val="left"/>
              <w:rPr>
                <w:rFonts w:ascii="黑体" w:hAnsi="黑体" w:cs="黑体" w:eastAsia="黑体" w:hint="default"/>
                <w:sz w:val="18"/>
                <w:szCs w:val="18"/>
              </w:rPr>
            </w:pPr>
            <w:r>
              <w:rPr>
                <w:rFonts w:ascii="黑体" w:hAnsi="黑体" w:cs="黑体" w:eastAsia="黑体" w:hint="default"/>
                <w:sz w:val="18"/>
                <w:szCs w:val="18"/>
              </w:rPr>
              <w:t>负债和股东权益总计</w:t>
            </w:r>
          </w:p>
        </w:tc>
        <w:tc>
          <w:tcPr>
            <w:tcW w:w="896"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3"/>
              <w:jc w:val="right"/>
              <w:rPr>
                <w:rFonts w:ascii="Arial" w:hAnsi="Arial" w:cs="Arial" w:eastAsia="Arial" w:hint="default"/>
                <w:sz w:val="18"/>
                <w:szCs w:val="18"/>
              </w:rPr>
            </w:pPr>
            <w:r>
              <w:rPr>
                <w:rFonts w:ascii="Arial"/>
                <w:spacing w:val="-1"/>
                <w:sz w:val="18"/>
              </w:rPr>
              <w:t>547,124,568,845</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94" w:right="0"/>
              <w:jc w:val="left"/>
              <w:rPr>
                <w:rFonts w:ascii="Arial" w:hAnsi="Arial" w:cs="Arial" w:eastAsia="Arial" w:hint="default"/>
                <w:sz w:val="18"/>
                <w:szCs w:val="18"/>
              </w:rPr>
            </w:pPr>
            <w:r>
              <w:rPr>
                <w:rFonts w:ascii="Arial"/>
                <w:sz w:val="18"/>
              </w:rPr>
              <w:t>531,364,453,263</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6"/>
              <w:jc w:val="right"/>
              <w:rPr>
                <w:rFonts w:ascii="Arial" w:hAnsi="Arial" w:cs="Arial" w:eastAsia="Arial" w:hint="default"/>
                <w:sz w:val="18"/>
                <w:szCs w:val="18"/>
              </w:rPr>
            </w:pPr>
            <w:r>
              <w:rPr>
                <w:rFonts w:ascii="Arial"/>
                <w:spacing w:val="-1"/>
                <w:sz w:val="18"/>
              </w:rPr>
              <w:t>39,361,504,667</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5"/>
              <w:jc w:val="right"/>
              <w:rPr>
                <w:rFonts w:ascii="Arial" w:hAnsi="Arial" w:cs="Arial" w:eastAsia="Arial" w:hint="default"/>
                <w:sz w:val="18"/>
                <w:szCs w:val="18"/>
              </w:rPr>
            </w:pPr>
            <w:r>
              <w:rPr>
                <w:rFonts w:ascii="Arial"/>
                <w:spacing w:val="-1"/>
                <w:sz w:val="18"/>
              </w:rPr>
              <w:t>39,234,968,750</w:t>
            </w:r>
          </w:p>
        </w:tc>
      </w:tr>
    </w:tbl>
    <w:p>
      <w:pPr>
        <w:spacing w:line="240" w:lineRule="auto" w:before="12"/>
        <w:rPr>
          <w:rFonts w:ascii="黑体" w:hAnsi="黑体" w:cs="黑体" w:eastAsia="黑体" w:hint="default"/>
          <w:sz w:val="13"/>
          <w:szCs w:val="13"/>
        </w:rPr>
      </w:pPr>
    </w:p>
    <w:p>
      <w:pPr>
        <w:spacing w:before="37"/>
        <w:ind w:left="127" w:right="0" w:firstLine="0"/>
        <w:jc w:val="left"/>
        <w:rPr>
          <w:rFonts w:ascii="黑体" w:hAnsi="黑体" w:cs="黑体" w:eastAsia="黑体" w:hint="default"/>
          <w:sz w:val="20"/>
          <w:szCs w:val="20"/>
        </w:rPr>
      </w:pPr>
      <w:r>
        <w:rPr>
          <w:rFonts w:ascii="黑体" w:hAnsi="黑体" w:cs="黑体" w:eastAsia="黑体" w:hint="default"/>
          <w:sz w:val="20"/>
          <w:szCs w:val="20"/>
        </w:rPr>
        <w:t>后附财务报表附注为财务报表的组成部分。</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pStyle w:val="BodyText"/>
        <w:tabs>
          <w:tab w:pos="3687" w:val="left" w:leader="none"/>
          <w:tab w:pos="7064" w:val="left" w:leader="none"/>
        </w:tabs>
        <w:spacing w:line="240" w:lineRule="auto" w:before="156"/>
        <w:ind w:left="127" w:right="0"/>
        <w:jc w:val="left"/>
        <w:rPr>
          <w:rFonts w:ascii="黑体" w:hAnsi="黑体" w:cs="黑体" w:eastAsia="黑体" w:hint="default"/>
        </w:rPr>
      </w:pPr>
      <w:r>
        <w:rPr>
          <w:rFonts w:ascii="黑体" w:hAnsi="黑体" w:cs="黑体" w:eastAsia="黑体" w:hint="default"/>
          <w:spacing w:val="-1"/>
        </w:rPr>
        <w:t>董事长：常小兵</w:t>
        <w:tab/>
        <w:t>财务负责人：李超</w:t>
        <w:tab/>
        <w:t>财务部总经理：李张挺</w:t>
      </w:r>
    </w:p>
    <w:p>
      <w:pPr>
        <w:spacing w:after="0" w:line="240" w:lineRule="auto"/>
        <w:jc w:val="left"/>
        <w:rPr>
          <w:rFonts w:ascii="黑体" w:hAnsi="黑体" w:cs="黑体" w:eastAsia="黑体" w:hint="default"/>
        </w:rPr>
        <w:sectPr>
          <w:headerReference w:type="default" r:id="rId27"/>
          <w:footerReference w:type="default" r:id="rId28"/>
          <w:pgSz w:w="11910" w:h="16840"/>
          <w:pgMar w:header="0" w:footer="923" w:top="1240" w:bottom="1120" w:left="780" w:right="720"/>
          <w:pgNumType w:start="58"/>
        </w:sectPr>
      </w:pPr>
    </w:p>
    <w:p>
      <w:pPr>
        <w:pStyle w:val="BodyText"/>
        <w:spacing w:line="240" w:lineRule="auto" w:before="6"/>
        <w:ind w:left="112"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1"/>
        <w:rPr>
          <w:rFonts w:ascii="黑体" w:hAnsi="黑体" w:cs="黑体" w:eastAsia="黑体" w:hint="default"/>
          <w:sz w:val="19"/>
          <w:szCs w:val="19"/>
        </w:rPr>
      </w:pPr>
    </w:p>
    <w:p>
      <w:pPr>
        <w:pStyle w:val="BodyText"/>
        <w:spacing w:line="295" w:lineRule="exact"/>
        <w:ind w:left="112"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9"/>
        </w:rPr>
        <w:t> </w:t>
      </w:r>
      <w:r>
        <w:rPr>
          <w:rFonts w:ascii="黑体" w:hAnsi="黑体" w:cs="黑体" w:eastAsia="黑体" w:hint="default"/>
        </w:rPr>
        <w:t>年度合并及公司利润表</w:t>
      </w:r>
    </w:p>
    <w:p>
      <w:pPr>
        <w:pStyle w:val="BodyText"/>
        <w:spacing w:line="279" w:lineRule="exact"/>
        <w:ind w:left="112" w:right="0"/>
        <w:jc w:val="left"/>
        <w:rPr>
          <w:rFonts w:ascii="黑体" w:hAnsi="黑体" w:cs="黑体" w:eastAsia="黑体" w:hint="default"/>
        </w:rPr>
      </w:pPr>
      <w:r>
        <w:rPr>
          <w:rFonts w:ascii="黑体" w:hAnsi="黑体" w:cs="黑体" w:eastAsia="黑体" w:hint="default"/>
        </w:rPr>
        <w:t>（除特别注明外，金额单位为人民币元）</w:t>
      </w:r>
    </w:p>
    <w:p>
      <w:pPr>
        <w:spacing w:line="240" w:lineRule="auto" w:before="0"/>
        <w:rPr>
          <w:rFonts w:ascii="黑体" w:hAnsi="黑体" w:cs="黑体" w:eastAsia="黑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3390"/>
        <w:gridCol w:w="1162"/>
        <w:gridCol w:w="1611"/>
        <w:gridCol w:w="1610"/>
        <w:gridCol w:w="1316"/>
        <w:gridCol w:w="1289"/>
      </w:tblGrid>
      <w:tr>
        <w:trPr>
          <w:trHeight w:val="636"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2"/>
                <w:szCs w:val="12"/>
              </w:rPr>
            </w:pPr>
          </w:p>
          <w:p>
            <w:pPr>
              <w:pStyle w:val="TableParagraph"/>
              <w:spacing w:line="240" w:lineRule="auto"/>
              <w:ind w:right="0"/>
              <w:jc w:val="center"/>
              <w:rPr>
                <w:rFonts w:ascii="黑体" w:hAnsi="黑体" w:cs="黑体" w:eastAsia="黑体" w:hint="default"/>
                <w:sz w:val="18"/>
                <w:szCs w:val="18"/>
              </w:rPr>
            </w:pPr>
            <w:r>
              <w:rPr>
                <w:rFonts w:ascii="黑体" w:hAnsi="黑体" w:cs="黑体" w:eastAsia="黑体" w:hint="default"/>
                <w:sz w:val="18"/>
                <w:szCs w:val="18"/>
              </w:rPr>
              <w:t>项目</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2"/>
                <w:szCs w:val="12"/>
              </w:rPr>
            </w:pPr>
          </w:p>
          <w:p>
            <w:pPr>
              <w:pStyle w:val="TableParagraph"/>
              <w:spacing w:line="240" w:lineRule="auto"/>
              <w:ind w:right="0"/>
              <w:jc w:val="center"/>
              <w:rPr>
                <w:rFonts w:ascii="黑体" w:hAnsi="黑体" w:cs="黑体" w:eastAsia="黑体" w:hint="default"/>
                <w:sz w:val="18"/>
                <w:szCs w:val="18"/>
              </w:rPr>
            </w:pPr>
            <w:r>
              <w:rPr>
                <w:rFonts w:ascii="黑体" w:hAnsi="黑体" w:cs="黑体" w:eastAsia="黑体" w:hint="default"/>
                <w:sz w:val="18"/>
                <w:szCs w:val="18"/>
              </w:rPr>
              <w:t>附注</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before="145"/>
              <w:ind w:left="616" w:right="393" w:hanging="221"/>
              <w:jc w:val="left"/>
              <w:rPr>
                <w:rFonts w:ascii="黑体" w:hAnsi="黑体" w:cs="黑体" w:eastAsia="黑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黑体" w:hAnsi="黑体" w:cs="黑体" w:eastAsia="黑体" w:hint="default"/>
                <w:sz w:val="18"/>
                <w:szCs w:val="18"/>
              </w:rPr>
              <w:t>年度 合并</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before="145"/>
              <w:ind w:left="616" w:right="395" w:hanging="224"/>
              <w:jc w:val="left"/>
              <w:rPr>
                <w:rFonts w:ascii="黑体" w:hAnsi="黑体" w:cs="黑体" w:eastAsia="黑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黑体" w:hAnsi="黑体" w:cs="黑体" w:eastAsia="黑体" w:hint="default"/>
                <w:sz w:val="18"/>
                <w:szCs w:val="18"/>
              </w:rPr>
              <w:t>年度 合并</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before="145"/>
              <w:ind w:left="468" w:right="267" w:hanging="243"/>
              <w:jc w:val="left"/>
              <w:rPr>
                <w:rFonts w:ascii="黑体" w:hAnsi="黑体" w:cs="黑体" w:eastAsia="黑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黑体" w:hAnsi="黑体" w:cs="黑体" w:eastAsia="黑体" w:hint="default"/>
                <w:sz w:val="18"/>
                <w:szCs w:val="18"/>
              </w:rPr>
              <w:t>年度 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before="145"/>
              <w:ind w:left="453" w:right="287" w:hanging="274"/>
              <w:jc w:val="left"/>
              <w:rPr>
                <w:rFonts w:ascii="黑体" w:hAnsi="黑体" w:cs="黑体" w:eastAsia="黑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黑体" w:hAnsi="黑体" w:cs="黑体" w:eastAsia="黑体" w:hint="default"/>
                <w:sz w:val="18"/>
                <w:szCs w:val="18"/>
              </w:rPr>
              <w:t>年度 公司</w:t>
            </w:r>
          </w:p>
        </w:tc>
      </w:tr>
      <w:tr>
        <w:trPr>
          <w:trHeight w:val="247"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一、营业收入</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106"/>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(36)</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6"/>
              <w:jc w:val="right"/>
              <w:rPr>
                <w:rFonts w:ascii="Arial" w:hAnsi="Arial" w:cs="Arial" w:eastAsia="Arial" w:hint="default"/>
                <w:sz w:val="18"/>
                <w:szCs w:val="18"/>
              </w:rPr>
            </w:pPr>
            <w:r>
              <w:rPr>
                <w:rFonts w:ascii="Arial"/>
                <w:spacing w:val="-1"/>
                <w:sz w:val="18"/>
              </w:rPr>
              <w:t>288,570,874,374</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43" w:right="0"/>
              <w:jc w:val="left"/>
              <w:rPr>
                <w:rFonts w:ascii="Arial" w:hAnsi="Arial" w:cs="Arial" w:eastAsia="Arial" w:hint="default"/>
                <w:sz w:val="18"/>
                <w:szCs w:val="18"/>
              </w:rPr>
            </w:pPr>
            <w:r>
              <w:rPr>
                <w:rFonts w:ascii="Arial"/>
                <w:sz w:val="18"/>
              </w:rPr>
              <w:t>303,727,203,182</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黑体" w:hAnsi="黑体" w:cs="黑体" w:eastAsia="黑体" w:hint="default"/>
                <w:sz w:val="18"/>
                <w:szCs w:val="18"/>
              </w:rPr>
              <w:t>二、减</w:t>
            </w:r>
            <w:r>
              <w:rPr>
                <w:rFonts w:ascii="宋体" w:hAnsi="宋体" w:cs="宋体" w:eastAsia="宋体" w:hint="default"/>
                <w:sz w:val="18"/>
                <w:szCs w:val="18"/>
              </w:rPr>
              <w:t>：营业成本</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106"/>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(36)</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5"/>
              <w:jc w:val="right"/>
              <w:rPr>
                <w:rFonts w:ascii="Arial" w:hAnsi="Arial" w:cs="Arial" w:eastAsia="Arial" w:hint="default"/>
                <w:sz w:val="18"/>
                <w:szCs w:val="18"/>
              </w:rPr>
            </w:pPr>
            <w:r>
              <w:rPr>
                <w:rFonts w:ascii="Arial"/>
                <w:spacing w:val="-1"/>
                <w:sz w:val="18"/>
              </w:rPr>
              <w:t>(199,936,890,360)</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7"/>
              <w:jc w:val="right"/>
              <w:rPr>
                <w:rFonts w:ascii="Arial" w:hAnsi="Arial" w:cs="Arial" w:eastAsia="Arial" w:hint="default"/>
                <w:sz w:val="18"/>
                <w:szCs w:val="18"/>
              </w:rPr>
            </w:pPr>
            <w:r>
              <w:rPr>
                <w:rFonts w:ascii="Arial"/>
                <w:spacing w:val="-1"/>
                <w:sz w:val="18"/>
              </w:rPr>
              <w:t>(211,657,042,435)</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Arial" w:hAnsi="Arial" w:cs="Arial" w:eastAsia="Arial" w:hint="default"/>
                <w:sz w:val="18"/>
                <w:szCs w:val="18"/>
              </w:rPr>
            </w:pPr>
            <w:r>
              <w:rPr>
                <w:rFonts w:ascii="Arial"/>
                <w:w w:val="99"/>
                <w:sz w:val="18"/>
              </w:rPr>
              <w:t>-</w:t>
            </w:r>
            <w:r>
              <w:rPr>
                <w:rFonts w:ascii="Arial"/>
                <w:sz w:val="18"/>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47"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4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106"/>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(37)</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5"/>
              <w:jc w:val="right"/>
              <w:rPr>
                <w:rFonts w:ascii="Arial" w:hAnsi="Arial" w:cs="Arial" w:eastAsia="Arial" w:hint="default"/>
                <w:sz w:val="18"/>
                <w:szCs w:val="18"/>
              </w:rPr>
            </w:pPr>
            <w:r>
              <w:rPr>
                <w:rFonts w:ascii="Arial"/>
                <w:spacing w:val="-1"/>
                <w:sz w:val="18"/>
              </w:rPr>
              <w:t>(4,721,258,591)</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7"/>
              <w:jc w:val="right"/>
              <w:rPr>
                <w:rFonts w:ascii="Arial" w:hAnsi="Arial" w:cs="Arial" w:eastAsia="Arial" w:hint="default"/>
                <w:sz w:val="18"/>
                <w:szCs w:val="18"/>
              </w:rPr>
            </w:pPr>
            <w:r>
              <w:rPr>
                <w:rFonts w:ascii="Arial"/>
                <w:spacing w:val="-1"/>
                <w:sz w:val="18"/>
              </w:rPr>
              <w:t>(8,689,393,669)</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84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106"/>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(38)</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7"/>
              <w:jc w:val="right"/>
              <w:rPr>
                <w:rFonts w:ascii="Arial" w:hAnsi="Arial" w:cs="Arial" w:eastAsia="Arial" w:hint="default"/>
                <w:sz w:val="18"/>
                <w:szCs w:val="18"/>
              </w:rPr>
            </w:pPr>
            <w:r>
              <w:rPr>
                <w:rFonts w:ascii="Arial"/>
                <w:spacing w:val="-1"/>
                <w:sz w:val="18"/>
              </w:rPr>
              <w:t>(40,193,368,746)</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7"/>
              <w:jc w:val="right"/>
              <w:rPr>
                <w:rFonts w:ascii="Arial" w:hAnsi="Arial" w:cs="Arial" w:eastAsia="Arial" w:hint="default"/>
                <w:sz w:val="18"/>
                <w:szCs w:val="18"/>
              </w:rPr>
            </w:pPr>
            <w:r>
              <w:rPr>
                <w:rFonts w:ascii="Arial"/>
                <w:spacing w:val="-1"/>
                <w:sz w:val="18"/>
              </w:rPr>
              <w:t>(42,991,498,574)</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Arial" w:hAnsi="Arial" w:cs="Arial" w:eastAsia="Arial" w:hint="default"/>
                <w:sz w:val="18"/>
                <w:szCs w:val="18"/>
              </w:rPr>
            </w:pPr>
            <w:r>
              <w:rPr>
                <w:rFonts w:ascii="Arial"/>
                <w:w w:val="99"/>
                <w:sz w:val="18"/>
              </w:rPr>
              <w:t>-</w:t>
            </w:r>
            <w:r>
              <w:rPr>
                <w:rFonts w:ascii="Arial"/>
                <w:sz w:val="18"/>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47"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4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(39),</w:t>
            </w:r>
            <w:r>
              <w:rPr>
                <w:rFonts w:ascii="宋体" w:hAnsi="宋体" w:cs="宋体" w:eastAsia="宋体" w:hint="default"/>
                <w:sz w:val="18"/>
                <w:szCs w:val="18"/>
              </w:rPr>
              <w:t>十四</w:t>
            </w:r>
            <w:r>
              <w:rPr>
                <w:rFonts w:ascii="Arial" w:hAnsi="Arial" w:cs="Arial" w:eastAsia="Arial" w:hint="default"/>
                <w:sz w:val="18"/>
                <w:szCs w:val="18"/>
              </w:rPr>
              <w:t>(5)</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7"/>
              <w:jc w:val="right"/>
              <w:rPr>
                <w:rFonts w:ascii="Arial" w:hAnsi="Arial" w:cs="Arial" w:eastAsia="Arial" w:hint="default"/>
                <w:sz w:val="18"/>
                <w:szCs w:val="18"/>
              </w:rPr>
            </w:pPr>
            <w:r>
              <w:rPr>
                <w:rFonts w:ascii="Arial"/>
                <w:spacing w:val="-1"/>
                <w:sz w:val="18"/>
              </w:rPr>
              <w:t>(19,825,119,469)</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9"/>
              <w:jc w:val="right"/>
              <w:rPr>
                <w:rFonts w:ascii="Arial" w:hAnsi="Arial" w:cs="Arial" w:eastAsia="Arial" w:hint="default"/>
                <w:sz w:val="18"/>
                <w:szCs w:val="18"/>
              </w:rPr>
            </w:pPr>
            <w:r>
              <w:rPr>
                <w:rFonts w:ascii="Arial"/>
                <w:spacing w:val="-1"/>
                <w:sz w:val="18"/>
              </w:rPr>
              <w:t>(20,373,057,592)</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5"/>
              <w:jc w:val="right"/>
              <w:rPr>
                <w:rFonts w:ascii="Arial" w:hAnsi="Arial" w:cs="Arial" w:eastAsia="Arial" w:hint="default"/>
                <w:sz w:val="18"/>
                <w:szCs w:val="18"/>
              </w:rPr>
            </w:pPr>
            <w:r>
              <w:rPr>
                <w:rFonts w:ascii="Arial"/>
                <w:spacing w:val="-1"/>
                <w:sz w:val="18"/>
              </w:rPr>
              <w:t>(13,641,612)</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7"/>
              <w:jc w:val="right"/>
              <w:rPr>
                <w:rFonts w:ascii="Arial" w:hAnsi="Arial" w:cs="Arial" w:eastAsia="Arial" w:hint="default"/>
                <w:sz w:val="18"/>
                <w:szCs w:val="18"/>
              </w:rPr>
            </w:pPr>
            <w:r>
              <w:rPr>
                <w:rFonts w:ascii="Arial"/>
                <w:spacing w:val="-1"/>
                <w:sz w:val="18"/>
              </w:rPr>
              <w:t>(12,343,062)</w:t>
            </w:r>
          </w:p>
        </w:tc>
      </w:tr>
      <w:tr>
        <w:trPr>
          <w:trHeight w:val="250"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845" w:right="0"/>
              <w:jc w:val="left"/>
              <w:rPr>
                <w:rFonts w:ascii="宋体" w:hAnsi="宋体" w:cs="宋体" w:eastAsia="宋体" w:hint="default"/>
                <w:sz w:val="18"/>
                <w:szCs w:val="18"/>
              </w:rPr>
            </w:pPr>
            <w:r>
              <w:rPr>
                <w:rFonts w:ascii="宋体" w:hAnsi="宋体" w:cs="宋体" w:eastAsia="宋体" w:hint="default"/>
                <w:sz w:val="18"/>
                <w:szCs w:val="18"/>
              </w:rPr>
              <w:t>财务费用（加：收入）</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106"/>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(40)</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5"/>
              <w:jc w:val="right"/>
              <w:rPr>
                <w:rFonts w:ascii="Arial" w:hAnsi="Arial" w:cs="Arial" w:eastAsia="Arial" w:hint="default"/>
                <w:sz w:val="18"/>
                <w:szCs w:val="18"/>
              </w:rPr>
            </w:pPr>
            <w:r>
              <w:rPr>
                <w:rFonts w:ascii="Arial"/>
                <w:spacing w:val="-1"/>
                <w:sz w:val="18"/>
              </w:rPr>
              <w:t>(4,333,087,838)</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7"/>
              <w:jc w:val="right"/>
              <w:rPr>
                <w:rFonts w:ascii="Arial" w:hAnsi="Arial" w:cs="Arial" w:eastAsia="Arial" w:hint="default"/>
                <w:sz w:val="18"/>
                <w:szCs w:val="18"/>
              </w:rPr>
            </w:pPr>
            <w:r>
              <w:rPr>
                <w:rFonts w:ascii="Arial"/>
                <w:spacing w:val="-1"/>
                <w:sz w:val="18"/>
              </w:rPr>
              <w:t>(2,949,207,468)</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96" w:right="0"/>
              <w:jc w:val="left"/>
              <w:rPr>
                <w:rFonts w:ascii="Arial" w:hAnsi="Arial" w:cs="Arial" w:eastAsia="Arial" w:hint="default"/>
                <w:sz w:val="18"/>
                <w:szCs w:val="18"/>
              </w:rPr>
            </w:pPr>
            <w:r>
              <w:rPr>
                <w:rFonts w:ascii="Arial"/>
                <w:sz w:val="18"/>
              </w:rPr>
              <w:t>1,159,389</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71" w:right="0"/>
              <w:jc w:val="left"/>
              <w:rPr>
                <w:rFonts w:ascii="Arial" w:hAnsi="Arial" w:cs="Arial" w:eastAsia="Arial" w:hint="default"/>
                <w:sz w:val="18"/>
                <w:szCs w:val="18"/>
              </w:rPr>
            </w:pPr>
            <w:r>
              <w:rPr>
                <w:rFonts w:ascii="Arial"/>
                <w:sz w:val="18"/>
              </w:rPr>
              <w:t>1,333,280</w:t>
            </w:r>
          </w:p>
        </w:tc>
      </w:tr>
      <w:tr>
        <w:trPr>
          <w:trHeight w:val="247"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4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106"/>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(42)</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5"/>
              <w:jc w:val="right"/>
              <w:rPr>
                <w:rFonts w:ascii="Arial" w:hAnsi="Arial" w:cs="Arial" w:eastAsia="Arial" w:hint="default"/>
                <w:sz w:val="18"/>
                <w:szCs w:val="18"/>
              </w:rPr>
            </w:pPr>
            <w:r>
              <w:rPr>
                <w:rFonts w:ascii="Arial"/>
                <w:spacing w:val="-1"/>
                <w:sz w:val="18"/>
              </w:rPr>
              <w:t>(4,023,758,839)</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7"/>
              <w:jc w:val="right"/>
              <w:rPr>
                <w:rFonts w:ascii="Arial" w:hAnsi="Arial" w:cs="Arial" w:eastAsia="Arial" w:hint="default"/>
                <w:sz w:val="18"/>
                <w:szCs w:val="18"/>
              </w:rPr>
            </w:pPr>
            <w:r>
              <w:rPr>
                <w:rFonts w:ascii="Arial"/>
                <w:spacing w:val="-1"/>
                <w:sz w:val="18"/>
              </w:rPr>
              <w:t>(4,347,533,230)</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82" w:right="0"/>
              <w:jc w:val="left"/>
              <w:rPr>
                <w:rFonts w:ascii="宋体" w:hAnsi="宋体" w:cs="宋体" w:eastAsia="宋体" w:hint="default"/>
                <w:sz w:val="18"/>
                <w:szCs w:val="18"/>
              </w:rPr>
            </w:pPr>
            <w:r>
              <w:rPr>
                <w:rFonts w:ascii="宋体" w:hAnsi="宋体" w:cs="宋体" w:eastAsia="宋体" w:hint="default"/>
                <w:sz w:val="18"/>
                <w:szCs w:val="18"/>
              </w:rPr>
              <w:t>加：公允价值变动损失</w:t>
            </w:r>
          </w:p>
        </w:tc>
        <w:tc>
          <w:tcPr>
            <w:tcW w:w="1162"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5"/>
              <w:jc w:val="right"/>
              <w:rPr>
                <w:rFonts w:ascii="Arial" w:hAnsi="Arial" w:cs="Arial" w:eastAsia="Arial" w:hint="default"/>
                <w:sz w:val="18"/>
                <w:szCs w:val="18"/>
              </w:rPr>
            </w:pPr>
            <w:r>
              <w:rPr>
                <w:rFonts w:ascii="Arial"/>
                <w:spacing w:val="-1"/>
                <w:sz w:val="18"/>
              </w:rPr>
              <w:t>(7,311,523)</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Arial" w:hAnsi="Arial" w:cs="Arial" w:eastAsia="Arial" w:hint="default"/>
                <w:sz w:val="18"/>
                <w:szCs w:val="18"/>
              </w:rPr>
            </w:pPr>
            <w:r>
              <w:rPr>
                <w:rFonts w:ascii="Arial"/>
                <w:w w:val="99"/>
                <w:sz w:val="18"/>
              </w:rPr>
              <w:t>-</w:t>
            </w:r>
            <w:r>
              <w:rPr>
                <w:rFonts w:ascii="Arial"/>
                <w:sz w:val="18"/>
              </w:rPr>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Arial" w:hAnsi="Arial" w:cs="Arial" w:eastAsia="Arial" w:hint="default"/>
                <w:sz w:val="18"/>
                <w:szCs w:val="18"/>
              </w:rPr>
            </w:pPr>
            <w:r>
              <w:rPr>
                <w:rFonts w:ascii="Arial"/>
                <w:w w:val="99"/>
                <w:sz w:val="18"/>
              </w:rPr>
              <w:t>-</w:t>
            </w:r>
            <w:r>
              <w:rPr>
                <w:rFonts w:ascii="Arial"/>
                <w:sz w:val="18"/>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45"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(41),</w:t>
            </w:r>
            <w:r>
              <w:rPr>
                <w:rFonts w:ascii="宋体" w:hAnsi="宋体" w:cs="宋体" w:eastAsia="宋体" w:hint="default"/>
                <w:sz w:val="18"/>
                <w:szCs w:val="18"/>
              </w:rPr>
              <w:t>十四</w:t>
            </w:r>
            <w:r>
              <w:rPr>
                <w:rFonts w:ascii="Arial" w:hAnsi="Arial" w:cs="Arial" w:eastAsia="Arial" w:hint="default"/>
                <w:sz w:val="18"/>
                <w:szCs w:val="18"/>
              </w:rPr>
              <w:t>(6)</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5"/>
              <w:jc w:val="right"/>
              <w:rPr>
                <w:rFonts w:ascii="Arial" w:hAnsi="Arial" w:cs="Arial" w:eastAsia="Arial" w:hint="default"/>
                <w:sz w:val="18"/>
                <w:szCs w:val="18"/>
              </w:rPr>
            </w:pPr>
            <w:r>
              <w:rPr>
                <w:rFonts w:ascii="Arial"/>
                <w:spacing w:val="-1"/>
                <w:sz w:val="18"/>
              </w:rPr>
              <w:t>363,324,686</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197,949,012</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5" w:right="0"/>
              <w:jc w:val="left"/>
              <w:rPr>
                <w:rFonts w:ascii="Arial" w:hAnsi="Arial" w:cs="Arial" w:eastAsia="Arial" w:hint="default"/>
                <w:sz w:val="18"/>
                <w:szCs w:val="18"/>
              </w:rPr>
            </w:pPr>
            <w:r>
              <w:rPr>
                <w:rFonts w:ascii="Arial"/>
                <w:sz w:val="18"/>
              </w:rPr>
              <w:t>1,269,504,951</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72" w:right="0"/>
              <w:jc w:val="left"/>
              <w:rPr>
                <w:rFonts w:ascii="Arial" w:hAnsi="Arial" w:cs="Arial" w:eastAsia="Arial" w:hint="default"/>
                <w:sz w:val="18"/>
                <w:szCs w:val="18"/>
              </w:rPr>
            </w:pPr>
            <w:r>
              <w:rPr>
                <w:rFonts w:ascii="Arial"/>
                <w:sz w:val="18"/>
              </w:rPr>
              <w:t>958,060,322</w:t>
            </w:r>
          </w:p>
        </w:tc>
      </w:tr>
      <w:tr>
        <w:trPr>
          <w:trHeight w:val="521"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351" w:right="384" w:hanging="524"/>
              <w:jc w:val="left"/>
              <w:rPr>
                <w:rFonts w:ascii="宋体" w:hAnsi="宋体" w:cs="宋体" w:eastAsia="宋体" w:hint="default"/>
                <w:sz w:val="18"/>
                <w:szCs w:val="18"/>
              </w:rPr>
            </w:pPr>
            <w:r>
              <w:rPr>
                <w:rFonts w:ascii="宋体" w:hAnsi="宋体" w:cs="宋体" w:eastAsia="宋体" w:hint="default"/>
                <w:sz w:val="18"/>
                <w:szCs w:val="18"/>
              </w:rPr>
              <w:t>其中：对联营和合营企业的 投资（损失）</w:t>
            </w:r>
            <w:r>
              <w:rPr>
                <w:rFonts w:ascii="Arial" w:hAnsi="Arial" w:cs="Arial" w:eastAsia="Arial" w:hint="default"/>
                <w:sz w:val="18"/>
                <w:szCs w:val="18"/>
              </w:rPr>
              <w:t>/</w:t>
            </w:r>
            <w:r>
              <w:rPr>
                <w:rFonts w:ascii="宋体" w:hAnsi="宋体" w:cs="宋体" w:eastAsia="宋体" w:hint="default"/>
                <w:sz w:val="18"/>
                <w:szCs w:val="18"/>
              </w:rPr>
              <w:t>收益</w:t>
            </w:r>
          </w:p>
        </w:tc>
        <w:tc>
          <w:tcPr>
            <w:tcW w:w="1162"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8"/>
                <w:szCs w:val="18"/>
              </w:rPr>
            </w:pPr>
          </w:p>
          <w:p>
            <w:pPr>
              <w:pStyle w:val="TableParagraph"/>
              <w:spacing w:line="240" w:lineRule="auto"/>
              <w:ind w:right="47"/>
              <w:jc w:val="right"/>
              <w:rPr>
                <w:rFonts w:ascii="Arial" w:hAnsi="Arial" w:cs="Arial" w:eastAsia="Arial" w:hint="default"/>
                <w:sz w:val="18"/>
                <w:szCs w:val="18"/>
              </w:rPr>
            </w:pPr>
            <w:r>
              <w:rPr>
                <w:rFonts w:ascii="Arial"/>
                <w:spacing w:val="-1"/>
                <w:sz w:val="18"/>
              </w:rPr>
              <w:t>(28,122,881)</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黑体" w:hAnsi="黑体" w:cs="黑体" w:eastAsia="黑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4,537,739</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黑体" w:hAnsi="黑体" w:cs="黑体" w:eastAsia="黑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黑体" w:hAnsi="黑体" w:cs="黑体" w:eastAsia="黑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74" w:hRule="exact"/>
        </w:trPr>
        <w:tc>
          <w:tcPr>
            <w:tcW w:w="339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3" w:right="0"/>
              <w:jc w:val="left"/>
              <w:rPr>
                <w:rFonts w:ascii="黑体" w:hAnsi="黑体" w:cs="黑体" w:eastAsia="黑体" w:hint="default"/>
                <w:sz w:val="18"/>
                <w:szCs w:val="18"/>
              </w:rPr>
            </w:pPr>
            <w:r>
              <w:rPr>
                <w:rFonts w:ascii="黑体" w:hAnsi="黑体" w:cs="黑体" w:eastAsia="黑体" w:hint="default"/>
                <w:sz w:val="18"/>
                <w:szCs w:val="18"/>
              </w:rPr>
              <w:t>三、营业利润</w:t>
            </w:r>
          </w:p>
        </w:tc>
        <w:tc>
          <w:tcPr>
            <w:tcW w:w="1162"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Arial" w:hAnsi="Arial" w:cs="Arial" w:eastAsia="Arial" w:hint="default"/>
                <w:sz w:val="18"/>
                <w:szCs w:val="18"/>
              </w:rPr>
            </w:pPr>
            <w:r>
              <w:rPr>
                <w:rFonts w:ascii="Arial"/>
                <w:spacing w:val="-1"/>
                <w:sz w:val="18"/>
              </w:rPr>
              <w:t>15,893,403,694</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42" w:right="0"/>
              <w:jc w:val="left"/>
              <w:rPr>
                <w:rFonts w:ascii="Arial" w:hAnsi="Arial" w:cs="Arial" w:eastAsia="Arial" w:hint="default"/>
                <w:sz w:val="18"/>
                <w:szCs w:val="18"/>
              </w:rPr>
            </w:pPr>
            <w:r>
              <w:rPr>
                <w:rFonts w:ascii="Arial"/>
                <w:sz w:val="18"/>
              </w:rPr>
              <w:t>12,917,419,226</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5" w:right="0"/>
              <w:jc w:val="left"/>
              <w:rPr>
                <w:rFonts w:ascii="Arial" w:hAnsi="Arial" w:cs="Arial" w:eastAsia="Arial" w:hint="default"/>
                <w:sz w:val="18"/>
                <w:szCs w:val="18"/>
              </w:rPr>
            </w:pPr>
            <w:r>
              <w:rPr>
                <w:rFonts w:ascii="Arial"/>
                <w:sz w:val="18"/>
              </w:rPr>
              <w:t>1,257,022,728</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72" w:right="0"/>
              <w:jc w:val="left"/>
              <w:rPr>
                <w:rFonts w:ascii="Arial" w:hAnsi="Arial" w:cs="Arial" w:eastAsia="Arial" w:hint="default"/>
                <w:sz w:val="18"/>
                <w:szCs w:val="18"/>
              </w:rPr>
            </w:pPr>
            <w:r>
              <w:rPr>
                <w:rFonts w:ascii="Arial"/>
                <w:sz w:val="18"/>
              </w:rPr>
              <w:t>947,050,540</w:t>
            </w:r>
          </w:p>
        </w:tc>
      </w:tr>
      <w:tr>
        <w:trPr>
          <w:trHeight w:val="276"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78"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right="106"/>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(43)</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Arial" w:hAnsi="Arial" w:cs="Arial" w:eastAsia="Arial" w:hint="default"/>
                <w:sz w:val="18"/>
                <w:szCs w:val="18"/>
              </w:rPr>
            </w:pPr>
            <w:r>
              <w:rPr>
                <w:rFonts w:ascii="Arial"/>
                <w:spacing w:val="-1"/>
                <w:sz w:val="18"/>
              </w:rPr>
              <w:t>1,529,245,060</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1,439,382,148</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74"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384"/>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1162"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6"/>
              <w:jc w:val="right"/>
              <w:rPr>
                <w:rFonts w:ascii="Arial" w:hAnsi="Arial" w:cs="Arial" w:eastAsia="Arial" w:hint="default"/>
                <w:sz w:val="18"/>
                <w:szCs w:val="18"/>
              </w:rPr>
            </w:pPr>
            <w:r>
              <w:rPr>
                <w:rFonts w:ascii="Arial"/>
                <w:spacing w:val="-1"/>
                <w:sz w:val="18"/>
              </w:rPr>
              <w:t>406,134,169</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7"/>
              <w:jc w:val="right"/>
              <w:rPr>
                <w:rFonts w:ascii="Arial" w:hAnsi="Arial" w:cs="Arial" w:eastAsia="Arial" w:hint="default"/>
                <w:sz w:val="18"/>
                <w:szCs w:val="18"/>
              </w:rPr>
            </w:pPr>
            <w:r>
              <w:rPr>
                <w:rFonts w:ascii="Arial"/>
                <w:spacing w:val="-1"/>
                <w:sz w:val="18"/>
              </w:rPr>
              <w:t>626,078,732</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w w:val="99"/>
                <w:sz w:val="18"/>
              </w:rPr>
              <w:t>-</w:t>
            </w:r>
            <w:r>
              <w:rPr>
                <w:rFonts w:ascii="Arial"/>
                <w:sz w:val="18"/>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74"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78"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right="106"/>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(44)</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45"/>
              <w:jc w:val="right"/>
              <w:rPr>
                <w:rFonts w:ascii="Arial" w:hAnsi="Arial" w:cs="Arial" w:eastAsia="Arial" w:hint="default"/>
                <w:sz w:val="18"/>
                <w:szCs w:val="18"/>
              </w:rPr>
            </w:pPr>
            <w:r>
              <w:rPr>
                <w:rFonts w:ascii="Arial"/>
                <w:spacing w:val="-1"/>
                <w:sz w:val="18"/>
              </w:rPr>
              <w:t>(1,586,153,087)</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47"/>
              <w:jc w:val="right"/>
              <w:rPr>
                <w:rFonts w:ascii="Arial" w:hAnsi="Arial" w:cs="Arial" w:eastAsia="Arial" w:hint="default"/>
                <w:sz w:val="18"/>
                <w:szCs w:val="18"/>
              </w:rPr>
            </w:pPr>
            <w:r>
              <w:rPr>
                <w:rFonts w:ascii="Arial"/>
                <w:spacing w:val="-1"/>
                <w:sz w:val="18"/>
              </w:rPr>
              <w:t>(680,142,833)</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46"/>
              <w:jc w:val="right"/>
              <w:rPr>
                <w:rFonts w:ascii="Arial" w:hAnsi="Arial" w:cs="Arial" w:eastAsia="Arial" w:hint="default"/>
                <w:sz w:val="18"/>
                <w:szCs w:val="18"/>
              </w:rPr>
            </w:pPr>
            <w:r>
              <w:rPr>
                <w:rFonts w:ascii="Arial"/>
                <w:w w:val="95"/>
                <w:sz w:val="18"/>
              </w:rPr>
              <w:t>(2,000)</w:t>
            </w:r>
            <w:r>
              <w:rPr>
                <w:rFonts w:ascii="Arial"/>
                <w:sz w:val="18"/>
              </w:rPr>
            </w:r>
          </w:p>
        </w:tc>
      </w:tr>
      <w:tr>
        <w:trPr>
          <w:trHeight w:val="274"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38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162"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45"/>
              <w:jc w:val="right"/>
              <w:rPr>
                <w:rFonts w:ascii="Arial" w:hAnsi="Arial" w:cs="Arial" w:eastAsia="Arial" w:hint="default"/>
                <w:sz w:val="18"/>
                <w:szCs w:val="18"/>
              </w:rPr>
            </w:pPr>
            <w:r>
              <w:rPr>
                <w:rFonts w:ascii="Arial"/>
                <w:spacing w:val="-1"/>
                <w:sz w:val="18"/>
              </w:rPr>
              <w:t>(1,454,264,890)</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47"/>
              <w:jc w:val="right"/>
              <w:rPr>
                <w:rFonts w:ascii="Arial" w:hAnsi="Arial" w:cs="Arial" w:eastAsia="Arial" w:hint="default"/>
                <w:sz w:val="18"/>
                <w:szCs w:val="18"/>
              </w:rPr>
            </w:pPr>
            <w:r>
              <w:rPr>
                <w:rFonts w:ascii="Arial"/>
                <w:spacing w:val="-1"/>
                <w:sz w:val="18"/>
              </w:rPr>
              <w:t>(550,808,556)</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74" w:hRule="exact"/>
        </w:trPr>
        <w:tc>
          <w:tcPr>
            <w:tcW w:w="339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3" w:right="0"/>
              <w:jc w:val="left"/>
              <w:rPr>
                <w:rFonts w:ascii="黑体" w:hAnsi="黑体" w:cs="黑体" w:eastAsia="黑体" w:hint="default"/>
                <w:sz w:val="18"/>
                <w:szCs w:val="18"/>
              </w:rPr>
            </w:pPr>
            <w:r>
              <w:rPr>
                <w:rFonts w:ascii="黑体" w:hAnsi="黑体" w:cs="黑体" w:eastAsia="黑体" w:hint="default"/>
                <w:sz w:val="18"/>
                <w:szCs w:val="18"/>
              </w:rPr>
              <w:t>四、利润总额</w:t>
            </w:r>
          </w:p>
        </w:tc>
        <w:tc>
          <w:tcPr>
            <w:tcW w:w="1162"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6"/>
              <w:jc w:val="right"/>
              <w:rPr>
                <w:rFonts w:ascii="Arial" w:hAnsi="Arial" w:cs="Arial" w:eastAsia="Arial" w:hint="default"/>
                <w:sz w:val="18"/>
                <w:szCs w:val="18"/>
              </w:rPr>
            </w:pPr>
            <w:r>
              <w:rPr>
                <w:rFonts w:ascii="Arial"/>
                <w:spacing w:val="-1"/>
                <w:sz w:val="18"/>
              </w:rPr>
              <w:t>15,836,495,667</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42" w:right="0"/>
              <w:jc w:val="left"/>
              <w:rPr>
                <w:rFonts w:ascii="Arial" w:hAnsi="Arial" w:cs="Arial" w:eastAsia="Arial" w:hint="default"/>
                <w:sz w:val="18"/>
                <w:szCs w:val="18"/>
              </w:rPr>
            </w:pPr>
            <w:r>
              <w:rPr>
                <w:rFonts w:ascii="Arial"/>
                <w:sz w:val="18"/>
              </w:rPr>
              <w:t>13,676,658,541</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45" w:right="0"/>
              <w:jc w:val="left"/>
              <w:rPr>
                <w:rFonts w:ascii="Arial" w:hAnsi="Arial" w:cs="Arial" w:eastAsia="Arial" w:hint="default"/>
                <w:sz w:val="18"/>
                <w:szCs w:val="18"/>
              </w:rPr>
            </w:pPr>
            <w:r>
              <w:rPr>
                <w:rFonts w:ascii="Arial"/>
                <w:sz w:val="18"/>
              </w:rPr>
              <w:t>1,257,022,728</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72" w:right="0"/>
              <w:jc w:val="left"/>
              <w:rPr>
                <w:rFonts w:ascii="Arial" w:hAnsi="Arial" w:cs="Arial" w:eastAsia="Arial" w:hint="default"/>
                <w:sz w:val="18"/>
                <w:szCs w:val="18"/>
              </w:rPr>
            </w:pPr>
            <w:r>
              <w:rPr>
                <w:rFonts w:ascii="Arial"/>
                <w:sz w:val="18"/>
              </w:rPr>
              <w:t>947,048,540</w:t>
            </w:r>
          </w:p>
        </w:tc>
      </w:tr>
      <w:tr>
        <w:trPr>
          <w:trHeight w:val="274"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78"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right="106"/>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(45)</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45"/>
              <w:jc w:val="right"/>
              <w:rPr>
                <w:rFonts w:ascii="Arial" w:hAnsi="Arial" w:cs="Arial" w:eastAsia="Arial" w:hint="default"/>
                <w:sz w:val="18"/>
                <w:szCs w:val="18"/>
              </w:rPr>
            </w:pPr>
            <w:r>
              <w:rPr>
                <w:rFonts w:ascii="Arial"/>
                <w:spacing w:val="-1"/>
                <w:sz w:val="18"/>
              </w:rPr>
              <w:t>(3,868,606,057)</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47"/>
              <w:jc w:val="right"/>
              <w:rPr>
                <w:rFonts w:ascii="Arial" w:hAnsi="Arial" w:cs="Arial" w:eastAsia="Arial" w:hint="default"/>
                <w:sz w:val="18"/>
                <w:szCs w:val="18"/>
              </w:rPr>
            </w:pPr>
            <w:r>
              <w:rPr>
                <w:rFonts w:ascii="Arial"/>
                <w:spacing w:val="-1"/>
                <w:sz w:val="18"/>
              </w:rPr>
              <w:t>(3,384,222,262)</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74" w:hRule="exact"/>
        </w:trPr>
        <w:tc>
          <w:tcPr>
            <w:tcW w:w="339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3" w:right="0"/>
              <w:jc w:val="left"/>
              <w:rPr>
                <w:rFonts w:ascii="黑体" w:hAnsi="黑体" w:cs="黑体" w:eastAsia="黑体" w:hint="default"/>
                <w:sz w:val="18"/>
                <w:szCs w:val="18"/>
              </w:rPr>
            </w:pPr>
            <w:r>
              <w:rPr>
                <w:rFonts w:ascii="黑体" w:hAnsi="黑体" w:cs="黑体" w:eastAsia="黑体" w:hint="default"/>
                <w:sz w:val="18"/>
                <w:szCs w:val="18"/>
              </w:rPr>
              <w:t>五、净利润</w:t>
            </w:r>
          </w:p>
        </w:tc>
        <w:tc>
          <w:tcPr>
            <w:tcW w:w="1162"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Arial" w:hAnsi="Arial" w:cs="Arial" w:eastAsia="Arial" w:hint="default"/>
                <w:sz w:val="18"/>
                <w:szCs w:val="18"/>
              </w:rPr>
            </w:pPr>
            <w:r>
              <w:rPr>
                <w:rFonts w:ascii="Arial"/>
                <w:spacing w:val="-1"/>
                <w:sz w:val="18"/>
              </w:rPr>
              <w:t>11,967,889,610</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44" w:right="0"/>
              <w:jc w:val="left"/>
              <w:rPr>
                <w:rFonts w:ascii="Arial" w:hAnsi="Arial" w:cs="Arial" w:eastAsia="Arial" w:hint="default"/>
                <w:sz w:val="18"/>
                <w:szCs w:val="18"/>
              </w:rPr>
            </w:pPr>
            <w:r>
              <w:rPr>
                <w:rFonts w:ascii="Arial"/>
                <w:sz w:val="18"/>
              </w:rPr>
              <w:t>10,292,436,279</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5" w:right="0"/>
              <w:jc w:val="left"/>
              <w:rPr>
                <w:rFonts w:ascii="Arial" w:hAnsi="Arial" w:cs="Arial" w:eastAsia="Arial" w:hint="default"/>
                <w:sz w:val="18"/>
                <w:szCs w:val="18"/>
              </w:rPr>
            </w:pPr>
            <w:r>
              <w:rPr>
                <w:rFonts w:ascii="Arial"/>
                <w:sz w:val="18"/>
              </w:rPr>
              <w:t>1,257,022,728</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72" w:right="0"/>
              <w:jc w:val="left"/>
              <w:rPr>
                <w:rFonts w:ascii="Arial" w:hAnsi="Arial" w:cs="Arial" w:eastAsia="Arial" w:hint="default"/>
                <w:sz w:val="18"/>
                <w:szCs w:val="18"/>
              </w:rPr>
            </w:pPr>
            <w:r>
              <w:rPr>
                <w:rFonts w:ascii="Arial"/>
                <w:sz w:val="18"/>
              </w:rPr>
              <w:t>947,048,540</w:t>
            </w:r>
          </w:p>
        </w:tc>
      </w:tr>
      <w:tr>
        <w:trPr>
          <w:trHeight w:val="290"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399"/>
              <w:jc w:val="right"/>
              <w:rPr>
                <w:rFonts w:ascii="宋体" w:hAnsi="宋体" w:cs="宋体" w:eastAsia="宋体" w:hint="default"/>
                <w:sz w:val="18"/>
                <w:szCs w:val="18"/>
              </w:rPr>
            </w:pPr>
            <w:r>
              <w:rPr>
                <w:rFonts w:ascii="宋体" w:hAnsi="宋体" w:cs="宋体" w:eastAsia="宋体" w:hint="default"/>
                <w:sz w:val="18"/>
                <w:szCs w:val="18"/>
              </w:rPr>
              <w:t>归属于母公司普通股股东净利润</w:t>
            </w:r>
          </w:p>
        </w:tc>
        <w:tc>
          <w:tcPr>
            <w:tcW w:w="1162"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Arial" w:hAnsi="Arial" w:cs="Arial" w:eastAsia="Arial" w:hint="default"/>
                <w:sz w:val="18"/>
                <w:szCs w:val="18"/>
              </w:rPr>
            </w:pPr>
            <w:r>
              <w:rPr>
                <w:rFonts w:ascii="Arial"/>
                <w:spacing w:val="-1"/>
                <w:sz w:val="18"/>
              </w:rPr>
              <w:t>3,981,738,536</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3,442,853,809</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45" w:right="0"/>
              <w:jc w:val="left"/>
              <w:rPr>
                <w:rFonts w:ascii="Arial" w:hAnsi="Arial" w:cs="Arial" w:eastAsia="Arial" w:hint="default"/>
                <w:sz w:val="18"/>
                <w:szCs w:val="18"/>
              </w:rPr>
            </w:pPr>
            <w:r>
              <w:rPr>
                <w:rFonts w:ascii="Arial"/>
                <w:sz w:val="18"/>
              </w:rPr>
              <w:t>1,257,022,728</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72" w:right="0"/>
              <w:jc w:val="left"/>
              <w:rPr>
                <w:rFonts w:ascii="Arial" w:hAnsi="Arial" w:cs="Arial" w:eastAsia="Arial" w:hint="default"/>
                <w:sz w:val="18"/>
                <w:szCs w:val="18"/>
              </w:rPr>
            </w:pPr>
            <w:r>
              <w:rPr>
                <w:rFonts w:ascii="Arial"/>
                <w:sz w:val="18"/>
              </w:rPr>
              <w:t>947,048,540</w:t>
            </w:r>
          </w:p>
        </w:tc>
      </w:tr>
      <w:tr>
        <w:trPr>
          <w:trHeight w:val="274"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5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162"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Arial" w:hAnsi="Arial" w:cs="Arial" w:eastAsia="Arial" w:hint="default"/>
                <w:sz w:val="18"/>
                <w:szCs w:val="18"/>
              </w:rPr>
            </w:pPr>
            <w:r>
              <w:rPr>
                <w:rFonts w:ascii="Arial"/>
                <w:spacing w:val="-1"/>
                <w:sz w:val="18"/>
              </w:rPr>
              <w:t>7,986,151,074</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6,849,582,470</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74" w:hRule="exact"/>
        </w:trPr>
        <w:tc>
          <w:tcPr>
            <w:tcW w:w="339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0" w:right="0"/>
              <w:jc w:val="left"/>
              <w:rPr>
                <w:rFonts w:ascii="黑体" w:hAnsi="黑体" w:cs="黑体" w:eastAsia="黑体" w:hint="default"/>
                <w:sz w:val="18"/>
                <w:szCs w:val="18"/>
              </w:rPr>
            </w:pPr>
            <w:r>
              <w:rPr>
                <w:rFonts w:ascii="黑体" w:hAnsi="黑体" w:cs="黑体" w:eastAsia="黑体" w:hint="default"/>
                <w:sz w:val="18"/>
                <w:szCs w:val="18"/>
              </w:rPr>
              <w:t>六、其他综合收益的税后净额</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105"/>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(33)</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7"/>
              <w:jc w:val="right"/>
              <w:rPr>
                <w:rFonts w:ascii="Arial" w:hAnsi="Arial" w:cs="Arial" w:eastAsia="Arial" w:hint="default"/>
                <w:sz w:val="18"/>
                <w:szCs w:val="18"/>
              </w:rPr>
            </w:pPr>
            <w:r>
              <w:rPr>
                <w:rFonts w:ascii="Arial"/>
                <w:spacing w:val="-1"/>
                <w:sz w:val="18"/>
              </w:rPr>
              <w:t>(478,698,136)</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670,275,520</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480"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405" w:right="0"/>
              <w:jc w:val="left"/>
              <w:rPr>
                <w:rFonts w:ascii="黑体" w:hAnsi="黑体" w:cs="黑体" w:eastAsia="黑体" w:hint="default"/>
                <w:sz w:val="18"/>
                <w:szCs w:val="18"/>
              </w:rPr>
            </w:pPr>
            <w:r>
              <w:rPr>
                <w:rFonts w:ascii="黑体" w:hAnsi="黑体" w:cs="黑体" w:eastAsia="黑体" w:hint="default"/>
                <w:sz w:val="18"/>
                <w:szCs w:val="18"/>
              </w:rPr>
              <w:t>归属母公司所有者的其他综合收益</w:t>
            </w:r>
          </w:p>
          <w:p>
            <w:pPr>
              <w:pStyle w:val="TableParagraph"/>
              <w:spacing w:line="234" w:lineRule="exact"/>
              <w:ind w:left="547" w:right="0"/>
              <w:jc w:val="left"/>
              <w:rPr>
                <w:rFonts w:ascii="黑体" w:hAnsi="黑体" w:cs="黑体" w:eastAsia="黑体" w:hint="default"/>
                <w:sz w:val="18"/>
                <w:szCs w:val="18"/>
              </w:rPr>
            </w:pPr>
            <w:r>
              <w:rPr>
                <w:rFonts w:ascii="黑体" w:hAnsi="黑体" w:cs="黑体" w:eastAsia="黑体" w:hint="default"/>
                <w:sz w:val="18"/>
                <w:szCs w:val="18"/>
              </w:rPr>
              <w:t>的税后净额</w:t>
            </w:r>
          </w:p>
        </w:tc>
        <w:tc>
          <w:tcPr>
            <w:tcW w:w="1162"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47"/>
              <w:jc w:val="right"/>
              <w:rPr>
                <w:rFonts w:ascii="Arial" w:hAnsi="Arial" w:cs="Arial" w:eastAsia="Arial" w:hint="default"/>
                <w:sz w:val="18"/>
                <w:szCs w:val="18"/>
              </w:rPr>
            </w:pPr>
            <w:r>
              <w:rPr>
                <w:rFonts w:ascii="Arial"/>
                <w:spacing w:val="-1"/>
                <w:sz w:val="18"/>
              </w:rPr>
              <w:t>(159,596,800)</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spacing w:val="-1"/>
                <w:sz w:val="18"/>
              </w:rPr>
              <w:t>225,020,539</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483"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99"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w:t>
            </w:r>
          </w:p>
          <w:p>
            <w:pPr>
              <w:pStyle w:val="TableParagraph"/>
              <w:spacing w:line="234" w:lineRule="exact"/>
              <w:ind w:left="104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162"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sz w:val="19"/>
                <w:szCs w:val="19"/>
              </w:rPr>
            </w:pPr>
          </w:p>
          <w:p>
            <w:pPr>
              <w:pStyle w:val="TableParagraph"/>
              <w:spacing w:line="240" w:lineRule="auto"/>
              <w:ind w:right="47"/>
              <w:jc w:val="right"/>
              <w:rPr>
                <w:rFonts w:ascii="Arial" w:hAnsi="Arial" w:cs="Arial" w:eastAsia="Arial" w:hint="default"/>
                <w:sz w:val="18"/>
                <w:szCs w:val="18"/>
              </w:rPr>
            </w:pPr>
            <w:r>
              <w:rPr>
                <w:rFonts w:ascii="Arial"/>
                <w:spacing w:val="-1"/>
                <w:sz w:val="18"/>
              </w:rPr>
              <w:t>(722,487)</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sz w:val="19"/>
                <w:szCs w:val="19"/>
              </w:rPr>
            </w:pPr>
          </w:p>
          <w:p>
            <w:pPr>
              <w:pStyle w:val="TableParagraph"/>
              <w:spacing w:line="240" w:lineRule="auto"/>
              <w:ind w:right="46"/>
              <w:jc w:val="right"/>
              <w:rPr>
                <w:rFonts w:ascii="Arial" w:hAnsi="Arial" w:cs="Arial" w:eastAsia="Arial" w:hint="default"/>
                <w:sz w:val="18"/>
                <w:szCs w:val="18"/>
              </w:rPr>
            </w:pPr>
            <w:r>
              <w:rPr>
                <w:rFonts w:ascii="Arial"/>
                <w:spacing w:val="-1"/>
                <w:sz w:val="18"/>
              </w:rPr>
              <w:t>(798,501)</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482"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794"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1"/>
                <w:sz w:val="18"/>
                <w:szCs w:val="18"/>
              </w:rPr>
              <w:t> </w:t>
            </w:r>
            <w:r>
              <w:rPr>
                <w:rFonts w:ascii="宋体" w:hAnsi="宋体" w:cs="宋体" w:eastAsia="宋体" w:hint="default"/>
                <w:sz w:val="18"/>
                <w:szCs w:val="18"/>
              </w:rPr>
              <w:t>重新计量设定受益计划</w:t>
            </w:r>
          </w:p>
          <w:p>
            <w:pPr>
              <w:pStyle w:val="TableParagraph"/>
              <w:spacing w:line="229" w:lineRule="exact"/>
              <w:ind w:left="1018" w:right="0"/>
              <w:jc w:val="left"/>
              <w:rPr>
                <w:rFonts w:ascii="宋体" w:hAnsi="宋体" w:cs="宋体" w:eastAsia="宋体" w:hint="default"/>
                <w:sz w:val="18"/>
                <w:szCs w:val="18"/>
              </w:rPr>
            </w:pPr>
            <w:r>
              <w:rPr>
                <w:rFonts w:ascii="宋体" w:hAnsi="宋体" w:cs="宋体" w:eastAsia="宋体" w:hint="default"/>
                <w:sz w:val="18"/>
                <w:szCs w:val="18"/>
              </w:rPr>
              <w:t>负债的变动</w:t>
            </w:r>
          </w:p>
        </w:tc>
        <w:tc>
          <w:tcPr>
            <w:tcW w:w="1162"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47"/>
              <w:jc w:val="right"/>
              <w:rPr>
                <w:rFonts w:ascii="Arial" w:hAnsi="Arial" w:cs="Arial" w:eastAsia="Arial" w:hint="default"/>
                <w:sz w:val="18"/>
                <w:szCs w:val="18"/>
              </w:rPr>
            </w:pPr>
            <w:r>
              <w:rPr>
                <w:rFonts w:ascii="Arial"/>
                <w:spacing w:val="-1"/>
                <w:sz w:val="18"/>
              </w:rPr>
              <w:t>(722,487)</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46"/>
              <w:jc w:val="right"/>
              <w:rPr>
                <w:rFonts w:ascii="Arial" w:hAnsi="Arial" w:cs="Arial" w:eastAsia="Arial" w:hint="default"/>
                <w:sz w:val="18"/>
                <w:szCs w:val="18"/>
              </w:rPr>
            </w:pPr>
            <w:r>
              <w:rPr>
                <w:rFonts w:ascii="Arial"/>
                <w:spacing w:val="-1"/>
                <w:sz w:val="18"/>
              </w:rPr>
              <w:t>(798,501)</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482"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499" w:right="0"/>
              <w:jc w:val="left"/>
              <w:rPr>
                <w:rFonts w:ascii="宋体" w:hAnsi="宋体" w:cs="宋体" w:eastAsia="宋体" w:hint="default"/>
                <w:sz w:val="18"/>
                <w:szCs w:val="18"/>
              </w:rPr>
            </w:pPr>
            <w:r>
              <w:rPr>
                <w:rFonts w:ascii="宋体" w:hAnsi="宋体" w:cs="宋体" w:eastAsia="宋体" w:hint="default"/>
                <w:sz w:val="18"/>
                <w:szCs w:val="18"/>
              </w:rPr>
              <w:t>（二）以后会计期间将重分类进</w:t>
            </w:r>
          </w:p>
          <w:p>
            <w:pPr>
              <w:pStyle w:val="TableParagraph"/>
              <w:spacing w:line="234" w:lineRule="exact"/>
              <w:ind w:left="1046" w:right="0"/>
              <w:jc w:val="left"/>
              <w:rPr>
                <w:rFonts w:ascii="宋体" w:hAnsi="宋体" w:cs="宋体" w:eastAsia="宋体" w:hint="default"/>
                <w:sz w:val="18"/>
                <w:szCs w:val="18"/>
              </w:rPr>
            </w:pPr>
            <w:r>
              <w:rPr>
                <w:rFonts w:ascii="宋体" w:hAnsi="宋体" w:cs="宋体" w:eastAsia="宋体" w:hint="default"/>
                <w:sz w:val="18"/>
                <w:szCs w:val="18"/>
              </w:rPr>
              <w:t>损益的其他综合收益项目：</w:t>
            </w:r>
          </w:p>
        </w:tc>
        <w:tc>
          <w:tcPr>
            <w:tcW w:w="1162"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47"/>
              <w:jc w:val="right"/>
              <w:rPr>
                <w:rFonts w:ascii="Arial" w:hAnsi="Arial" w:cs="Arial" w:eastAsia="Arial" w:hint="default"/>
                <w:sz w:val="18"/>
                <w:szCs w:val="18"/>
              </w:rPr>
            </w:pPr>
            <w:r>
              <w:rPr>
                <w:rFonts w:ascii="Arial"/>
                <w:spacing w:val="-1"/>
                <w:sz w:val="18"/>
              </w:rPr>
              <w:t>(158,874,313)</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spacing w:val="-1"/>
                <w:sz w:val="18"/>
              </w:rPr>
              <w:t>225,819,040</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480"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830"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1"/>
                <w:sz w:val="18"/>
                <w:szCs w:val="18"/>
              </w:rPr>
              <w:t> </w:t>
            </w:r>
            <w:r>
              <w:rPr>
                <w:rFonts w:ascii="宋体" w:hAnsi="宋体" w:cs="宋体" w:eastAsia="宋体" w:hint="default"/>
                <w:sz w:val="18"/>
                <w:szCs w:val="18"/>
              </w:rPr>
              <w:t>可供出售金融资产公允价值</w:t>
            </w:r>
          </w:p>
          <w:p>
            <w:pPr>
              <w:pStyle w:val="TableParagraph"/>
              <w:spacing w:line="228" w:lineRule="exact"/>
              <w:ind w:left="1058" w:right="0"/>
              <w:jc w:val="left"/>
              <w:rPr>
                <w:rFonts w:ascii="宋体" w:hAnsi="宋体" w:cs="宋体" w:eastAsia="宋体" w:hint="default"/>
                <w:sz w:val="18"/>
                <w:szCs w:val="18"/>
              </w:rPr>
            </w:pPr>
            <w:r>
              <w:rPr>
                <w:rFonts w:ascii="宋体" w:hAnsi="宋体" w:cs="宋体" w:eastAsia="宋体" w:hint="default"/>
                <w:sz w:val="18"/>
                <w:szCs w:val="18"/>
              </w:rPr>
              <w:t>变动损益</w:t>
            </w:r>
          </w:p>
        </w:tc>
        <w:tc>
          <w:tcPr>
            <w:tcW w:w="1162"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47"/>
              <w:jc w:val="right"/>
              <w:rPr>
                <w:rFonts w:ascii="Arial" w:hAnsi="Arial" w:cs="Arial" w:eastAsia="Arial" w:hint="default"/>
                <w:sz w:val="18"/>
                <w:szCs w:val="18"/>
              </w:rPr>
            </w:pPr>
            <w:r>
              <w:rPr>
                <w:rFonts w:ascii="Arial"/>
                <w:spacing w:val="-1"/>
                <w:sz w:val="18"/>
              </w:rPr>
              <w:t>(154,680,221)</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spacing w:val="-1"/>
                <w:sz w:val="18"/>
              </w:rPr>
              <w:t>231,631,688</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500"/>
              <w:jc w:val="righ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1"/>
                <w:sz w:val="18"/>
                <w:szCs w:val="18"/>
              </w:rPr>
              <w:t> </w:t>
            </w:r>
            <w:r>
              <w:rPr>
                <w:rFonts w:ascii="宋体" w:hAnsi="宋体" w:cs="宋体" w:eastAsia="宋体" w:hint="default"/>
                <w:sz w:val="18"/>
                <w:szCs w:val="18"/>
              </w:rPr>
              <w:t>外币财务报表折算差额</w:t>
            </w:r>
          </w:p>
        </w:tc>
        <w:tc>
          <w:tcPr>
            <w:tcW w:w="1162"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5"/>
              <w:jc w:val="right"/>
              <w:rPr>
                <w:rFonts w:ascii="Arial" w:hAnsi="Arial" w:cs="Arial" w:eastAsia="Arial" w:hint="default"/>
                <w:sz w:val="18"/>
                <w:szCs w:val="18"/>
              </w:rPr>
            </w:pPr>
            <w:r>
              <w:rPr>
                <w:rFonts w:ascii="Arial"/>
                <w:spacing w:val="-1"/>
                <w:sz w:val="18"/>
              </w:rPr>
              <w:t>(4,194,092)</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7"/>
              <w:jc w:val="right"/>
              <w:rPr>
                <w:rFonts w:ascii="Arial" w:hAnsi="Arial" w:cs="Arial" w:eastAsia="Arial" w:hint="default"/>
                <w:sz w:val="18"/>
                <w:szCs w:val="18"/>
              </w:rPr>
            </w:pPr>
            <w:r>
              <w:rPr>
                <w:rFonts w:ascii="Arial"/>
                <w:spacing w:val="-1"/>
                <w:sz w:val="18"/>
              </w:rPr>
              <w:t>(5,812,648)</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Arial" w:hAnsi="Arial" w:cs="Arial" w:eastAsia="Arial" w:hint="default"/>
                <w:sz w:val="18"/>
                <w:szCs w:val="18"/>
              </w:rPr>
            </w:pPr>
            <w:r>
              <w:rPr>
                <w:rFonts w:ascii="Arial"/>
                <w:w w:val="99"/>
                <w:sz w:val="18"/>
              </w:rPr>
              <w:t>-</w:t>
            </w:r>
            <w:r>
              <w:rPr>
                <w:rFonts w:ascii="Arial"/>
                <w:sz w:val="18"/>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482"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95" w:right="0"/>
              <w:jc w:val="left"/>
              <w:rPr>
                <w:rFonts w:ascii="黑体" w:hAnsi="黑体" w:cs="黑体" w:eastAsia="黑体" w:hint="default"/>
                <w:sz w:val="18"/>
                <w:szCs w:val="18"/>
              </w:rPr>
            </w:pPr>
            <w:r>
              <w:rPr>
                <w:rFonts w:ascii="黑体" w:hAnsi="黑体" w:cs="黑体" w:eastAsia="黑体" w:hint="default"/>
                <w:sz w:val="18"/>
                <w:szCs w:val="18"/>
              </w:rPr>
              <w:t>归属于少数股东的其他综合收益</w:t>
            </w:r>
          </w:p>
          <w:p>
            <w:pPr>
              <w:pStyle w:val="TableParagraph"/>
              <w:spacing w:line="234" w:lineRule="exact"/>
              <w:ind w:left="547" w:right="0"/>
              <w:jc w:val="left"/>
              <w:rPr>
                <w:rFonts w:ascii="黑体" w:hAnsi="黑体" w:cs="黑体" w:eastAsia="黑体" w:hint="default"/>
                <w:sz w:val="18"/>
                <w:szCs w:val="18"/>
              </w:rPr>
            </w:pPr>
            <w:r>
              <w:rPr>
                <w:rFonts w:ascii="黑体" w:hAnsi="黑体" w:cs="黑体" w:eastAsia="黑体" w:hint="default"/>
                <w:sz w:val="18"/>
                <w:szCs w:val="18"/>
              </w:rPr>
              <w:t>的税后净额</w:t>
            </w:r>
          </w:p>
        </w:tc>
        <w:tc>
          <w:tcPr>
            <w:tcW w:w="1162"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45"/>
              <w:jc w:val="right"/>
              <w:rPr>
                <w:rFonts w:ascii="Arial" w:hAnsi="Arial" w:cs="Arial" w:eastAsia="Arial" w:hint="default"/>
                <w:sz w:val="18"/>
                <w:szCs w:val="18"/>
              </w:rPr>
            </w:pPr>
            <w:r>
              <w:rPr>
                <w:rFonts w:ascii="Arial"/>
                <w:spacing w:val="-1"/>
                <w:sz w:val="18"/>
              </w:rPr>
              <w:t>(319,101,336)</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spacing w:val="-1"/>
                <w:sz w:val="18"/>
              </w:rPr>
              <w:t>445,254,981</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headerReference w:type="default" r:id="rId29"/>
          <w:footerReference w:type="default" r:id="rId30"/>
          <w:pgSz w:w="11910" w:h="16840"/>
          <w:pgMar w:header="0" w:footer="923" w:top="1240" w:bottom="1120" w:left="780" w:right="520"/>
          <w:pgNumType w:start="59"/>
        </w:sectPr>
      </w:pPr>
    </w:p>
    <w:p>
      <w:pPr>
        <w:pStyle w:val="BodyText"/>
        <w:spacing w:line="240" w:lineRule="auto" w:before="4"/>
        <w:ind w:left="112"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1"/>
        <w:rPr>
          <w:rFonts w:ascii="黑体" w:hAnsi="黑体" w:cs="黑体" w:eastAsia="黑体" w:hint="default"/>
          <w:sz w:val="19"/>
          <w:szCs w:val="19"/>
        </w:rPr>
      </w:pPr>
    </w:p>
    <w:p>
      <w:pPr>
        <w:pStyle w:val="BodyText"/>
        <w:spacing w:line="295" w:lineRule="exact"/>
        <w:ind w:left="112"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9"/>
        </w:rPr>
        <w:t> </w:t>
      </w:r>
      <w:r>
        <w:rPr>
          <w:rFonts w:ascii="黑体" w:hAnsi="黑体" w:cs="黑体" w:eastAsia="黑体" w:hint="default"/>
        </w:rPr>
        <w:t>年度合并及公司利润表（续）</w:t>
      </w:r>
    </w:p>
    <w:p>
      <w:pPr>
        <w:pStyle w:val="BodyText"/>
        <w:spacing w:line="279" w:lineRule="exact"/>
        <w:ind w:left="112" w:right="0"/>
        <w:jc w:val="left"/>
        <w:rPr>
          <w:rFonts w:ascii="黑体" w:hAnsi="黑体" w:cs="黑体" w:eastAsia="黑体" w:hint="default"/>
        </w:rPr>
      </w:pPr>
      <w:r>
        <w:rPr>
          <w:rFonts w:ascii="黑体" w:hAnsi="黑体" w:cs="黑体" w:eastAsia="黑体" w:hint="default"/>
        </w:rPr>
        <w:t>（除特别注明外，金额单位为人民币元）</w:t>
      </w:r>
    </w:p>
    <w:p>
      <w:pPr>
        <w:spacing w:line="240" w:lineRule="auto" w:before="5"/>
        <w:rPr>
          <w:rFonts w:ascii="黑体" w:hAnsi="黑体" w:cs="黑体" w:eastAsia="黑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390"/>
        <w:gridCol w:w="1162"/>
        <w:gridCol w:w="1611"/>
        <w:gridCol w:w="1610"/>
        <w:gridCol w:w="1316"/>
        <w:gridCol w:w="1301"/>
      </w:tblGrid>
      <w:tr>
        <w:trPr>
          <w:trHeight w:val="634"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2"/>
                <w:szCs w:val="12"/>
              </w:rPr>
            </w:pPr>
          </w:p>
          <w:p>
            <w:pPr>
              <w:pStyle w:val="TableParagraph"/>
              <w:spacing w:line="240" w:lineRule="auto"/>
              <w:ind w:right="0"/>
              <w:jc w:val="center"/>
              <w:rPr>
                <w:rFonts w:ascii="黑体" w:hAnsi="黑体" w:cs="黑体" w:eastAsia="黑体" w:hint="default"/>
                <w:sz w:val="18"/>
                <w:szCs w:val="18"/>
              </w:rPr>
            </w:pPr>
            <w:r>
              <w:rPr>
                <w:rFonts w:ascii="黑体" w:hAnsi="黑体" w:cs="黑体" w:eastAsia="黑体" w:hint="default"/>
                <w:sz w:val="18"/>
                <w:szCs w:val="18"/>
              </w:rPr>
              <w:t>项目</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2"/>
                <w:szCs w:val="12"/>
              </w:rPr>
            </w:pPr>
          </w:p>
          <w:p>
            <w:pPr>
              <w:pStyle w:val="TableParagraph"/>
              <w:spacing w:line="240" w:lineRule="auto"/>
              <w:ind w:right="395"/>
              <w:jc w:val="right"/>
              <w:rPr>
                <w:rFonts w:ascii="黑体" w:hAnsi="黑体" w:cs="黑体" w:eastAsia="黑体" w:hint="default"/>
                <w:sz w:val="18"/>
                <w:szCs w:val="18"/>
              </w:rPr>
            </w:pPr>
            <w:r>
              <w:rPr>
                <w:rFonts w:ascii="黑体" w:hAnsi="黑体" w:cs="黑体" w:eastAsia="黑体" w:hint="default"/>
                <w:sz w:val="18"/>
                <w:szCs w:val="18"/>
              </w:rPr>
              <w:t>附注</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48"/>
              <w:ind w:left="616" w:right="393" w:hanging="221"/>
              <w:jc w:val="left"/>
              <w:rPr>
                <w:rFonts w:ascii="黑体" w:hAnsi="黑体" w:cs="黑体" w:eastAsia="黑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黑体" w:hAnsi="黑体" w:cs="黑体" w:eastAsia="黑体" w:hint="default"/>
                <w:sz w:val="18"/>
                <w:szCs w:val="18"/>
              </w:rPr>
              <w:t>年度 合并</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48"/>
              <w:ind w:left="616" w:right="395" w:hanging="224"/>
              <w:jc w:val="left"/>
              <w:rPr>
                <w:rFonts w:ascii="黑体" w:hAnsi="黑体" w:cs="黑体" w:eastAsia="黑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黑体" w:hAnsi="黑体" w:cs="黑体" w:eastAsia="黑体" w:hint="default"/>
                <w:sz w:val="18"/>
                <w:szCs w:val="18"/>
              </w:rPr>
              <w:t>年度 合并</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48"/>
              <w:ind w:left="468" w:right="267" w:hanging="243"/>
              <w:jc w:val="left"/>
              <w:rPr>
                <w:rFonts w:ascii="黑体" w:hAnsi="黑体" w:cs="黑体" w:eastAsia="黑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黑体" w:hAnsi="黑体" w:cs="黑体" w:eastAsia="黑体" w:hint="default"/>
                <w:sz w:val="18"/>
                <w:szCs w:val="18"/>
              </w:rPr>
              <w:t>年度 公司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48"/>
              <w:ind w:left="460" w:right="290" w:hanging="274"/>
              <w:jc w:val="left"/>
              <w:rPr>
                <w:rFonts w:ascii="黑体" w:hAnsi="黑体" w:cs="黑体" w:eastAsia="黑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黑体" w:hAnsi="黑体" w:cs="黑体" w:eastAsia="黑体" w:hint="default"/>
                <w:sz w:val="18"/>
                <w:szCs w:val="18"/>
              </w:rPr>
              <w:t>年度 公司</w:t>
            </w:r>
          </w:p>
        </w:tc>
      </w:tr>
      <w:tr>
        <w:trPr>
          <w:trHeight w:val="250"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黑体" w:hAnsi="黑体" w:cs="黑体" w:eastAsia="黑体" w:hint="default"/>
                <w:sz w:val="18"/>
                <w:szCs w:val="18"/>
              </w:rPr>
            </w:pPr>
            <w:r>
              <w:rPr>
                <w:rFonts w:ascii="黑体" w:hAnsi="黑体" w:cs="黑体" w:eastAsia="黑体" w:hint="default"/>
                <w:sz w:val="18"/>
                <w:szCs w:val="18"/>
              </w:rPr>
              <w:t>七、综合收益总额</w:t>
            </w:r>
          </w:p>
        </w:tc>
        <w:tc>
          <w:tcPr>
            <w:tcW w:w="1162"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Arial" w:hAnsi="Arial" w:cs="Arial" w:eastAsia="Arial" w:hint="default"/>
                <w:sz w:val="18"/>
                <w:szCs w:val="18"/>
              </w:rPr>
            </w:pPr>
            <w:r>
              <w:rPr>
                <w:rFonts w:ascii="Arial"/>
                <w:spacing w:val="-1"/>
                <w:sz w:val="18"/>
              </w:rPr>
              <w:t>11,489,191,474</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Arial" w:hAnsi="Arial" w:cs="Arial" w:eastAsia="Arial" w:hint="default"/>
                <w:sz w:val="18"/>
                <w:szCs w:val="18"/>
              </w:rPr>
            </w:pPr>
            <w:r>
              <w:rPr>
                <w:rFonts w:ascii="Arial"/>
                <w:spacing w:val="-1"/>
                <w:sz w:val="18"/>
              </w:rPr>
              <w:t>10,962,711,799</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75"/>
              <w:jc w:val="right"/>
              <w:rPr>
                <w:rFonts w:ascii="Arial" w:hAnsi="Arial" w:cs="Arial" w:eastAsia="Arial" w:hint="default"/>
                <w:sz w:val="18"/>
                <w:szCs w:val="18"/>
              </w:rPr>
            </w:pPr>
            <w:r>
              <w:rPr>
                <w:rFonts w:ascii="Arial"/>
                <w:spacing w:val="-1"/>
                <w:sz w:val="18"/>
              </w:rPr>
              <w:t>1,257,022,728</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5"/>
              <w:jc w:val="right"/>
              <w:rPr>
                <w:rFonts w:ascii="Arial" w:hAnsi="Arial" w:cs="Arial" w:eastAsia="Arial" w:hint="default"/>
                <w:sz w:val="18"/>
                <w:szCs w:val="18"/>
              </w:rPr>
            </w:pPr>
            <w:r>
              <w:rPr>
                <w:rFonts w:ascii="Arial"/>
                <w:spacing w:val="-1"/>
                <w:sz w:val="18"/>
              </w:rPr>
              <w:t>947,048,540</w:t>
            </w:r>
          </w:p>
        </w:tc>
      </w:tr>
      <w:tr>
        <w:trPr>
          <w:trHeight w:val="247"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40" w:right="0"/>
              <w:jc w:val="left"/>
              <w:rPr>
                <w:rFonts w:ascii="黑体" w:hAnsi="黑体" w:cs="黑体" w:eastAsia="黑体" w:hint="default"/>
                <w:sz w:val="18"/>
                <w:szCs w:val="18"/>
              </w:rPr>
            </w:pPr>
            <w:r>
              <w:rPr>
                <w:rFonts w:ascii="黑体" w:hAnsi="黑体" w:cs="黑体" w:eastAsia="黑体" w:hint="default"/>
                <w:sz w:val="18"/>
                <w:szCs w:val="18"/>
              </w:rPr>
              <w:t>归属于母公司股东综合收益总额</w:t>
            </w:r>
          </w:p>
        </w:tc>
        <w:tc>
          <w:tcPr>
            <w:tcW w:w="1162"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Arial" w:hAnsi="Arial" w:cs="Arial" w:eastAsia="Arial" w:hint="default"/>
                <w:sz w:val="18"/>
                <w:szCs w:val="18"/>
              </w:rPr>
            </w:pPr>
            <w:r>
              <w:rPr>
                <w:rFonts w:ascii="Arial"/>
                <w:spacing w:val="-1"/>
                <w:sz w:val="18"/>
              </w:rPr>
              <w:t>3,822,141,736</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Arial" w:hAnsi="Arial" w:cs="Arial" w:eastAsia="Arial" w:hint="default"/>
                <w:sz w:val="18"/>
                <w:szCs w:val="18"/>
              </w:rPr>
            </w:pPr>
            <w:r>
              <w:rPr>
                <w:rFonts w:ascii="Arial"/>
                <w:spacing w:val="-1"/>
                <w:sz w:val="18"/>
              </w:rPr>
              <w:t>3,667,874,348</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74"/>
              <w:jc w:val="right"/>
              <w:rPr>
                <w:rFonts w:ascii="Arial" w:hAnsi="Arial" w:cs="Arial" w:eastAsia="Arial" w:hint="default"/>
                <w:sz w:val="18"/>
                <w:szCs w:val="18"/>
              </w:rPr>
            </w:pPr>
            <w:r>
              <w:rPr>
                <w:rFonts w:ascii="Arial"/>
                <w:spacing w:val="-1"/>
                <w:sz w:val="18"/>
              </w:rPr>
              <w:t>1,257,022,728</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5"/>
              <w:jc w:val="right"/>
              <w:rPr>
                <w:rFonts w:ascii="Arial" w:hAnsi="Arial" w:cs="Arial" w:eastAsia="Arial" w:hint="default"/>
                <w:sz w:val="18"/>
                <w:szCs w:val="18"/>
              </w:rPr>
            </w:pPr>
            <w:r>
              <w:rPr>
                <w:rFonts w:ascii="Arial"/>
                <w:spacing w:val="-1"/>
                <w:sz w:val="18"/>
              </w:rPr>
              <w:t>947,048,540</w:t>
            </w:r>
          </w:p>
        </w:tc>
      </w:tr>
      <w:tr>
        <w:trPr>
          <w:trHeight w:val="250"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40" w:right="0"/>
              <w:jc w:val="left"/>
              <w:rPr>
                <w:rFonts w:ascii="黑体" w:hAnsi="黑体" w:cs="黑体" w:eastAsia="黑体" w:hint="default"/>
                <w:sz w:val="18"/>
                <w:szCs w:val="18"/>
              </w:rPr>
            </w:pPr>
            <w:r>
              <w:rPr>
                <w:rFonts w:ascii="黑体" w:hAnsi="黑体" w:cs="黑体" w:eastAsia="黑体" w:hint="default"/>
                <w:sz w:val="18"/>
                <w:szCs w:val="18"/>
              </w:rPr>
              <w:t>归属于少数股东的综合收益总额</w:t>
            </w:r>
          </w:p>
        </w:tc>
        <w:tc>
          <w:tcPr>
            <w:tcW w:w="1162"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Arial" w:hAnsi="Arial" w:cs="Arial" w:eastAsia="Arial" w:hint="default"/>
                <w:sz w:val="18"/>
                <w:szCs w:val="18"/>
              </w:rPr>
            </w:pPr>
            <w:r>
              <w:rPr>
                <w:rFonts w:ascii="Arial"/>
                <w:spacing w:val="-1"/>
                <w:sz w:val="18"/>
              </w:rPr>
              <w:t>7,667,049,738</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Arial" w:hAnsi="Arial" w:cs="Arial" w:eastAsia="Arial" w:hint="default"/>
                <w:sz w:val="18"/>
                <w:szCs w:val="18"/>
              </w:rPr>
            </w:pPr>
            <w:r>
              <w:rPr>
                <w:rFonts w:ascii="Arial"/>
                <w:spacing w:val="-1"/>
                <w:sz w:val="18"/>
              </w:rPr>
              <w:t>7,294,837,451</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Arial" w:hAnsi="Arial" w:cs="Arial" w:eastAsia="Arial" w:hint="default"/>
                <w:sz w:val="18"/>
                <w:szCs w:val="18"/>
              </w:rPr>
            </w:pPr>
            <w:r>
              <w:rPr>
                <w:rFonts w:ascii="Arial"/>
                <w:w w:val="99"/>
                <w:sz w:val="18"/>
              </w:rPr>
              <w:t>-</w:t>
            </w:r>
            <w:r>
              <w:rPr>
                <w:rFonts w:ascii="Arial"/>
                <w:sz w:val="18"/>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21" w:hRule="exact"/>
        </w:trPr>
        <w:tc>
          <w:tcPr>
            <w:tcW w:w="339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20" w:right="0"/>
              <w:jc w:val="left"/>
              <w:rPr>
                <w:rFonts w:ascii="黑体" w:hAnsi="黑体" w:cs="黑体" w:eastAsia="黑体" w:hint="default"/>
                <w:sz w:val="18"/>
                <w:szCs w:val="18"/>
              </w:rPr>
            </w:pPr>
            <w:r>
              <w:rPr>
                <w:rFonts w:ascii="黑体" w:hAnsi="黑体" w:cs="黑体" w:eastAsia="黑体" w:hint="default"/>
                <w:spacing w:val="-4"/>
                <w:sz w:val="18"/>
                <w:szCs w:val="18"/>
              </w:rPr>
              <w:t>八、每股收益（归属于母公司普通股股东</w:t>
            </w:r>
          </w:p>
        </w:tc>
        <w:tc>
          <w:tcPr>
            <w:tcW w:w="1162"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468" w:right="0"/>
              <w:jc w:val="left"/>
              <w:rPr>
                <w:rFonts w:ascii="黑体" w:hAnsi="黑体" w:cs="黑体" w:eastAsia="黑体" w:hint="default"/>
                <w:sz w:val="18"/>
                <w:szCs w:val="18"/>
              </w:rPr>
            </w:pPr>
            <w:r>
              <w:rPr>
                <w:rFonts w:ascii="黑体" w:hAnsi="黑体" w:cs="黑体" w:eastAsia="黑体" w:hint="default"/>
                <w:sz w:val="18"/>
                <w:szCs w:val="18"/>
              </w:rPr>
              <w:t>基本每股收益</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376"/>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(47)</w:t>
            </w:r>
            <w:r>
              <w:rPr>
                <w:rFonts w:ascii="Arial" w:hAnsi="Arial" w:cs="Arial" w:eastAsia="Arial" w:hint="default"/>
                <w:sz w:val="18"/>
                <w:szCs w:val="18"/>
              </w:rPr>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5"/>
              <w:jc w:val="right"/>
              <w:rPr>
                <w:rFonts w:ascii="Arial" w:hAnsi="Arial" w:cs="Arial" w:eastAsia="Arial" w:hint="default"/>
                <w:sz w:val="18"/>
                <w:szCs w:val="18"/>
              </w:rPr>
            </w:pPr>
            <w:r>
              <w:rPr>
                <w:rFonts w:ascii="Arial"/>
                <w:spacing w:val="-1"/>
                <w:sz w:val="18"/>
              </w:rPr>
              <w:t>0.1878</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7"/>
              <w:jc w:val="right"/>
              <w:rPr>
                <w:rFonts w:ascii="Arial" w:hAnsi="Arial" w:cs="Arial" w:eastAsia="Arial" w:hint="default"/>
                <w:sz w:val="18"/>
                <w:szCs w:val="18"/>
              </w:rPr>
            </w:pPr>
            <w:r>
              <w:rPr>
                <w:rFonts w:ascii="Arial"/>
                <w:spacing w:val="-1"/>
                <w:sz w:val="18"/>
              </w:rPr>
              <w:t>0.1624</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47" w:hRule="exact"/>
        </w:trPr>
        <w:tc>
          <w:tcPr>
            <w:tcW w:w="33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0"/>
              <w:jc w:val="left"/>
              <w:rPr>
                <w:rFonts w:ascii="黑体" w:hAnsi="黑体" w:cs="黑体" w:eastAsia="黑体" w:hint="default"/>
                <w:sz w:val="18"/>
                <w:szCs w:val="18"/>
              </w:rPr>
            </w:pPr>
            <w:r>
              <w:rPr>
                <w:rFonts w:ascii="黑体" w:hAnsi="黑体" w:cs="黑体" w:eastAsia="黑体" w:hint="default"/>
                <w:sz w:val="18"/>
                <w:szCs w:val="18"/>
              </w:rPr>
              <w:t>稀释每股收益</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376"/>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(47)</w:t>
            </w:r>
            <w:r>
              <w:rPr>
                <w:rFonts w:ascii="Arial" w:hAnsi="Arial" w:cs="Arial" w:eastAsia="Arial" w:hint="default"/>
                <w:sz w:val="18"/>
                <w:szCs w:val="18"/>
              </w:rPr>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5"/>
              <w:jc w:val="right"/>
              <w:rPr>
                <w:rFonts w:ascii="Arial" w:hAnsi="Arial" w:cs="Arial" w:eastAsia="Arial" w:hint="default"/>
                <w:sz w:val="18"/>
                <w:szCs w:val="18"/>
              </w:rPr>
            </w:pPr>
            <w:r>
              <w:rPr>
                <w:rFonts w:ascii="Arial"/>
                <w:spacing w:val="-1"/>
                <w:sz w:val="18"/>
              </w:rPr>
              <w:t>0.1839</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Arial" w:hAnsi="Arial" w:cs="Arial" w:eastAsia="Arial" w:hint="default"/>
                <w:sz w:val="18"/>
                <w:szCs w:val="18"/>
              </w:rPr>
            </w:pPr>
            <w:r>
              <w:rPr>
                <w:rFonts w:ascii="Arial"/>
                <w:spacing w:val="-1"/>
                <w:sz w:val="18"/>
              </w:rPr>
              <w:t>0.1590</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黑体" w:hAnsi="黑体" w:cs="黑体" w:eastAsia="黑体" w:hint="default"/>
          <w:sz w:val="14"/>
          <w:szCs w:val="14"/>
        </w:rPr>
      </w:pPr>
    </w:p>
    <w:p>
      <w:pPr>
        <w:spacing w:before="37"/>
        <w:ind w:left="100" w:right="0" w:firstLine="0"/>
        <w:jc w:val="left"/>
        <w:rPr>
          <w:rFonts w:ascii="黑体" w:hAnsi="黑体" w:cs="黑体" w:eastAsia="黑体" w:hint="default"/>
          <w:sz w:val="20"/>
          <w:szCs w:val="20"/>
        </w:rPr>
      </w:pPr>
      <w:r>
        <w:rPr>
          <w:rFonts w:ascii="黑体" w:hAnsi="黑体" w:cs="黑体" w:eastAsia="黑体" w:hint="default"/>
          <w:sz w:val="20"/>
          <w:szCs w:val="20"/>
        </w:rPr>
        <w:t>后附财务报表附注为财务报表的组成部分。</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5"/>
          <w:szCs w:val="15"/>
        </w:rPr>
      </w:pPr>
    </w:p>
    <w:p>
      <w:pPr>
        <w:pStyle w:val="BodyText"/>
        <w:tabs>
          <w:tab w:pos="4066" w:val="left" w:leader="none"/>
          <w:tab w:pos="7424" w:val="left" w:leader="none"/>
        </w:tabs>
        <w:spacing w:line="240" w:lineRule="auto"/>
        <w:ind w:left="127" w:right="0"/>
        <w:jc w:val="left"/>
        <w:rPr>
          <w:rFonts w:ascii="黑体" w:hAnsi="黑体" w:cs="黑体" w:eastAsia="黑体" w:hint="default"/>
        </w:rPr>
      </w:pPr>
      <w:r>
        <w:rPr>
          <w:rFonts w:ascii="黑体" w:hAnsi="黑体" w:cs="黑体" w:eastAsia="黑体" w:hint="default"/>
          <w:spacing w:val="-1"/>
        </w:rPr>
        <w:t>董事长：常小兵</w:t>
        <w:tab/>
        <w:t>财务负责人：李超</w:t>
        <w:tab/>
        <w:t>财务部总经理：李张挺</w:t>
      </w:r>
    </w:p>
    <w:p>
      <w:pPr>
        <w:spacing w:after="0" w:line="240" w:lineRule="auto"/>
        <w:jc w:val="left"/>
        <w:rPr>
          <w:rFonts w:ascii="黑体" w:hAnsi="黑体" w:cs="黑体" w:eastAsia="黑体" w:hint="default"/>
        </w:rPr>
        <w:sectPr>
          <w:headerReference w:type="default" r:id="rId31"/>
          <w:footerReference w:type="default" r:id="rId32"/>
          <w:pgSz w:w="11910" w:h="16840"/>
          <w:pgMar w:header="0" w:footer="923" w:top="1240" w:bottom="1120" w:left="780" w:right="500"/>
          <w:pgNumType w:start="60"/>
        </w:sectPr>
      </w:pPr>
    </w:p>
    <w:p>
      <w:pPr>
        <w:pStyle w:val="BodyText"/>
        <w:spacing w:line="240" w:lineRule="auto" w:before="4"/>
        <w:ind w:left="106"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1"/>
        <w:rPr>
          <w:rFonts w:ascii="黑体" w:hAnsi="黑体" w:cs="黑体" w:eastAsia="黑体" w:hint="default"/>
          <w:sz w:val="19"/>
          <w:szCs w:val="19"/>
        </w:rPr>
      </w:pPr>
    </w:p>
    <w:p>
      <w:pPr>
        <w:pStyle w:val="BodyText"/>
        <w:spacing w:line="295" w:lineRule="exact"/>
        <w:ind w:left="106"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年度合并及公司现金流量表</w:t>
      </w:r>
    </w:p>
    <w:p>
      <w:pPr>
        <w:pStyle w:val="BodyText"/>
        <w:spacing w:line="279" w:lineRule="exact"/>
        <w:ind w:left="106" w:right="0"/>
        <w:jc w:val="left"/>
        <w:rPr>
          <w:rFonts w:ascii="黑体" w:hAnsi="黑体" w:cs="黑体" w:eastAsia="黑体" w:hint="default"/>
        </w:rPr>
      </w:pPr>
      <w:r>
        <w:rPr>
          <w:rFonts w:ascii="黑体" w:hAnsi="黑体" w:cs="黑体" w:eastAsia="黑体" w:hint="default"/>
        </w:rPr>
        <w:t>（除特别注明外，金额单位为人民币元）</w:t>
      </w:r>
    </w:p>
    <w:p>
      <w:pPr>
        <w:spacing w:line="240" w:lineRule="auto" w:before="0"/>
        <w:rPr>
          <w:rFonts w:ascii="黑体" w:hAnsi="黑体" w:cs="黑体" w:eastAsia="黑体" w:hint="default"/>
          <w:sz w:val="22"/>
          <w:szCs w:val="22"/>
        </w:rPr>
      </w:pPr>
    </w:p>
    <w:tbl>
      <w:tblPr>
        <w:tblW w:w="0" w:type="auto"/>
        <w:jc w:val="left"/>
        <w:tblInd w:w="113" w:type="dxa"/>
        <w:tblLayout w:type="fixed"/>
        <w:tblCellMar>
          <w:top w:w="0" w:type="dxa"/>
          <w:left w:w="0" w:type="dxa"/>
          <w:bottom w:w="0" w:type="dxa"/>
          <w:right w:w="0" w:type="dxa"/>
        </w:tblCellMar>
        <w:tblLook w:val="01E0"/>
      </w:tblPr>
      <w:tblGrid>
        <w:gridCol w:w="3947"/>
        <w:gridCol w:w="542"/>
        <w:gridCol w:w="1587"/>
        <w:gridCol w:w="1529"/>
        <w:gridCol w:w="1412"/>
        <w:gridCol w:w="1286"/>
      </w:tblGrid>
      <w:tr>
        <w:trPr>
          <w:trHeight w:val="631"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right="0"/>
              <w:jc w:val="center"/>
              <w:rPr>
                <w:rFonts w:ascii="黑体" w:hAnsi="黑体" w:cs="黑体" w:eastAsia="黑体" w:hint="default"/>
                <w:sz w:val="16"/>
                <w:szCs w:val="16"/>
              </w:rPr>
            </w:pPr>
            <w:r>
              <w:rPr>
                <w:rFonts w:ascii="黑体" w:hAnsi="黑体" w:cs="黑体" w:eastAsia="黑体" w:hint="default"/>
                <w:sz w:val="16"/>
                <w:szCs w:val="16"/>
              </w:rPr>
              <w:t>项目</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left="86" w:right="0"/>
              <w:jc w:val="left"/>
              <w:rPr>
                <w:rFonts w:ascii="黑体" w:hAnsi="黑体" w:cs="黑体" w:eastAsia="黑体" w:hint="default"/>
                <w:sz w:val="16"/>
                <w:szCs w:val="16"/>
              </w:rPr>
            </w:pPr>
            <w:r>
              <w:rPr>
                <w:rFonts w:ascii="黑体" w:hAnsi="黑体" w:cs="黑体" w:eastAsia="黑体" w:hint="default"/>
                <w:sz w:val="16"/>
                <w:szCs w:val="16"/>
              </w:rPr>
              <w:t>附注</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before="140"/>
              <w:ind w:left="621" w:right="381" w:hanging="238"/>
              <w:jc w:val="left"/>
              <w:rPr>
                <w:rFonts w:ascii="黑体" w:hAnsi="黑体" w:cs="黑体" w:eastAsia="黑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黑体" w:hAnsi="黑体" w:cs="黑体" w:eastAsia="黑体" w:hint="default"/>
                <w:sz w:val="18"/>
                <w:szCs w:val="18"/>
              </w:rPr>
              <w:t>年度 合并</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before="140"/>
              <w:ind w:left="575" w:right="353" w:hanging="224"/>
              <w:jc w:val="left"/>
              <w:rPr>
                <w:rFonts w:ascii="黑体" w:hAnsi="黑体" w:cs="黑体" w:eastAsia="黑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黑体" w:hAnsi="黑体" w:cs="黑体" w:eastAsia="黑体" w:hint="default"/>
                <w:sz w:val="18"/>
                <w:szCs w:val="18"/>
              </w:rPr>
              <w:t>年度 合并</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before="140"/>
              <w:ind w:left="518" w:right="293" w:hanging="224"/>
              <w:jc w:val="left"/>
              <w:rPr>
                <w:rFonts w:ascii="黑体" w:hAnsi="黑体" w:cs="黑体" w:eastAsia="黑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黑体" w:hAnsi="黑体" w:cs="黑体" w:eastAsia="黑体" w:hint="default"/>
                <w:sz w:val="18"/>
                <w:szCs w:val="18"/>
              </w:rPr>
              <w:t>年度 公司</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before="140"/>
              <w:ind w:left="453" w:right="230" w:hanging="221"/>
              <w:jc w:val="left"/>
              <w:rPr>
                <w:rFonts w:ascii="黑体" w:hAnsi="黑体" w:cs="黑体" w:eastAsia="黑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黑体" w:hAnsi="黑体" w:cs="黑体" w:eastAsia="黑体" w:hint="default"/>
                <w:sz w:val="18"/>
                <w:szCs w:val="18"/>
              </w:rPr>
              <w:t>年度 公司</w:t>
            </w:r>
          </w:p>
        </w:tc>
      </w:tr>
      <w:tr>
        <w:trPr>
          <w:trHeight w:val="257"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黑体" w:hAnsi="黑体" w:cs="黑体" w:eastAsia="黑体" w:hint="default"/>
                <w:sz w:val="16"/>
                <w:szCs w:val="16"/>
              </w:rPr>
            </w:pPr>
            <w:r>
              <w:rPr>
                <w:rFonts w:ascii="黑体" w:hAnsi="黑体" w:cs="黑体" w:eastAsia="黑体" w:hint="default"/>
                <w:sz w:val="16"/>
                <w:szCs w:val="16"/>
              </w:rPr>
              <w:t>一、经营活动产生的现金流量</w:t>
            </w:r>
          </w:p>
        </w:tc>
        <w:tc>
          <w:tcPr>
            <w:tcW w:w="542" w:type="dxa"/>
            <w:tcBorders>
              <w:top w:val="single" w:sz="6" w:space="0" w:color="000000"/>
              <w:left w:val="single" w:sz="6" w:space="0" w:color="000000"/>
              <w:bottom w:val="single" w:sz="6" w:space="0" w:color="000000"/>
              <w:right w:val="single" w:sz="6" w:space="0" w:color="000000"/>
            </w:tcBorders>
          </w:tcPr>
          <w:p>
            <w:pPr/>
          </w:p>
        </w:tc>
        <w:tc>
          <w:tcPr>
            <w:tcW w:w="158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59"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6" w:right="0"/>
              <w:jc w:val="left"/>
              <w:rPr>
                <w:rFonts w:ascii="宋体" w:hAnsi="宋体" w:cs="宋体" w:eastAsia="宋体" w:hint="default"/>
                <w:sz w:val="16"/>
                <w:szCs w:val="16"/>
              </w:rPr>
            </w:pPr>
            <w:r>
              <w:rPr>
                <w:rFonts w:ascii="宋体" w:hAnsi="宋体" w:cs="宋体" w:eastAsia="宋体" w:hint="default"/>
                <w:sz w:val="16"/>
                <w:szCs w:val="16"/>
              </w:rPr>
              <w:t>销售商品、提供劳务收到的现金</w:t>
            </w:r>
          </w:p>
        </w:tc>
        <w:tc>
          <w:tcPr>
            <w:tcW w:w="542" w:type="dxa"/>
            <w:tcBorders>
              <w:top w:val="single" w:sz="6" w:space="0" w:color="000000"/>
              <w:left w:val="single" w:sz="6" w:space="0" w:color="000000"/>
              <w:bottom w:val="single" w:sz="6" w:space="0" w:color="000000"/>
              <w:right w:val="single" w:sz="6" w:space="0" w:color="000000"/>
            </w:tcBorders>
          </w:tcPr>
          <w:p>
            <w:pP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7"/>
              <w:jc w:val="right"/>
              <w:rPr>
                <w:rFonts w:ascii="Arial" w:hAnsi="Arial" w:cs="Arial" w:eastAsia="Arial" w:hint="default"/>
                <w:sz w:val="16"/>
                <w:szCs w:val="16"/>
              </w:rPr>
            </w:pPr>
            <w:r>
              <w:rPr>
                <w:rFonts w:ascii="Arial"/>
                <w:spacing w:val="-1"/>
                <w:sz w:val="16"/>
              </w:rPr>
              <w:t>282,938,421,499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8"/>
              <w:jc w:val="right"/>
              <w:rPr>
                <w:rFonts w:ascii="Arial" w:hAnsi="Arial" w:cs="Arial" w:eastAsia="Arial" w:hint="default"/>
                <w:sz w:val="16"/>
                <w:szCs w:val="16"/>
              </w:rPr>
            </w:pPr>
            <w:r>
              <w:rPr>
                <w:rFonts w:ascii="Arial"/>
                <w:spacing w:val="-1"/>
                <w:sz w:val="16"/>
              </w:rPr>
              <w:t>294,067,611,299</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6"/>
              <w:jc w:val="right"/>
              <w:rPr>
                <w:rFonts w:ascii="Arial" w:hAnsi="Arial" w:cs="Arial" w:eastAsia="Arial" w:hint="default"/>
                <w:sz w:val="16"/>
                <w:szCs w:val="16"/>
              </w:rPr>
            </w:pPr>
            <w:r>
              <w:rPr>
                <w:rFonts w:ascii="Arial"/>
                <w:w w:val="100"/>
                <w:sz w:val="16"/>
              </w:rPr>
              <w:t>-</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24"/>
              <w:jc w:val="right"/>
              <w:rPr>
                <w:rFonts w:ascii="Arial" w:hAnsi="Arial" w:cs="Arial" w:eastAsia="Arial" w:hint="default"/>
                <w:sz w:val="16"/>
                <w:szCs w:val="16"/>
              </w:rPr>
            </w:pPr>
            <w:r>
              <w:rPr>
                <w:rFonts w:ascii="Arial"/>
                <w:w w:val="100"/>
                <w:sz w:val="16"/>
              </w:rPr>
              <w:t>-</w:t>
            </w:r>
          </w:p>
        </w:tc>
      </w:tr>
      <w:tr>
        <w:trPr>
          <w:trHeight w:val="257"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6" w:right="0"/>
              <w:jc w:val="left"/>
              <w:rPr>
                <w:rFonts w:ascii="宋体" w:hAnsi="宋体" w:cs="宋体" w:eastAsia="宋体" w:hint="default"/>
                <w:sz w:val="16"/>
                <w:szCs w:val="16"/>
              </w:rPr>
            </w:pPr>
            <w:r>
              <w:rPr>
                <w:rFonts w:ascii="宋体" w:hAnsi="宋体" w:cs="宋体" w:eastAsia="宋体" w:hint="default"/>
                <w:sz w:val="16"/>
                <w:szCs w:val="16"/>
              </w:rPr>
              <w:t>收到的税费返还</w:t>
            </w:r>
          </w:p>
        </w:tc>
        <w:tc>
          <w:tcPr>
            <w:tcW w:w="542" w:type="dxa"/>
            <w:tcBorders>
              <w:top w:val="single" w:sz="6" w:space="0" w:color="000000"/>
              <w:left w:val="single" w:sz="6" w:space="0" w:color="000000"/>
              <w:bottom w:val="single" w:sz="6" w:space="0" w:color="000000"/>
              <w:right w:val="single" w:sz="6" w:space="0" w:color="000000"/>
            </w:tcBorders>
          </w:tcPr>
          <w:p>
            <w:pP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7"/>
              <w:jc w:val="right"/>
              <w:rPr>
                <w:rFonts w:ascii="Arial" w:hAnsi="Arial" w:cs="Arial" w:eastAsia="Arial" w:hint="default"/>
                <w:sz w:val="16"/>
                <w:szCs w:val="16"/>
              </w:rPr>
            </w:pPr>
            <w:r>
              <w:rPr>
                <w:rFonts w:ascii="Arial"/>
                <w:spacing w:val="-1"/>
                <w:sz w:val="16"/>
              </w:rPr>
              <w:t>14,844,651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8"/>
              <w:jc w:val="right"/>
              <w:rPr>
                <w:rFonts w:ascii="Arial" w:hAnsi="Arial" w:cs="Arial" w:eastAsia="Arial" w:hint="default"/>
                <w:sz w:val="16"/>
                <w:szCs w:val="16"/>
              </w:rPr>
            </w:pPr>
            <w:r>
              <w:rPr>
                <w:rFonts w:ascii="Arial"/>
                <w:spacing w:val="-1"/>
                <w:sz w:val="16"/>
              </w:rPr>
              <w:t>91,271,182</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6"/>
              <w:jc w:val="right"/>
              <w:rPr>
                <w:rFonts w:ascii="Arial" w:hAnsi="Arial" w:cs="Arial" w:eastAsia="Arial" w:hint="default"/>
                <w:sz w:val="16"/>
                <w:szCs w:val="16"/>
              </w:rPr>
            </w:pPr>
            <w:r>
              <w:rPr>
                <w:rFonts w:ascii="Arial"/>
                <w:w w:val="100"/>
                <w:sz w:val="16"/>
              </w:rPr>
              <w:t>-</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24"/>
              <w:jc w:val="right"/>
              <w:rPr>
                <w:rFonts w:ascii="Arial" w:hAnsi="Arial" w:cs="Arial" w:eastAsia="Arial" w:hint="default"/>
                <w:sz w:val="16"/>
                <w:szCs w:val="16"/>
              </w:rPr>
            </w:pPr>
            <w:r>
              <w:rPr>
                <w:rFonts w:ascii="Arial"/>
                <w:w w:val="100"/>
                <w:sz w:val="16"/>
              </w:rPr>
              <w:t>-</w:t>
            </w:r>
          </w:p>
        </w:tc>
      </w:tr>
      <w:tr>
        <w:trPr>
          <w:trHeight w:val="259"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6" w:right="0"/>
              <w:jc w:val="left"/>
              <w:rPr>
                <w:rFonts w:ascii="宋体" w:hAnsi="宋体" w:cs="宋体" w:eastAsia="宋体" w:hint="default"/>
                <w:sz w:val="16"/>
                <w:szCs w:val="16"/>
              </w:rPr>
            </w:pPr>
            <w:r>
              <w:rPr>
                <w:rFonts w:ascii="宋体" w:hAnsi="宋体" w:cs="宋体" w:eastAsia="宋体" w:hint="default"/>
                <w:sz w:val="16"/>
                <w:szCs w:val="16"/>
              </w:rPr>
              <w:t>收到其他与经营活动有关的现金</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7" w:right="0"/>
              <w:jc w:val="left"/>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(48)</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7"/>
              <w:jc w:val="right"/>
              <w:rPr>
                <w:rFonts w:ascii="Arial" w:hAnsi="Arial" w:cs="Arial" w:eastAsia="Arial" w:hint="default"/>
                <w:sz w:val="16"/>
                <w:szCs w:val="16"/>
              </w:rPr>
            </w:pPr>
            <w:r>
              <w:rPr>
                <w:rFonts w:ascii="Arial"/>
                <w:spacing w:val="-1"/>
                <w:sz w:val="16"/>
              </w:rPr>
              <w:t>947,571,134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8"/>
              <w:jc w:val="right"/>
              <w:rPr>
                <w:rFonts w:ascii="Arial" w:hAnsi="Arial" w:cs="Arial" w:eastAsia="Arial" w:hint="default"/>
                <w:sz w:val="16"/>
                <w:szCs w:val="16"/>
              </w:rPr>
            </w:pPr>
            <w:r>
              <w:rPr>
                <w:rFonts w:ascii="Arial"/>
                <w:spacing w:val="-1"/>
                <w:sz w:val="16"/>
              </w:rPr>
              <w:t>359,145,416</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7"/>
              <w:jc w:val="right"/>
              <w:rPr>
                <w:rFonts w:ascii="Arial" w:hAnsi="Arial" w:cs="Arial" w:eastAsia="Arial" w:hint="default"/>
                <w:sz w:val="16"/>
                <w:szCs w:val="16"/>
              </w:rPr>
            </w:pPr>
            <w:r>
              <w:rPr>
                <w:rFonts w:ascii="Arial"/>
                <w:spacing w:val="-1"/>
                <w:sz w:val="16"/>
              </w:rPr>
              <w:t>52,576</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24"/>
              <w:jc w:val="right"/>
              <w:rPr>
                <w:rFonts w:ascii="Arial" w:hAnsi="Arial" w:cs="Arial" w:eastAsia="Arial" w:hint="default"/>
                <w:sz w:val="16"/>
                <w:szCs w:val="16"/>
              </w:rPr>
            </w:pPr>
            <w:r>
              <w:rPr>
                <w:rFonts w:ascii="Arial"/>
                <w:w w:val="100"/>
                <w:sz w:val="16"/>
              </w:rPr>
              <w:t>-</w:t>
            </w:r>
          </w:p>
        </w:tc>
      </w:tr>
      <w:tr>
        <w:trPr>
          <w:trHeight w:val="257"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61" w:right="0"/>
              <w:jc w:val="left"/>
              <w:rPr>
                <w:rFonts w:ascii="黑体" w:hAnsi="黑体" w:cs="黑体" w:eastAsia="黑体" w:hint="default"/>
                <w:sz w:val="16"/>
                <w:szCs w:val="16"/>
              </w:rPr>
            </w:pPr>
            <w:r>
              <w:rPr>
                <w:rFonts w:ascii="黑体" w:hAnsi="黑体" w:cs="黑体" w:eastAsia="黑体" w:hint="default"/>
                <w:sz w:val="16"/>
                <w:szCs w:val="16"/>
              </w:rPr>
              <w:t>经营活动现金流入小计</w:t>
            </w:r>
          </w:p>
        </w:tc>
        <w:tc>
          <w:tcPr>
            <w:tcW w:w="542" w:type="dxa"/>
            <w:tcBorders>
              <w:top w:val="single" w:sz="6" w:space="0" w:color="000000"/>
              <w:left w:val="single" w:sz="6" w:space="0" w:color="000000"/>
              <w:bottom w:val="single" w:sz="6" w:space="0" w:color="000000"/>
              <w:right w:val="single" w:sz="6" w:space="0" w:color="000000"/>
            </w:tcBorders>
          </w:tcPr>
          <w:p>
            <w:pP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7"/>
              <w:jc w:val="right"/>
              <w:rPr>
                <w:rFonts w:ascii="Arial" w:hAnsi="Arial" w:cs="Arial" w:eastAsia="Arial" w:hint="default"/>
                <w:sz w:val="16"/>
                <w:szCs w:val="16"/>
              </w:rPr>
            </w:pPr>
            <w:r>
              <w:rPr>
                <w:rFonts w:ascii="Arial"/>
                <w:spacing w:val="-1"/>
                <w:sz w:val="16"/>
              </w:rPr>
              <w:t>283,900,837,284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8"/>
              <w:jc w:val="right"/>
              <w:rPr>
                <w:rFonts w:ascii="Arial" w:hAnsi="Arial" w:cs="Arial" w:eastAsia="Arial" w:hint="default"/>
                <w:sz w:val="16"/>
                <w:szCs w:val="16"/>
              </w:rPr>
            </w:pPr>
            <w:r>
              <w:rPr>
                <w:rFonts w:ascii="Arial"/>
                <w:spacing w:val="-1"/>
                <w:sz w:val="16"/>
              </w:rPr>
              <w:t>294,518,027,897</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7"/>
              <w:jc w:val="right"/>
              <w:rPr>
                <w:rFonts w:ascii="Arial" w:hAnsi="Arial" w:cs="Arial" w:eastAsia="Arial" w:hint="default"/>
                <w:sz w:val="16"/>
                <w:szCs w:val="16"/>
              </w:rPr>
            </w:pPr>
            <w:r>
              <w:rPr>
                <w:rFonts w:ascii="Arial"/>
                <w:spacing w:val="-1"/>
                <w:sz w:val="16"/>
              </w:rPr>
              <w:t>52,576</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24"/>
              <w:jc w:val="right"/>
              <w:rPr>
                <w:rFonts w:ascii="Arial" w:hAnsi="Arial" w:cs="Arial" w:eastAsia="Arial" w:hint="default"/>
                <w:sz w:val="16"/>
                <w:szCs w:val="16"/>
              </w:rPr>
            </w:pPr>
            <w:r>
              <w:rPr>
                <w:rFonts w:ascii="Arial"/>
                <w:w w:val="100"/>
                <w:sz w:val="16"/>
              </w:rPr>
              <w:t>-</w:t>
            </w:r>
          </w:p>
        </w:tc>
      </w:tr>
      <w:tr>
        <w:trPr>
          <w:trHeight w:val="260"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6" w:right="0"/>
              <w:jc w:val="left"/>
              <w:rPr>
                <w:rFonts w:ascii="宋体" w:hAnsi="宋体" w:cs="宋体" w:eastAsia="宋体" w:hint="default"/>
                <w:sz w:val="16"/>
                <w:szCs w:val="16"/>
              </w:rPr>
            </w:pPr>
            <w:r>
              <w:rPr>
                <w:rFonts w:ascii="宋体" w:hAnsi="宋体" w:cs="宋体" w:eastAsia="宋体" w:hint="default"/>
                <w:sz w:val="16"/>
                <w:szCs w:val="16"/>
              </w:rPr>
              <w:t>购买商品、接受劳务支付的现金</w:t>
            </w:r>
          </w:p>
        </w:tc>
        <w:tc>
          <w:tcPr>
            <w:tcW w:w="542" w:type="dxa"/>
            <w:tcBorders>
              <w:top w:val="single" w:sz="6" w:space="0" w:color="000000"/>
              <w:left w:val="single" w:sz="6" w:space="0" w:color="000000"/>
              <w:bottom w:val="single" w:sz="6" w:space="0" w:color="000000"/>
              <w:right w:val="single" w:sz="6" w:space="0" w:color="000000"/>
            </w:tcBorders>
          </w:tcPr>
          <w:p>
            <w:pP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6"/>
              <w:jc w:val="right"/>
              <w:rPr>
                <w:rFonts w:ascii="Arial" w:hAnsi="Arial" w:cs="Arial" w:eastAsia="Arial" w:hint="default"/>
                <w:sz w:val="16"/>
                <w:szCs w:val="16"/>
              </w:rPr>
            </w:pPr>
            <w:r>
              <w:rPr>
                <w:rFonts w:ascii="Arial"/>
                <w:spacing w:val="-1"/>
                <w:sz w:val="16"/>
              </w:rPr>
              <w:t>(139,002,602,474)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50"/>
              <w:jc w:val="right"/>
              <w:rPr>
                <w:rFonts w:ascii="Arial" w:hAnsi="Arial" w:cs="Arial" w:eastAsia="Arial" w:hint="default"/>
                <w:sz w:val="16"/>
                <w:szCs w:val="16"/>
              </w:rPr>
            </w:pPr>
            <w:r>
              <w:rPr>
                <w:rFonts w:ascii="Arial"/>
                <w:spacing w:val="-1"/>
                <w:sz w:val="16"/>
              </w:rPr>
              <w:t>(161,378,534,771)</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7"/>
              <w:jc w:val="right"/>
              <w:rPr>
                <w:rFonts w:ascii="Arial" w:hAnsi="Arial" w:cs="Arial" w:eastAsia="Arial" w:hint="default"/>
                <w:sz w:val="16"/>
                <w:szCs w:val="16"/>
              </w:rPr>
            </w:pPr>
            <w:r>
              <w:rPr>
                <w:rFonts w:ascii="Arial"/>
                <w:spacing w:val="-1"/>
                <w:sz w:val="16"/>
              </w:rPr>
              <w:t>(2,756,283)</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6"/>
              <w:jc w:val="right"/>
              <w:rPr>
                <w:rFonts w:ascii="Arial" w:hAnsi="Arial" w:cs="Arial" w:eastAsia="Arial" w:hint="default"/>
                <w:sz w:val="16"/>
                <w:szCs w:val="16"/>
              </w:rPr>
            </w:pPr>
            <w:r>
              <w:rPr>
                <w:rFonts w:ascii="Arial"/>
                <w:spacing w:val="-1"/>
                <w:sz w:val="16"/>
              </w:rPr>
              <w:t>(7,073,212)</w:t>
            </w:r>
          </w:p>
        </w:tc>
      </w:tr>
      <w:tr>
        <w:trPr>
          <w:trHeight w:val="257"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6" w:right="0"/>
              <w:jc w:val="left"/>
              <w:rPr>
                <w:rFonts w:ascii="宋体" w:hAnsi="宋体" w:cs="宋体" w:eastAsia="宋体" w:hint="default"/>
                <w:sz w:val="16"/>
                <w:szCs w:val="16"/>
              </w:rPr>
            </w:pPr>
            <w:r>
              <w:rPr>
                <w:rFonts w:ascii="宋体" w:hAnsi="宋体" w:cs="宋体" w:eastAsia="宋体" w:hint="default"/>
                <w:sz w:val="16"/>
                <w:szCs w:val="16"/>
              </w:rPr>
              <w:t>支付给职工以及为职工支付的现金</w:t>
            </w:r>
          </w:p>
        </w:tc>
        <w:tc>
          <w:tcPr>
            <w:tcW w:w="542" w:type="dxa"/>
            <w:tcBorders>
              <w:top w:val="single" w:sz="6" w:space="0" w:color="000000"/>
              <w:left w:val="single" w:sz="6" w:space="0" w:color="000000"/>
              <w:bottom w:val="single" w:sz="6" w:space="0" w:color="000000"/>
              <w:right w:val="single" w:sz="6" w:space="0" w:color="000000"/>
            </w:tcBorders>
          </w:tcPr>
          <w:p>
            <w:pP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(32,688,262,589)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50"/>
              <w:jc w:val="right"/>
              <w:rPr>
                <w:rFonts w:ascii="Arial" w:hAnsi="Arial" w:cs="Arial" w:eastAsia="Arial" w:hint="default"/>
                <w:sz w:val="16"/>
                <w:szCs w:val="16"/>
              </w:rPr>
            </w:pPr>
            <w:r>
              <w:rPr>
                <w:rFonts w:ascii="Arial"/>
                <w:spacing w:val="-1"/>
                <w:sz w:val="16"/>
              </w:rPr>
              <w:t>(30,643,231,169)</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87"/>
              <w:jc w:val="right"/>
              <w:rPr>
                <w:rFonts w:ascii="Arial" w:hAnsi="Arial" w:cs="Arial" w:eastAsia="Arial" w:hint="default"/>
                <w:sz w:val="16"/>
                <w:szCs w:val="16"/>
              </w:rPr>
            </w:pPr>
            <w:r>
              <w:rPr>
                <w:rFonts w:ascii="Arial"/>
                <w:spacing w:val="-1"/>
                <w:sz w:val="16"/>
              </w:rPr>
              <w:t>(5,316,469)</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86"/>
              <w:jc w:val="right"/>
              <w:rPr>
                <w:rFonts w:ascii="Arial" w:hAnsi="Arial" w:cs="Arial" w:eastAsia="Arial" w:hint="default"/>
                <w:sz w:val="16"/>
                <w:szCs w:val="16"/>
              </w:rPr>
            </w:pPr>
            <w:r>
              <w:rPr>
                <w:rFonts w:ascii="Arial"/>
                <w:spacing w:val="-1"/>
                <w:sz w:val="16"/>
              </w:rPr>
              <w:t>(4,057,113)</w:t>
            </w:r>
          </w:p>
        </w:tc>
      </w:tr>
      <w:tr>
        <w:trPr>
          <w:trHeight w:val="259"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6" w:right="0"/>
              <w:jc w:val="left"/>
              <w:rPr>
                <w:rFonts w:ascii="宋体" w:hAnsi="宋体" w:cs="宋体" w:eastAsia="宋体" w:hint="default"/>
                <w:sz w:val="16"/>
                <w:szCs w:val="16"/>
              </w:rPr>
            </w:pPr>
            <w:r>
              <w:rPr>
                <w:rFonts w:ascii="宋体" w:hAnsi="宋体" w:cs="宋体" w:eastAsia="宋体" w:hint="default"/>
                <w:sz w:val="16"/>
                <w:szCs w:val="16"/>
              </w:rPr>
              <w:t>支付的各项税费</w:t>
            </w:r>
          </w:p>
        </w:tc>
        <w:tc>
          <w:tcPr>
            <w:tcW w:w="542" w:type="dxa"/>
            <w:tcBorders>
              <w:top w:val="single" w:sz="6" w:space="0" w:color="000000"/>
              <w:left w:val="single" w:sz="6" w:space="0" w:color="000000"/>
              <w:bottom w:val="single" w:sz="6" w:space="0" w:color="000000"/>
              <w:right w:val="single" w:sz="6" w:space="0" w:color="000000"/>
            </w:tcBorders>
          </w:tcPr>
          <w:p>
            <w:pP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(15,517,667,301)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50"/>
              <w:jc w:val="right"/>
              <w:rPr>
                <w:rFonts w:ascii="Arial" w:hAnsi="Arial" w:cs="Arial" w:eastAsia="Arial" w:hint="default"/>
                <w:sz w:val="16"/>
                <w:szCs w:val="16"/>
              </w:rPr>
            </w:pPr>
            <w:r>
              <w:rPr>
                <w:rFonts w:ascii="Arial"/>
                <w:spacing w:val="-1"/>
                <w:sz w:val="16"/>
              </w:rPr>
              <w:t>(14,384,614,657)</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88"/>
              <w:jc w:val="right"/>
              <w:rPr>
                <w:rFonts w:ascii="Arial" w:hAnsi="Arial" w:cs="Arial" w:eastAsia="Arial" w:hint="default"/>
                <w:sz w:val="16"/>
                <w:szCs w:val="16"/>
              </w:rPr>
            </w:pPr>
            <w:r>
              <w:rPr>
                <w:rFonts w:ascii="Arial"/>
                <w:spacing w:val="-1"/>
                <w:sz w:val="16"/>
              </w:rPr>
              <w:t>(68,495)</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86"/>
              <w:jc w:val="right"/>
              <w:rPr>
                <w:rFonts w:ascii="Arial" w:hAnsi="Arial" w:cs="Arial" w:eastAsia="Arial" w:hint="default"/>
                <w:sz w:val="16"/>
                <w:szCs w:val="16"/>
              </w:rPr>
            </w:pPr>
            <w:r>
              <w:rPr>
                <w:rFonts w:ascii="Arial"/>
                <w:spacing w:val="-1"/>
                <w:sz w:val="16"/>
              </w:rPr>
              <w:t>(12,321,631)</w:t>
            </w:r>
          </w:p>
        </w:tc>
      </w:tr>
      <w:tr>
        <w:trPr>
          <w:trHeight w:val="257"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17" w:right="0"/>
              <w:jc w:val="left"/>
              <w:rPr>
                <w:rFonts w:ascii="宋体" w:hAnsi="宋体" w:cs="宋体" w:eastAsia="宋体" w:hint="default"/>
                <w:sz w:val="16"/>
                <w:szCs w:val="16"/>
              </w:rPr>
            </w:pPr>
            <w:r>
              <w:rPr>
                <w:rFonts w:ascii="宋体" w:hAnsi="宋体" w:cs="宋体" w:eastAsia="宋体" w:hint="default"/>
                <w:sz w:val="16"/>
                <w:szCs w:val="16"/>
              </w:rPr>
              <w:t>支付的其他与经营活动有关的现金</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7" w:right="0"/>
              <w:jc w:val="left"/>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(48)</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(4,263,124,761)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50"/>
              <w:jc w:val="right"/>
              <w:rPr>
                <w:rFonts w:ascii="Arial" w:hAnsi="Arial" w:cs="Arial" w:eastAsia="Arial" w:hint="default"/>
                <w:sz w:val="16"/>
                <w:szCs w:val="16"/>
              </w:rPr>
            </w:pPr>
            <w:r>
              <w:rPr>
                <w:rFonts w:ascii="Arial"/>
                <w:spacing w:val="-1"/>
                <w:sz w:val="16"/>
              </w:rPr>
              <w:t>(4,742,182,933)</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87"/>
              <w:jc w:val="right"/>
              <w:rPr>
                <w:rFonts w:ascii="Arial" w:hAnsi="Arial" w:cs="Arial" w:eastAsia="Arial" w:hint="default"/>
                <w:sz w:val="16"/>
                <w:szCs w:val="16"/>
              </w:rPr>
            </w:pPr>
            <w:r>
              <w:rPr>
                <w:rFonts w:ascii="Arial"/>
                <w:spacing w:val="-1"/>
                <w:sz w:val="16"/>
              </w:rPr>
              <w:t>(3,516,629)</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24"/>
              <w:jc w:val="right"/>
              <w:rPr>
                <w:rFonts w:ascii="Arial" w:hAnsi="Arial" w:cs="Arial" w:eastAsia="Arial" w:hint="default"/>
                <w:sz w:val="16"/>
                <w:szCs w:val="16"/>
              </w:rPr>
            </w:pPr>
            <w:r>
              <w:rPr>
                <w:rFonts w:ascii="Arial"/>
                <w:w w:val="100"/>
                <w:sz w:val="16"/>
              </w:rPr>
              <w:t>-</w:t>
            </w:r>
          </w:p>
        </w:tc>
      </w:tr>
      <w:tr>
        <w:trPr>
          <w:trHeight w:val="259"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61" w:right="0"/>
              <w:jc w:val="left"/>
              <w:rPr>
                <w:rFonts w:ascii="黑体" w:hAnsi="黑体" w:cs="黑体" w:eastAsia="黑体" w:hint="default"/>
                <w:sz w:val="16"/>
                <w:szCs w:val="16"/>
              </w:rPr>
            </w:pPr>
            <w:r>
              <w:rPr>
                <w:rFonts w:ascii="黑体" w:hAnsi="黑体" w:cs="黑体" w:eastAsia="黑体" w:hint="default"/>
                <w:sz w:val="16"/>
                <w:szCs w:val="16"/>
              </w:rPr>
              <w:t>经营活动现金流出小计</w:t>
            </w:r>
          </w:p>
        </w:tc>
        <w:tc>
          <w:tcPr>
            <w:tcW w:w="542" w:type="dxa"/>
            <w:tcBorders>
              <w:top w:val="single" w:sz="6" w:space="0" w:color="000000"/>
              <w:left w:val="single" w:sz="6" w:space="0" w:color="000000"/>
              <w:bottom w:val="single" w:sz="6" w:space="0" w:color="000000"/>
              <w:right w:val="single" w:sz="6" w:space="0" w:color="000000"/>
            </w:tcBorders>
          </w:tcPr>
          <w:p>
            <w:pP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(191,471,657,125)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50"/>
              <w:jc w:val="right"/>
              <w:rPr>
                <w:rFonts w:ascii="Arial" w:hAnsi="Arial" w:cs="Arial" w:eastAsia="Arial" w:hint="default"/>
                <w:sz w:val="16"/>
                <w:szCs w:val="16"/>
              </w:rPr>
            </w:pPr>
            <w:r>
              <w:rPr>
                <w:rFonts w:ascii="Arial"/>
                <w:spacing w:val="-1"/>
                <w:sz w:val="16"/>
              </w:rPr>
              <w:t>(211,148,563,530)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87"/>
              <w:jc w:val="right"/>
              <w:rPr>
                <w:rFonts w:ascii="Arial" w:hAnsi="Arial" w:cs="Arial" w:eastAsia="Arial" w:hint="default"/>
                <w:sz w:val="16"/>
                <w:szCs w:val="16"/>
              </w:rPr>
            </w:pPr>
            <w:r>
              <w:rPr>
                <w:rFonts w:ascii="Arial"/>
                <w:spacing w:val="-1"/>
                <w:sz w:val="16"/>
              </w:rPr>
              <w:t>(11,657,876)</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86"/>
              <w:jc w:val="right"/>
              <w:rPr>
                <w:rFonts w:ascii="Arial" w:hAnsi="Arial" w:cs="Arial" w:eastAsia="Arial" w:hint="default"/>
                <w:sz w:val="16"/>
                <w:szCs w:val="16"/>
              </w:rPr>
            </w:pPr>
            <w:r>
              <w:rPr>
                <w:rFonts w:ascii="Arial"/>
                <w:spacing w:val="-1"/>
                <w:sz w:val="16"/>
              </w:rPr>
              <w:t>(23,451,956)</w:t>
            </w:r>
          </w:p>
        </w:tc>
      </w:tr>
      <w:tr>
        <w:trPr>
          <w:trHeight w:val="257"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6" w:right="0"/>
              <w:jc w:val="left"/>
              <w:rPr>
                <w:rFonts w:ascii="黑体" w:hAnsi="黑体" w:cs="黑体" w:eastAsia="黑体" w:hint="default"/>
                <w:sz w:val="16"/>
                <w:szCs w:val="16"/>
              </w:rPr>
            </w:pPr>
            <w:r>
              <w:rPr>
                <w:rFonts w:ascii="黑体" w:hAnsi="黑体" w:cs="黑体" w:eastAsia="黑体" w:hint="default"/>
                <w:sz w:val="16"/>
                <w:szCs w:val="16"/>
              </w:rPr>
              <w:t>经营活动产生的现金流量净额</w:t>
            </w:r>
          </w:p>
        </w:tc>
        <w:tc>
          <w:tcPr>
            <w:tcW w:w="542" w:type="dxa"/>
            <w:tcBorders>
              <w:top w:val="single" w:sz="6" w:space="0" w:color="000000"/>
              <w:left w:val="single" w:sz="6" w:space="0" w:color="000000"/>
              <w:bottom w:val="single" w:sz="6" w:space="0" w:color="000000"/>
              <w:right w:val="single" w:sz="6" w:space="0" w:color="000000"/>
            </w:tcBorders>
          </w:tcPr>
          <w:p>
            <w:pP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4"/>
              <w:jc w:val="right"/>
              <w:rPr>
                <w:rFonts w:ascii="Arial" w:hAnsi="Arial" w:cs="Arial" w:eastAsia="Arial" w:hint="default"/>
                <w:sz w:val="16"/>
                <w:szCs w:val="16"/>
              </w:rPr>
            </w:pPr>
            <w:r>
              <w:rPr>
                <w:rFonts w:ascii="Arial"/>
                <w:spacing w:val="-1"/>
                <w:sz w:val="16"/>
              </w:rPr>
              <w:t>92,429,180,159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83,369,464,367</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87"/>
              <w:jc w:val="right"/>
              <w:rPr>
                <w:rFonts w:ascii="Arial" w:hAnsi="Arial" w:cs="Arial" w:eastAsia="Arial" w:hint="default"/>
                <w:sz w:val="16"/>
                <w:szCs w:val="16"/>
              </w:rPr>
            </w:pPr>
            <w:r>
              <w:rPr>
                <w:rFonts w:ascii="Arial"/>
                <w:spacing w:val="-1"/>
                <w:sz w:val="16"/>
              </w:rPr>
              <w:t>(11,605,300)</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86"/>
              <w:jc w:val="right"/>
              <w:rPr>
                <w:rFonts w:ascii="Arial" w:hAnsi="Arial" w:cs="Arial" w:eastAsia="Arial" w:hint="default"/>
                <w:sz w:val="16"/>
                <w:szCs w:val="16"/>
              </w:rPr>
            </w:pPr>
            <w:r>
              <w:rPr>
                <w:rFonts w:ascii="Arial"/>
                <w:spacing w:val="-1"/>
                <w:sz w:val="16"/>
              </w:rPr>
              <w:t>(23,451,956)</w:t>
            </w:r>
          </w:p>
        </w:tc>
      </w:tr>
      <w:tr>
        <w:trPr>
          <w:trHeight w:val="259"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黑体" w:hAnsi="黑体" w:cs="黑体" w:eastAsia="黑体" w:hint="default"/>
                <w:sz w:val="16"/>
                <w:szCs w:val="16"/>
              </w:rPr>
            </w:pPr>
            <w:r>
              <w:rPr>
                <w:rFonts w:ascii="黑体" w:hAnsi="黑体" w:cs="黑体" w:eastAsia="黑体" w:hint="default"/>
                <w:sz w:val="16"/>
                <w:szCs w:val="16"/>
              </w:rPr>
              <w:t>二、投资活动产生的现金流量</w:t>
            </w:r>
          </w:p>
        </w:tc>
        <w:tc>
          <w:tcPr>
            <w:tcW w:w="542" w:type="dxa"/>
            <w:tcBorders>
              <w:top w:val="single" w:sz="6" w:space="0" w:color="000000"/>
              <w:left w:val="single" w:sz="6" w:space="0" w:color="000000"/>
              <w:bottom w:val="single" w:sz="6" w:space="0" w:color="000000"/>
              <w:right w:val="single" w:sz="6" w:space="0" w:color="000000"/>
            </w:tcBorders>
          </w:tcPr>
          <w:p>
            <w:pPr/>
          </w:p>
        </w:tc>
        <w:tc>
          <w:tcPr>
            <w:tcW w:w="158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436" w:right="0"/>
              <w:jc w:val="left"/>
              <w:rPr>
                <w:rFonts w:ascii="宋体" w:hAnsi="宋体" w:cs="宋体" w:eastAsia="宋体" w:hint="default"/>
                <w:sz w:val="16"/>
                <w:szCs w:val="16"/>
              </w:rPr>
            </w:pPr>
            <w:r>
              <w:rPr>
                <w:rFonts w:ascii="宋体" w:hAnsi="宋体" w:cs="宋体" w:eastAsia="宋体" w:hint="default"/>
                <w:sz w:val="16"/>
                <w:szCs w:val="16"/>
              </w:rPr>
              <w:t>收回投资收到的现金</w:t>
            </w:r>
          </w:p>
        </w:tc>
        <w:tc>
          <w:tcPr>
            <w:tcW w:w="542" w:type="dxa"/>
            <w:tcBorders>
              <w:top w:val="single" w:sz="6" w:space="0" w:color="000000"/>
              <w:left w:val="single" w:sz="6" w:space="0" w:color="000000"/>
              <w:bottom w:val="single" w:sz="6" w:space="0" w:color="000000"/>
              <w:right w:val="single" w:sz="6" w:space="0" w:color="000000"/>
            </w:tcBorders>
          </w:tcPr>
          <w:p>
            <w:pP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46"/>
              <w:jc w:val="right"/>
              <w:rPr>
                <w:rFonts w:ascii="Arial" w:hAnsi="Arial" w:cs="Arial" w:eastAsia="Arial" w:hint="default"/>
                <w:sz w:val="16"/>
                <w:szCs w:val="16"/>
              </w:rPr>
            </w:pPr>
            <w:r>
              <w:rPr>
                <w:rFonts w:ascii="Arial"/>
                <w:w w:val="100"/>
                <w:sz w:val="16"/>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Arial" w:hAnsi="Arial" w:cs="Arial" w:eastAsia="Arial" w:hint="default"/>
                <w:sz w:val="16"/>
                <w:szCs w:val="16"/>
              </w:rPr>
            </w:pPr>
            <w:r>
              <w:rPr>
                <w:rFonts w:ascii="Arial"/>
                <w:spacing w:val="-1"/>
                <w:sz w:val="16"/>
              </w:rPr>
              <w:t>250,000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46"/>
              <w:jc w:val="right"/>
              <w:rPr>
                <w:rFonts w:ascii="Arial" w:hAnsi="Arial" w:cs="Arial" w:eastAsia="Arial" w:hint="default"/>
                <w:sz w:val="16"/>
                <w:szCs w:val="16"/>
              </w:rPr>
            </w:pPr>
            <w:r>
              <w:rPr>
                <w:rFonts w:ascii="Arial"/>
                <w:w w:val="100"/>
                <w:sz w:val="16"/>
              </w:rPr>
              <w:t>-</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24"/>
              <w:jc w:val="right"/>
              <w:rPr>
                <w:rFonts w:ascii="Arial" w:hAnsi="Arial" w:cs="Arial" w:eastAsia="Arial" w:hint="default"/>
                <w:sz w:val="16"/>
                <w:szCs w:val="16"/>
              </w:rPr>
            </w:pPr>
            <w:r>
              <w:rPr>
                <w:rFonts w:ascii="Arial"/>
                <w:w w:val="100"/>
                <w:sz w:val="16"/>
              </w:rPr>
              <w:t>-</w:t>
            </w:r>
          </w:p>
        </w:tc>
      </w:tr>
      <w:tr>
        <w:trPr>
          <w:trHeight w:val="242"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36" w:right="0"/>
              <w:jc w:val="left"/>
              <w:rPr>
                <w:rFonts w:ascii="宋体" w:hAnsi="宋体" w:cs="宋体" w:eastAsia="宋体" w:hint="default"/>
                <w:sz w:val="16"/>
                <w:szCs w:val="16"/>
              </w:rPr>
            </w:pPr>
            <w:r>
              <w:rPr>
                <w:rFonts w:ascii="宋体" w:hAnsi="宋体" w:cs="宋体" w:eastAsia="宋体" w:hint="default"/>
                <w:sz w:val="16"/>
                <w:szCs w:val="16"/>
              </w:rPr>
              <w:t>取得投资收益收到的现金</w:t>
            </w:r>
          </w:p>
        </w:tc>
        <w:tc>
          <w:tcPr>
            <w:tcW w:w="542" w:type="dxa"/>
            <w:tcBorders>
              <w:top w:val="single" w:sz="6" w:space="0" w:color="000000"/>
              <w:left w:val="single" w:sz="6" w:space="0" w:color="000000"/>
              <w:bottom w:val="single" w:sz="6" w:space="0" w:color="000000"/>
              <w:right w:val="single" w:sz="6" w:space="0" w:color="000000"/>
            </w:tcBorders>
          </w:tcPr>
          <w:p>
            <w:pP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47"/>
              <w:jc w:val="right"/>
              <w:rPr>
                <w:rFonts w:ascii="Arial" w:hAnsi="Arial" w:cs="Arial" w:eastAsia="Arial" w:hint="default"/>
                <w:sz w:val="16"/>
                <w:szCs w:val="16"/>
              </w:rPr>
            </w:pPr>
            <w:r>
              <w:rPr>
                <w:rFonts w:ascii="Arial"/>
                <w:spacing w:val="-1"/>
                <w:sz w:val="16"/>
              </w:rPr>
              <w:t>636,913,732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Arial" w:hAnsi="Arial" w:cs="Arial" w:eastAsia="Arial" w:hint="default"/>
                <w:sz w:val="16"/>
                <w:szCs w:val="16"/>
              </w:rPr>
            </w:pPr>
            <w:r>
              <w:rPr>
                <w:rFonts w:ascii="Arial"/>
                <w:spacing w:val="-1"/>
                <w:sz w:val="16"/>
              </w:rPr>
              <w:t>350,241,246</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25" w:right="0"/>
              <w:jc w:val="left"/>
              <w:rPr>
                <w:rFonts w:ascii="Arial" w:hAnsi="Arial" w:cs="Arial" w:eastAsia="Arial" w:hint="default"/>
                <w:sz w:val="16"/>
                <w:szCs w:val="16"/>
              </w:rPr>
            </w:pPr>
            <w:r>
              <w:rPr>
                <w:rFonts w:ascii="Arial"/>
                <w:sz w:val="16"/>
              </w:rPr>
              <w:t>1,151,101,725</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25"/>
              <w:jc w:val="right"/>
              <w:rPr>
                <w:rFonts w:ascii="Arial" w:hAnsi="Arial" w:cs="Arial" w:eastAsia="Arial" w:hint="default"/>
                <w:sz w:val="16"/>
                <w:szCs w:val="16"/>
              </w:rPr>
            </w:pPr>
            <w:r>
              <w:rPr>
                <w:rFonts w:ascii="Arial"/>
                <w:spacing w:val="-1"/>
                <w:sz w:val="16"/>
              </w:rPr>
              <w:t>859,418,917</w:t>
            </w:r>
          </w:p>
        </w:tc>
      </w:tr>
      <w:tr>
        <w:trPr>
          <w:trHeight w:val="430"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436" w:right="0"/>
              <w:jc w:val="left"/>
              <w:rPr>
                <w:rFonts w:ascii="宋体" w:hAnsi="宋体" w:cs="宋体" w:eastAsia="宋体" w:hint="default"/>
                <w:sz w:val="16"/>
                <w:szCs w:val="16"/>
              </w:rPr>
            </w:pPr>
            <w:r>
              <w:rPr>
                <w:rFonts w:ascii="宋体" w:hAnsi="宋体" w:cs="宋体" w:eastAsia="宋体" w:hint="default"/>
                <w:sz w:val="16"/>
                <w:szCs w:val="16"/>
              </w:rPr>
              <w:t>处置固定资产、无形资产和其他长期资产收回的</w:t>
            </w:r>
          </w:p>
          <w:p>
            <w:pPr>
              <w:pStyle w:val="TableParagraph"/>
              <w:spacing w:line="208" w:lineRule="exact"/>
              <w:ind w:left="758" w:right="0"/>
              <w:jc w:val="left"/>
              <w:rPr>
                <w:rFonts w:ascii="宋体" w:hAnsi="宋体" w:cs="宋体" w:eastAsia="宋体" w:hint="default"/>
                <w:sz w:val="16"/>
                <w:szCs w:val="16"/>
              </w:rPr>
            </w:pPr>
            <w:r>
              <w:rPr>
                <w:rFonts w:ascii="宋体" w:hAnsi="宋体" w:cs="宋体" w:eastAsia="宋体" w:hint="default"/>
                <w:sz w:val="16"/>
                <w:szCs w:val="16"/>
              </w:rPr>
              <w:t>现金净额</w:t>
            </w:r>
          </w:p>
        </w:tc>
        <w:tc>
          <w:tcPr>
            <w:tcW w:w="542" w:type="dxa"/>
            <w:tcBorders>
              <w:top w:val="single" w:sz="6" w:space="0" w:color="000000"/>
              <w:left w:val="single" w:sz="6" w:space="0" w:color="000000"/>
              <w:bottom w:val="single" w:sz="6" w:space="0" w:color="000000"/>
              <w:right w:val="single" w:sz="6" w:space="0" w:color="000000"/>
            </w:tcBorders>
          </w:tcPr>
          <w:p>
            <w:pP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7"/>
                <w:szCs w:val="17"/>
              </w:rPr>
            </w:pPr>
          </w:p>
          <w:p>
            <w:pPr>
              <w:pStyle w:val="TableParagraph"/>
              <w:spacing w:line="240" w:lineRule="auto"/>
              <w:ind w:right="147"/>
              <w:jc w:val="right"/>
              <w:rPr>
                <w:rFonts w:ascii="Arial" w:hAnsi="Arial" w:cs="Arial" w:eastAsia="Arial" w:hint="default"/>
                <w:sz w:val="16"/>
                <w:szCs w:val="16"/>
              </w:rPr>
            </w:pPr>
            <w:r>
              <w:rPr>
                <w:rFonts w:ascii="Arial"/>
                <w:spacing w:val="-1"/>
                <w:sz w:val="16"/>
              </w:rPr>
              <w:t>796,891,687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7"/>
                <w:szCs w:val="17"/>
              </w:rPr>
            </w:pPr>
          </w:p>
          <w:p>
            <w:pPr>
              <w:pStyle w:val="TableParagraph"/>
              <w:spacing w:line="240" w:lineRule="auto"/>
              <w:ind w:right="96"/>
              <w:jc w:val="right"/>
              <w:rPr>
                <w:rFonts w:ascii="Arial" w:hAnsi="Arial" w:cs="Arial" w:eastAsia="Arial" w:hint="default"/>
                <w:sz w:val="16"/>
                <w:szCs w:val="16"/>
              </w:rPr>
            </w:pPr>
            <w:r>
              <w:rPr>
                <w:rFonts w:ascii="Arial"/>
                <w:spacing w:val="-1"/>
                <w:sz w:val="16"/>
              </w:rPr>
              <w:t>1,542,675,900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7"/>
                <w:szCs w:val="17"/>
              </w:rPr>
            </w:pPr>
          </w:p>
          <w:p>
            <w:pPr>
              <w:pStyle w:val="TableParagraph"/>
              <w:spacing w:line="240" w:lineRule="auto"/>
              <w:ind w:right="146"/>
              <w:jc w:val="right"/>
              <w:rPr>
                <w:rFonts w:ascii="Arial" w:hAnsi="Arial" w:cs="Arial" w:eastAsia="Arial" w:hint="default"/>
                <w:sz w:val="16"/>
                <w:szCs w:val="16"/>
              </w:rPr>
            </w:pPr>
            <w:r>
              <w:rPr>
                <w:rFonts w:ascii="Arial"/>
                <w:w w:val="100"/>
                <w:sz w:val="16"/>
              </w:rPr>
              <w:t>-</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7"/>
                <w:szCs w:val="17"/>
              </w:rPr>
            </w:pPr>
          </w:p>
          <w:p>
            <w:pPr>
              <w:pStyle w:val="TableParagraph"/>
              <w:spacing w:line="240" w:lineRule="auto"/>
              <w:ind w:right="124"/>
              <w:jc w:val="right"/>
              <w:rPr>
                <w:rFonts w:ascii="Arial" w:hAnsi="Arial" w:cs="Arial" w:eastAsia="Arial" w:hint="default"/>
                <w:sz w:val="16"/>
                <w:szCs w:val="16"/>
              </w:rPr>
            </w:pPr>
            <w:r>
              <w:rPr>
                <w:rFonts w:ascii="Arial"/>
                <w:w w:val="100"/>
                <w:sz w:val="16"/>
              </w:rPr>
              <w:t>-</w:t>
            </w:r>
          </w:p>
        </w:tc>
      </w:tr>
      <w:tr>
        <w:trPr>
          <w:trHeight w:val="257"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6" w:right="0"/>
              <w:jc w:val="left"/>
              <w:rPr>
                <w:rFonts w:ascii="宋体" w:hAnsi="宋体" w:cs="宋体" w:eastAsia="宋体" w:hint="default"/>
                <w:sz w:val="16"/>
                <w:szCs w:val="16"/>
              </w:rPr>
            </w:pPr>
            <w:r>
              <w:rPr>
                <w:rFonts w:ascii="宋体" w:hAnsi="宋体" w:cs="宋体" w:eastAsia="宋体" w:hint="default"/>
                <w:sz w:val="16"/>
                <w:szCs w:val="16"/>
              </w:rPr>
              <w:t>收到其他与投资活动有关的现金</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0" w:right="0"/>
              <w:jc w:val="left"/>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(48)</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6"/>
              <w:jc w:val="right"/>
              <w:rPr>
                <w:rFonts w:ascii="Arial" w:hAnsi="Arial" w:cs="Arial" w:eastAsia="Arial" w:hint="default"/>
                <w:sz w:val="16"/>
                <w:szCs w:val="16"/>
              </w:rPr>
            </w:pPr>
            <w:r>
              <w:rPr>
                <w:rFonts w:ascii="Arial"/>
                <w:spacing w:val="-1"/>
                <w:sz w:val="16"/>
              </w:rPr>
              <w:t>785,114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8"/>
              <w:jc w:val="right"/>
              <w:rPr>
                <w:rFonts w:ascii="Arial" w:hAnsi="Arial" w:cs="Arial" w:eastAsia="Arial" w:hint="default"/>
                <w:sz w:val="16"/>
                <w:szCs w:val="16"/>
              </w:rPr>
            </w:pPr>
            <w:r>
              <w:rPr>
                <w:rFonts w:ascii="Arial"/>
                <w:spacing w:val="-1"/>
                <w:sz w:val="16"/>
              </w:rPr>
              <w:t>8,188,030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6"/>
              <w:jc w:val="right"/>
              <w:rPr>
                <w:rFonts w:ascii="Arial" w:hAnsi="Arial" w:cs="Arial" w:eastAsia="Arial" w:hint="default"/>
                <w:sz w:val="16"/>
                <w:szCs w:val="16"/>
              </w:rPr>
            </w:pPr>
            <w:r>
              <w:rPr>
                <w:rFonts w:ascii="Arial"/>
                <w:w w:val="100"/>
                <w:sz w:val="16"/>
              </w:rPr>
              <w:t>-</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24"/>
              <w:jc w:val="right"/>
              <w:rPr>
                <w:rFonts w:ascii="Arial" w:hAnsi="Arial" w:cs="Arial" w:eastAsia="Arial" w:hint="default"/>
                <w:sz w:val="16"/>
                <w:szCs w:val="16"/>
              </w:rPr>
            </w:pPr>
            <w:r>
              <w:rPr>
                <w:rFonts w:ascii="Arial"/>
                <w:w w:val="100"/>
                <w:sz w:val="16"/>
              </w:rPr>
              <w:t>-</w:t>
            </w:r>
          </w:p>
        </w:tc>
      </w:tr>
      <w:tr>
        <w:trPr>
          <w:trHeight w:val="260"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61" w:right="0"/>
              <w:jc w:val="left"/>
              <w:rPr>
                <w:rFonts w:ascii="黑体" w:hAnsi="黑体" w:cs="黑体" w:eastAsia="黑体" w:hint="default"/>
                <w:sz w:val="16"/>
                <w:szCs w:val="16"/>
              </w:rPr>
            </w:pPr>
            <w:r>
              <w:rPr>
                <w:rFonts w:ascii="黑体" w:hAnsi="黑体" w:cs="黑体" w:eastAsia="黑体" w:hint="default"/>
                <w:sz w:val="16"/>
                <w:szCs w:val="16"/>
              </w:rPr>
              <w:t>投资活动现金流入小计</w:t>
            </w:r>
          </w:p>
        </w:tc>
        <w:tc>
          <w:tcPr>
            <w:tcW w:w="542" w:type="dxa"/>
            <w:tcBorders>
              <w:top w:val="single" w:sz="6" w:space="0" w:color="000000"/>
              <w:left w:val="single" w:sz="6" w:space="0" w:color="000000"/>
              <w:bottom w:val="single" w:sz="6" w:space="0" w:color="000000"/>
              <w:right w:val="single" w:sz="6" w:space="0" w:color="000000"/>
            </w:tcBorders>
          </w:tcPr>
          <w:p>
            <w:pP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7"/>
              <w:jc w:val="right"/>
              <w:rPr>
                <w:rFonts w:ascii="Arial" w:hAnsi="Arial" w:cs="Arial" w:eastAsia="Arial" w:hint="default"/>
                <w:sz w:val="16"/>
                <w:szCs w:val="16"/>
              </w:rPr>
            </w:pPr>
            <w:r>
              <w:rPr>
                <w:rFonts w:ascii="Arial"/>
                <w:spacing w:val="-1"/>
                <w:sz w:val="16"/>
              </w:rPr>
              <w:t>1,434,590,533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1,901,355,176</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25" w:right="0"/>
              <w:jc w:val="left"/>
              <w:rPr>
                <w:rFonts w:ascii="Arial" w:hAnsi="Arial" w:cs="Arial" w:eastAsia="Arial" w:hint="default"/>
                <w:sz w:val="16"/>
                <w:szCs w:val="16"/>
              </w:rPr>
            </w:pPr>
            <w:r>
              <w:rPr>
                <w:rFonts w:ascii="Arial"/>
                <w:sz w:val="16"/>
              </w:rPr>
              <w:t>1,151,101,725</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25"/>
              <w:jc w:val="right"/>
              <w:rPr>
                <w:rFonts w:ascii="Arial" w:hAnsi="Arial" w:cs="Arial" w:eastAsia="Arial" w:hint="default"/>
                <w:sz w:val="16"/>
                <w:szCs w:val="16"/>
              </w:rPr>
            </w:pPr>
            <w:r>
              <w:rPr>
                <w:rFonts w:ascii="Arial"/>
                <w:spacing w:val="-1"/>
                <w:sz w:val="16"/>
              </w:rPr>
              <w:t>859,418,917</w:t>
            </w:r>
          </w:p>
        </w:tc>
      </w:tr>
      <w:tr>
        <w:trPr>
          <w:trHeight w:val="468"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before="34"/>
              <w:ind w:left="758" w:right="131" w:hanging="323"/>
              <w:jc w:val="left"/>
              <w:rPr>
                <w:rFonts w:ascii="宋体" w:hAnsi="宋体" w:cs="宋体" w:eastAsia="宋体" w:hint="default"/>
                <w:sz w:val="16"/>
                <w:szCs w:val="16"/>
              </w:rPr>
            </w:pPr>
            <w:r>
              <w:rPr>
                <w:rFonts w:ascii="宋体" w:hAnsi="宋体" w:cs="宋体" w:eastAsia="宋体" w:hint="default"/>
                <w:spacing w:val="-1"/>
                <w:sz w:val="16"/>
                <w:szCs w:val="16"/>
              </w:rPr>
              <w:t>购建固定资产、无形资产和其他长期资产所支付</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z w:val="16"/>
                <w:szCs w:val="16"/>
              </w:rPr>
              <w:t>的现金</w:t>
            </w:r>
          </w:p>
        </w:tc>
        <w:tc>
          <w:tcPr>
            <w:tcW w:w="542" w:type="dxa"/>
            <w:tcBorders>
              <w:top w:val="single" w:sz="6" w:space="0" w:color="000000"/>
              <w:left w:val="single" w:sz="6" w:space="0" w:color="000000"/>
              <w:bottom w:val="single" w:sz="6" w:space="0" w:color="000000"/>
              <w:right w:val="single" w:sz="6" w:space="0" w:color="000000"/>
            </w:tcBorders>
          </w:tcPr>
          <w:p>
            <w:pP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黑体" w:hAnsi="黑体" w:cs="黑体" w:eastAsia="黑体" w:hint="default"/>
                <w:sz w:val="20"/>
                <w:szCs w:val="20"/>
              </w:rPr>
            </w:pPr>
          </w:p>
          <w:p>
            <w:pPr>
              <w:pStyle w:val="TableParagraph"/>
              <w:spacing w:line="240" w:lineRule="auto"/>
              <w:ind w:right="96"/>
              <w:jc w:val="right"/>
              <w:rPr>
                <w:rFonts w:ascii="Arial" w:hAnsi="Arial" w:cs="Arial" w:eastAsia="Arial" w:hint="default"/>
                <w:sz w:val="16"/>
                <w:szCs w:val="16"/>
              </w:rPr>
            </w:pPr>
            <w:r>
              <w:rPr>
                <w:rFonts w:ascii="Arial"/>
                <w:spacing w:val="-1"/>
                <w:sz w:val="16"/>
              </w:rPr>
              <w:t>(73,390,940,253)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黑体" w:hAnsi="黑体" w:cs="黑体" w:eastAsia="黑体" w:hint="default"/>
                <w:sz w:val="20"/>
                <w:szCs w:val="20"/>
              </w:rPr>
            </w:pPr>
          </w:p>
          <w:p>
            <w:pPr>
              <w:pStyle w:val="TableParagraph"/>
              <w:spacing w:line="240" w:lineRule="auto"/>
              <w:ind w:right="50"/>
              <w:jc w:val="right"/>
              <w:rPr>
                <w:rFonts w:ascii="Arial" w:hAnsi="Arial" w:cs="Arial" w:eastAsia="Arial" w:hint="default"/>
                <w:sz w:val="16"/>
                <w:szCs w:val="16"/>
              </w:rPr>
            </w:pPr>
            <w:r>
              <w:rPr>
                <w:rFonts w:ascii="Arial"/>
                <w:spacing w:val="-1"/>
                <w:sz w:val="16"/>
              </w:rPr>
              <w:t>(78,807,504,351)</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黑体" w:hAnsi="黑体" w:cs="黑体" w:eastAsia="黑体" w:hint="default"/>
                <w:sz w:val="20"/>
                <w:szCs w:val="20"/>
              </w:rPr>
            </w:pPr>
          </w:p>
          <w:p>
            <w:pPr>
              <w:pStyle w:val="TableParagraph"/>
              <w:spacing w:line="240" w:lineRule="auto"/>
              <w:ind w:right="87"/>
              <w:jc w:val="right"/>
              <w:rPr>
                <w:rFonts w:ascii="Arial" w:hAnsi="Arial" w:cs="Arial" w:eastAsia="Arial" w:hint="default"/>
                <w:sz w:val="16"/>
                <w:szCs w:val="16"/>
              </w:rPr>
            </w:pPr>
            <w:r>
              <w:rPr>
                <w:rFonts w:ascii="Arial"/>
                <w:spacing w:val="-1"/>
                <w:sz w:val="16"/>
              </w:rPr>
              <w:t>(125,790)</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黑体" w:hAnsi="黑体" w:cs="黑体" w:eastAsia="黑体" w:hint="default"/>
                <w:sz w:val="20"/>
                <w:szCs w:val="20"/>
              </w:rPr>
            </w:pPr>
          </w:p>
          <w:p>
            <w:pPr>
              <w:pStyle w:val="TableParagraph"/>
              <w:spacing w:line="240" w:lineRule="auto"/>
              <w:ind w:right="86"/>
              <w:jc w:val="right"/>
              <w:rPr>
                <w:rFonts w:ascii="Arial" w:hAnsi="Arial" w:cs="Arial" w:eastAsia="Arial" w:hint="default"/>
                <w:sz w:val="16"/>
                <w:szCs w:val="16"/>
              </w:rPr>
            </w:pPr>
            <w:r>
              <w:rPr>
                <w:rFonts w:ascii="Arial"/>
                <w:spacing w:val="-1"/>
                <w:sz w:val="16"/>
              </w:rPr>
              <w:t>(38,089)</w:t>
            </w:r>
          </w:p>
        </w:tc>
      </w:tr>
      <w:tr>
        <w:trPr>
          <w:trHeight w:val="257"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6" w:right="0"/>
              <w:jc w:val="left"/>
              <w:rPr>
                <w:rFonts w:ascii="宋体" w:hAnsi="宋体" w:cs="宋体" w:eastAsia="宋体" w:hint="default"/>
                <w:sz w:val="16"/>
                <w:szCs w:val="16"/>
              </w:rPr>
            </w:pPr>
            <w:r>
              <w:rPr>
                <w:rFonts w:ascii="宋体" w:hAnsi="宋体" w:cs="宋体" w:eastAsia="宋体" w:hint="default"/>
                <w:sz w:val="16"/>
                <w:szCs w:val="16"/>
              </w:rPr>
              <w:t>投资支付的现金</w:t>
            </w:r>
          </w:p>
        </w:tc>
        <w:tc>
          <w:tcPr>
            <w:tcW w:w="542" w:type="dxa"/>
            <w:tcBorders>
              <w:top w:val="single" w:sz="6" w:space="0" w:color="000000"/>
              <w:left w:val="single" w:sz="6" w:space="0" w:color="000000"/>
              <w:bottom w:val="single" w:sz="6" w:space="0" w:color="000000"/>
              <w:right w:val="single" w:sz="6" w:space="0" w:color="000000"/>
            </w:tcBorders>
          </w:tcPr>
          <w:p>
            <w:pP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6"/>
              <w:jc w:val="right"/>
              <w:rPr>
                <w:rFonts w:ascii="Arial" w:hAnsi="Arial" w:cs="Arial" w:eastAsia="Arial" w:hint="default"/>
                <w:sz w:val="16"/>
                <w:szCs w:val="16"/>
              </w:rPr>
            </w:pPr>
            <w:r>
              <w:rPr>
                <w:rFonts w:ascii="Arial"/>
                <w:spacing w:val="-1"/>
                <w:sz w:val="16"/>
              </w:rPr>
              <w:t>(3,075,386,390)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Arial" w:hAnsi="Arial" w:cs="Arial" w:eastAsia="Arial" w:hint="default"/>
                <w:sz w:val="16"/>
                <w:szCs w:val="16"/>
              </w:rPr>
            </w:pPr>
            <w:r>
              <w:rPr>
                <w:rFonts w:ascii="Arial"/>
                <w:w w:val="100"/>
                <w:sz w:val="16"/>
              </w:rPr>
              <w:t>-</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46"/>
              <w:jc w:val="right"/>
              <w:rPr>
                <w:rFonts w:ascii="Arial" w:hAnsi="Arial" w:cs="Arial" w:eastAsia="Arial" w:hint="default"/>
                <w:sz w:val="16"/>
                <w:szCs w:val="16"/>
              </w:rPr>
            </w:pPr>
            <w:r>
              <w:rPr>
                <w:rFonts w:ascii="Arial"/>
                <w:w w:val="100"/>
                <w:sz w:val="16"/>
              </w:rPr>
              <w:t>-</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24"/>
              <w:jc w:val="right"/>
              <w:rPr>
                <w:rFonts w:ascii="Arial" w:hAnsi="Arial" w:cs="Arial" w:eastAsia="Arial" w:hint="default"/>
                <w:sz w:val="16"/>
                <w:szCs w:val="16"/>
              </w:rPr>
            </w:pPr>
            <w:r>
              <w:rPr>
                <w:rFonts w:ascii="Arial"/>
                <w:w w:val="100"/>
                <w:sz w:val="16"/>
              </w:rPr>
              <w:t>-</w:t>
            </w:r>
          </w:p>
        </w:tc>
      </w:tr>
      <w:tr>
        <w:trPr>
          <w:trHeight w:val="259"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6" w:right="0"/>
              <w:jc w:val="left"/>
              <w:rPr>
                <w:rFonts w:ascii="宋体" w:hAnsi="宋体" w:cs="宋体" w:eastAsia="宋体" w:hint="default"/>
                <w:sz w:val="16"/>
                <w:szCs w:val="16"/>
              </w:rPr>
            </w:pPr>
            <w:r>
              <w:rPr>
                <w:rFonts w:ascii="宋体" w:hAnsi="宋体" w:cs="宋体" w:eastAsia="宋体" w:hint="default"/>
                <w:sz w:val="16"/>
                <w:szCs w:val="16"/>
              </w:rPr>
              <w:t>支付其他与投资活动有关的现金</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0" w:right="0"/>
              <w:jc w:val="left"/>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(48)</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(2,144,008)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50"/>
              <w:jc w:val="right"/>
              <w:rPr>
                <w:rFonts w:ascii="Arial" w:hAnsi="Arial" w:cs="Arial" w:eastAsia="Arial" w:hint="default"/>
                <w:sz w:val="16"/>
                <w:szCs w:val="16"/>
              </w:rPr>
            </w:pPr>
            <w:r>
              <w:rPr>
                <w:rFonts w:ascii="Arial"/>
                <w:spacing w:val="-1"/>
                <w:sz w:val="16"/>
              </w:rPr>
              <w:t>(30,309,666)</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6"/>
              <w:jc w:val="right"/>
              <w:rPr>
                <w:rFonts w:ascii="Arial" w:hAnsi="Arial" w:cs="Arial" w:eastAsia="Arial" w:hint="default"/>
                <w:sz w:val="16"/>
                <w:szCs w:val="16"/>
              </w:rPr>
            </w:pPr>
            <w:r>
              <w:rPr>
                <w:rFonts w:ascii="Arial"/>
                <w:w w:val="100"/>
                <w:sz w:val="16"/>
              </w:rPr>
              <w:t>-</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24"/>
              <w:jc w:val="right"/>
              <w:rPr>
                <w:rFonts w:ascii="Arial" w:hAnsi="Arial" w:cs="Arial" w:eastAsia="Arial" w:hint="default"/>
                <w:sz w:val="16"/>
                <w:szCs w:val="16"/>
              </w:rPr>
            </w:pPr>
            <w:r>
              <w:rPr>
                <w:rFonts w:ascii="Arial"/>
                <w:w w:val="100"/>
                <w:sz w:val="16"/>
              </w:rPr>
              <w:t>-</w:t>
            </w:r>
          </w:p>
        </w:tc>
      </w:tr>
      <w:tr>
        <w:trPr>
          <w:trHeight w:val="257"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61" w:right="0"/>
              <w:jc w:val="left"/>
              <w:rPr>
                <w:rFonts w:ascii="黑体" w:hAnsi="黑体" w:cs="黑体" w:eastAsia="黑体" w:hint="default"/>
                <w:sz w:val="16"/>
                <w:szCs w:val="16"/>
              </w:rPr>
            </w:pPr>
            <w:r>
              <w:rPr>
                <w:rFonts w:ascii="黑体" w:hAnsi="黑体" w:cs="黑体" w:eastAsia="黑体" w:hint="default"/>
                <w:sz w:val="16"/>
                <w:szCs w:val="16"/>
              </w:rPr>
              <w:t>投资活动现金流出小计</w:t>
            </w:r>
          </w:p>
        </w:tc>
        <w:tc>
          <w:tcPr>
            <w:tcW w:w="542" w:type="dxa"/>
            <w:tcBorders>
              <w:top w:val="single" w:sz="6" w:space="0" w:color="000000"/>
              <w:left w:val="single" w:sz="6" w:space="0" w:color="000000"/>
              <w:bottom w:val="single" w:sz="6" w:space="0" w:color="000000"/>
              <w:right w:val="single" w:sz="6" w:space="0" w:color="000000"/>
            </w:tcBorders>
          </w:tcPr>
          <w:p>
            <w:pP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6"/>
              <w:jc w:val="right"/>
              <w:rPr>
                <w:rFonts w:ascii="Arial" w:hAnsi="Arial" w:cs="Arial" w:eastAsia="Arial" w:hint="default"/>
                <w:sz w:val="16"/>
                <w:szCs w:val="16"/>
              </w:rPr>
            </w:pPr>
            <w:r>
              <w:rPr>
                <w:rFonts w:ascii="Arial"/>
                <w:spacing w:val="-1"/>
                <w:sz w:val="16"/>
              </w:rPr>
              <w:t>(76,468,470,651)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50"/>
              <w:jc w:val="right"/>
              <w:rPr>
                <w:rFonts w:ascii="Arial" w:hAnsi="Arial" w:cs="Arial" w:eastAsia="Arial" w:hint="default"/>
                <w:sz w:val="16"/>
                <w:szCs w:val="16"/>
              </w:rPr>
            </w:pPr>
            <w:r>
              <w:rPr>
                <w:rFonts w:ascii="Arial"/>
                <w:spacing w:val="-1"/>
                <w:sz w:val="16"/>
              </w:rPr>
              <w:t>(78,837,814,017)</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7"/>
              <w:jc w:val="right"/>
              <w:rPr>
                <w:rFonts w:ascii="Arial" w:hAnsi="Arial" w:cs="Arial" w:eastAsia="Arial" w:hint="default"/>
                <w:sz w:val="16"/>
                <w:szCs w:val="16"/>
              </w:rPr>
            </w:pPr>
            <w:r>
              <w:rPr>
                <w:rFonts w:ascii="Arial"/>
                <w:spacing w:val="-1"/>
                <w:sz w:val="16"/>
              </w:rPr>
              <w:t>(125,790)</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6"/>
              <w:jc w:val="right"/>
              <w:rPr>
                <w:rFonts w:ascii="Arial" w:hAnsi="Arial" w:cs="Arial" w:eastAsia="Arial" w:hint="default"/>
                <w:sz w:val="16"/>
                <w:szCs w:val="16"/>
              </w:rPr>
            </w:pPr>
            <w:r>
              <w:rPr>
                <w:rFonts w:ascii="Arial"/>
                <w:spacing w:val="-1"/>
                <w:sz w:val="16"/>
              </w:rPr>
              <w:t>(38,089)</w:t>
            </w:r>
          </w:p>
        </w:tc>
      </w:tr>
      <w:tr>
        <w:trPr>
          <w:trHeight w:val="259"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6" w:right="0"/>
              <w:jc w:val="left"/>
              <w:rPr>
                <w:rFonts w:ascii="黑体" w:hAnsi="黑体" w:cs="黑体" w:eastAsia="黑体" w:hint="default"/>
                <w:sz w:val="16"/>
                <w:szCs w:val="16"/>
              </w:rPr>
            </w:pPr>
            <w:r>
              <w:rPr>
                <w:rFonts w:ascii="黑体" w:hAnsi="黑体" w:cs="黑体" w:eastAsia="黑体" w:hint="default"/>
                <w:sz w:val="16"/>
                <w:szCs w:val="16"/>
              </w:rPr>
              <w:t>投资活动产生的现金流量净额</w:t>
            </w:r>
          </w:p>
        </w:tc>
        <w:tc>
          <w:tcPr>
            <w:tcW w:w="542" w:type="dxa"/>
            <w:tcBorders>
              <w:top w:val="single" w:sz="6" w:space="0" w:color="000000"/>
              <w:left w:val="single" w:sz="6" w:space="0" w:color="000000"/>
              <w:bottom w:val="single" w:sz="6" w:space="0" w:color="000000"/>
              <w:right w:val="single" w:sz="6" w:space="0" w:color="000000"/>
            </w:tcBorders>
          </w:tcPr>
          <w:p>
            <w:pP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(75,033,880,118)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50"/>
              <w:jc w:val="right"/>
              <w:rPr>
                <w:rFonts w:ascii="Arial" w:hAnsi="Arial" w:cs="Arial" w:eastAsia="Arial" w:hint="default"/>
                <w:sz w:val="16"/>
                <w:szCs w:val="16"/>
              </w:rPr>
            </w:pPr>
            <w:r>
              <w:rPr>
                <w:rFonts w:ascii="Arial"/>
                <w:spacing w:val="-1"/>
                <w:sz w:val="16"/>
              </w:rPr>
              <w:t>(76,936,458,841)</w:t>
            </w:r>
            <w:r>
              <w:rPr>
                <w:rFonts w:ascii="Arial"/>
                <w:sz w:val="16"/>
              </w:rPr>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25" w:right="0"/>
              <w:jc w:val="left"/>
              <w:rPr>
                <w:rFonts w:ascii="Arial" w:hAnsi="Arial" w:cs="Arial" w:eastAsia="Arial" w:hint="default"/>
                <w:sz w:val="16"/>
                <w:szCs w:val="16"/>
              </w:rPr>
            </w:pPr>
            <w:r>
              <w:rPr>
                <w:rFonts w:ascii="Arial"/>
                <w:sz w:val="16"/>
              </w:rPr>
              <w:t>1,150,975,935</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25"/>
              <w:jc w:val="right"/>
              <w:rPr>
                <w:rFonts w:ascii="Arial" w:hAnsi="Arial" w:cs="Arial" w:eastAsia="Arial" w:hint="default"/>
                <w:sz w:val="16"/>
                <w:szCs w:val="16"/>
              </w:rPr>
            </w:pPr>
            <w:r>
              <w:rPr>
                <w:rFonts w:ascii="Arial"/>
                <w:spacing w:val="-1"/>
                <w:sz w:val="16"/>
              </w:rPr>
              <w:t>859,380,828</w:t>
            </w:r>
          </w:p>
        </w:tc>
      </w:tr>
      <w:tr>
        <w:trPr>
          <w:trHeight w:val="257"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黑体" w:hAnsi="黑体" w:cs="黑体" w:eastAsia="黑体" w:hint="default"/>
                <w:sz w:val="16"/>
                <w:szCs w:val="16"/>
              </w:rPr>
            </w:pPr>
            <w:r>
              <w:rPr>
                <w:rFonts w:ascii="黑体" w:hAnsi="黑体" w:cs="黑体" w:eastAsia="黑体" w:hint="default"/>
                <w:sz w:val="16"/>
                <w:szCs w:val="16"/>
              </w:rPr>
              <w:t>三、筹资活动产生的现金流量</w:t>
            </w:r>
          </w:p>
        </w:tc>
        <w:tc>
          <w:tcPr>
            <w:tcW w:w="542" w:type="dxa"/>
            <w:tcBorders>
              <w:top w:val="single" w:sz="6" w:space="0" w:color="000000"/>
              <w:left w:val="single" w:sz="6" w:space="0" w:color="000000"/>
              <w:bottom w:val="single" w:sz="6" w:space="0" w:color="000000"/>
              <w:right w:val="single" w:sz="6" w:space="0" w:color="000000"/>
            </w:tcBorders>
          </w:tcPr>
          <w:p>
            <w:pPr/>
          </w:p>
        </w:tc>
        <w:tc>
          <w:tcPr>
            <w:tcW w:w="158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59"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6" w:right="0"/>
              <w:jc w:val="left"/>
              <w:rPr>
                <w:rFonts w:ascii="宋体" w:hAnsi="宋体" w:cs="宋体" w:eastAsia="宋体" w:hint="default"/>
                <w:sz w:val="16"/>
                <w:szCs w:val="16"/>
              </w:rPr>
            </w:pPr>
            <w:r>
              <w:rPr>
                <w:rFonts w:ascii="宋体" w:hAnsi="宋体" w:cs="宋体" w:eastAsia="宋体" w:hint="default"/>
                <w:sz w:val="16"/>
                <w:szCs w:val="16"/>
              </w:rPr>
              <w:t>子公司吸收少数股东投资收到的现金</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7" w:right="0"/>
              <w:jc w:val="left"/>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(46)</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7"/>
              <w:jc w:val="right"/>
              <w:rPr>
                <w:rFonts w:ascii="Arial" w:hAnsi="Arial" w:cs="Arial" w:eastAsia="Arial" w:hint="default"/>
                <w:sz w:val="16"/>
                <w:szCs w:val="16"/>
              </w:rPr>
            </w:pPr>
            <w:r>
              <w:rPr>
                <w:rFonts w:ascii="Arial"/>
                <w:spacing w:val="-1"/>
                <w:sz w:val="16"/>
              </w:rPr>
              <w:t>870,865,596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1,101,880,306</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6"/>
              <w:jc w:val="right"/>
              <w:rPr>
                <w:rFonts w:ascii="Arial" w:hAnsi="Arial" w:cs="Arial" w:eastAsia="Arial" w:hint="default"/>
                <w:sz w:val="16"/>
                <w:szCs w:val="16"/>
              </w:rPr>
            </w:pPr>
            <w:r>
              <w:rPr>
                <w:rFonts w:ascii="Arial"/>
                <w:w w:val="100"/>
                <w:sz w:val="16"/>
              </w:rPr>
              <w:t>-</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24"/>
              <w:jc w:val="right"/>
              <w:rPr>
                <w:rFonts w:ascii="Arial" w:hAnsi="Arial" w:cs="Arial" w:eastAsia="Arial" w:hint="default"/>
                <w:sz w:val="16"/>
                <w:szCs w:val="16"/>
              </w:rPr>
            </w:pPr>
            <w:r>
              <w:rPr>
                <w:rFonts w:ascii="Arial"/>
                <w:w w:val="100"/>
                <w:sz w:val="16"/>
              </w:rPr>
              <w:t>-</w:t>
            </w:r>
          </w:p>
        </w:tc>
      </w:tr>
      <w:tr>
        <w:trPr>
          <w:trHeight w:val="257"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6" w:right="0"/>
              <w:jc w:val="left"/>
              <w:rPr>
                <w:rFonts w:ascii="宋体" w:hAnsi="宋体" w:cs="宋体" w:eastAsia="宋体" w:hint="default"/>
                <w:sz w:val="16"/>
                <w:szCs w:val="16"/>
              </w:rPr>
            </w:pPr>
            <w:r>
              <w:rPr>
                <w:rFonts w:ascii="宋体" w:hAnsi="宋体" w:cs="宋体" w:eastAsia="宋体" w:hint="default"/>
                <w:sz w:val="16"/>
                <w:szCs w:val="16"/>
              </w:rPr>
              <w:t>取得借款收到的现金</w:t>
            </w:r>
          </w:p>
        </w:tc>
        <w:tc>
          <w:tcPr>
            <w:tcW w:w="542" w:type="dxa"/>
            <w:tcBorders>
              <w:top w:val="single" w:sz="6" w:space="0" w:color="000000"/>
              <w:left w:val="single" w:sz="6" w:space="0" w:color="000000"/>
              <w:bottom w:val="single" w:sz="6" w:space="0" w:color="000000"/>
              <w:right w:val="single" w:sz="6" w:space="0" w:color="000000"/>
            </w:tcBorders>
          </w:tcPr>
          <w:p>
            <w:pP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47"/>
              <w:jc w:val="right"/>
              <w:rPr>
                <w:rFonts w:ascii="Arial" w:hAnsi="Arial" w:cs="Arial" w:eastAsia="Arial" w:hint="default"/>
                <w:sz w:val="16"/>
                <w:szCs w:val="16"/>
              </w:rPr>
            </w:pPr>
            <w:r>
              <w:rPr>
                <w:rFonts w:ascii="Arial"/>
                <w:spacing w:val="-1"/>
                <w:sz w:val="16"/>
              </w:rPr>
              <w:t>200,046,623,851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Arial" w:hAnsi="Arial" w:cs="Arial" w:eastAsia="Arial" w:hint="default"/>
                <w:sz w:val="16"/>
                <w:szCs w:val="16"/>
              </w:rPr>
            </w:pPr>
            <w:r>
              <w:rPr>
                <w:rFonts w:ascii="Arial"/>
                <w:spacing w:val="-1"/>
                <w:sz w:val="16"/>
              </w:rPr>
              <w:t>186,995,417,495</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46"/>
              <w:jc w:val="right"/>
              <w:rPr>
                <w:rFonts w:ascii="Arial" w:hAnsi="Arial" w:cs="Arial" w:eastAsia="Arial" w:hint="default"/>
                <w:sz w:val="16"/>
                <w:szCs w:val="16"/>
              </w:rPr>
            </w:pPr>
            <w:r>
              <w:rPr>
                <w:rFonts w:ascii="Arial"/>
                <w:w w:val="100"/>
                <w:sz w:val="16"/>
              </w:rPr>
              <w:t>-</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24"/>
              <w:jc w:val="right"/>
              <w:rPr>
                <w:rFonts w:ascii="Arial" w:hAnsi="Arial" w:cs="Arial" w:eastAsia="Arial" w:hint="default"/>
                <w:sz w:val="16"/>
                <w:szCs w:val="16"/>
              </w:rPr>
            </w:pPr>
            <w:r>
              <w:rPr>
                <w:rFonts w:ascii="Arial"/>
                <w:w w:val="100"/>
                <w:sz w:val="16"/>
              </w:rPr>
              <w:t>-</w:t>
            </w:r>
          </w:p>
        </w:tc>
      </w:tr>
      <w:tr>
        <w:trPr>
          <w:trHeight w:val="259"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61" w:right="0"/>
              <w:jc w:val="left"/>
              <w:rPr>
                <w:rFonts w:ascii="黑体" w:hAnsi="黑体" w:cs="黑体" w:eastAsia="黑体" w:hint="default"/>
                <w:sz w:val="16"/>
                <w:szCs w:val="16"/>
              </w:rPr>
            </w:pPr>
            <w:r>
              <w:rPr>
                <w:rFonts w:ascii="黑体" w:hAnsi="黑体" w:cs="黑体" w:eastAsia="黑体" w:hint="default"/>
                <w:sz w:val="16"/>
                <w:szCs w:val="16"/>
              </w:rPr>
              <w:t>筹资活动现金流入小计</w:t>
            </w:r>
          </w:p>
        </w:tc>
        <w:tc>
          <w:tcPr>
            <w:tcW w:w="542" w:type="dxa"/>
            <w:tcBorders>
              <w:top w:val="single" w:sz="6" w:space="0" w:color="000000"/>
              <w:left w:val="single" w:sz="6" w:space="0" w:color="000000"/>
              <w:bottom w:val="single" w:sz="6" w:space="0" w:color="000000"/>
              <w:right w:val="single" w:sz="6" w:space="0" w:color="000000"/>
            </w:tcBorders>
          </w:tcPr>
          <w:p>
            <w:pP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7"/>
              <w:jc w:val="right"/>
              <w:rPr>
                <w:rFonts w:ascii="Arial" w:hAnsi="Arial" w:cs="Arial" w:eastAsia="Arial" w:hint="default"/>
                <w:sz w:val="16"/>
                <w:szCs w:val="16"/>
              </w:rPr>
            </w:pPr>
            <w:r>
              <w:rPr>
                <w:rFonts w:ascii="Arial"/>
                <w:spacing w:val="-1"/>
                <w:sz w:val="16"/>
              </w:rPr>
              <w:t>200,917,489,447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8"/>
              <w:jc w:val="right"/>
              <w:rPr>
                <w:rFonts w:ascii="Arial" w:hAnsi="Arial" w:cs="Arial" w:eastAsia="Arial" w:hint="default"/>
                <w:sz w:val="16"/>
                <w:szCs w:val="16"/>
              </w:rPr>
            </w:pPr>
            <w:r>
              <w:rPr>
                <w:rFonts w:ascii="Arial"/>
                <w:spacing w:val="-1"/>
                <w:sz w:val="16"/>
              </w:rPr>
              <w:t>188,097,297,801</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6"/>
              <w:jc w:val="right"/>
              <w:rPr>
                <w:rFonts w:ascii="Arial" w:hAnsi="Arial" w:cs="Arial" w:eastAsia="Arial" w:hint="default"/>
                <w:sz w:val="16"/>
                <w:szCs w:val="16"/>
              </w:rPr>
            </w:pPr>
            <w:r>
              <w:rPr>
                <w:rFonts w:ascii="Arial"/>
                <w:w w:val="100"/>
                <w:sz w:val="16"/>
              </w:rPr>
              <w:t>-</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24"/>
              <w:jc w:val="right"/>
              <w:rPr>
                <w:rFonts w:ascii="Arial" w:hAnsi="Arial" w:cs="Arial" w:eastAsia="Arial" w:hint="default"/>
                <w:sz w:val="16"/>
                <w:szCs w:val="16"/>
              </w:rPr>
            </w:pPr>
            <w:r>
              <w:rPr>
                <w:rFonts w:ascii="Arial"/>
                <w:w w:val="100"/>
                <w:sz w:val="16"/>
              </w:rPr>
              <w:t>-</w:t>
            </w:r>
          </w:p>
        </w:tc>
      </w:tr>
      <w:tr>
        <w:trPr>
          <w:trHeight w:val="257"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6" w:right="0"/>
              <w:jc w:val="left"/>
              <w:rPr>
                <w:rFonts w:ascii="宋体" w:hAnsi="宋体" w:cs="宋体" w:eastAsia="宋体" w:hint="default"/>
                <w:sz w:val="16"/>
                <w:szCs w:val="16"/>
              </w:rPr>
            </w:pPr>
            <w:r>
              <w:rPr>
                <w:rFonts w:ascii="宋体" w:hAnsi="宋体" w:cs="宋体" w:eastAsia="宋体" w:hint="default"/>
                <w:sz w:val="16"/>
                <w:szCs w:val="16"/>
              </w:rPr>
              <w:t>偿还债务支付的现金</w:t>
            </w:r>
          </w:p>
        </w:tc>
        <w:tc>
          <w:tcPr>
            <w:tcW w:w="542" w:type="dxa"/>
            <w:tcBorders>
              <w:top w:val="single" w:sz="6" w:space="0" w:color="000000"/>
              <w:left w:val="single" w:sz="6" w:space="0" w:color="000000"/>
              <w:bottom w:val="single" w:sz="6" w:space="0" w:color="000000"/>
              <w:right w:val="single" w:sz="6" w:space="0" w:color="000000"/>
            </w:tcBorders>
          </w:tcPr>
          <w:p>
            <w:pP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6"/>
              <w:jc w:val="right"/>
              <w:rPr>
                <w:rFonts w:ascii="Arial" w:hAnsi="Arial" w:cs="Arial" w:eastAsia="Arial" w:hint="default"/>
                <w:sz w:val="16"/>
                <w:szCs w:val="16"/>
              </w:rPr>
            </w:pPr>
            <w:r>
              <w:rPr>
                <w:rFonts w:ascii="Arial"/>
                <w:spacing w:val="-1"/>
                <w:sz w:val="16"/>
              </w:rPr>
              <w:t>(206,213,510,730)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50"/>
              <w:jc w:val="right"/>
              <w:rPr>
                <w:rFonts w:ascii="Arial" w:hAnsi="Arial" w:cs="Arial" w:eastAsia="Arial" w:hint="default"/>
                <w:sz w:val="16"/>
                <w:szCs w:val="16"/>
              </w:rPr>
            </w:pPr>
            <w:r>
              <w:rPr>
                <w:rFonts w:ascii="Arial"/>
                <w:spacing w:val="-1"/>
                <w:sz w:val="16"/>
              </w:rPr>
              <w:t>(183,484,950,613)</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46"/>
              <w:jc w:val="right"/>
              <w:rPr>
                <w:rFonts w:ascii="Arial" w:hAnsi="Arial" w:cs="Arial" w:eastAsia="Arial" w:hint="default"/>
                <w:sz w:val="16"/>
                <w:szCs w:val="16"/>
              </w:rPr>
            </w:pPr>
            <w:r>
              <w:rPr>
                <w:rFonts w:ascii="Arial"/>
                <w:w w:val="100"/>
                <w:sz w:val="16"/>
              </w:rPr>
              <w:t>-</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24"/>
              <w:jc w:val="right"/>
              <w:rPr>
                <w:rFonts w:ascii="Arial" w:hAnsi="Arial" w:cs="Arial" w:eastAsia="Arial" w:hint="default"/>
                <w:sz w:val="16"/>
                <w:szCs w:val="16"/>
              </w:rPr>
            </w:pPr>
            <w:r>
              <w:rPr>
                <w:rFonts w:ascii="Arial"/>
                <w:w w:val="100"/>
                <w:sz w:val="16"/>
              </w:rPr>
              <w:t>-</w:t>
            </w:r>
          </w:p>
        </w:tc>
      </w:tr>
      <w:tr>
        <w:trPr>
          <w:trHeight w:val="260"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6" w:right="0"/>
              <w:jc w:val="left"/>
              <w:rPr>
                <w:rFonts w:ascii="宋体" w:hAnsi="宋体" w:cs="宋体" w:eastAsia="宋体" w:hint="default"/>
                <w:sz w:val="16"/>
                <w:szCs w:val="16"/>
              </w:rPr>
            </w:pPr>
            <w:r>
              <w:rPr>
                <w:rFonts w:ascii="宋体" w:hAnsi="宋体" w:cs="宋体" w:eastAsia="宋体" w:hint="default"/>
                <w:sz w:val="16"/>
                <w:szCs w:val="16"/>
              </w:rPr>
              <w:t>分配股利、利润或偿付利息所支付的现金</w:t>
            </w:r>
          </w:p>
        </w:tc>
        <w:tc>
          <w:tcPr>
            <w:tcW w:w="542" w:type="dxa"/>
            <w:tcBorders>
              <w:top w:val="single" w:sz="6" w:space="0" w:color="000000"/>
              <w:left w:val="single" w:sz="6" w:space="0" w:color="000000"/>
              <w:bottom w:val="single" w:sz="6" w:space="0" w:color="000000"/>
              <w:right w:val="single" w:sz="6" w:space="0" w:color="000000"/>
            </w:tcBorders>
          </w:tcPr>
          <w:p>
            <w:pP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6"/>
              <w:jc w:val="right"/>
              <w:rPr>
                <w:rFonts w:ascii="Arial" w:hAnsi="Arial" w:cs="Arial" w:eastAsia="Arial" w:hint="default"/>
                <w:sz w:val="16"/>
                <w:szCs w:val="16"/>
              </w:rPr>
            </w:pPr>
            <w:r>
              <w:rPr>
                <w:rFonts w:ascii="Arial"/>
                <w:spacing w:val="-1"/>
                <w:sz w:val="16"/>
              </w:rPr>
              <w:t>(8,289,729,299)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50"/>
              <w:jc w:val="right"/>
              <w:rPr>
                <w:rFonts w:ascii="Arial" w:hAnsi="Arial" w:cs="Arial" w:eastAsia="Arial" w:hint="default"/>
                <w:sz w:val="16"/>
                <w:szCs w:val="16"/>
              </w:rPr>
            </w:pPr>
            <w:r>
              <w:rPr>
                <w:rFonts w:ascii="Arial"/>
                <w:spacing w:val="-1"/>
                <w:sz w:val="16"/>
              </w:rPr>
              <w:t>(7,756,335,346)</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7"/>
              <w:jc w:val="right"/>
              <w:rPr>
                <w:rFonts w:ascii="Arial" w:hAnsi="Arial" w:cs="Arial" w:eastAsia="Arial" w:hint="default"/>
                <w:sz w:val="16"/>
                <w:szCs w:val="16"/>
              </w:rPr>
            </w:pPr>
            <w:r>
              <w:rPr>
                <w:rFonts w:ascii="Arial"/>
                <w:spacing w:val="-1"/>
                <w:sz w:val="16"/>
              </w:rPr>
              <w:t>(1,131,898,248)</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6"/>
              <w:jc w:val="right"/>
              <w:rPr>
                <w:rFonts w:ascii="Arial" w:hAnsi="Arial" w:cs="Arial" w:eastAsia="Arial" w:hint="default"/>
                <w:sz w:val="16"/>
                <w:szCs w:val="16"/>
              </w:rPr>
            </w:pPr>
            <w:r>
              <w:rPr>
                <w:rFonts w:ascii="Arial"/>
                <w:spacing w:val="-1"/>
                <w:sz w:val="16"/>
              </w:rPr>
              <w:t>(845,744,196)</w:t>
            </w:r>
          </w:p>
        </w:tc>
      </w:tr>
      <w:tr>
        <w:trPr>
          <w:trHeight w:val="257"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61" w:right="0"/>
              <w:jc w:val="left"/>
              <w:rPr>
                <w:rFonts w:ascii="黑体" w:hAnsi="黑体" w:cs="黑体" w:eastAsia="黑体" w:hint="default"/>
                <w:sz w:val="16"/>
                <w:szCs w:val="16"/>
              </w:rPr>
            </w:pPr>
            <w:r>
              <w:rPr>
                <w:rFonts w:ascii="黑体" w:hAnsi="黑体" w:cs="黑体" w:eastAsia="黑体" w:hint="default"/>
                <w:sz w:val="16"/>
                <w:szCs w:val="16"/>
              </w:rPr>
              <w:t>筹资活动现金流出小计</w:t>
            </w:r>
          </w:p>
        </w:tc>
        <w:tc>
          <w:tcPr>
            <w:tcW w:w="542" w:type="dxa"/>
            <w:tcBorders>
              <w:top w:val="single" w:sz="6" w:space="0" w:color="000000"/>
              <w:left w:val="single" w:sz="6" w:space="0" w:color="000000"/>
              <w:bottom w:val="single" w:sz="6" w:space="0" w:color="000000"/>
              <w:right w:val="single" w:sz="6" w:space="0" w:color="000000"/>
            </w:tcBorders>
          </w:tcPr>
          <w:p>
            <w:pP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6"/>
              <w:jc w:val="right"/>
              <w:rPr>
                <w:rFonts w:ascii="Arial" w:hAnsi="Arial" w:cs="Arial" w:eastAsia="Arial" w:hint="default"/>
                <w:sz w:val="16"/>
                <w:szCs w:val="16"/>
              </w:rPr>
            </w:pPr>
            <w:r>
              <w:rPr>
                <w:rFonts w:ascii="Arial"/>
                <w:spacing w:val="-1"/>
                <w:sz w:val="16"/>
              </w:rPr>
              <w:t>(214,503,240,029)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50"/>
              <w:jc w:val="right"/>
              <w:rPr>
                <w:rFonts w:ascii="Arial" w:hAnsi="Arial" w:cs="Arial" w:eastAsia="Arial" w:hint="default"/>
                <w:sz w:val="16"/>
                <w:szCs w:val="16"/>
              </w:rPr>
            </w:pPr>
            <w:r>
              <w:rPr>
                <w:rFonts w:ascii="Arial"/>
                <w:spacing w:val="-1"/>
                <w:sz w:val="16"/>
              </w:rPr>
              <w:t>(191,241,285,959)</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7"/>
              <w:jc w:val="right"/>
              <w:rPr>
                <w:rFonts w:ascii="Arial" w:hAnsi="Arial" w:cs="Arial" w:eastAsia="Arial" w:hint="default"/>
                <w:sz w:val="16"/>
                <w:szCs w:val="16"/>
              </w:rPr>
            </w:pPr>
            <w:r>
              <w:rPr>
                <w:rFonts w:ascii="Arial"/>
                <w:spacing w:val="-1"/>
                <w:sz w:val="16"/>
              </w:rPr>
              <w:t>(1,131,898,248)</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6"/>
              <w:jc w:val="right"/>
              <w:rPr>
                <w:rFonts w:ascii="Arial" w:hAnsi="Arial" w:cs="Arial" w:eastAsia="Arial" w:hint="default"/>
                <w:sz w:val="16"/>
                <w:szCs w:val="16"/>
              </w:rPr>
            </w:pPr>
            <w:r>
              <w:rPr>
                <w:rFonts w:ascii="Arial"/>
                <w:spacing w:val="-1"/>
                <w:sz w:val="16"/>
              </w:rPr>
              <w:t>(845,744,196)</w:t>
            </w:r>
          </w:p>
        </w:tc>
      </w:tr>
      <w:tr>
        <w:trPr>
          <w:trHeight w:val="259"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6" w:right="0"/>
              <w:jc w:val="left"/>
              <w:rPr>
                <w:rFonts w:ascii="黑体" w:hAnsi="黑体" w:cs="黑体" w:eastAsia="黑体" w:hint="default"/>
                <w:sz w:val="16"/>
                <w:szCs w:val="16"/>
              </w:rPr>
            </w:pPr>
            <w:r>
              <w:rPr>
                <w:rFonts w:ascii="黑体" w:hAnsi="黑体" w:cs="黑体" w:eastAsia="黑体" w:hint="default"/>
                <w:sz w:val="16"/>
                <w:szCs w:val="16"/>
              </w:rPr>
              <w:t>筹资活动产生的现金流量净额</w:t>
            </w:r>
          </w:p>
        </w:tc>
        <w:tc>
          <w:tcPr>
            <w:tcW w:w="542" w:type="dxa"/>
            <w:tcBorders>
              <w:top w:val="single" w:sz="6" w:space="0" w:color="000000"/>
              <w:left w:val="single" w:sz="6" w:space="0" w:color="000000"/>
              <w:bottom w:val="single" w:sz="6" w:space="0" w:color="000000"/>
              <w:right w:val="single" w:sz="6" w:space="0" w:color="000000"/>
            </w:tcBorders>
          </w:tcPr>
          <w:p>
            <w:pP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(13,585,750,582)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50"/>
              <w:jc w:val="right"/>
              <w:rPr>
                <w:rFonts w:ascii="Arial" w:hAnsi="Arial" w:cs="Arial" w:eastAsia="Arial" w:hint="default"/>
                <w:sz w:val="16"/>
                <w:szCs w:val="16"/>
              </w:rPr>
            </w:pPr>
            <w:r>
              <w:rPr>
                <w:rFonts w:ascii="Arial"/>
                <w:spacing w:val="-1"/>
                <w:sz w:val="16"/>
              </w:rPr>
              <w:t>(3,143,988,158)</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87"/>
              <w:jc w:val="right"/>
              <w:rPr>
                <w:rFonts w:ascii="Arial" w:hAnsi="Arial" w:cs="Arial" w:eastAsia="Arial" w:hint="default"/>
                <w:sz w:val="16"/>
                <w:szCs w:val="16"/>
              </w:rPr>
            </w:pPr>
            <w:r>
              <w:rPr>
                <w:rFonts w:ascii="Arial"/>
                <w:spacing w:val="-1"/>
                <w:sz w:val="16"/>
              </w:rPr>
              <w:t>(1,131,898,248)</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86"/>
              <w:jc w:val="right"/>
              <w:rPr>
                <w:rFonts w:ascii="Arial" w:hAnsi="Arial" w:cs="Arial" w:eastAsia="Arial" w:hint="default"/>
                <w:sz w:val="16"/>
                <w:szCs w:val="16"/>
              </w:rPr>
            </w:pPr>
            <w:r>
              <w:rPr>
                <w:rFonts w:ascii="Arial"/>
                <w:spacing w:val="-1"/>
                <w:sz w:val="16"/>
              </w:rPr>
              <w:t>(845,744,196)</w:t>
            </w:r>
          </w:p>
        </w:tc>
      </w:tr>
      <w:tr>
        <w:trPr>
          <w:trHeight w:val="257"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黑体" w:hAnsi="黑体" w:cs="黑体" w:eastAsia="黑体" w:hint="default"/>
                <w:sz w:val="16"/>
                <w:szCs w:val="16"/>
              </w:rPr>
            </w:pPr>
            <w:r>
              <w:rPr>
                <w:rFonts w:ascii="黑体" w:hAnsi="黑体" w:cs="黑体" w:eastAsia="黑体" w:hint="default"/>
                <w:sz w:val="16"/>
                <w:szCs w:val="16"/>
              </w:rPr>
              <w:t>四、汇率变动对现金及现金等价物的影响</w:t>
            </w:r>
          </w:p>
        </w:tc>
        <w:tc>
          <w:tcPr>
            <w:tcW w:w="542" w:type="dxa"/>
            <w:tcBorders>
              <w:top w:val="single" w:sz="6" w:space="0" w:color="000000"/>
              <w:left w:val="single" w:sz="6" w:space="0" w:color="000000"/>
              <w:bottom w:val="single" w:sz="6" w:space="0" w:color="000000"/>
              <w:right w:val="single" w:sz="6" w:space="0" w:color="000000"/>
            </w:tcBorders>
          </w:tcPr>
          <w:p>
            <w:pP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6"/>
              <w:jc w:val="right"/>
              <w:rPr>
                <w:rFonts w:ascii="Arial" w:hAnsi="Arial" w:cs="Arial" w:eastAsia="Arial" w:hint="default"/>
                <w:sz w:val="16"/>
                <w:szCs w:val="16"/>
              </w:rPr>
            </w:pPr>
            <w:r>
              <w:rPr>
                <w:rFonts w:ascii="Arial"/>
                <w:spacing w:val="-1"/>
                <w:sz w:val="16"/>
              </w:rPr>
              <w:t>(290,300)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50"/>
              <w:jc w:val="right"/>
              <w:rPr>
                <w:rFonts w:ascii="Arial" w:hAnsi="Arial" w:cs="Arial" w:eastAsia="Arial" w:hint="default"/>
                <w:sz w:val="16"/>
                <w:szCs w:val="16"/>
              </w:rPr>
            </w:pPr>
            <w:r>
              <w:rPr>
                <w:rFonts w:ascii="Arial"/>
                <w:spacing w:val="-1"/>
                <w:sz w:val="16"/>
              </w:rPr>
              <w:t>(42,153,789)</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46"/>
              <w:jc w:val="right"/>
              <w:rPr>
                <w:rFonts w:ascii="Arial" w:hAnsi="Arial" w:cs="Arial" w:eastAsia="Arial" w:hint="default"/>
                <w:sz w:val="16"/>
                <w:szCs w:val="16"/>
              </w:rPr>
            </w:pPr>
            <w:r>
              <w:rPr>
                <w:rFonts w:ascii="Arial"/>
                <w:w w:val="100"/>
                <w:sz w:val="16"/>
              </w:rPr>
              <w:t>-</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55"/>
              <w:jc w:val="right"/>
              <w:rPr>
                <w:rFonts w:ascii="Arial" w:hAnsi="Arial" w:cs="Arial" w:eastAsia="Arial" w:hint="default"/>
                <w:sz w:val="16"/>
                <w:szCs w:val="16"/>
              </w:rPr>
            </w:pPr>
            <w:r>
              <w:rPr>
                <w:rFonts w:ascii="Arial"/>
                <w:w w:val="100"/>
                <w:sz w:val="16"/>
              </w:rPr>
              <w:t>-</w:t>
            </w:r>
          </w:p>
        </w:tc>
      </w:tr>
      <w:tr>
        <w:trPr>
          <w:trHeight w:val="259"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黑体" w:hAnsi="黑体" w:cs="黑体" w:eastAsia="黑体" w:hint="default"/>
                <w:sz w:val="16"/>
                <w:szCs w:val="16"/>
              </w:rPr>
            </w:pPr>
            <w:r>
              <w:rPr>
                <w:rFonts w:ascii="黑体" w:hAnsi="黑体" w:cs="黑体" w:eastAsia="黑体" w:hint="default"/>
                <w:sz w:val="16"/>
                <w:szCs w:val="16"/>
              </w:rPr>
              <w:t>五、现金及现金等价物净增加（减少）额</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7" w:right="0"/>
              <w:jc w:val="left"/>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(49)</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4"/>
              <w:jc w:val="right"/>
              <w:rPr>
                <w:rFonts w:ascii="Arial" w:hAnsi="Arial" w:cs="Arial" w:eastAsia="Arial" w:hint="default"/>
                <w:sz w:val="16"/>
                <w:szCs w:val="16"/>
              </w:rPr>
            </w:pPr>
            <w:r>
              <w:rPr>
                <w:rFonts w:ascii="Arial"/>
                <w:spacing w:val="-1"/>
                <w:sz w:val="16"/>
              </w:rPr>
              <w:t>3,809,259,159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3,246,863,579</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7"/>
              <w:jc w:val="right"/>
              <w:rPr>
                <w:rFonts w:ascii="Arial" w:hAnsi="Arial" w:cs="Arial" w:eastAsia="Arial" w:hint="default"/>
                <w:sz w:val="16"/>
                <w:szCs w:val="16"/>
              </w:rPr>
            </w:pPr>
            <w:r>
              <w:rPr>
                <w:rFonts w:ascii="Arial"/>
                <w:spacing w:val="-1"/>
                <w:sz w:val="16"/>
              </w:rPr>
              <w:t>7,472,387</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86"/>
              <w:jc w:val="right"/>
              <w:rPr>
                <w:rFonts w:ascii="Arial" w:hAnsi="Arial" w:cs="Arial" w:eastAsia="Arial" w:hint="default"/>
                <w:sz w:val="16"/>
                <w:szCs w:val="16"/>
              </w:rPr>
            </w:pPr>
            <w:r>
              <w:rPr>
                <w:rFonts w:ascii="Arial"/>
                <w:spacing w:val="-1"/>
                <w:sz w:val="16"/>
              </w:rPr>
              <w:t>(9,815,324)</w:t>
            </w:r>
          </w:p>
        </w:tc>
      </w:tr>
      <w:tr>
        <w:trPr>
          <w:trHeight w:val="257"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9" w:right="0"/>
              <w:jc w:val="left"/>
              <w:rPr>
                <w:rFonts w:ascii="宋体" w:hAnsi="宋体" w:cs="宋体" w:eastAsia="宋体" w:hint="default"/>
                <w:sz w:val="16"/>
                <w:szCs w:val="16"/>
              </w:rPr>
            </w:pPr>
            <w:r>
              <w:rPr>
                <w:rFonts w:ascii="宋体" w:hAnsi="宋体" w:cs="宋体" w:eastAsia="宋体" w:hint="default"/>
                <w:sz w:val="16"/>
                <w:szCs w:val="16"/>
              </w:rPr>
              <w:t>加：年初现金及现金等价物余额</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7" w:right="0"/>
              <w:jc w:val="left"/>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(49)</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44"/>
              <w:jc w:val="right"/>
              <w:rPr>
                <w:rFonts w:ascii="Arial" w:hAnsi="Arial" w:cs="Arial" w:eastAsia="Arial" w:hint="default"/>
                <w:sz w:val="16"/>
                <w:szCs w:val="16"/>
              </w:rPr>
            </w:pPr>
            <w:r>
              <w:rPr>
                <w:rFonts w:ascii="Arial"/>
                <w:spacing w:val="-1"/>
                <w:sz w:val="16"/>
              </w:rPr>
              <w:t>21,534,854,948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6"/>
              <w:jc w:val="right"/>
              <w:rPr>
                <w:rFonts w:ascii="Arial" w:hAnsi="Arial" w:cs="Arial" w:eastAsia="Arial" w:hint="default"/>
                <w:sz w:val="16"/>
                <w:szCs w:val="16"/>
              </w:rPr>
            </w:pPr>
            <w:r>
              <w:rPr>
                <w:rFonts w:ascii="Arial"/>
                <w:spacing w:val="-1"/>
                <w:sz w:val="16"/>
              </w:rPr>
              <w:t>18,287,991,369</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47"/>
              <w:jc w:val="right"/>
              <w:rPr>
                <w:rFonts w:ascii="Arial" w:hAnsi="Arial" w:cs="Arial" w:eastAsia="Arial" w:hint="default"/>
                <w:sz w:val="16"/>
                <w:szCs w:val="16"/>
              </w:rPr>
            </w:pPr>
            <w:r>
              <w:rPr>
                <w:rFonts w:ascii="Arial"/>
                <w:spacing w:val="-1"/>
                <w:sz w:val="16"/>
              </w:rPr>
              <w:t>28,492,707</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25"/>
              <w:jc w:val="right"/>
              <w:rPr>
                <w:rFonts w:ascii="Arial" w:hAnsi="Arial" w:cs="Arial" w:eastAsia="Arial" w:hint="default"/>
                <w:sz w:val="16"/>
                <w:szCs w:val="16"/>
              </w:rPr>
            </w:pPr>
            <w:r>
              <w:rPr>
                <w:rFonts w:ascii="Arial"/>
                <w:spacing w:val="-1"/>
                <w:sz w:val="16"/>
              </w:rPr>
              <w:t>38,308,031</w:t>
            </w:r>
          </w:p>
        </w:tc>
      </w:tr>
      <w:tr>
        <w:trPr>
          <w:trHeight w:val="259"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黑体" w:hAnsi="黑体" w:cs="黑体" w:eastAsia="黑体" w:hint="default"/>
                <w:sz w:val="16"/>
                <w:szCs w:val="16"/>
              </w:rPr>
            </w:pPr>
            <w:r>
              <w:rPr>
                <w:rFonts w:ascii="黑体" w:hAnsi="黑体" w:cs="黑体" w:eastAsia="黑体" w:hint="default"/>
                <w:sz w:val="16"/>
                <w:szCs w:val="16"/>
              </w:rPr>
              <w:t>六、年末现金及现金等价物余额</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7" w:right="0"/>
              <w:jc w:val="left"/>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(49)</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4"/>
              <w:jc w:val="right"/>
              <w:rPr>
                <w:rFonts w:ascii="Arial" w:hAnsi="Arial" w:cs="Arial" w:eastAsia="Arial" w:hint="default"/>
                <w:sz w:val="16"/>
                <w:szCs w:val="16"/>
              </w:rPr>
            </w:pPr>
            <w:r>
              <w:rPr>
                <w:rFonts w:ascii="Arial"/>
                <w:spacing w:val="-1"/>
                <w:sz w:val="16"/>
              </w:rPr>
              <w:t>25,344,114,107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21,534,854,948</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7"/>
              <w:jc w:val="right"/>
              <w:rPr>
                <w:rFonts w:ascii="Arial" w:hAnsi="Arial" w:cs="Arial" w:eastAsia="Arial" w:hint="default"/>
                <w:sz w:val="16"/>
                <w:szCs w:val="16"/>
              </w:rPr>
            </w:pPr>
            <w:r>
              <w:rPr>
                <w:rFonts w:ascii="Arial"/>
                <w:spacing w:val="-1"/>
                <w:sz w:val="16"/>
              </w:rPr>
              <w:t>35,965,094</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25"/>
              <w:jc w:val="right"/>
              <w:rPr>
                <w:rFonts w:ascii="Arial" w:hAnsi="Arial" w:cs="Arial" w:eastAsia="Arial" w:hint="default"/>
                <w:sz w:val="16"/>
                <w:szCs w:val="16"/>
              </w:rPr>
            </w:pPr>
            <w:r>
              <w:rPr>
                <w:rFonts w:ascii="Arial"/>
                <w:spacing w:val="-1"/>
                <w:sz w:val="16"/>
              </w:rPr>
              <w:t>28,492,707</w:t>
            </w:r>
          </w:p>
        </w:tc>
      </w:tr>
    </w:tbl>
    <w:p>
      <w:pPr>
        <w:spacing w:line="240" w:lineRule="auto" w:before="4"/>
        <w:rPr>
          <w:rFonts w:ascii="黑体" w:hAnsi="黑体" w:cs="黑体" w:eastAsia="黑体" w:hint="default"/>
          <w:sz w:val="12"/>
          <w:szCs w:val="12"/>
        </w:rPr>
      </w:pPr>
    </w:p>
    <w:p>
      <w:pPr>
        <w:spacing w:before="37"/>
        <w:ind w:left="120" w:right="0" w:firstLine="0"/>
        <w:jc w:val="left"/>
        <w:rPr>
          <w:rFonts w:ascii="黑体" w:hAnsi="黑体" w:cs="黑体" w:eastAsia="黑体" w:hint="default"/>
          <w:sz w:val="20"/>
          <w:szCs w:val="20"/>
        </w:rPr>
      </w:pPr>
      <w:r>
        <w:rPr>
          <w:rFonts w:ascii="黑体" w:hAnsi="黑体" w:cs="黑体" w:eastAsia="黑体" w:hint="default"/>
          <w:sz w:val="20"/>
          <w:szCs w:val="20"/>
        </w:rPr>
        <w:t>后附财务报表附注为财务报表的组成部分。</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5"/>
          <w:szCs w:val="15"/>
        </w:rPr>
      </w:pPr>
    </w:p>
    <w:p>
      <w:pPr>
        <w:pStyle w:val="BodyText"/>
        <w:tabs>
          <w:tab w:pos="3995" w:val="left" w:leader="none"/>
          <w:tab w:pos="7372" w:val="left" w:leader="none"/>
        </w:tabs>
        <w:spacing w:line="240" w:lineRule="auto"/>
        <w:ind w:left="147" w:right="0"/>
        <w:jc w:val="left"/>
        <w:rPr>
          <w:rFonts w:ascii="黑体" w:hAnsi="黑体" w:cs="黑体" w:eastAsia="黑体" w:hint="default"/>
        </w:rPr>
      </w:pPr>
      <w:r>
        <w:rPr>
          <w:rFonts w:ascii="黑体" w:hAnsi="黑体" w:cs="黑体" w:eastAsia="黑体" w:hint="default"/>
          <w:spacing w:val="-1"/>
        </w:rPr>
        <w:t>董事长：常小兵</w:t>
        <w:tab/>
        <w:t>财务负责人：李超</w:t>
        <w:tab/>
        <w:t>财务部总经理：李张挺</w:t>
      </w:r>
    </w:p>
    <w:p>
      <w:pPr>
        <w:spacing w:after="0" w:line="240" w:lineRule="auto"/>
        <w:jc w:val="left"/>
        <w:rPr>
          <w:rFonts w:ascii="黑体" w:hAnsi="黑体" w:cs="黑体" w:eastAsia="黑体" w:hint="default"/>
        </w:rPr>
        <w:sectPr>
          <w:headerReference w:type="default" r:id="rId33"/>
          <w:footerReference w:type="default" r:id="rId34"/>
          <w:pgSz w:w="11910" w:h="16840"/>
          <w:pgMar w:header="0" w:footer="923" w:top="1240" w:bottom="1120" w:left="760" w:right="600"/>
          <w:pgNumType w:start="61"/>
        </w:sectPr>
      </w:pPr>
    </w:p>
    <w:p>
      <w:pPr>
        <w:pStyle w:val="BodyText"/>
        <w:spacing w:line="240" w:lineRule="auto" w:before="6"/>
        <w:ind w:left="120"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3"/>
        <w:rPr>
          <w:rFonts w:ascii="黑体" w:hAnsi="黑体" w:cs="黑体" w:eastAsia="黑体" w:hint="default"/>
          <w:sz w:val="19"/>
          <w:szCs w:val="19"/>
        </w:rPr>
      </w:pPr>
    </w:p>
    <w:p>
      <w:pPr>
        <w:pStyle w:val="BodyText"/>
        <w:spacing w:line="295" w:lineRule="exact"/>
        <w:ind w:left="120"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9"/>
        </w:rPr>
        <w:t> </w:t>
      </w:r>
      <w:r>
        <w:rPr>
          <w:rFonts w:ascii="黑体" w:hAnsi="黑体" w:cs="黑体" w:eastAsia="黑体" w:hint="default"/>
        </w:rPr>
        <w:t>年度合并股东权益变动表</w:t>
      </w:r>
    </w:p>
    <w:p>
      <w:pPr>
        <w:pStyle w:val="BodyText"/>
        <w:spacing w:line="279" w:lineRule="exact"/>
        <w:ind w:left="120" w:right="0"/>
        <w:jc w:val="left"/>
        <w:rPr>
          <w:rFonts w:ascii="黑体" w:hAnsi="黑体" w:cs="黑体" w:eastAsia="黑体" w:hint="default"/>
        </w:rPr>
      </w:pPr>
      <w:r>
        <w:rPr>
          <w:rFonts w:ascii="黑体" w:hAnsi="黑体" w:cs="黑体" w:eastAsia="黑体" w:hint="default"/>
        </w:rPr>
        <w:t>（除特别注明外，金额单位为人民币元）</w:t>
      </w:r>
    </w:p>
    <w:p>
      <w:pPr>
        <w:spacing w:line="240" w:lineRule="auto" w:before="7"/>
        <w:rPr>
          <w:rFonts w:ascii="黑体" w:hAnsi="黑体" w:cs="黑体" w:eastAsia="黑体" w:hint="default"/>
          <w:sz w:val="18"/>
          <w:szCs w:val="18"/>
        </w:rPr>
      </w:pPr>
    </w:p>
    <w:tbl>
      <w:tblPr>
        <w:tblW w:w="0" w:type="auto"/>
        <w:jc w:val="left"/>
        <w:tblInd w:w="113" w:type="dxa"/>
        <w:tblLayout w:type="fixed"/>
        <w:tblCellMar>
          <w:top w:w="0" w:type="dxa"/>
          <w:left w:w="0" w:type="dxa"/>
          <w:bottom w:w="0" w:type="dxa"/>
          <w:right w:w="0" w:type="dxa"/>
        </w:tblCellMar>
        <w:tblLook w:val="01E0"/>
      </w:tblPr>
      <w:tblGrid>
        <w:gridCol w:w="5238"/>
        <w:gridCol w:w="991"/>
        <w:gridCol w:w="1136"/>
        <w:gridCol w:w="1274"/>
        <w:gridCol w:w="1135"/>
        <w:gridCol w:w="1133"/>
        <w:gridCol w:w="1135"/>
        <w:gridCol w:w="1215"/>
        <w:gridCol w:w="1486"/>
      </w:tblGrid>
      <w:tr>
        <w:trPr>
          <w:trHeight w:val="197" w:hRule="exact"/>
        </w:trPr>
        <w:tc>
          <w:tcPr>
            <w:tcW w:w="5238" w:type="dxa"/>
            <w:vMerge w:val="restart"/>
            <w:tcBorders>
              <w:top w:val="single" w:sz="6" w:space="0" w:color="000000"/>
              <w:left w:val="single" w:sz="6" w:space="0" w:color="000000"/>
              <w:right w:val="single" w:sz="6" w:space="0" w:color="000000"/>
            </w:tcBorders>
          </w:tcPr>
          <w:p>
            <w:pPr>
              <w:pStyle w:val="TableParagraph"/>
              <w:spacing w:line="240" w:lineRule="auto" w:before="103"/>
              <w:ind w:right="7"/>
              <w:jc w:val="center"/>
              <w:rPr>
                <w:rFonts w:ascii="黑体" w:hAnsi="黑体" w:cs="黑体" w:eastAsia="黑体" w:hint="default"/>
                <w:sz w:val="14"/>
                <w:szCs w:val="14"/>
              </w:rPr>
            </w:pPr>
            <w:r>
              <w:rPr>
                <w:rFonts w:ascii="黑体" w:hAnsi="黑体" w:cs="黑体" w:eastAsia="黑体" w:hint="default"/>
                <w:sz w:val="14"/>
                <w:szCs w:val="14"/>
              </w:rPr>
              <w:t>项目</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103"/>
              <w:ind w:right="0"/>
              <w:jc w:val="center"/>
              <w:rPr>
                <w:rFonts w:ascii="黑体" w:hAnsi="黑体" w:cs="黑体" w:eastAsia="黑体" w:hint="default"/>
                <w:sz w:val="14"/>
                <w:szCs w:val="14"/>
              </w:rPr>
            </w:pPr>
            <w:r>
              <w:rPr>
                <w:rFonts w:ascii="黑体" w:hAnsi="黑体" w:cs="黑体" w:eastAsia="黑体" w:hint="default"/>
                <w:sz w:val="14"/>
                <w:szCs w:val="14"/>
              </w:rPr>
              <w:t>附注</w:t>
            </w:r>
          </w:p>
        </w:tc>
        <w:tc>
          <w:tcPr>
            <w:tcW w:w="5814" w:type="dxa"/>
            <w:gridSpan w:val="5"/>
            <w:tcBorders>
              <w:top w:val="single" w:sz="6" w:space="0" w:color="000000"/>
              <w:left w:val="single" w:sz="6" w:space="0" w:color="000000"/>
              <w:bottom w:val="single" w:sz="6" w:space="0" w:color="000000"/>
              <w:right w:val="single" w:sz="6" w:space="0" w:color="000000"/>
            </w:tcBorders>
          </w:tcPr>
          <w:p>
            <w:pPr>
              <w:pStyle w:val="TableParagraph"/>
              <w:spacing w:line="159" w:lineRule="exact"/>
              <w:ind w:right="8"/>
              <w:jc w:val="center"/>
              <w:rPr>
                <w:rFonts w:ascii="黑体" w:hAnsi="黑体" w:cs="黑体" w:eastAsia="黑体" w:hint="default"/>
                <w:sz w:val="14"/>
                <w:szCs w:val="14"/>
              </w:rPr>
            </w:pPr>
            <w:r>
              <w:rPr>
                <w:rFonts w:ascii="黑体" w:hAnsi="黑体" w:cs="黑体" w:eastAsia="黑体" w:hint="default"/>
                <w:sz w:val="14"/>
                <w:szCs w:val="14"/>
              </w:rPr>
              <w:t>归属于母公司股东权益</w:t>
            </w:r>
          </w:p>
        </w:tc>
        <w:tc>
          <w:tcPr>
            <w:tcW w:w="1215" w:type="dxa"/>
            <w:vMerge w:val="restart"/>
            <w:tcBorders>
              <w:top w:val="single" w:sz="6" w:space="0" w:color="000000"/>
              <w:left w:val="single" w:sz="6" w:space="0" w:color="000000"/>
              <w:right w:val="single" w:sz="6" w:space="0" w:color="000000"/>
            </w:tcBorders>
          </w:tcPr>
          <w:p>
            <w:pPr>
              <w:pStyle w:val="TableParagraph"/>
              <w:spacing w:line="240" w:lineRule="auto" w:before="103"/>
              <w:ind w:left="177" w:right="0"/>
              <w:jc w:val="left"/>
              <w:rPr>
                <w:rFonts w:ascii="黑体" w:hAnsi="黑体" w:cs="黑体" w:eastAsia="黑体" w:hint="default"/>
                <w:sz w:val="14"/>
                <w:szCs w:val="14"/>
              </w:rPr>
            </w:pPr>
            <w:r>
              <w:rPr>
                <w:rFonts w:ascii="黑体" w:hAnsi="黑体" w:cs="黑体" w:eastAsia="黑体" w:hint="default"/>
                <w:sz w:val="14"/>
                <w:szCs w:val="14"/>
              </w:rPr>
              <w:t>少数股东权益</w:t>
            </w:r>
          </w:p>
        </w:tc>
        <w:tc>
          <w:tcPr>
            <w:tcW w:w="1486" w:type="dxa"/>
            <w:vMerge w:val="restart"/>
            <w:tcBorders>
              <w:top w:val="single" w:sz="6" w:space="0" w:color="000000"/>
              <w:left w:val="single" w:sz="6" w:space="0" w:color="000000"/>
              <w:right w:val="single" w:sz="6" w:space="0" w:color="000000"/>
            </w:tcBorders>
          </w:tcPr>
          <w:p>
            <w:pPr>
              <w:pStyle w:val="TableParagraph"/>
              <w:spacing w:line="240" w:lineRule="auto" w:before="103"/>
              <w:ind w:left="311" w:right="0"/>
              <w:jc w:val="left"/>
              <w:rPr>
                <w:rFonts w:ascii="黑体" w:hAnsi="黑体" w:cs="黑体" w:eastAsia="黑体" w:hint="default"/>
                <w:sz w:val="14"/>
                <w:szCs w:val="14"/>
              </w:rPr>
            </w:pPr>
            <w:r>
              <w:rPr>
                <w:rFonts w:ascii="黑体" w:hAnsi="黑体" w:cs="黑体" w:eastAsia="黑体" w:hint="default"/>
                <w:sz w:val="14"/>
                <w:szCs w:val="14"/>
              </w:rPr>
              <w:t>股东权益合计</w:t>
            </w:r>
          </w:p>
        </w:tc>
      </w:tr>
      <w:tr>
        <w:trPr>
          <w:trHeight w:val="254" w:hRule="exact"/>
        </w:trPr>
        <w:tc>
          <w:tcPr>
            <w:tcW w:w="5238"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5"/>
              <w:jc w:val="center"/>
              <w:rPr>
                <w:rFonts w:ascii="黑体" w:hAnsi="黑体" w:cs="黑体" w:eastAsia="黑体" w:hint="default"/>
                <w:sz w:val="14"/>
                <w:szCs w:val="14"/>
              </w:rPr>
            </w:pPr>
            <w:r>
              <w:rPr>
                <w:rFonts w:ascii="黑体" w:hAnsi="黑体" w:cs="黑体" w:eastAsia="黑体" w:hint="default"/>
                <w:sz w:val="14"/>
                <w:szCs w:val="14"/>
              </w:rPr>
              <w:t>股本</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48" w:right="0"/>
              <w:jc w:val="left"/>
              <w:rPr>
                <w:rFonts w:ascii="黑体" w:hAnsi="黑体" w:cs="黑体" w:eastAsia="黑体" w:hint="default"/>
                <w:sz w:val="14"/>
                <w:szCs w:val="14"/>
              </w:rPr>
            </w:pPr>
            <w:r>
              <w:rPr>
                <w:rFonts w:ascii="黑体" w:hAnsi="黑体" w:cs="黑体" w:eastAsia="黑体" w:hint="default"/>
                <w:sz w:val="14"/>
                <w:szCs w:val="14"/>
              </w:rPr>
              <w:t>资本公积</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36" w:right="0"/>
              <w:jc w:val="left"/>
              <w:rPr>
                <w:rFonts w:ascii="黑体" w:hAnsi="黑体" w:cs="黑体" w:eastAsia="黑体" w:hint="default"/>
                <w:sz w:val="14"/>
                <w:szCs w:val="14"/>
              </w:rPr>
            </w:pPr>
            <w:r>
              <w:rPr>
                <w:rFonts w:ascii="黑体" w:hAnsi="黑体" w:cs="黑体" w:eastAsia="黑体" w:hint="default"/>
                <w:sz w:val="14"/>
                <w:szCs w:val="14"/>
              </w:rPr>
              <w:t>其他综合收益</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79" w:right="0"/>
              <w:jc w:val="left"/>
              <w:rPr>
                <w:rFonts w:ascii="黑体" w:hAnsi="黑体" w:cs="黑体" w:eastAsia="黑体" w:hint="default"/>
                <w:sz w:val="14"/>
                <w:szCs w:val="14"/>
              </w:rPr>
            </w:pPr>
            <w:r>
              <w:rPr>
                <w:rFonts w:ascii="黑体" w:hAnsi="黑体" w:cs="黑体" w:eastAsia="黑体" w:hint="default"/>
                <w:sz w:val="14"/>
                <w:szCs w:val="14"/>
              </w:rPr>
              <w:t>盈余公积</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06" w:right="0"/>
              <w:jc w:val="left"/>
              <w:rPr>
                <w:rFonts w:ascii="黑体" w:hAnsi="黑体" w:cs="黑体" w:eastAsia="黑体" w:hint="default"/>
                <w:sz w:val="14"/>
                <w:szCs w:val="14"/>
              </w:rPr>
            </w:pPr>
            <w:r>
              <w:rPr>
                <w:rFonts w:ascii="黑体" w:hAnsi="黑体" w:cs="黑体" w:eastAsia="黑体" w:hint="default"/>
                <w:sz w:val="14"/>
                <w:szCs w:val="14"/>
              </w:rPr>
              <w:t>未分配利润</w:t>
            </w:r>
          </w:p>
        </w:tc>
        <w:tc>
          <w:tcPr>
            <w:tcW w:w="1215" w:type="dxa"/>
            <w:vMerge/>
            <w:tcBorders>
              <w:left w:val="single" w:sz="6" w:space="0" w:color="000000"/>
              <w:bottom w:val="single" w:sz="6" w:space="0" w:color="000000"/>
              <w:right w:val="single" w:sz="6" w:space="0" w:color="000000"/>
            </w:tcBorders>
          </w:tcPr>
          <w:p>
            <w:pPr/>
          </w:p>
        </w:tc>
        <w:tc>
          <w:tcPr>
            <w:tcW w:w="1486" w:type="dxa"/>
            <w:vMerge/>
            <w:tcBorders>
              <w:left w:val="single" w:sz="6" w:space="0" w:color="000000"/>
              <w:bottom w:val="single" w:sz="6" w:space="0" w:color="000000"/>
              <w:right w:val="single" w:sz="6" w:space="0" w:color="000000"/>
            </w:tcBorders>
          </w:tcPr>
          <w:p>
            <w:pPr/>
          </w:p>
        </w:tc>
      </w:tr>
      <w:tr>
        <w:trPr>
          <w:trHeight w:val="194" w:hRule="exact"/>
        </w:trPr>
        <w:tc>
          <w:tcPr>
            <w:tcW w:w="5238"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left="43" w:right="0"/>
              <w:jc w:val="left"/>
              <w:rPr>
                <w:rFonts w:ascii="宋体" w:hAnsi="宋体" w:cs="宋体" w:eastAsia="宋体" w:hint="default"/>
                <w:sz w:val="14"/>
                <w:szCs w:val="14"/>
              </w:rPr>
            </w:pPr>
            <w:r>
              <w:rPr>
                <w:rFonts w:ascii="Arial" w:hAnsi="Arial" w:cs="Arial" w:eastAsia="Arial" w:hint="default"/>
                <w:sz w:val="14"/>
                <w:szCs w:val="14"/>
              </w:rPr>
              <w:t>2014</w:t>
            </w:r>
            <w:r>
              <w:rPr>
                <w:rFonts w:ascii="Arial" w:hAnsi="Arial" w:cs="Arial" w:eastAsia="Arial" w:hint="default"/>
                <w:spacing w:val="-6"/>
                <w:sz w:val="14"/>
                <w:szCs w:val="14"/>
              </w:rPr>
              <w:t> </w:t>
            </w:r>
            <w:r>
              <w:rPr>
                <w:rFonts w:ascii="宋体" w:hAnsi="宋体" w:cs="宋体" w:eastAsia="宋体" w:hint="default"/>
                <w:sz w:val="14"/>
                <w:szCs w:val="14"/>
              </w:rPr>
              <w:t>年</w:t>
            </w:r>
            <w:r>
              <w:rPr>
                <w:rFonts w:ascii="宋体" w:hAnsi="宋体" w:cs="宋体" w:eastAsia="宋体" w:hint="default"/>
                <w:spacing w:val="-36"/>
                <w:sz w:val="14"/>
                <w:szCs w:val="14"/>
              </w:rPr>
              <w:t> </w:t>
            </w:r>
            <w:r>
              <w:rPr>
                <w:rFonts w:ascii="Arial" w:hAnsi="Arial" w:cs="Arial" w:eastAsia="Arial" w:hint="default"/>
                <w:sz w:val="14"/>
                <w:szCs w:val="14"/>
              </w:rPr>
              <w:t>1</w:t>
            </w:r>
            <w:r>
              <w:rPr>
                <w:rFonts w:ascii="Arial" w:hAnsi="Arial" w:cs="Arial" w:eastAsia="Arial" w:hint="default"/>
                <w:spacing w:val="-6"/>
                <w:sz w:val="14"/>
                <w:szCs w:val="14"/>
              </w:rPr>
              <w:t> </w:t>
            </w:r>
            <w:r>
              <w:rPr>
                <w:rFonts w:ascii="宋体" w:hAnsi="宋体" w:cs="宋体" w:eastAsia="宋体" w:hint="default"/>
                <w:sz w:val="14"/>
                <w:szCs w:val="14"/>
              </w:rPr>
              <w:t>月</w:t>
            </w:r>
            <w:r>
              <w:rPr>
                <w:rFonts w:ascii="宋体" w:hAnsi="宋体" w:cs="宋体" w:eastAsia="宋体" w:hint="default"/>
                <w:spacing w:val="-36"/>
                <w:sz w:val="14"/>
                <w:szCs w:val="14"/>
              </w:rPr>
              <w:t> </w:t>
            </w:r>
            <w:r>
              <w:rPr>
                <w:rFonts w:ascii="Arial" w:hAnsi="Arial" w:cs="Arial" w:eastAsia="Arial" w:hint="default"/>
                <w:sz w:val="14"/>
                <w:szCs w:val="14"/>
              </w:rPr>
              <w:t>1</w:t>
            </w:r>
            <w:r>
              <w:rPr>
                <w:rFonts w:ascii="Arial" w:hAnsi="Arial" w:cs="Arial" w:eastAsia="Arial" w:hint="default"/>
                <w:spacing w:val="-4"/>
                <w:sz w:val="14"/>
                <w:szCs w:val="14"/>
              </w:rPr>
              <w:t> </w:t>
            </w:r>
            <w:r>
              <w:rPr>
                <w:rFonts w:ascii="宋体" w:hAnsi="宋体" w:cs="宋体" w:eastAsia="宋体" w:hint="default"/>
                <w:sz w:val="14"/>
                <w:szCs w:val="14"/>
              </w:rPr>
              <w:t>日年初余额</w:t>
            </w:r>
          </w:p>
        </w:tc>
        <w:tc>
          <w:tcPr>
            <w:tcW w:w="991"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8"/>
              <w:jc w:val="right"/>
              <w:rPr>
                <w:rFonts w:ascii="Arial" w:hAnsi="Arial" w:cs="Arial" w:eastAsia="Arial" w:hint="default"/>
                <w:sz w:val="14"/>
                <w:szCs w:val="14"/>
              </w:rPr>
            </w:pPr>
            <w:r>
              <w:rPr>
                <w:rFonts w:ascii="Arial"/>
                <w:spacing w:val="-1"/>
                <w:sz w:val="14"/>
              </w:rPr>
              <w:t>21,196,596,395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9"/>
              <w:jc w:val="right"/>
              <w:rPr>
                <w:rFonts w:ascii="Arial" w:hAnsi="Arial" w:cs="Arial" w:eastAsia="Arial" w:hint="default"/>
                <w:sz w:val="14"/>
                <w:szCs w:val="14"/>
              </w:rPr>
            </w:pPr>
            <w:r>
              <w:rPr>
                <w:rFonts w:ascii="Arial"/>
                <w:spacing w:val="-1"/>
                <w:sz w:val="14"/>
              </w:rPr>
              <w:t>28,024,362,928</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6"/>
              <w:jc w:val="right"/>
              <w:rPr>
                <w:rFonts w:ascii="Arial" w:hAnsi="Arial" w:cs="Arial" w:eastAsia="Arial" w:hint="default"/>
                <w:sz w:val="14"/>
                <w:szCs w:val="14"/>
              </w:rPr>
            </w:pPr>
            <w:r>
              <w:rPr>
                <w:rFonts w:ascii="Arial"/>
                <w:spacing w:val="-1"/>
                <w:sz w:val="14"/>
              </w:rPr>
              <w:t>(1,308,556,009)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4"/>
              <w:jc w:val="right"/>
              <w:rPr>
                <w:rFonts w:ascii="Arial" w:hAnsi="Arial" w:cs="Arial" w:eastAsia="Arial" w:hint="default"/>
                <w:sz w:val="14"/>
                <w:szCs w:val="14"/>
              </w:rPr>
            </w:pPr>
            <w:r>
              <w:rPr>
                <w:rFonts w:ascii="Arial"/>
                <w:spacing w:val="-1"/>
                <w:sz w:val="14"/>
              </w:rPr>
              <w:t>919,120,486</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4"/>
              <w:jc w:val="right"/>
              <w:rPr>
                <w:rFonts w:ascii="Arial" w:hAnsi="Arial" w:cs="Arial" w:eastAsia="Arial" w:hint="default"/>
                <w:sz w:val="14"/>
                <w:szCs w:val="14"/>
              </w:rPr>
            </w:pPr>
            <w:r>
              <w:rPr>
                <w:rFonts w:ascii="Arial"/>
                <w:spacing w:val="-1"/>
                <w:sz w:val="14"/>
              </w:rPr>
              <w:t>26,027,415,661</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82"/>
              <w:jc w:val="right"/>
              <w:rPr>
                <w:rFonts w:ascii="Arial" w:hAnsi="Arial" w:cs="Arial" w:eastAsia="Arial" w:hint="default"/>
                <w:sz w:val="14"/>
                <w:szCs w:val="14"/>
              </w:rPr>
            </w:pPr>
            <w:r>
              <w:rPr>
                <w:rFonts w:ascii="Arial"/>
                <w:spacing w:val="-1"/>
                <w:sz w:val="14"/>
              </w:rPr>
              <w:t>146,767,164,703</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3" w:right="0"/>
              <w:jc w:val="left"/>
              <w:rPr>
                <w:rFonts w:ascii="Arial" w:hAnsi="Arial" w:cs="Arial" w:eastAsia="Arial" w:hint="default"/>
                <w:sz w:val="14"/>
                <w:szCs w:val="14"/>
              </w:rPr>
            </w:pPr>
            <w:r>
              <w:rPr>
                <w:rFonts w:ascii="Arial"/>
                <w:sz w:val="14"/>
              </w:rPr>
              <w:t>221,626,104,164</w:t>
            </w:r>
          </w:p>
        </w:tc>
      </w:tr>
      <w:tr>
        <w:trPr>
          <w:trHeight w:val="197" w:hRule="exact"/>
        </w:trPr>
        <w:tc>
          <w:tcPr>
            <w:tcW w:w="5238"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43" w:right="0"/>
              <w:jc w:val="left"/>
              <w:rPr>
                <w:rFonts w:ascii="宋体" w:hAnsi="宋体" w:cs="宋体" w:eastAsia="宋体" w:hint="default"/>
                <w:sz w:val="14"/>
                <w:szCs w:val="14"/>
              </w:rPr>
            </w:pPr>
            <w:r>
              <w:rPr>
                <w:rFonts w:ascii="宋体" w:hAnsi="宋体" w:cs="宋体" w:eastAsia="宋体" w:hint="default"/>
                <w:sz w:val="14"/>
                <w:szCs w:val="14"/>
              </w:rPr>
              <w:t>（一）综合收益总额</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(33),</w:t>
            </w:r>
            <w:r>
              <w:rPr>
                <w:rFonts w:ascii="宋体" w:hAnsi="宋体" w:cs="宋体" w:eastAsia="宋体" w:hint="default"/>
                <w:sz w:val="14"/>
                <w:szCs w:val="14"/>
              </w:rPr>
              <w:t>五</w:t>
            </w:r>
            <w:r>
              <w:rPr>
                <w:rFonts w:ascii="Arial" w:hAnsi="Arial" w:cs="Arial" w:eastAsia="Arial" w:hint="default"/>
                <w:sz w:val="14"/>
                <w:szCs w:val="14"/>
              </w:rPr>
              <w:t>(35)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4"/>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6"/>
              <w:jc w:val="right"/>
              <w:rPr>
                <w:rFonts w:ascii="Arial" w:hAnsi="Arial" w:cs="Arial" w:eastAsia="Arial" w:hint="default"/>
                <w:sz w:val="14"/>
                <w:szCs w:val="14"/>
              </w:rPr>
            </w:pPr>
            <w:r>
              <w:rPr>
                <w:rFonts w:ascii="Arial"/>
                <w:w w:val="99"/>
                <w:sz w:val="14"/>
              </w:rPr>
              <w:t>-</w:t>
            </w:r>
            <w:r>
              <w:rPr>
                <w:rFonts w:ascii="Arial"/>
                <w:sz w:val="14"/>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6"/>
              <w:jc w:val="right"/>
              <w:rPr>
                <w:rFonts w:ascii="Arial" w:hAnsi="Arial" w:cs="Arial" w:eastAsia="Arial" w:hint="default"/>
                <w:sz w:val="14"/>
                <w:szCs w:val="14"/>
              </w:rPr>
            </w:pPr>
            <w:r>
              <w:rPr>
                <w:rFonts w:ascii="Arial"/>
                <w:spacing w:val="-1"/>
                <w:sz w:val="14"/>
              </w:rPr>
              <w:t>(159,596,800)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right"/>
              <w:rPr>
                <w:rFonts w:ascii="Arial" w:hAnsi="Arial" w:cs="Arial" w:eastAsia="Arial" w:hint="default"/>
                <w:sz w:val="14"/>
                <w:szCs w:val="14"/>
              </w:rPr>
            </w:pPr>
            <w:r>
              <w:rPr>
                <w:rFonts w:ascii="Arial"/>
                <w:w w:val="99"/>
                <w:sz w:val="14"/>
              </w:rPr>
              <w:t>-</w:t>
            </w:r>
            <w:r>
              <w:rPr>
                <w:rFonts w:ascii="Arial"/>
                <w:sz w:val="14"/>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
              <w:jc w:val="right"/>
              <w:rPr>
                <w:rFonts w:ascii="Arial" w:hAnsi="Arial" w:cs="Arial" w:eastAsia="Arial" w:hint="default"/>
                <w:sz w:val="14"/>
                <w:szCs w:val="14"/>
              </w:rPr>
            </w:pPr>
            <w:r>
              <w:rPr>
                <w:rFonts w:ascii="Arial"/>
                <w:spacing w:val="-1"/>
                <w:sz w:val="14"/>
              </w:rPr>
              <w:t>3,981,738,536</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4"/>
              <w:jc w:val="right"/>
              <w:rPr>
                <w:rFonts w:ascii="Arial" w:hAnsi="Arial" w:cs="Arial" w:eastAsia="Arial" w:hint="default"/>
                <w:sz w:val="14"/>
                <w:szCs w:val="14"/>
              </w:rPr>
            </w:pPr>
            <w:r>
              <w:rPr>
                <w:rFonts w:ascii="Arial"/>
                <w:spacing w:val="-1"/>
                <w:sz w:val="14"/>
              </w:rPr>
              <w:t>7,667,049,738</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98" w:right="0"/>
              <w:jc w:val="left"/>
              <w:rPr>
                <w:rFonts w:ascii="Arial" w:hAnsi="Arial" w:cs="Arial" w:eastAsia="Arial" w:hint="default"/>
                <w:sz w:val="14"/>
                <w:szCs w:val="14"/>
              </w:rPr>
            </w:pPr>
            <w:r>
              <w:rPr>
                <w:rFonts w:ascii="Arial"/>
                <w:sz w:val="14"/>
              </w:rPr>
              <w:t>11,489,191,474</w:t>
            </w:r>
          </w:p>
        </w:tc>
      </w:tr>
      <w:tr>
        <w:trPr>
          <w:trHeight w:val="197" w:hRule="exact"/>
        </w:trPr>
        <w:tc>
          <w:tcPr>
            <w:tcW w:w="5238"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43" w:right="0"/>
              <w:jc w:val="left"/>
              <w:rPr>
                <w:rFonts w:ascii="宋体" w:hAnsi="宋体" w:cs="宋体" w:eastAsia="宋体" w:hint="default"/>
                <w:sz w:val="14"/>
                <w:szCs w:val="14"/>
              </w:rPr>
            </w:pPr>
            <w:r>
              <w:rPr>
                <w:rFonts w:ascii="宋体" w:hAnsi="宋体" w:cs="宋体" w:eastAsia="宋体" w:hint="default"/>
                <w:sz w:val="14"/>
                <w:szCs w:val="14"/>
              </w:rPr>
              <w:t>（二）股东投入和减少的资本</w:t>
            </w:r>
          </w:p>
        </w:tc>
        <w:tc>
          <w:tcPr>
            <w:tcW w:w="991"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197" w:hRule="exact"/>
        </w:trPr>
        <w:tc>
          <w:tcPr>
            <w:tcW w:w="5238"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127"/>
              <w:jc w:val="right"/>
              <w:rPr>
                <w:rFonts w:ascii="宋体" w:hAnsi="宋体" w:cs="宋体" w:eastAsia="宋体" w:hint="default"/>
                <w:sz w:val="14"/>
                <w:szCs w:val="14"/>
              </w:rPr>
            </w:pPr>
            <w:r>
              <w:rPr>
                <w:rFonts w:ascii="Arial" w:hAnsi="Arial" w:cs="Arial" w:eastAsia="Arial" w:hint="default"/>
                <w:w w:val="95"/>
                <w:sz w:val="14"/>
                <w:szCs w:val="14"/>
              </w:rPr>
              <w:t>1.</w:t>
            </w:r>
            <w:r>
              <w:rPr>
                <w:rFonts w:ascii="宋体" w:hAnsi="宋体" w:cs="宋体" w:eastAsia="宋体" w:hint="default"/>
                <w:w w:val="95"/>
                <w:sz w:val="14"/>
                <w:szCs w:val="14"/>
              </w:rPr>
              <w:t>股东投入的普通股</w:t>
            </w:r>
            <w:r>
              <w:rPr>
                <w:rFonts w:ascii="Arial" w:hAnsi="Arial" w:cs="Arial" w:eastAsia="Arial" w:hint="default"/>
                <w:w w:val="95"/>
                <w:sz w:val="14"/>
                <w:szCs w:val="14"/>
              </w:rPr>
              <w:t>-</w:t>
            </w:r>
            <w:r>
              <w:rPr>
                <w:rFonts w:ascii="宋体" w:hAnsi="宋体" w:cs="宋体" w:eastAsia="宋体" w:hint="default"/>
                <w:w w:val="95"/>
                <w:sz w:val="14"/>
                <w:szCs w:val="14"/>
              </w:rPr>
              <w:t>确认子公司员工行使股份期权所增加的子公司权益影响</w:t>
            </w:r>
            <w:r>
              <w:rPr>
                <w:rFonts w:ascii="宋体" w:hAnsi="宋体" w:cs="宋体" w:eastAsia="宋体" w:hint="default"/>
                <w:sz w:val="14"/>
                <w:szCs w:val="14"/>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2"/>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(32),</w:t>
            </w:r>
            <w:r>
              <w:rPr>
                <w:rFonts w:ascii="宋体" w:hAnsi="宋体" w:cs="宋体" w:eastAsia="宋体" w:hint="default"/>
                <w:sz w:val="14"/>
                <w:szCs w:val="14"/>
              </w:rPr>
              <w:t>五</w:t>
            </w:r>
            <w:r>
              <w:rPr>
                <w:rFonts w:ascii="Arial" w:hAnsi="Arial" w:cs="Arial" w:eastAsia="Arial" w:hint="default"/>
                <w:sz w:val="14"/>
                <w:szCs w:val="14"/>
              </w:rPr>
              <w:t>(46)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4"/>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9"/>
              <w:jc w:val="right"/>
              <w:rPr>
                <w:rFonts w:ascii="Arial" w:hAnsi="Arial" w:cs="Arial" w:eastAsia="Arial" w:hint="default"/>
                <w:sz w:val="14"/>
                <w:szCs w:val="14"/>
              </w:rPr>
            </w:pPr>
            <w:r>
              <w:rPr>
                <w:rFonts w:ascii="Arial"/>
                <w:spacing w:val="-1"/>
                <w:sz w:val="14"/>
              </w:rPr>
              <w:t>290,344,482</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9"/>
              <w:jc w:val="right"/>
              <w:rPr>
                <w:rFonts w:ascii="Arial" w:hAnsi="Arial" w:cs="Arial" w:eastAsia="Arial" w:hint="default"/>
                <w:sz w:val="14"/>
                <w:szCs w:val="14"/>
              </w:rPr>
            </w:pPr>
            <w:r>
              <w:rPr>
                <w:rFonts w:ascii="Arial"/>
                <w:w w:val="99"/>
                <w:sz w:val="14"/>
              </w:rPr>
              <w:t>-</w:t>
            </w:r>
            <w:r>
              <w:rPr>
                <w:rFonts w:ascii="Arial"/>
                <w:sz w:val="14"/>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right"/>
              <w:rPr>
                <w:rFonts w:ascii="Arial" w:hAnsi="Arial" w:cs="Arial" w:eastAsia="Arial" w:hint="default"/>
                <w:sz w:val="14"/>
                <w:szCs w:val="14"/>
              </w:rPr>
            </w:pPr>
            <w:r>
              <w:rPr>
                <w:rFonts w:ascii="Arial"/>
                <w:w w:val="99"/>
                <w:sz w:val="14"/>
              </w:rPr>
              <w:t>-</w:t>
            </w:r>
            <w:r>
              <w:rPr>
                <w:rFonts w:ascii="Arial"/>
                <w:sz w:val="14"/>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w w:val="99"/>
                <w:sz w:val="14"/>
              </w:rPr>
              <w:t>-</w:t>
            </w:r>
            <w:r>
              <w:rPr>
                <w:rFonts w:ascii="Arial"/>
                <w:sz w:val="14"/>
              </w:rPr>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4"/>
              <w:jc w:val="right"/>
              <w:rPr>
                <w:rFonts w:ascii="Arial" w:hAnsi="Arial" w:cs="Arial" w:eastAsia="Arial" w:hint="default"/>
                <w:sz w:val="14"/>
                <w:szCs w:val="14"/>
              </w:rPr>
            </w:pPr>
            <w:r>
              <w:rPr>
                <w:rFonts w:ascii="Arial"/>
                <w:spacing w:val="-1"/>
                <w:sz w:val="14"/>
              </w:rPr>
              <w:t>580,521,114</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Arial" w:hAnsi="Arial" w:cs="Arial" w:eastAsia="Arial" w:hint="default"/>
                <w:sz w:val="14"/>
                <w:szCs w:val="14"/>
              </w:rPr>
            </w:pPr>
            <w:r>
              <w:rPr>
                <w:rFonts w:ascii="Arial"/>
                <w:spacing w:val="-1"/>
                <w:sz w:val="14"/>
              </w:rPr>
              <w:t>870,865,596</w:t>
            </w:r>
          </w:p>
        </w:tc>
      </w:tr>
      <w:tr>
        <w:trPr>
          <w:trHeight w:val="197" w:hRule="exact"/>
        </w:trPr>
        <w:tc>
          <w:tcPr>
            <w:tcW w:w="5238"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left="456" w:right="0"/>
              <w:jc w:val="left"/>
              <w:rPr>
                <w:rFonts w:ascii="宋体" w:hAnsi="宋体" w:cs="宋体" w:eastAsia="宋体" w:hint="default"/>
                <w:sz w:val="14"/>
                <w:szCs w:val="14"/>
              </w:rPr>
            </w:pPr>
            <w:r>
              <w:rPr>
                <w:rFonts w:ascii="Arial" w:hAnsi="Arial" w:cs="Arial" w:eastAsia="Arial" w:hint="default"/>
                <w:sz w:val="14"/>
                <w:szCs w:val="14"/>
              </w:rPr>
              <w:t>2.</w:t>
            </w:r>
            <w:r>
              <w:rPr>
                <w:rFonts w:ascii="宋体" w:hAnsi="宋体" w:cs="宋体" w:eastAsia="宋体" w:hint="default"/>
                <w:sz w:val="14"/>
                <w:szCs w:val="14"/>
              </w:rPr>
              <w:t>其他</w:t>
            </w:r>
            <w:r>
              <w:rPr>
                <w:rFonts w:ascii="Arial" w:hAnsi="Arial" w:cs="Arial" w:eastAsia="Arial" w:hint="default"/>
                <w:sz w:val="14"/>
                <w:szCs w:val="14"/>
              </w:rPr>
              <w:t>—</w:t>
            </w:r>
            <w:r>
              <w:rPr>
                <w:rFonts w:ascii="宋体" w:hAnsi="宋体" w:cs="宋体" w:eastAsia="宋体" w:hint="default"/>
                <w:sz w:val="14"/>
                <w:szCs w:val="14"/>
              </w:rPr>
              <w:t>财政拨款</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2"/>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(32)</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4"/>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9"/>
              <w:jc w:val="right"/>
              <w:rPr>
                <w:rFonts w:ascii="Arial" w:hAnsi="Arial" w:cs="Arial" w:eastAsia="Arial" w:hint="default"/>
                <w:sz w:val="14"/>
                <w:szCs w:val="14"/>
              </w:rPr>
            </w:pPr>
            <w:r>
              <w:rPr>
                <w:rFonts w:ascii="Arial"/>
                <w:spacing w:val="-1"/>
                <w:sz w:val="14"/>
              </w:rPr>
              <w:t>196,705</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9"/>
              <w:jc w:val="right"/>
              <w:rPr>
                <w:rFonts w:ascii="Arial" w:hAnsi="Arial" w:cs="Arial" w:eastAsia="Arial" w:hint="default"/>
                <w:sz w:val="14"/>
                <w:szCs w:val="14"/>
              </w:rPr>
            </w:pPr>
            <w:r>
              <w:rPr>
                <w:rFonts w:ascii="Arial"/>
                <w:w w:val="99"/>
                <w:sz w:val="14"/>
              </w:rPr>
              <w:t>-</w:t>
            </w:r>
            <w:r>
              <w:rPr>
                <w:rFonts w:ascii="Arial"/>
                <w:sz w:val="14"/>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right"/>
              <w:rPr>
                <w:rFonts w:ascii="Arial" w:hAnsi="Arial" w:cs="Arial" w:eastAsia="Arial" w:hint="default"/>
                <w:sz w:val="14"/>
                <w:szCs w:val="14"/>
              </w:rPr>
            </w:pPr>
            <w:r>
              <w:rPr>
                <w:rFonts w:ascii="Arial"/>
                <w:w w:val="99"/>
                <w:sz w:val="14"/>
              </w:rPr>
              <w:t>-</w:t>
            </w:r>
            <w:r>
              <w:rPr>
                <w:rFonts w:ascii="Arial"/>
                <w:sz w:val="14"/>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w w:val="99"/>
                <w:sz w:val="14"/>
              </w:rPr>
              <w:t>-</w:t>
            </w:r>
            <w:r>
              <w:rPr>
                <w:rFonts w:ascii="Arial"/>
                <w:sz w:val="14"/>
              </w:rPr>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4"/>
              <w:jc w:val="right"/>
              <w:rPr>
                <w:rFonts w:ascii="Arial" w:hAnsi="Arial" w:cs="Arial" w:eastAsia="Arial" w:hint="default"/>
                <w:sz w:val="14"/>
                <w:szCs w:val="14"/>
              </w:rPr>
            </w:pPr>
            <w:r>
              <w:rPr>
                <w:rFonts w:ascii="Arial"/>
                <w:spacing w:val="-1"/>
                <w:sz w:val="14"/>
              </w:rPr>
              <w:t>393,295</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Arial" w:hAnsi="Arial" w:cs="Arial" w:eastAsia="Arial" w:hint="default"/>
                <w:sz w:val="14"/>
                <w:szCs w:val="14"/>
              </w:rPr>
            </w:pPr>
            <w:r>
              <w:rPr>
                <w:rFonts w:ascii="Arial"/>
                <w:spacing w:val="-1"/>
                <w:sz w:val="14"/>
              </w:rPr>
              <w:t>590,000</w:t>
            </w:r>
          </w:p>
        </w:tc>
      </w:tr>
      <w:tr>
        <w:trPr>
          <w:trHeight w:val="197" w:hRule="exact"/>
        </w:trPr>
        <w:tc>
          <w:tcPr>
            <w:tcW w:w="5238" w:type="dxa"/>
            <w:tcBorders>
              <w:top w:val="single" w:sz="6" w:space="0" w:color="000000"/>
              <w:left w:val="single" w:sz="6" w:space="0" w:color="000000"/>
              <w:bottom w:val="single" w:sz="6" w:space="0" w:color="000000"/>
              <w:right w:val="single" w:sz="6" w:space="0" w:color="000000"/>
            </w:tcBorders>
          </w:tcPr>
          <w:p>
            <w:pPr>
              <w:pStyle w:val="TableParagraph"/>
              <w:spacing w:line="159" w:lineRule="exact"/>
              <w:ind w:left="43" w:right="0"/>
              <w:jc w:val="left"/>
              <w:rPr>
                <w:rFonts w:ascii="宋体" w:hAnsi="宋体" w:cs="宋体" w:eastAsia="宋体" w:hint="default"/>
                <w:sz w:val="14"/>
                <w:szCs w:val="14"/>
              </w:rPr>
            </w:pPr>
            <w:r>
              <w:rPr>
                <w:rFonts w:ascii="宋体" w:hAnsi="宋体" w:cs="宋体" w:eastAsia="宋体" w:hint="default"/>
                <w:sz w:val="14"/>
                <w:szCs w:val="14"/>
              </w:rPr>
              <w:t>（三）利润分配</w:t>
            </w:r>
          </w:p>
        </w:tc>
        <w:tc>
          <w:tcPr>
            <w:tcW w:w="991"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197" w:hRule="exact"/>
        </w:trPr>
        <w:tc>
          <w:tcPr>
            <w:tcW w:w="5238"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left="456" w:right="0"/>
              <w:jc w:val="left"/>
              <w:rPr>
                <w:rFonts w:ascii="宋体" w:hAnsi="宋体" w:cs="宋体" w:eastAsia="宋体" w:hint="default"/>
                <w:sz w:val="14"/>
                <w:szCs w:val="14"/>
              </w:rPr>
            </w:pPr>
            <w:r>
              <w:rPr>
                <w:rFonts w:ascii="Arial" w:hAnsi="Arial" w:cs="Arial" w:eastAsia="Arial" w:hint="default"/>
                <w:sz w:val="14"/>
                <w:szCs w:val="14"/>
              </w:rPr>
              <w:t>1.</w:t>
            </w:r>
            <w:r>
              <w:rPr>
                <w:rFonts w:ascii="宋体" w:hAnsi="宋体" w:cs="宋体" w:eastAsia="宋体" w:hint="default"/>
                <w:sz w:val="14"/>
                <w:szCs w:val="14"/>
              </w:rPr>
              <w:t>提取盈余公积－法定公积金</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2"/>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4"/>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6"/>
              <w:jc w:val="right"/>
              <w:rPr>
                <w:rFonts w:ascii="Arial" w:hAnsi="Arial" w:cs="Arial" w:eastAsia="Arial" w:hint="default"/>
                <w:sz w:val="14"/>
                <w:szCs w:val="14"/>
              </w:rPr>
            </w:pPr>
            <w:r>
              <w:rPr>
                <w:rFonts w:ascii="Arial"/>
                <w:w w:val="99"/>
                <w:sz w:val="14"/>
              </w:rPr>
              <w:t>-</w:t>
            </w:r>
            <w:r>
              <w:rPr>
                <w:rFonts w:ascii="Arial"/>
                <w:sz w:val="14"/>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9"/>
              <w:jc w:val="right"/>
              <w:rPr>
                <w:rFonts w:ascii="Arial" w:hAnsi="Arial" w:cs="Arial" w:eastAsia="Arial" w:hint="default"/>
                <w:sz w:val="14"/>
                <w:szCs w:val="14"/>
              </w:rPr>
            </w:pPr>
            <w:r>
              <w:rPr>
                <w:rFonts w:ascii="Arial"/>
                <w:w w:val="99"/>
                <w:sz w:val="14"/>
              </w:rPr>
              <w:t>-</w:t>
            </w:r>
            <w:r>
              <w:rPr>
                <w:rFonts w:ascii="Arial"/>
                <w:sz w:val="14"/>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spacing w:val="-1"/>
                <w:sz w:val="14"/>
              </w:rPr>
              <w:t>125,702,273</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6"/>
              <w:jc w:val="right"/>
              <w:rPr>
                <w:rFonts w:ascii="Arial" w:hAnsi="Arial" w:cs="Arial" w:eastAsia="Arial" w:hint="default"/>
                <w:sz w:val="14"/>
                <w:szCs w:val="14"/>
              </w:rPr>
            </w:pPr>
            <w:r>
              <w:rPr>
                <w:rFonts w:ascii="Arial"/>
                <w:spacing w:val="-1"/>
                <w:sz w:val="14"/>
              </w:rPr>
              <w:t>(125,702,273)</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1"/>
              <w:jc w:val="right"/>
              <w:rPr>
                <w:rFonts w:ascii="Arial" w:hAnsi="Arial" w:cs="Arial" w:eastAsia="Arial" w:hint="default"/>
                <w:sz w:val="14"/>
                <w:szCs w:val="14"/>
              </w:rPr>
            </w:pPr>
            <w:r>
              <w:rPr>
                <w:rFonts w:ascii="Arial"/>
                <w:w w:val="99"/>
                <w:sz w:val="14"/>
              </w:rPr>
              <w:t>-</w:t>
            </w:r>
            <w:r>
              <w:rPr>
                <w:rFonts w:ascii="Arial"/>
                <w:sz w:val="14"/>
              </w:rPr>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5"/>
              <w:jc w:val="right"/>
              <w:rPr>
                <w:rFonts w:ascii="Arial" w:hAnsi="Arial" w:cs="Arial" w:eastAsia="Arial" w:hint="default"/>
                <w:sz w:val="14"/>
                <w:szCs w:val="14"/>
              </w:rPr>
            </w:pPr>
            <w:r>
              <w:rPr>
                <w:rFonts w:ascii="Arial"/>
                <w:w w:val="99"/>
                <w:sz w:val="14"/>
              </w:rPr>
              <w:t>-</w:t>
            </w:r>
            <w:r>
              <w:rPr>
                <w:rFonts w:ascii="Arial"/>
                <w:sz w:val="14"/>
              </w:rPr>
            </w:r>
          </w:p>
        </w:tc>
      </w:tr>
      <w:tr>
        <w:trPr>
          <w:trHeight w:val="197" w:hRule="exact"/>
        </w:trPr>
        <w:tc>
          <w:tcPr>
            <w:tcW w:w="5238"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left="456" w:right="0"/>
              <w:jc w:val="left"/>
              <w:rPr>
                <w:rFonts w:ascii="宋体" w:hAnsi="宋体" w:cs="宋体" w:eastAsia="宋体" w:hint="default"/>
                <w:sz w:val="14"/>
                <w:szCs w:val="14"/>
              </w:rPr>
            </w:pPr>
            <w:r>
              <w:rPr>
                <w:rFonts w:ascii="Arial" w:hAnsi="Arial" w:cs="Arial" w:eastAsia="Arial" w:hint="default"/>
                <w:sz w:val="14"/>
                <w:szCs w:val="14"/>
              </w:rPr>
              <w:t>2.</w:t>
            </w:r>
            <w:r>
              <w:rPr>
                <w:rFonts w:ascii="宋体" w:hAnsi="宋体" w:cs="宋体" w:eastAsia="宋体" w:hint="default"/>
                <w:sz w:val="14"/>
                <w:szCs w:val="14"/>
              </w:rPr>
              <w:t>向股东分派的普通股股利</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2"/>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4"/>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6"/>
              <w:jc w:val="right"/>
              <w:rPr>
                <w:rFonts w:ascii="Arial" w:hAnsi="Arial" w:cs="Arial" w:eastAsia="Arial" w:hint="default"/>
                <w:sz w:val="14"/>
                <w:szCs w:val="14"/>
              </w:rPr>
            </w:pPr>
            <w:r>
              <w:rPr>
                <w:rFonts w:ascii="Arial"/>
                <w:w w:val="99"/>
                <w:sz w:val="14"/>
              </w:rPr>
              <w:t>-</w:t>
            </w:r>
            <w:r>
              <w:rPr>
                <w:rFonts w:ascii="Arial"/>
                <w:sz w:val="14"/>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9"/>
              <w:jc w:val="right"/>
              <w:rPr>
                <w:rFonts w:ascii="Arial" w:hAnsi="Arial" w:cs="Arial" w:eastAsia="Arial" w:hint="default"/>
                <w:sz w:val="14"/>
                <w:szCs w:val="14"/>
              </w:rPr>
            </w:pPr>
            <w:r>
              <w:rPr>
                <w:rFonts w:ascii="Arial"/>
                <w:w w:val="99"/>
                <w:sz w:val="14"/>
              </w:rPr>
              <w:t>-</w:t>
            </w:r>
            <w:r>
              <w:rPr>
                <w:rFonts w:ascii="Arial"/>
                <w:sz w:val="14"/>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right"/>
              <w:rPr>
                <w:rFonts w:ascii="Arial" w:hAnsi="Arial" w:cs="Arial" w:eastAsia="Arial" w:hint="default"/>
                <w:sz w:val="14"/>
                <w:szCs w:val="14"/>
              </w:rPr>
            </w:pPr>
            <w:r>
              <w:rPr>
                <w:rFonts w:ascii="Arial"/>
                <w:w w:val="99"/>
                <w:sz w:val="14"/>
              </w:rPr>
              <w:t>-</w:t>
            </w:r>
            <w:r>
              <w:rPr>
                <w:rFonts w:ascii="Arial"/>
                <w:sz w:val="14"/>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6"/>
              <w:jc w:val="right"/>
              <w:rPr>
                <w:rFonts w:ascii="Arial" w:hAnsi="Arial" w:cs="Arial" w:eastAsia="Arial" w:hint="default"/>
                <w:sz w:val="14"/>
                <w:szCs w:val="14"/>
              </w:rPr>
            </w:pPr>
            <w:r>
              <w:rPr>
                <w:rFonts w:ascii="Arial"/>
                <w:spacing w:val="-1"/>
                <w:sz w:val="14"/>
              </w:rPr>
              <w:t>(1,131,898,248)</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
              <w:jc w:val="right"/>
              <w:rPr>
                <w:rFonts w:ascii="Arial" w:hAnsi="Arial" w:cs="Arial" w:eastAsia="Arial" w:hint="default"/>
                <w:sz w:val="14"/>
                <w:szCs w:val="14"/>
              </w:rPr>
            </w:pPr>
            <w:r>
              <w:rPr>
                <w:rFonts w:ascii="Arial"/>
                <w:spacing w:val="-1"/>
                <w:sz w:val="14"/>
              </w:rPr>
              <w:t>(2,526,931,784)</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8"/>
              <w:jc w:val="right"/>
              <w:rPr>
                <w:rFonts w:ascii="Arial" w:hAnsi="Arial" w:cs="Arial" w:eastAsia="Arial" w:hint="default"/>
                <w:sz w:val="14"/>
                <w:szCs w:val="14"/>
              </w:rPr>
            </w:pPr>
            <w:r>
              <w:rPr>
                <w:rFonts w:ascii="Arial"/>
                <w:spacing w:val="-1"/>
                <w:sz w:val="14"/>
              </w:rPr>
              <w:t>(3,658,830,032)</w:t>
            </w:r>
          </w:p>
        </w:tc>
      </w:tr>
      <w:tr>
        <w:trPr>
          <w:trHeight w:val="197" w:hRule="exact"/>
        </w:trPr>
        <w:tc>
          <w:tcPr>
            <w:tcW w:w="5238" w:type="dxa"/>
            <w:tcBorders>
              <w:top w:val="single" w:sz="6" w:space="0" w:color="000000"/>
              <w:left w:val="single" w:sz="6" w:space="0" w:color="000000"/>
              <w:bottom w:val="single" w:sz="6" w:space="0" w:color="000000"/>
              <w:right w:val="single" w:sz="6" w:space="0" w:color="000000"/>
            </w:tcBorders>
          </w:tcPr>
          <w:p>
            <w:pPr>
              <w:pStyle w:val="TableParagraph"/>
              <w:spacing w:line="159" w:lineRule="exact"/>
              <w:ind w:left="33" w:right="0"/>
              <w:jc w:val="left"/>
              <w:rPr>
                <w:rFonts w:ascii="宋体" w:hAnsi="宋体" w:cs="宋体" w:eastAsia="宋体" w:hint="default"/>
                <w:sz w:val="14"/>
                <w:szCs w:val="14"/>
              </w:rPr>
            </w:pPr>
            <w:r>
              <w:rPr>
                <w:rFonts w:ascii="宋体" w:hAnsi="宋体" w:cs="宋体" w:eastAsia="宋体" w:hint="default"/>
                <w:sz w:val="14"/>
                <w:szCs w:val="14"/>
              </w:rPr>
              <w:t>（四）股东权益的内部结转</w:t>
            </w:r>
          </w:p>
        </w:tc>
        <w:tc>
          <w:tcPr>
            <w:tcW w:w="991"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5"/>
              <w:jc w:val="right"/>
              <w:rPr>
                <w:rFonts w:ascii="Arial" w:hAnsi="Arial" w:cs="Arial" w:eastAsia="Arial" w:hint="default"/>
                <w:sz w:val="14"/>
                <w:szCs w:val="14"/>
              </w:rPr>
            </w:pPr>
            <w:r>
              <w:rPr>
                <w:rFonts w:ascii="Arial"/>
                <w:w w:val="99"/>
                <w:sz w:val="14"/>
              </w:rPr>
              <w:t>-</w:t>
            </w:r>
            <w:r>
              <w:rPr>
                <w:rFonts w:ascii="Arial"/>
                <w:sz w:val="14"/>
              </w:rPr>
            </w:r>
          </w:p>
        </w:tc>
      </w:tr>
      <w:tr>
        <w:trPr>
          <w:trHeight w:val="197" w:hRule="exact"/>
        </w:trPr>
        <w:tc>
          <w:tcPr>
            <w:tcW w:w="5238"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left="456" w:right="0"/>
              <w:jc w:val="left"/>
              <w:rPr>
                <w:rFonts w:ascii="宋体" w:hAnsi="宋体" w:cs="宋体" w:eastAsia="宋体" w:hint="default"/>
                <w:sz w:val="14"/>
                <w:szCs w:val="14"/>
              </w:rPr>
            </w:pPr>
            <w:r>
              <w:rPr>
                <w:rFonts w:ascii="Arial" w:hAnsi="Arial" w:cs="Arial" w:eastAsia="Arial" w:hint="default"/>
                <w:sz w:val="14"/>
                <w:szCs w:val="14"/>
              </w:rPr>
              <w:t>1.</w:t>
            </w:r>
            <w:r>
              <w:rPr>
                <w:rFonts w:ascii="宋体" w:hAnsi="宋体" w:cs="宋体" w:eastAsia="宋体" w:hint="default"/>
                <w:sz w:val="14"/>
                <w:szCs w:val="14"/>
              </w:rPr>
              <w:t>其他－因所持子公司股份变化对资本公积的影响</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2"/>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(32)</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4"/>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8"/>
              <w:jc w:val="right"/>
              <w:rPr>
                <w:rFonts w:ascii="Arial" w:hAnsi="Arial" w:cs="Arial" w:eastAsia="Arial" w:hint="default"/>
                <w:sz w:val="14"/>
                <w:szCs w:val="14"/>
              </w:rPr>
            </w:pPr>
            <w:r>
              <w:rPr>
                <w:rFonts w:ascii="Arial"/>
                <w:spacing w:val="-1"/>
                <w:sz w:val="14"/>
              </w:rPr>
              <w:t>(503,204,764)</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9"/>
              <w:jc w:val="right"/>
              <w:rPr>
                <w:rFonts w:ascii="Arial" w:hAnsi="Arial" w:cs="Arial" w:eastAsia="Arial" w:hint="default"/>
                <w:sz w:val="14"/>
                <w:szCs w:val="14"/>
              </w:rPr>
            </w:pPr>
            <w:r>
              <w:rPr>
                <w:rFonts w:ascii="Arial"/>
                <w:w w:val="99"/>
                <w:sz w:val="14"/>
              </w:rPr>
              <w:t>-</w:t>
            </w:r>
            <w:r>
              <w:rPr>
                <w:rFonts w:ascii="Arial"/>
                <w:sz w:val="14"/>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
              <w:jc w:val="right"/>
              <w:rPr>
                <w:rFonts w:ascii="Arial" w:hAnsi="Arial" w:cs="Arial" w:eastAsia="Arial" w:hint="default"/>
                <w:sz w:val="14"/>
                <w:szCs w:val="14"/>
              </w:rPr>
            </w:pPr>
            <w:r>
              <w:rPr>
                <w:rFonts w:ascii="Arial"/>
                <w:w w:val="99"/>
                <w:sz w:val="14"/>
              </w:rPr>
              <w:t>-</w:t>
            </w:r>
            <w:r>
              <w:rPr>
                <w:rFonts w:ascii="Arial"/>
                <w:sz w:val="14"/>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4"/>
              <w:jc w:val="right"/>
              <w:rPr>
                <w:rFonts w:ascii="Arial" w:hAnsi="Arial" w:cs="Arial" w:eastAsia="Arial" w:hint="default"/>
                <w:sz w:val="14"/>
                <w:szCs w:val="14"/>
              </w:rPr>
            </w:pPr>
            <w:r>
              <w:rPr>
                <w:rFonts w:ascii="Arial"/>
                <w:w w:val="99"/>
                <w:sz w:val="14"/>
              </w:rPr>
              <w:t>-</w:t>
            </w:r>
            <w:r>
              <w:rPr>
                <w:rFonts w:ascii="Arial"/>
                <w:sz w:val="14"/>
              </w:rPr>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84"/>
              <w:jc w:val="right"/>
              <w:rPr>
                <w:rFonts w:ascii="Arial" w:hAnsi="Arial" w:cs="Arial" w:eastAsia="Arial" w:hint="default"/>
                <w:sz w:val="14"/>
                <w:szCs w:val="14"/>
              </w:rPr>
            </w:pPr>
            <w:r>
              <w:rPr>
                <w:rFonts w:ascii="Arial"/>
                <w:spacing w:val="-1"/>
                <w:sz w:val="14"/>
              </w:rPr>
              <w:t>503,204,764</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5"/>
              <w:jc w:val="right"/>
              <w:rPr>
                <w:rFonts w:ascii="Arial" w:hAnsi="Arial" w:cs="Arial" w:eastAsia="Arial" w:hint="default"/>
                <w:sz w:val="14"/>
                <w:szCs w:val="14"/>
              </w:rPr>
            </w:pPr>
            <w:r>
              <w:rPr>
                <w:rFonts w:ascii="Arial"/>
                <w:w w:val="99"/>
                <w:sz w:val="14"/>
              </w:rPr>
              <w:t>-</w:t>
            </w:r>
            <w:r>
              <w:rPr>
                <w:rFonts w:ascii="Arial"/>
                <w:sz w:val="14"/>
              </w:rPr>
            </w:r>
          </w:p>
        </w:tc>
      </w:tr>
      <w:tr>
        <w:trPr>
          <w:trHeight w:val="194" w:hRule="exact"/>
        </w:trPr>
        <w:tc>
          <w:tcPr>
            <w:tcW w:w="5238"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left="33" w:right="0"/>
              <w:jc w:val="left"/>
              <w:rPr>
                <w:rFonts w:ascii="宋体" w:hAnsi="宋体" w:cs="宋体" w:eastAsia="宋体" w:hint="default"/>
                <w:sz w:val="14"/>
                <w:szCs w:val="14"/>
              </w:rPr>
            </w:pPr>
            <w:r>
              <w:rPr>
                <w:rFonts w:ascii="Arial" w:hAnsi="Arial" w:cs="Arial" w:eastAsia="Arial" w:hint="default"/>
                <w:sz w:val="14"/>
                <w:szCs w:val="14"/>
              </w:rPr>
              <w:t>2014</w:t>
            </w:r>
            <w:r>
              <w:rPr>
                <w:rFonts w:ascii="Arial" w:hAnsi="Arial" w:cs="Arial" w:eastAsia="Arial" w:hint="default"/>
                <w:spacing w:val="-6"/>
                <w:sz w:val="14"/>
                <w:szCs w:val="14"/>
              </w:rPr>
              <w:t> </w:t>
            </w:r>
            <w:r>
              <w:rPr>
                <w:rFonts w:ascii="宋体" w:hAnsi="宋体" w:cs="宋体" w:eastAsia="宋体" w:hint="default"/>
                <w:sz w:val="14"/>
                <w:szCs w:val="14"/>
              </w:rPr>
              <w:t>年</w:t>
            </w:r>
            <w:r>
              <w:rPr>
                <w:rFonts w:ascii="宋体" w:hAnsi="宋体" w:cs="宋体" w:eastAsia="宋体" w:hint="default"/>
                <w:spacing w:val="-35"/>
                <w:sz w:val="14"/>
                <w:szCs w:val="14"/>
              </w:rPr>
              <w:t> </w:t>
            </w:r>
            <w:r>
              <w:rPr>
                <w:rFonts w:ascii="Arial" w:hAnsi="Arial" w:cs="Arial" w:eastAsia="Arial" w:hint="default"/>
                <w:sz w:val="14"/>
                <w:szCs w:val="14"/>
              </w:rPr>
              <w:t>12</w:t>
            </w:r>
            <w:r>
              <w:rPr>
                <w:rFonts w:ascii="Arial" w:hAnsi="Arial" w:cs="Arial" w:eastAsia="Arial" w:hint="default"/>
                <w:spacing w:val="-6"/>
                <w:sz w:val="14"/>
                <w:szCs w:val="14"/>
              </w:rPr>
              <w:t> </w:t>
            </w:r>
            <w:r>
              <w:rPr>
                <w:rFonts w:ascii="宋体" w:hAnsi="宋体" w:cs="宋体" w:eastAsia="宋体" w:hint="default"/>
                <w:sz w:val="14"/>
                <w:szCs w:val="14"/>
              </w:rPr>
              <w:t>月</w:t>
            </w:r>
            <w:r>
              <w:rPr>
                <w:rFonts w:ascii="宋体" w:hAnsi="宋体" w:cs="宋体" w:eastAsia="宋体" w:hint="default"/>
                <w:spacing w:val="-37"/>
                <w:sz w:val="14"/>
                <w:szCs w:val="14"/>
              </w:rPr>
              <w:t> </w:t>
            </w:r>
            <w:r>
              <w:rPr>
                <w:rFonts w:ascii="Arial" w:hAnsi="Arial" w:cs="Arial" w:eastAsia="Arial" w:hint="default"/>
                <w:sz w:val="14"/>
                <w:szCs w:val="14"/>
              </w:rPr>
              <w:t>31</w:t>
            </w:r>
            <w:r>
              <w:rPr>
                <w:rFonts w:ascii="Arial" w:hAnsi="Arial" w:cs="Arial" w:eastAsia="Arial" w:hint="default"/>
                <w:spacing w:val="-6"/>
                <w:sz w:val="14"/>
                <w:szCs w:val="14"/>
              </w:rPr>
              <w:t> </w:t>
            </w:r>
            <w:r>
              <w:rPr>
                <w:rFonts w:ascii="宋体" w:hAnsi="宋体" w:cs="宋体" w:eastAsia="宋体" w:hint="default"/>
                <w:sz w:val="14"/>
                <w:szCs w:val="14"/>
              </w:rPr>
              <w:t>日年末余额</w:t>
            </w:r>
          </w:p>
        </w:tc>
        <w:tc>
          <w:tcPr>
            <w:tcW w:w="991"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8"/>
              <w:jc w:val="right"/>
              <w:rPr>
                <w:rFonts w:ascii="Arial" w:hAnsi="Arial" w:cs="Arial" w:eastAsia="Arial" w:hint="default"/>
                <w:sz w:val="14"/>
                <w:szCs w:val="14"/>
              </w:rPr>
            </w:pPr>
            <w:r>
              <w:rPr>
                <w:rFonts w:ascii="Arial"/>
                <w:spacing w:val="-1"/>
                <w:sz w:val="14"/>
              </w:rPr>
              <w:t>21,196,596,395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9"/>
              <w:jc w:val="right"/>
              <w:rPr>
                <w:rFonts w:ascii="Arial" w:hAnsi="Arial" w:cs="Arial" w:eastAsia="Arial" w:hint="default"/>
                <w:sz w:val="14"/>
                <w:szCs w:val="14"/>
              </w:rPr>
            </w:pPr>
            <w:r>
              <w:rPr>
                <w:rFonts w:ascii="Arial"/>
                <w:spacing w:val="-1"/>
                <w:sz w:val="14"/>
              </w:rPr>
              <w:t>27,811,699,351</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6"/>
              <w:jc w:val="right"/>
              <w:rPr>
                <w:rFonts w:ascii="Arial" w:hAnsi="Arial" w:cs="Arial" w:eastAsia="Arial" w:hint="default"/>
                <w:sz w:val="14"/>
                <w:szCs w:val="14"/>
              </w:rPr>
            </w:pPr>
            <w:r>
              <w:rPr>
                <w:rFonts w:ascii="Arial"/>
                <w:spacing w:val="-1"/>
                <w:sz w:val="14"/>
              </w:rPr>
              <w:t>(1,468,152,809)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4"/>
              <w:jc w:val="right"/>
              <w:rPr>
                <w:rFonts w:ascii="Arial" w:hAnsi="Arial" w:cs="Arial" w:eastAsia="Arial" w:hint="default"/>
                <w:sz w:val="14"/>
                <w:szCs w:val="14"/>
              </w:rPr>
            </w:pPr>
            <w:r>
              <w:rPr>
                <w:rFonts w:ascii="Arial"/>
                <w:spacing w:val="-1"/>
                <w:sz w:val="14"/>
              </w:rPr>
              <w:t>1,044,822,759</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7"/>
              <w:jc w:val="right"/>
              <w:rPr>
                <w:rFonts w:ascii="Arial" w:hAnsi="Arial" w:cs="Arial" w:eastAsia="Arial" w:hint="default"/>
                <w:sz w:val="14"/>
                <w:szCs w:val="14"/>
              </w:rPr>
            </w:pPr>
            <w:r>
              <w:rPr>
                <w:rFonts w:ascii="Arial"/>
                <w:spacing w:val="-1"/>
                <w:sz w:val="14"/>
              </w:rPr>
              <w:t>28,751,553,676</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84"/>
              <w:jc w:val="right"/>
              <w:rPr>
                <w:rFonts w:ascii="Arial" w:hAnsi="Arial" w:cs="Arial" w:eastAsia="Arial" w:hint="default"/>
                <w:sz w:val="14"/>
                <w:szCs w:val="14"/>
              </w:rPr>
            </w:pPr>
            <w:r>
              <w:rPr>
                <w:rFonts w:ascii="Arial"/>
                <w:spacing w:val="-1"/>
                <w:sz w:val="14"/>
              </w:rPr>
              <w:t>152,991,401,830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1" w:right="0"/>
              <w:jc w:val="left"/>
              <w:rPr>
                <w:rFonts w:ascii="Arial" w:hAnsi="Arial" w:cs="Arial" w:eastAsia="Arial" w:hint="default"/>
                <w:sz w:val="14"/>
                <w:szCs w:val="14"/>
              </w:rPr>
            </w:pPr>
            <w:r>
              <w:rPr>
                <w:rFonts w:ascii="Arial"/>
                <w:sz w:val="14"/>
              </w:rPr>
              <w:t>230,327,921,202</w:t>
            </w:r>
          </w:p>
        </w:tc>
      </w:tr>
      <w:tr>
        <w:trPr>
          <w:trHeight w:val="178" w:hRule="exact"/>
        </w:trPr>
        <w:tc>
          <w:tcPr>
            <w:tcW w:w="5238"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197" w:hRule="exact"/>
        </w:trPr>
        <w:tc>
          <w:tcPr>
            <w:tcW w:w="5238"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left="43" w:right="0"/>
              <w:jc w:val="left"/>
              <w:rPr>
                <w:rFonts w:ascii="宋体" w:hAnsi="宋体" w:cs="宋体" w:eastAsia="宋体" w:hint="default"/>
                <w:sz w:val="14"/>
                <w:szCs w:val="14"/>
              </w:rPr>
            </w:pPr>
            <w:r>
              <w:rPr>
                <w:rFonts w:ascii="Arial" w:hAnsi="Arial" w:cs="Arial" w:eastAsia="Arial" w:hint="default"/>
                <w:sz w:val="14"/>
                <w:szCs w:val="14"/>
              </w:rPr>
              <w:t>2013</w:t>
            </w:r>
            <w:r>
              <w:rPr>
                <w:rFonts w:ascii="Arial" w:hAnsi="Arial" w:cs="Arial" w:eastAsia="Arial" w:hint="default"/>
                <w:spacing w:val="-6"/>
                <w:sz w:val="14"/>
                <w:szCs w:val="14"/>
              </w:rPr>
              <w:t> </w:t>
            </w:r>
            <w:r>
              <w:rPr>
                <w:rFonts w:ascii="宋体" w:hAnsi="宋体" w:cs="宋体" w:eastAsia="宋体" w:hint="default"/>
                <w:sz w:val="14"/>
                <w:szCs w:val="14"/>
              </w:rPr>
              <w:t>年</w:t>
            </w:r>
            <w:r>
              <w:rPr>
                <w:rFonts w:ascii="宋体" w:hAnsi="宋体" w:cs="宋体" w:eastAsia="宋体" w:hint="default"/>
                <w:spacing w:val="-36"/>
                <w:sz w:val="14"/>
                <w:szCs w:val="14"/>
              </w:rPr>
              <w:t> </w:t>
            </w:r>
            <w:r>
              <w:rPr>
                <w:rFonts w:ascii="Arial" w:hAnsi="Arial" w:cs="Arial" w:eastAsia="Arial" w:hint="default"/>
                <w:sz w:val="14"/>
                <w:szCs w:val="14"/>
              </w:rPr>
              <w:t>1</w:t>
            </w:r>
            <w:r>
              <w:rPr>
                <w:rFonts w:ascii="Arial" w:hAnsi="Arial" w:cs="Arial" w:eastAsia="Arial" w:hint="default"/>
                <w:spacing w:val="-6"/>
                <w:sz w:val="14"/>
                <w:szCs w:val="14"/>
              </w:rPr>
              <w:t> </w:t>
            </w:r>
            <w:r>
              <w:rPr>
                <w:rFonts w:ascii="宋体" w:hAnsi="宋体" w:cs="宋体" w:eastAsia="宋体" w:hint="default"/>
                <w:sz w:val="14"/>
                <w:szCs w:val="14"/>
              </w:rPr>
              <w:t>月</w:t>
            </w:r>
            <w:r>
              <w:rPr>
                <w:rFonts w:ascii="宋体" w:hAnsi="宋体" w:cs="宋体" w:eastAsia="宋体" w:hint="default"/>
                <w:spacing w:val="-36"/>
                <w:sz w:val="14"/>
                <w:szCs w:val="14"/>
              </w:rPr>
              <w:t> </w:t>
            </w:r>
            <w:r>
              <w:rPr>
                <w:rFonts w:ascii="Arial" w:hAnsi="Arial" w:cs="Arial" w:eastAsia="Arial" w:hint="default"/>
                <w:sz w:val="14"/>
                <w:szCs w:val="14"/>
              </w:rPr>
              <w:t>1</w:t>
            </w:r>
            <w:r>
              <w:rPr>
                <w:rFonts w:ascii="Arial" w:hAnsi="Arial" w:cs="Arial" w:eastAsia="Arial" w:hint="default"/>
                <w:spacing w:val="-4"/>
                <w:sz w:val="14"/>
                <w:szCs w:val="14"/>
              </w:rPr>
              <w:t> </w:t>
            </w:r>
            <w:r>
              <w:rPr>
                <w:rFonts w:ascii="宋体" w:hAnsi="宋体" w:cs="宋体" w:eastAsia="宋体" w:hint="default"/>
                <w:sz w:val="14"/>
                <w:szCs w:val="14"/>
              </w:rPr>
              <w:t>日年初余额</w:t>
            </w:r>
          </w:p>
        </w:tc>
        <w:tc>
          <w:tcPr>
            <w:tcW w:w="991"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8"/>
              <w:jc w:val="right"/>
              <w:rPr>
                <w:rFonts w:ascii="Arial" w:hAnsi="Arial" w:cs="Arial" w:eastAsia="Arial" w:hint="default"/>
                <w:sz w:val="14"/>
                <w:szCs w:val="14"/>
              </w:rPr>
            </w:pPr>
            <w:r>
              <w:rPr>
                <w:rFonts w:ascii="Arial"/>
                <w:spacing w:val="-1"/>
                <w:sz w:val="14"/>
              </w:rPr>
              <w:t>21,196,596,395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9"/>
              <w:jc w:val="right"/>
              <w:rPr>
                <w:rFonts w:ascii="Arial" w:hAnsi="Arial" w:cs="Arial" w:eastAsia="Arial" w:hint="default"/>
                <w:sz w:val="14"/>
                <w:szCs w:val="14"/>
              </w:rPr>
            </w:pPr>
            <w:r>
              <w:rPr>
                <w:rFonts w:ascii="Arial"/>
                <w:spacing w:val="-1"/>
                <w:sz w:val="14"/>
              </w:rPr>
              <w:t>28,284,836,799</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6"/>
              <w:jc w:val="right"/>
              <w:rPr>
                <w:rFonts w:ascii="Arial" w:hAnsi="Arial" w:cs="Arial" w:eastAsia="Arial" w:hint="default"/>
                <w:sz w:val="14"/>
                <w:szCs w:val="14"/>
              </w:rPr>
            </w:pPr>
            <w:r>
              <w:rPr>
                <w:rFonts w:ascii="Arial"/>
                <w:spacing w:val="-1"/>
                <w:sz w:val="14"/>
              </w:rPr>
              <w:t>(1,533,576,548)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spacing w:val="-1"/>
                <w:sz w:val="14"/>
              </w:rPr>
              <w:t>824,415,632</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spacing w:val="-1"/>
                <w:sz w:val="14"/>
              </w:rPr>
              <w:t>23,525,010,902</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4"/>
              <w:jc w:val="right"/>
              <w:rPr>
                <w:rFonts w:ascii="Arial" w:hAnsi="Arial" w:cs="Arial" w:eastAsia="Arial" w:hint="default"/>
                <w:sz w:val="14"/>
                <w:szCs w:val="14"/>
              </w:rPr>
            </w:pPr>
            <w:r>
              <w:rPr>
                <w:rFonts w:ascii="Arial"/>
                <w:spacing w:val="-1"/>
                <w:sz w:val="14"/>
              </w:rPr>
              <w:t>139,937,030,085</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1" w:right="0"/>
              <w:jc w:val="left"/>
              <w:rPr>
                <w:rFonts w:ascii="Arial" w:hAnsi="Arial" w:cs="Arial" w:eastAsia="Arial" w:hint="default"/>
                <w:sz w:val="14"/>
                <w:szCs w:val="14"/>
              </w:rPr>
            </w:pPr>
            <w:r>
              <w:rPr>
                <w:rFonts w:ascii="Arial"/>
                <w:sz w:val="14"/>
              </w:rPr>
              <w:t>212,234,313,265</w:t>
            </w:r>
          </w:p>
        </w:tc>
      </w:tr>
      <w:tr>
        <w:trPr>
          <w:trHeight w:val="197" w:hRule="exact"/>
        </w:trPr>
        <w:tc>
          <w:tcPr>
            <w:tcW w:w="5238" w:type="dxa"/>
            <w:tcBorders>
              <w:top w:val="single" w:sz="6" w:space="0" w:color="000000"/>
              <w:left w:val="single" w:sz="6" w:space="0" w:color="000000"/>
              <w:bottom w:val="single" w:sz="6" w:space="0" w:color="000000"/>
              <w:right w:val="single" w:sz="6" w:space="0" w:color="000000"/>
            </w:tcBorders>
          </w:tcPr>
          <w:p>
            <w:pPr>
              <w:pStyle w:val="TableParagraph"/>
              <w:spacing w:line="159" w:lineRule="exact"/>
              <w:ind w:left="43" w:right="0"/>
              <w:jc w:val="left"/>
              <w:rPr>
                <w:rFonts w:ascii="宋体" w:hAnsi="宋体" w:cs="宋体" w:eastAsia="宋体" w:hint="default"/>
                <w:sz w:val="14"/>
                <w:szCs w:val="14"/>
              </w:rPr>
            </w:pPr>
            <w:r>
              <w:rPr>
                <w:rFonts w:ascii="宋体" w:hAnsi="宋体" w:cs="宋体" w:eastAsia="宋体" w:hint="default"/>
                <w:sz w:val="14"/>
                <w:szCs w:val="14"/>
              </w:rPr>
              <w:t>（一）综合收益总额</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2"/>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(33),</w:t>
            </w:r>
            <w:r>
              <w:rPr>
                <w:rFonts w:ascii="宋体" w:hAnsi="宋体" w:cs="宋体" w:eastAsia="宋体" w:hint="default"/>
                <w:sz w:val="14"/>
                <w:szCs w:val="14"/>
              </w:rPr>
              <w:t>五</w:t>
            </w:r>
            <w:r>
              <w:rPr>
                <w:rFonts w:ascii="Arial" w:hAnsi="Arial" w:cs="Arial" w:eastAsia="Arial" w:hint="default"/>
                <w:sz w:val="14"/>
                <w:szCs w:val="14"/>
              </w:rPr>
              <w:t>(35)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4"/>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6"/>
              <w:jc w:val="right"/>
              <w:rPr>
                <w:rFonts w:ascii="Arial" w:hAnsi="Arial" w:cs="Arial" w:eastAsia="Arial" w:hint="default"/>
                <w:sz w:val="14"/>
                <w:szCs w:val="14"/>
              </w:rPr>
            </w:pPr>
            <w:r>
              <w:rPr>
                <w:rFonts w:ascii="Arial"/>
                <w:w w:val="99"/>
                <w:sz w:val="14"/>
              </w:rPr>
              <w:t>-</w:t>
            </w:r>
            <w:r>
              <w:rPr>
                <w:rFonts w:ascii="Arial"/>
                <w:sz w:val="14"/>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
              <w:jc w:val="right"/>
              <w:rPr>
                <w:rFonts w:ascii="Arial" w:hAnsi="Arial" w:cs="Arial" w:eastAsia="Arial" w:hint="default"/>
                <w:sz w:val="14"/>
                <w:szCs w:val="14"/>
              </w:rPr>
            </w:pPr>
            <w:r>
              <w:rPr>
                <w:rFonts w:ascii="Arial"/>
                <w:spacing w:val="-1"/>
                <w:sz w:val="14"/>
              </w:rPr>
              <w:t>225,020,539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
              <w:jc w:val="right"/>
              <w:rPr>
                <w:rFonts w:ascii="Arial" w:hAnsi="Arial" w:cs="Arial" w:eastAsia="Arial" w:hint="default"/>
                <w:sz w:val="14"/>
                <w:szCs w:val="14"/>
              </w:rPr>
            </w:pPr>
            <w:r>
              <w:rPr>
                <w:rFonts w:ascii="Arial"/>
                <w:w w:val="99"/>
                <w:sz w:val="14"/>
              </w:rPr>
              <w:t>-</w:t>
            </w:r>
            <w:r>
              <w:rPr>
                <w:rFonts w:ascii="Arial"/>
                <w:sz w:val="14"/>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4"/>
              <w:jc w:val="right"/>
              <w:rPr>
                <w:rFonts w:ascii="Arial" w:hAnsi="Arial" w:cs="Arial" w:eastAsia="Arial" w:hint="default"/>
                <w:sz w:val="14"/>
                <w:szCs w:val="14"/>
              </w:rPr>
            </w:pPr>
            <w:r>
              <w:rPr>
                <w:rFonts w:ascii="Arial"/>
                <w:spacing w:val="-1"/>
                <w:sz w:val="14"/>
              </w:rPr>
              <w:t>3,442,853,809</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82"/>
              <w:jc w:val="right"/>
              <w:rPr>
                <w:rFonts w:ascii="Arial" w:hAnsi="Arial" w:cs="Arial" w:eastAsia="Arial" w:hint="default"/>
                <w:sz w:val="14"/>
                <w:szCs w:val="14"/>
              </w:rPr>
            </w:pPr>
            <w:r>
              <w:rPr>
                <w:rFonts w:ascii="Arial"/>
                <w:spacing w:val="-1"/>
                <w:sz w:val="14"/>
              </w:rPr>
              <w:t>7,294,837,451</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98" w:right="0"/>
              <w:jc w:val="left"/>
              <w:rPr>
                <w:rFonts w:ascii="Arial" w:hAnsi="Arial" w:cs="Arial" w:eastAsia="Arial" w:hint="default"/>
                <w:sz w:val="14"/>
                <w:szCs w:val="14"/>
              </w:rPr>
            </w:pPr>
            <w:r>
              <w:rPr>
                <w:rFonts w:ascii="Arial"/>
                <w:sz w:val="14"/>
              </w:rPr>
              <w:t>10,962,711,799</w:t>
            </w:r>
          </w:p>
        </w:tc>
      </w:tr>
      <w:tr>
        <w:trPr>
          <w:trHeight w:val="194" w:hRule="exact"/>
        </w:trPr>
        <w:tc>
          <w:tcPr>
            <w:tcW w:w="5238" w:type="dxa"/>
            <w:tcBorders>
              <w:top w:val="single" w:sz="6" w:space="0" w:color="000000"/>
              <w:left w:val="single" w:sz="6" w:space="0" w:color="000000"/>
              <w:bottom w:val="single" w:sz="6" w:space="0" w:color="000000"/>
              <w:right w:val="single" w:sz="6" w:space="0" w:color="000000"/>
            </w:tcBorders>
          </w:tcPr>
          <w:p>
            <w:pPr>
              <w:pStyle w:val="TableParagraph"/>
              <w:spacing w:line="159" w:lineRule="exact"/>
              <w:ind w:left="50" w:right="0"/>
              <w:jc w:val="left"/>
              <w:rPr>
                <w:rFonts w:ascii="宋体" w:hAnsi="宋体" w:cs="宋体" w:eastAsia="宋体" w:hint="default"/>
                <w:sz w:val="14"/>
                <w:szCs w:val="14"/>
              </w:rPr>
            </w:pPr>
            <w:r>
              <w:rPr>
                <w:rFonts w:ascii="宋体" w:hAnsi="宋体" w:cs="宋体" w:eastAsia="宋体" w:hint="default"/>
                <w:sz w:val="14"/>
                <w:szCs w:val="14"/>
              </w:rPr>
              <w:t>（二）股东投入和减少的资本</w:t>
            </w:r>
          </w:p>
        </w:tc>
        <w:tc>
          <w:tcPr>
            <w:tcW w:w="991"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197" w:hRule="exact"/>
        </w:trPr>
        <w:tc>
          <w:tcPr>
            <w:tcW w:w="523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27"/>
              <w:jc w:val="right"/>
              <w:rPr>
                <w:rFonts w:ascii="宋体" w:hAnsi="宋体" w:cs="宋体" w:eastAsia="宋体" w:hint="default"/>
                <w:sz w:val="14"/>
                <w:szCs w:val="14"/>
              </w:rPr>
            </w:pPr>
            <w:r>
              <w:rPr>
                <w:rFonts w:ascii="Arial" w:hAnsi="Arial" w:cs="Arial" w:eastAsia="Arial" w:hint="default"/>
                <w:w w:val="95"/>
                <w:sz w:val="14"/>
                <w:szCs w:val="14"/>
              </w:rPr>
              <w:t>1.</w:t>
            </w:r>
            <w:r>
              <w:rPr>
                <w:rFonts w:ascii="宋体" w:hAnsi="宋体" w:cs="宋体" w:eastAsia="宋体" w:hint="default"/>
                <w:w w:val="95"/>
                <w:sz w:val="14"/>
                <w:szCs w:val="14"/>
              </w:rPr>
              <w:t>股东投入的普通股</w:t>
            </w:r>
            <w:r>
              <w:rPr>
                <w:rFonts w:ascii="Arial" w:hAnsi="Arial" w:cs="Arial" w:eastAsia="Arial" w:hint="default"/>
                <w:w w:val="95"/>
                <w:sz w:val="14"/>
                <w:szCs w:val="14"/>
              </w:rPr>
              <w:t>-</w:t>
            </w:r>
            <w:r>
              <w:rPr>
                <w:rFonts w:ascii="宋体" w:hAnsi="宋体" w:cs="宋体" w:eastAsia="宋体" w:hint="default"/>
                <w:w w:val="95"/>
                <w:sz w:val="14"/>
                <w:szCs w:val="14"/>
              </w:rPr>
              <w:t>确认子公司员工行使股份期权所增加的子公司权益影响</w:t>
            </w:r>
            <w:r>
              <w:rPr>
                <w:rFonts w:ascii="宋体" w:hAnsi="宋体" w:cs="宋体" w:eastAsia="宋体" w:hint="default"/>
                <w:sz w:val="14"/>
                <w:szCs w:val="14"/>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(32),</w:t>
            </w:r>
            <w:r>
              <w:rPr>
                <w:rFonts w:ascii="宋体" w:hAnsi="宋体" w:cs="宋体" w:eastAsia="宋体" w:hint="default"/>
                <w:sz w:val="14"/>
                <w:szCs w:val="14"/>
              </w:rPr>
              <w:t>五</w:t>
            </w:r>
            <w:r>
              <w:rPr>
                <w:rFonts w:ascii="Arial" w:hAnsi="Arial" w:cs="Arial" w:eastAsia="Arial" w:hint="default"/>
                <w:sz w:val="14"/>
                <w:szCs w:val="14"/>
              </w:rPr>
              <w:t>(46)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4"/>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9"/>
              <w:jc w:val="right"/>
              <w:rPr>
                <w:rFonts w:ascii="Arial" w:hAnsi="Arial" w:cs="Arial" w:eastAsia="Arial" w:hint="default"/>
                <w:sz w:val="14"/>
                <w:szCs w:val="14"/>
              </w:rPr>
            </w:pPr>
            <w:r>
              <w:rPr>
                <w:rFonts w:ascii="Arial"/>
                <w:spacing w:val="-1"/>
                <w:sz w:val="14"/>
              </w:rPr>
              <w:t>369,916,092</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9"/>
              <w:jc w:val="right"/>
              <w:rPr>
                <w:rFonts w:ascii="Arial" w:hAnsi="Arial" w:cs="Arial" w:eastAsia="Arial" w:hint="default"/>
                <w:sz w:val="14"/>
                <w:szCs w:val="14"/>
              </w:rPr>
            </w:pPr>
            <w:r>
              <w:rPr>
                <w:rFonts w:ascii="Arial"/>
                <w:w w:val="99"/>
                <w:sz w:val="14"/>
              </w:rPr>
              <w:t>-</w:t>
            </w:r>
            <w:r>
              <w:rPr>
                <w:rFonts w:ascii="Arial"/>
                <w:sz w:val="14"/>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right"/>
              <w:rPr>
                <w:rFonts w:ascii="Arial" w:hAnsi="Arial" w:cs="Arial" w:eastAsia="Arial" w:hint="default"/>
                <w:sz w:val="14"/>
                <w:szCs w:val="14"/>
              </w:rPr>
            </w:pPr>
            <w:r>
              <w:rPr>
                <w:rFonts w:ascii="Arial"/>
                <w:w w:val="99"/>
                <w:sz w:val="14"/>
              </w:rPr>
              <w:t>-</w:t>
            </w:r>
            <w:r>
              <w:rPr>
                <w:rFonts w:ascii="Arial"/>
                <w:sz w:val="14"/>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w w:val="99"/>
                <w:sz w:val="14"/>
              </w:rPr>
              <w:t>-</w:t>
            </w:r>
            <w:r>
              <w:rPr>
                <w:rFonts w:ascii="Arial"/>
                <w:sz w:val="14"/>
              </w:rPr>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4"/>
              <w:jc w:val="right"/>
              <w:rPr>
                <w:rFonts w:ascii="Arial" w:hAnsi="Arial" w:cs="Arial" w:eastAsia="Arial" w:hint="default"/>
                <w:sz w:val="14"/>
                <w:szCs w:val="14"/>
              </w:rPr>
            </w:pPr>
            <w:r>
              <w:rPr>
                <w:rFonts w:ascii="Arial"/>
                <w:spacing w:val="-1"/>
                <w:sz w:val="14"/>
              </w:rPr>
              <w:t>731,964,214</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Arial" w:hAnsi="Arial" w:cs="Arial" w:eastAsia="Arial" w:hint="default"/>
                <w:sz w:val="14"/>
                <w:szCs w:val="14"/>
              </w:rPr>
            </w:pPr>
            <w:r>
              <w:rPr>
                <w:rFonts w:ascii="Arial"/>
                <w:spacing w:val="-1"/>
                <w:sz w:val="14"/>
              </w:rPr>
              <w:t>1,101,880,306</w:t>
            </w:r>
          </w:p>
        </w:tc>
      </w:tr>
      <w:tr>
        <w:trPr>
          <w:trHeight w:val="197" w:hRule="exact"/>
        </w:trPr>
        <w:tc>
          <w:tcPr>
            <w:tcW w:w="523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56" w:right="0"/>
              <w:jc w:val="left"/>
              <w:rPr>
                <w:rFonts w:ascii="宋体" w:hAnsi="宋体" w:cs="宋体" w:eastAsia="宋体" w:hint="default"/>
                <w:sz w:val="14"/>
                <w:szCs w:val="14"/>
              </w:rPr>
            </w:pPr>
            <w:r>
              <w:rPr>
                <w:rFonts w:ascii="Arial" w:hAnsi="Arial" w:cs="Arial" w:eastAsia="Arial" w:hint="default"/>
                <w:sz w:val="14"/>
                <w:szCs w:val="14"/>
              </w:rPr>
              <w:t>2.</w:t>
            </w:r>
            <w:r>
              <w:rPr>
                <w:rFonts w:ascii="宋体" w:hAnsi="宋体" w:cs="宋体" w:eastAsia="宋体" w:hint="default"/>
                <w:sz w:val="14"/>
                <w:szCs w:val="14"/>
              </w:rPr>
              <w:t>股份支付计入股东权益的金额－与股份支付相关的员工薪酬的确认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(32),</w:t>
            </w:r>
            <w:r>
              <w:rPr>
                <w:rFonts w:ascii="宋体" w:hAnsi="宋体" w:cs="宋体" w:eastAsia="宋体" w:hint="default"/>
                <w:sz w:val="14"/>
                <w:szCs w:val="14"/>
              </w:rPr>
              <w:t>五</w:t>
            </w:r>
            <w:r>
              <w:rPr>
                <w:rFonts w:ascii="Arial" w:hAnsi="Arial" w:cs="Arial" w:eastAsia="Arial" w:hint="default"/>
                <w:sz w:val="14"/>
                <w:szCs w:val="14"/>
              </w:rPr>
              <w:t>(46)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4"/>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5"/>
              <w:jc w:val="right"/>
              <w:rPr>
                <w:rFonts w:ascii="Arial" w:hAnsi="Arial" w:cs="Arial" w:eastAsia="Arial" w:hint="default"/>
                <w:sz w:val="14"/>
                <w:szCs w:val="14"/>
              </w:rPr>
            </w:pPr>
            <w:r>
              <w:rPr>
                <w:rFonts w:ascii="Arial"/>
                <w:spacing w:val="-1"/>
                <w:sz w:val="14"/>
              </w:rPr>
              <w:t>16,770,557</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9"/>
              <w:jc w:val="right"/>
              <w:rPr>
                <w:rFonts w:ascii="Arial" w:hAnsi="Arial" w:cs="Arial" w:eastAsia="Arial" w:hint="default"/>
                <w:sz w:val="14"/>
                <w:szCs w:val="14"/>
              </w:rPr>
            </w:pPr>
            <w:r>
              <w:rPr>
                <w:rFonts w:ascii="Arial"/>
                <w:w w:val="99"/>
                <w:sz w:val="14"/>
              </w:rPr>
              <w:t>-</w:t>
            </w:r>
            <w:r>
              <w:rPr>
                <w:rFonts w:ascii="Arial"/>
                <w:sz w:val="14"/>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right"/>
              <w:rPr>
                <w:rFonts w:ascii="Arial" w:hAnsi="Arial" w:cs="Arial" w:eastAsia="Arial" w:hint="default"/>
                <w:sz w:val="14"/>
                <w:szCs w:val="14"/>
              </w:rPr>
            </w:pPr>
            <w:r>
              <w:rPr>
                <w:rFonts w:ascii="Arial"/>
                <w:w w:val="99"/>
                <w:sz w:val="14"/>
              </w:rPr>
              <w:t>-</w:t>
            </w:r>
            <w:r>
              <w:rPr>
                <w:rFonts w:ascii="Arial"/>
                <w:sz w:val="14"/>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w w:val="99"/>
                <w:sz w:val="14"/>
              </w:rPr>
              <w:t>-</w:t>
            </w:r>
            <w:r>
              <w:rPr>
                <w:rFonts w:ascii="Arial"/>
                <w:sz w:val="14"/>
              </w:rPr>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1"/>
              <w:jc w:val="right"/>
              <w:rPr>
                <w:rFonts w:ascii="Arial" w:hAnsi="Arial" w:cs="Arial" w:eastAsia="Arial" w:hint="default"/>
                <w:sz w:val="14"/>
                <w:szCs w:val="14"/>
              </w:rPr>
            </w:pPr>
            <w:r>
              <w:rPr>
                <w:rFonts w:ascii="Arial"/>
                <w:spacing w:val="-1"/>
                <w:sz w:val="14"/>
              </w:rPr>
              <w:t>33,184,412</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4"/>
              <w:jc w:val="right"/>
              <w:rPr>
                <w:rFonts w:ascii="Arial" w:hAnsi="Arial" w:cs="Arial" w:eastAsia="Arial" w:hint="default"/>
                <w:sz w:val="14"/>
                <w:szCs w:val="14"/>
              </w:rPr>
            </w:pPr>
            <w:r>
              <w:rPr>
                <w:rFonts w:ascii="Arial"/>
                <w:spacing w:val="-1"/>
                <w:sz w:val="14"/>
              </w:rPr>
              <w:t>49,954,969</w:t>
            </w:r>
          </w:p>
        </w:tc>
      </w:tr>
      <w:tr>
        <w:trPr>
          <w:trHeight w:val="197" w:hRule="exact"/>
        </w:trPr>
        <w:tc>
          <w:tcPr>
            <w:tcW w:w="523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56" w:right="0"/>
              <w:jc w:val="left"/>
              <w:rPr>
                <w:rFonts w:ascii="宋体" w:hAnsi="宋体" w:cs="宋体" w:eastAsia="宋体" w:hint="default"/>
                <w:sz w:val="14"/>
                <w:szCs w:val="14"/>
              </w:rPr>
            </w:pPr>
            <w:r>
              <w:rPr>
                <w:rFonts w:ascii="Arial" w:hAnsi="Arial" w:cs="Arial" w:eastAsia="Arial" w:hint="default"/>
                <w:sz w:val="14"/>
                <w:szCs w:val="14"/>
              </w:rPr>
              <w:t>3.</w:t>
            </w:r>
            <w:r>
              <w:rPr>
                <w:rFonts w:ascii="宋体" w:hAnsi="宋体" w:cs="宋体" w:eastAsia="宋体" w:hint="default"/>
                <w:sz w:val="14"/>
                <w:szCs w:val="14"/>
              </w:rPr>
              <w:t>其他</w:t>
            </w:r>
            <w:r>
              <w:rPr>
                <w:rFonts w:ascii="Arial" w:hAnsi="Arial" w:cs="Arial" w:eastAsia="Arial" w:hint="default"/>
                <w:sz w:val="14"/>
                <w:szCs w:val="14"/>
              </w:rPr>
              <w:t>—</w:t>
            </w:r>
            <w:r>
              <w:rPr>
                <w:rFonts w:ascii="宋体" w:hAnsi="宋体" w:cs="宋体" w:eastAsia="宋体" w:hint="default"/>
                <w:sz w:val="14"/>
                <w:szCs w:val="14"/>
              </w:rPr>
              <w:t>财政拨款</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(32)</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4"/>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5"/>
              <w:jc w:val="right"/>
              <w:rPr>
                <w:rFonts w:ascii="Arial" w:hAnsi="Arial" w:cs="Arial" w:eastAsia="Arial" w:hint="default"/>
                <w:sz w:val="14"/>
                <w:szCs w:val="14"/>
              </w:rPr>
            </w:pPr>
            <w:r>
              <w:rPr>
                <w:rFonts w:ascii="Arial"/>
                <w:spacing w:val="-1"/>
                <w:sz w:val="14"/>
              </w:rPr>
              <w:t>285,356</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9"/>
              <w:jc w:val="right"/>
              <w:rPr>
                <w:rFonts w:ascii="Arial" w:hAnsi="Arial" w:cs="Arial" w:eastAsia="Arial" w:hint="default"/>
                <w:sz w:val="14"/>
                <w:szCs w:val="14"/>
              </w:rPr>
            </w:pPr>
            <w:r>
              <w:rPr>
                <w:rFonts w:ascii="Arial"/>
                <w:w w:val="99"/>
                <w:sz w:val="14"/>
              </w:rPr>
              <w:t>-</w:t>
            </w:r>
            <w:r>
              <w:rPr>
                <w:rFonts w:ascii="Arial"/>
                <w:sz w:val="14"/>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right"/>
              <w:rPr>
                <w:rFonts w:ascii="Arial" w:hAnsi="Arial" w:cs="Arial" w:eastAsia="Arial" w:hint="default"/>
                <w:sz w:val="14"/>
                <w:szCs w:val="14"/>
              </w:rPr>
            </w:pPr>
            <w:r>
              <w:rPr>
                <w:rFonts w:ascii="Arial"/>
                <w:w w:val="99"/>
                <w:sz w:val="14"/>
              </w:rPr>
              <w:t>-</w:t>
            </w:r>
            <w:r>
              <w:rPr>
                <w:rFonts w:ascii="Arial"/>
                <w:sz w:val="14"/>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w w:val="99"/>
                <w:sz w:val="14"/>
              </w:rPr>
              <w:t>-</w:t>
            </w:r>
            <w:r>
              <w:rPr>
                <w:rFonts w:ascii="Arial"/>
                <w:sz w:val="14"/>
              </w:rPr>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1"/>
              <w:jc w:val="right"/>
              <w:rPr>
                <w:rFonts w:ascii="Arial" w:hAnsi="Arial" w:cs="Arial" w:eastAsia="Arial" w:hint="default"/>
                <w:sz w:val="14"/>
                <w:szCs w:val="14"/>
              </w:rPr>
            </w:pPr>
            <w:r>
              <w:rPr>
                <w:rFonts w:ascii="Arial"/>
                <w:spacing w:val="-1"/>
                <w:sz w:val="14"/>
              </w:rPr>
              <w:t>564,636</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spacing w:val="-1"/>
                <w:sz w:val="14"/>
              </w:rPr>
              <w:t>849,992</w:t>
            </w:r>
          </w:p>
        </w:tc>
      </w:tr>
      <w:tr>
        <w:trPr>
          <w:trHeight w:val="197" w:hRule="exact"/>
        </w:trPr>
        <w:tc>
          <w:tcPr>
            <w:tcW w:w="5238" w:type="dxa"/>
            <w:tcBorders>
              <w:top w:val="single" w:sz="6" w:space="0" w:color="000000"/>
              <w:left w:val="single" w:sz="6" w:space="0" w:color="000000"/>
              <w:bottom w:val="single" w:sz="6" w:space="0" w:color="000000"/>
              <w:right w:val="single" w:sz="6" w:space="0" w:color="000000"/>
            </w:tcBorders>
          </w:tcPr>
          <w:p>
            <w:pPr>
              <w:pStyle w:val="TableParagraph"/>
              <w:spacing w:line="159" w:lineRule="exact"/>
              <w:ind w:left="43" w:right="0"/>
              <w:jc w:val="left"/>
              <w:rPr>
                <w:rFonts w:ascii="宋体" w:hAnsi="宋体" w:cs="宋体" w:eastAsia="宋体" w:hint="default"/>
                <w:sz w:val="14"/>
                <w:szCs w:val="14"/>
              </w:rPr>
            </w:pPr>
            <w:r>
              <w:rPr>
                <w:rFonts w:ascii="宋体" w:hAnsi="宋体" w:cs="宋体" w:eastAsia="宋体" w:hint="default"/>
                <w:sz w:val="14"/>
                <w:szCs w:val="14"/>
              </w:rPr>
              <w:t>（三）利润分配</w:t>
            </w:r>
          </w:p>
        </w:tc>
        <w:tc>
          <w:tcPr>
            <w:tcW w:w="991"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197" w:hRule="exact"/>
        </w:trPr>
        <w:tc>
          <w:tcPr>
            <w:tcW w:w="5238"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left="456" w:right="0"/>
              <w:jc w:val="left"/>
              <w:rPr>
                <w:rFonts w:ascii="宋体" w:hAnsi="宋体" w:cs="宋体" w:eastAsia="宋体" w:hint="default"/>
                <w:sz w:val="14"/>
                <w:szCs w:val="14"/>
              </w:rPr>
            </w:pPr>
            <w:r>
              <w:rPr>
                <w:rFonts w:ascii="Arial" w:hAnsi="Arial" w:cs="Arial" w:eastAsia="Arial" w:hint="default"/>
                <w:sz w:val="14"/>
                <w:szCs w:val="14"/>
              </w:rPr>
              <w:t>1.</w:t>
            </w:r>
            <w:r>
              <w:rPr>
                <w:rFonts w:ascii="宋体" w:hAnsi="宋体" w:cs="宋体" w:eastAsia="宋体" w:hint="default"/>
                <w:sz w:val="14"/>
                <w:szCs w:val="14"/>
              </w:rPr>
              <w:t>提取盈余公积－法定公积金</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2"/>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4"/>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6"/>
              <w:jc w:val="right"/>
              <w:rPr>
                <w:rFonts w:ascii="Arial" w:hAnsi="Arial" w:cs="Arial" w:eastAsia="Arial" w:hint="default"/>
                <w:sz w:val="14"/>
                <w:szCs w:val="14"/>
              </w:rPr>
            </w:pPr>
            <w:r>
              <w:rPr>
                <w:rFonts w:ascii="Arial"/>
                <w:w w:val="99"/>
                <w:sz w:val="14"/>
              </w:rPr>
              <w:t>-</w:t>
            </w:r>
            <w:r>
              <w:rPr>
                <w:rFonts w:ascii="Arial"/>
                <w:sz w:val="14"/>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9"/>
              <w:jc w:val="right"/>
              <w:rPr>
                <w:rFonts w:ascii="Arial" w:hAnsi="Arial" w:cs="Arial" w:eastAsia="Arial" w:hint="default"/>
                <w:sz w:val="14"/>
                <w:szCs w:val="14"/>
              </w:rPr>
            </w:pPr>
            <w:r>
              <w:rPr>
                <w:rFonts w:ascii="Arial"/>
                <w:w w:val="99"/>
                <w:sz w:val="14"/>
              </w:rPr>
              <w:t>-</w:t>
            </w:r>
            <w:r>
              <w:rPr>
                <w:rFonts w:ascii="Arial"/>
                <w:sz w:val="14"/>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
              <w:jc w:val="right"/>
              <w:rPr>
                <w:rFonts w:ascii="Arial" w:hAnsi="Arial" w:cs="Arial" w:eastAsia="Arial" w:hint="default"/>
                <w:sz w:val="14"/>
                <w:szCs w:val="14"/>
              </w:rPr>
            </w:pPr>
            <w:r>
              <w:rPr>
                <w:rFonts w:ascii="Arial"/>
                <w:spacing w:val="-1"/>
                <w:sz w:val="14"/>
              </w:rPr>
              <w:t>94,704,854</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6"/>
              <w:jc w:val="right"/>
              <w:rPr>
                <w:rFonts w:ascii="Arial" w:hAnsi="Arial" w:cs="Arial" w:eastAsia="Arial" w:hint="default"/>
                <w:sz w:val="14"/>
                <w:szCs w:val="14"/>
              </w:rPr>
            </w:pPr>
            <w:r>
              <w:rPr>
                <w:rFonts w:ascii="Arial"/>
                <w:spacing w:val="-1"/>
                <w:sz w:val="14"/>
              </w:rPr>
              <w:t>(94,704,854)</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1"/>
              <w:jc w:val="right"/>
              <w:rPr>
                <w:rFonts w:ascii="Arial" w:hAnsi="Arial" w:cs="Arial" w:eastAsia="Arial" w:hint="default"/>
                <w:sz w:val="14"/>
                <w:szCs w:val="14"/>
              </w:rPr>
            </w:pPr>
            <w:r>
              <w:rPr>
                <w:rFonts w:ascii="Arial"/>
                <w:w w:val="99"/>
                <w:sz w:val="14"/>
              </w:rPr>
              <w:t>-</w:t>
            </w:r>
            <w:r>
              <w:rPr>
                <w:rFonts w:ascii="Arial"/>
                <w:sz w:val="14"/>
              </w:rPr>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5"/>
              <w:jc w:val="right"/>
              <w:rPr>
                <w:rFonts w:ascii="Arial" w:hAnsi="Arial" w:cs="Arial" w:eastAsia="Arial" w:hint="default"/>
                <w:sz w:val="14"/>
                <w:szCs w:val="14"/>
              </w:rPr>
            </w:pPr>
            <w:r>
              <w:rPr>
                <w:rFonts w:ascii="Arial"/>
                <w:w w:val="99"/>
                <w:sz w:val="14"/>
              </w:rPr>
              <w:t>-</w:t>
            </w:r>
            <w:r>
              <w:rPr>
                <w:rFonts w:ascii="Arial"/>
                <w:sz w:val="14"/>
              </w:rPr>
            </w:r>
          </w:p>
        </w:tc>
      </w:tr>
      <w:tr>
        <w:trPr>
          <w:trHeight w:val="197" w:hRule="exact"/>
        </w:trPr>
        <w:tc>
          <w:tcPr>
            <w:tcW w:w="5238"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left="456" w:right="0"/>
              <w:jc w:val="left"/>
              <w:rPr>
                <w:rFonts w:ascii="宋体" w:hAnsi="宋体" w:cs="宋体" w:eastAsia="宋体" w:hint="default"/>
                <w:sz w:val="14"/>
                <w:szCs w:val="14"/>
              </w:rPr>
            </w:pPr>
            <w:r>
              <w:rPr>
                <w:rFonts w:ascii="Arial" w:hAnsi="Arial" w:cs="Arial" w:eastAsia="Arial" w:hint="default"/>
                <w:sz w:val="14"/>
                <w:szCs w:val="14"/>
              </w:rPr>
              <w:t>2.</w:t>
            </w:r>
            <w:r>
              <w:rPr>
                <w:rFonts w:ascii="宋体" w:hAnsi="宋体" w:cs="宋体" w:eastAsia="宋体" w:hint="default"/>
                <w:sz w:val="14"/>
                <w:szCs w:val="14"/>
              </w:rPr>
              <w:t>向股东分派的普通股股利</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2"/>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4"/>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6"/>
              <w:jc w:val="right"/>
              <w:rPr>
                <w:rFonts w:ascii="Arial" w:hAnsi="Arial" w:cs="Arial" w:eastAsia="Arial" w:hint="default"/>
                <w:sz w:val="14"/>
                <w:szCs w:val="14"/>
              </w:rPr>
            </w:pPr>
            <w:r>
              <w:rPr>
                <w:rFonts w:ascii="Arial"/>
                <w:w w:val="99"/>
                <w:sz w:val="14"/>
              </w:rPr>
              <w:t>-</w:t>
            </w:r>
            <w:r>
              <w:rPr>
                <w:rFonts w:ascii="Arial"/>
                <w:sz w:val="14"/>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9"/>
              <w:jc w:val="right"/>
              <w:rPr>
                <w:rFonts w:ascii="Arial" w:hAnsi="Arial" w:cs="Arial" w:eastAsia="Arial" w:hint="default"/>
                <w:sz w:val="14"/>
                <w:szCs w:val="14"/>
              </w:rPr>
            </w:pPr>
            <w:r>
              <w:rPr>
                <w:rFonts w:ascii="Arial"/>
                <w:w w:val="99"/>
                <w:sz w:val="14"/>
              </w:rPr>
              <w:t>-</w:t>
            </w:r>
            <w:r>
              <w:rPr>
                <w:rFonts w:ascii="Arial"/>
                <w:sz w:val="14"/>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right"/>
              <w:rPr>
                <w:rFonts w:ascii="Arial" w:hAnsi="Arial" w:cs="Arial" w:eastAsia="Arial" w:hint="default"/>
                <w:sz w:val="14"/>
                <w:szCs w:val="14"/>
              </w:rPr>
            </w:pPr>
            <w:r>
              <w:rPr>
                <w:rFonts w:ascii="Arial"/>
                <w:w w:val="99"/>
                <w:sz w:val="14"/>
              </w:rPr>
              <w:t>-</w:t>
            </w:r>
            <w:r>
              <w:rPr>
                <w:rFonts w:ascii="Arial"/>
                <w:sz w:val="14"/>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6"/>
              <w:jc w:val="right"/>
              <w:rPr>
                <w:rFonts w:ascii="Arial" w:hAnsi="Arial" w:cs="Arial" w:eastAsia="Arial" w:hint="default"/>
                <w:sz w:val="14"/>
                <w:szCs w:val="14"/>
              </w:rPr>
            </w:pPr>
            <w:r>
              <w:rPr>
                <w:rFonts w:ascii="Arial"/>
                <w:spacing w:val="-1"/>
                <w:sz w:val="14"/>
              </w:rPr>
              <w:t>(845,744,196)</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4"/>
              <w:jc w:val="right"/>
              <w:rPr>
                <w:rFonts w:ascii="Arial" w:hAnsi="Arial" w:cs="Arial" w:eastAsia="Arial" w:hint="default"/>
                <w:sz w:val="14"/>
                <w:szCs w:val="14"/>
              </w:rPr>
            </w:pPr>
            <w:r>
              <w:rPr>
                <w:rFonts w:ascii="Arial"/>
                <w:spacing w:val="-1"/>
                <w:sz w:val="14"/>
              </w:rPr>
              <w:t>(1,877,861,971)</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8"/>
              <w:jc w:val="right"/>
              <w:rPr>
                <w:rFonts w:ascii="Arial" w:hAnsi="Arial" w:cs="Arial" w:eastAsia="Arial" w:hint="default"/>
                <w:sz w:val="14"/>
                <w:szCs w:val="14"/>
              </w:rPr>
            </w:pPr>
            <w:r>
              <w:rPr>
                <w:rFonts w:ascii="Arial"/>
                <w:spacing w:val="-1"/>
                <w:sz w:val="14"/>
              </w:rPr>
              <w:t>(2,723,606,167)</w:t>
            </w:r>
          </w:p>
        </w:tc>
      </w:tr>
      <w:tr>
        <w:trPr>
          <w:trHeight w:val="197" w:hRule="exact"/>
        </w:trPr>
        <w:tc>
          <w:tcPr>
            <w:tcW w:w="5238" w:type="dxa"/>
            <w:tcBorders>
              <w:top w:val="single" w:sz="6" w:space="0" w:color="000000"/>
              <w:left w:val="single" w:sz="6" w:space="0" w:color="000000"/>
              <w:bottom w:val="single" w:sz="6" w:space="0" w:color="000000"/>
              <w:right w:val="single" w:sz="6" w:space="0" w:color="000000"/>
            </w:tcBorders>
          </w:tcPr>
          <w:p>
            <w:pPr>
              <w:pStyle w:val="TableParagraph"/>
              <w:spacing w:line="159" w:lineRule="exact"/>
              <w:ind w:left="43" w:right="0"/>
              <w:jc w:val="left"/>
              <w:rPr>
                <w:rFonts w:ascii="宋体" w:hAnsi="宋体" w:cs="宋体" w:eastAsia="宋体" w:hint="default"/>
                <w:sz w:val="14"/>
                <w:szCs w:val="14"/>
              </w:rPr>
            </w:pPr>
            <w:r>
              <w:rPr>
                <w:rFonts w:ascii="宋体" w:hAnsi="宋体" w:cs="宋体" w:eastAsia="宋体" w:hint="default"/>
                <w:sz w:val="14"/>
                <w:szCs w:val="14"/>
              </w:rPr>
              <w:t>（四）股东权益的内部结转</w:t>
            </w:r>
          </w:p>
        </w:tc>
        <w:tc>
          <w:tcPr>
            <w:tcW w:w="991"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230" w:hRule="exact"/>
        </w:trPr>
        <w:tc>
          <w:tcPr>
            <w:tcW w:w="5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456" w:right="0"/>
              <w:jc w:val="left"/>
              <w:rPr>
                <w:rFonts w:ascii="宋体" w:hAnsi="宋体" w:cs="宋体" w:eastAsia="宋体" w:hint="default"/>
                <w:sz w:val="14"/>
                <w:szCs w:val="14"/>
              </w:rPr>
            </w:pPr>
            <w:r>
              <w:rPr>
                <w:rFonts w:ascii="Arial" w:hAnsi="Arial" w:cs="Arial" w:eastAsia="Arial" w:hint="default"/>
                <w:sz w:val="14"/>
                <w:szCs w:val="14"/>
              </w:rPr>
              <w:t>1.</w:t>
            </w:r>
            <w:r>
              <w:rPr>
                <w:rFonts w:ascii="宋体" w:hAnsi="宋体" w:cs="宋体" w:eastAsia="宋体" w:hint="default"/>
                <w:sz w:val="14"/>
                <w:szCs w:val="14"/>
              </w:rPr>
              <w:t>其他－因所持子公司股份变化对资本公积的影响</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(32)</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54"/>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8"/>
              <w:jc w:val="right"/>
              <w:rPr>
                <w:rFonts w:ascii="Arial" w:hAnsi="Arial" w:cs="Arial" w:eastAsia="Arial" w:hint="default"/>
                <w:sz w:val="14"/>
                <w:szCs w:val="14"/>
              </w:rPr>
            </w:pPr>
            <w:r>
              <w:rPr>
                <w:rFonts w:ascii="Arial"/>
                <w:spacing w:val="-1"/>
                <w:sz w:val="14"/>
              </w:rPr>
              <w:t>(647,445,876)</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69"/>
              <w:jc w:val="right"/>
              <w:rPr>
                <w:rFonts w:ascii="Arial" w:hAnsi="Arial" w:cs="Arial" w:eastAsia="Arial" w:hint="default"/>
                <w:sz w:val="14"/>
                <w:szCs w:val="14"/>
              </w:rPr>
            </w:pPr>
            <w:r>
              <w:rPr>
                <w:rFonts w:ascii="Arial"/>
                <w:w w:val="99"/>
                <w:sz w:val="14"/>
              </w:rPr>
              <w:t>-</w:t>
            </w:r>
            <w:r>
              <w:rPr>
                <w:rFonts w:ascii="Arial"/>
                <w:sz w:val="14"/>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71"/>
              <w:jc w:val="right"/>
              <w:rPr>
                <w:rFonts w:ascii="Arial" w:hAnsi="Arial" w:cs="Arial" w:eastAsia="Arial" w:hint="default"/>
                <w:sz w:val="14"/>
                <w:szCs w:val="14"/>
              </w:rPr>
            </w:pPr>
            <w:r>
              <w:rPr>
                <w:rFonts w:ascii="Arial"/>
                <w:w w:val="99"/>
                <w:sz w:val="14"/>
              </w:rPr>
              <w:t>-</w:t>
            </w:r>
            <w:r>
              <w:rPr>
                <w:rFonts w:ascii="Arial"/>
                <w:sz w:val="14"/>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74"/>
              <w:jc w:val="right"/>
              <w:rPr>
                <w:rFonts w:ascii="Arial" w:hAnsi="Arial" w:cs="Arial" w:eastAsia="Arial" w:hint="default"/>
                <w:sz w:val="14"/>
                <w:szCs w:val="14"/>
              </w:rPr>
            </w:pPr>
            <w:r>
              <w:rPr>
                <w:rFonts w:ascii="Arial"/>
                <w:w w:val="99"/>
                <w:sz w:val="14"/>
              </w:rPr>
              <w:t>-</w:t>
            </w:r>
            <w:r>
              <w:rPr>
                <w:rFonts w:ascii="Arial"/>
                <w:sz w:val="14"/>
              </w:rPr>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84"/>
              <w:jc w:val="right"/>
              <w:rPr>
                <w:rFonts w:ascii="Arial" w:hAnsi="Arial" w:cs="Arial" w:eastAsia="Arial" w:hint="default"/>
                <w:sz w:val="14"/>
                <w:szCs w:val="14"/>
              </w:rPr>
            </w:pPr>
            <w:r>
              <w:rPr>
                <w:rFonts w:ascii="Arial"/>
                <w:spacing w:val="-1"/>
                <w:sz w:val="14"/>
              </w:rPr>
              <w:t>647,445,876</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5"/>
              <w:jc w:val="right"/>
              <w:rPr>
                <w:rFonts w:ascii="Arial" w:hAnsi="Arial" w:cs="Arial" w:eastAsia="Arial" w:hint="default"/>
                <w:sz w:val="14"/>
                <w:szCs w:val="14"/>
              </w:rPr>
            </w:pPr>
            <w:r>
              <w:rPr>
                <w:rFonts w:ascii="Arial"/>
                <w:w w:val="99"/>
                <w:sz w:val="14"/>
              </w:rPr>
              <w:t>-</w:t>
            </w:r>
            <w:r>
              <w:rPr>
                <w:rFonts w:ascii="Arial"/>
                <w:sz w:val="14"/>
              </w:rPr>
            </w:r>
          </w:p>
        </w:tc>
      </w:tr>
      <w:tr>
        <w:trPr>
          <w:trHeight w:val="197" w:hRule="exact"/>
        </w:trPr>
        <w:tc>
          <w:tcPr>
            <w:tcW w:w="5238"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left="33" w:right="0"/>
              <w:jc w:val="left"/>
              <w:rPr>
                <w:rFonts w:ascii="宋体" w:hAnsi="宋体" w:cs="宋体" w:eastAsia="宋体" w:hint="default"/>
                <w:sz w:val="14"/>
                <w:szCs w:val="14"/>
              </w:rPr>
            </w:pPr>
            <w:r>
              <w:rPr>
                <w:rFonts w:ascii="Arial" w:hAnsi="Arial" w:cs="Arial" w:eastAsia="Arial" w:hint="default"/>
                <w:sz w:val="14"/>
                <w:szCs w:val="14"/>
              </w:rPr>
              <w:t>2013</w:t>
            </w:r>
            <w:r>
              <w:rPr>
                <w:rFonts w:ascii="Arial" w:hAnsi="Arial" w:cs="Arial" w:eastAsia="Arial" w:hint="default"/>
                <w:spacing w:val="-6"/>
                <w:sz w:val="14"/>
                <w:szCs w:val="14"/>
              </w:rPr>
              <w:t> </w:t>
            </w:r>
            <w:r>
              <w:rPr>
                <w:rFonts w:ascii="宋体" w:hAnsi="宋体" w:cs="宋体" w:eastAsia="宋体" w:hint="default"/>
                <w:sz w:val="14"/>
                <w:szCs w:val="14"/>
              </w:rPr>
              <w:t>年</w:t>
            </w:r>
            <w:r>
              <w:rPr>
                <w:rFonts w:ascii="宋体" w:hAnsi="宋体" w:cs="宋体" w:eastAsia="宋体" w:hint="default"/>
                <w:spacing w:val="-35"/>
                <w:sz w:val="14"/>
                <w:szCs w:val="14"/>
              </w:rPr>
              <w:t> </w:t>
            </w:r>
            <w:r>
              <w:rPr>
                <w:rFonts w:ascii="Arial" w:hAnsi="Arial" w:cs="Arial" w:eastAsia="Arial" w:hint="default"/>
                <w:sz w:val="14"/>
                <w:szCs w:val="14"/>
              </w:rPr>
              <w:t>12</w:t>
            </w:r>
            <w:r>
              <w:rPr>
                <w:rFonts w:ascii="Arial" w:hAnsi="Arial" w:cs="Arial" w:eastAsia="Arial" w:hint="default"/>
                <w:spacing w:val="-6"/>
                <w:sz w:val="14"/>
                <w:szCs w:val="14"/>
              </w:rPr>
              <w:t> </w:t>
            </w:r>
            <w:r>
              <w:rPr>
                <w:rFonts w:ascii="宋体" w:hAnsi="宋体" w:cs="宋体" w:eastAsia="宋体" w:hint="default"/>
                <w:sz w:val="14"/>
                <w:szCs w:val="14"/>
              </w:rPr>
              <w:t>月</w:t>
            </w:r>
            <w:r>
              <w:rPr>
                <w:rFonts w:ascii="宋体" w:hAnsi="宋体" w:cs="宋体" w:eastAsia="宋体" w:hint="default"/>
                <w:spacing w:val="-37"/>
                <w:sz w:val="14"/>
                <w:szCs w:val="14"/>
              </w:rPr>
              <w:t> </w:t>
            </w:r>
            <w:r>
              <w:rPr>
                <w:rFonts w:ascii="Arial" w:hAnsi="Arial" w:cs="Arial" w:eastAsia="Arial" w:hint="default"/>
                <w:sz w:val="14"/>
                <w:szCs w:val="14"/>
              </w:rPr>
              <w:t>31</w:t>
            </w:r>
            <w:r>
              <w:rPr>
                <w:rFonts w:ascii="Arial" w:hAnsi="Arial" w:cs="Arial" w:eastAsia="Arial" w:hint="default"/>
                <w:spacing w:val="-6"/>
                <w:sz w:val="14"/>
                <w:szCs w:val="14"/>
              </w:rPr>
              <w:t> </w:t>
            </w:r>
            <w:r>
              <w:rPr>
                <w:rFonts w:ascii="宋体" w:hAnsi="宋体" w:cs="宋体" w:eastAsia="宋体" w:hint="default"/>
                <w:sz w:val="14"/>
                <w:szCs w:val="14"/>
              </w:rPr>
              <w:t>日年末余额</w:t>
            </w:r>
          </w:p>
        </w:tc>
        <w:tc>
          <w:tcPr>
            <w:tcW w:w="991"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8"/>
              <w:jc w:val="right"/>
              <w:rPr>
                <w:rFonts w:ascii="Arial" w:hAnsi="Arial" w:cs="Arial" w:eastAsia="Arial" w:hint="default"/>
                <w:sz w:val="14"/>
                <w:szCs w:val="14"/>
              </w:rPr>
            </w:pPr>
            <w:r>
              <w:rPr>
                <w:rFonts w:ascii="Arial"/>
                <w:spacing w:val="-1"/>
                <w:sz w:val="14"/>
              </w:rPr>
              <w:t>21,196,596,395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9"/>
              <w:jc w:val="right"/>
              <w:rPr>
                <w:rFonts w:ascii="Arial" w:hAnsi="Arial" w:cs="Arial" w:eastAsia="Arial" w:hint="default"/>
                <w:sz w:val="14"/>
                <w:szCs w:val="14"/>
              </w:rPr>
            </w:pPr>
            <w:r>
              <w:rPr>
                <w:rFonts w:ascii="Arial"/>
                <w:spacing w:val="-1"/>
                <w:sz w:val="14"/>
              </w:rPr>
              <w:t>28,024,362,928</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6"/>
              <w:jc w:val="right"/>
              <w:rPr>
                <w:rFonts w:ascii="Arial" w:hAnsi="Arial" w:cs="Arial" w:eastAsia="Arial" w:hint="default"/>
                <w:sz w:val="14"/>
                <w:szCs w:val="14"/>
              </w:rPr>
            </w:pPr>
            <w:r>
              <w:rPr>
                <w:rFonts w:ascii="Arial"/>
                <w:spacing w:val="-1"/>
                <w:sz w:val="14"/>
              </w:rPr>
              <w:t>(1,308,556,009)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4"/>
              <w:jc w:val="right"/>
              <w:rPr>
                <w:rFonts w:ascii="Arial" w:hAnsi="Arial" w:cs="Arial" w:eastAsia="Arial" w:hint="default"/>
                <w:sz w:val="14"/>
                <w:szCs w:val="14"/>
              </w:rPr>
            </w:pPr>
            <w:r>
              <w:rPr>
                <w:rFonts w:ascii="Arial"/>
                <w:spacing w:val="-1"/>
                <w:sz w:val="14"/>
              </w:rPr>
              <w:t>919,120,486</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
              <w:jc w:val="right"/>
              <w:rPr>
                <w:rFonts w:ascii="Arial" w:hAnsi="Arial" w:cs="Arial" w:eastAsia="Arial" w:hint="default"/>
                <w:sz w:val="14"/>
                <w:szCs w:val="14"/>
              </w:rPr>
            </w:pPr>
            <w:r>
              <w:rPr>
                <w:rFonts w:ascii="Arial"/>
                <w:spacing w:val="-1"/>
                <w:sz w:val="14"/>
              </w:rPr>
              <w:t>26,027,415,661</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82"/>
              <w:jc w:val="right"/>
              <w:rPr>
                <w:rFonts w:ascii="Arial" w:hAnsi="Arial" w:cs="Arial" w:eastAsia="Arial" w:hint="default"/>
                <w:sz w:val="14"/>
                <w:szCs w:val="14"/>
              </w:rPr>
            </w:pPr>
            <w:r>
              <w:rPr>
                <w:rFonts w:ascii="Arial"/>
                <w:spacing w:val="-1"/>
                <w:sz w:val="14"/>
              </w:rPr>
              <w:t>146,767,164,703</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1" w:right="0"/>
              <w:jc w:val="left"/>
              <w:rPr>
                <w:rFonts w:ascii="Arial" w:hAnsi="Arial" w:cs="Arial" w:eastAsia="Arial" w:hint="default"/>
                <w:sz w:val="14"/>
                <w:szCs w:val="14"/>
              </w:rPr>
            </w:pPr>
            <w:r>
              <w:rPr>
                <w:rFonts w:ascii="Arial"/>
                <w:sz w:val="14"/>
              </w:rPr>
              <w:t>221,626,104,164</w:t>
            </w:r>
          </w:p>
        </w:tc>
      </w:tr>
    </w:tbl>
    <w:p>
      <w:pPr>
        <w:spacing w:line="240" w:lineRule="auto" w:before="12"/>
        <w:rPr>
          <w:rFonts w:ascii="黑体" w:hAnsi="黑体" w:cs="黑体" w:eastAsia="黑体" w:hint="default"/>
          <w:sz w:val="13"/>
          <w:szCs w:val="13"/>
        </w:rPr>
      </w:pPr>
    </w:p>
    <w:p>
      <w:pPr>
        <w:spacing w:before="37"/>
        <w:ind w:left="120" w:right="0" w:firstLine="0"/>
        <w:jc w:val="left"/>
        <w:rPr>
          <w:rFonts w:ascii="黑体" w:hAnsi="黑体" w:cs="黑体" w:eastAsia="黑体" w:hint="default"/>
          <w:sz w:val="20"/>
          <w:szCs w:val="20"/>
        </w:rPr>
      </w:pPr>
      <w:r>
        <w:rPr>
          <w:rFonts w:ascii="黑体" w:hAnsi="黑体" w:cs="黑体" w:eastAsia="黑体" w:hint="default"/>
          <w:sz w:val="20"/>
          <w:szCs w:val="20"/>
        </w:rPr>
        <w:t>后附财务报表附注为财务报表的组成部分。</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15"/>
          <w:szCs w:val="15"/>
        </w:rPr>
      </w:pPr>
    </w:p>
    <w:p>
      <w:pPr>
        <w:pStyle w:val="BodyText"/>
        <w:tabs>
          <w:tab w:pos="5677" w:val="left" w:leader="none"/>
          <w:tab w:pos="11040" w:val="left" w:leader="none"/>
        </w:tabs>
        <w:spacing w:line="240" w:lineRule="auto"/>
        <w:ind w:left="120" w:right="0"/>
        <w:jc w:val="left"/>
        <w:rPr>
          <w:rFonts w:ascii="黑体" w:hAnsi="黑体" w:cs="黑体" w:eastAsia="黑体" w:hint="default"/>
        </w:rPr>
      </w:pPr>
      <w:r>
        <w:rPr>
          <w:rFonts w:ascii="黑体" w:hAnsi="黑体" w:cs="黑体" w:eastAsia="黑体" w:hint="default"/>
          <w:spacing w:val="-1"/>
        </w:rPr>
        <w:t>董事长：常小兵</w:t>
        <w:tab/>
        <w:t>财务负责人：李超</w:t>
        <w:tab/>
        <w:t>财务部总经理：李张挺</w:t>
      </w:r>
    </w:p>
    <w:p>
      <w:pPr>
        <w:spacing w:after="0" w:line="240" w:lineRule="auto"/>
        <w:jc w:val="left"/>
        <w:rPr>
          <w:rFonts w:ascii="黑体" w:hAnsi="黑体" w:cs="黑体" w:eastAsia="黑体" w:hint="default"/>
        </w:rPr>
        <w:sectPr>
          <w:headerReference w:type="default" r:id="rId35"/>
          <w:footerReference w:type="default" r:id="rId36"/>
          <w:pgSz w:w="16840" w:h="11910" w:orient="landscape"/>
          <w:pgMar w:header="0" w:footer="650" w:top="1080" w:bottom="840" w:left="880" w:right="960"/>
          <w:pgNumType w:start="62"/>
        </w:sectPr>
      </w:pPr>
    </w:p>
    <w:p>
      <w:pPr>
        <w:pStyle w:val="BodyText"/>
        <w:spacing w:line="240" w:lineRule="auto" w:before="6"/>
        <w:ind w:left="140"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3"/>
        <w:rPr>
          <w:rFonts w:ascii="黑体" w:hAnsi="黑体" w:cs="黑体" w:eastAsia="黑体" w:hint="default"/>
          <w:sz w:val="19"/>
          <w:szCs w:val="19"/>
        </w:rPr>
      </w:pPr>
    </w:p>
    <w:p>
      <w:pPr>
        <w:pStyle w:val="BodyText"/>
        <w:spacing w:line="295" w:lineRule="exact"/>
        <w:ind w:left="140"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9"/>
        </w:rPr>
        <w:t> </w:t>
      </w:r>
      <w:r>
        <w:rPr>
          <w:rFonts w:ascii="黑体" w:hAnsi="黑体" w:cs="黑体" w:eastAsia="黑体" w:hint="default"/>
        </w:rPr>
        <w:t>年度公司股东权益变动表</w:t>
      </w:r>
    </w:p>
    <w:p>
      <w:pPr>
        <w:pStyle w:val="BodyText"/>
        <w:spacing w:line="279" w:lineRule="exact"/>
        <w:ind w:left="140" w:right="0"/>
        <w:jc w:val="left"/>
        <w:rPr>
          <w:rFonts w:ascii="黑体" w:hAnsi="黑体" w:cs="黑体" w:eastAsia="黑体" w:hint="default"/>
        </w:rPr>
      </w:pPr>
      <w:r>
        <w:rPr>
          <w:rFonts w:ascii="黑体" w:hAnsi="黑体" w:cs="黑体" w:eastAsia="黑体" w:hint="default"/>
        </w:rPr>
        <w:t>（除特别注明外，金额单位为人民币元）</w:t>
      </w:r>
    </w:p>
    <w:p>
      <w:pPr>
        <w:spacing w:line="240" w:lineRule="auto" w:before="7"/>
        <w:rPr>
          <w:rFonts w:ascii="黑体" w:hAnsi="黑体" w:cs="黑体" w:eastAsia="黑体" w:hint="default"/>
          <w:sz w:val="18"/>
          <w:szCs w:val="18"/>
        </w:rPr>
      </w:pPr>
    </w:p>
    <w:tbl>
      <w:tblPr>
        <w:tblW w:w="0" w:type="auto"/>
        <w:jc w:val="left"/>
        <w:tblInd w:w="119" w:type="dxa"/>
        <w:tblLayout w:type="fixed"/>
        <w:tblCellMar>
          <w:top w:w="0" w:type="dxa"/>
          <w:left w:w="0" w:type="dxa"/>
          <w:bottom w:w="0" w:type="dxa"/>
          <w:right w:w="0" w:type="dxa"/>
        </w:tblCellMar>
        <w:tblLook w:val="01E0"/>
      </w:tblPr>
      <w:tblGrid>
        <w:gridCol w:w="4619"/>
        <w:gridCol w:w="751"/>
        <w:gridCol w:w="1724"/>
        <w:gridCol w:w="1843"/>
        <w:gridCol w:w="1918"/>
        <w:gridCol w:w="1970"/>
        <w:gridCol w:w="1995"/>
      </w:tblGrid>
      <w:tr>
        <w:trPr>
          <w:trHeight w:val="262" w:hRule="exact"/>
        </w:trPr>
        <w:tc>
          <w:tcPr>
            <w:tcW w:w="4619"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4"/>
              <w:jc w:val="center"/>
              <w:rPr>
                <w:rFonts w:ascii="黑体" w:hAnsi="黑体" w:cs="黑体" w:eastAsia="黑体" w:hint="default"/>
                <w:sz w:val="19"/>
                <w:szCs w:val="19"/>
              </w:rPr>
            </w:pPr>
            <w:r>
              <w:rPr>
                <w:rFonts w:ascii="黑体" w:hAnsi="黑体" w:cs="黑体" w:eastAsia="黑体" w:hint="default"/>
                <w:sz w:val="19"/>
                <w:szCs w:val="19"/>
              </w:rPr>
              <w:t>项目</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黑体" w:hAnsi="黑体" w:cs="黑体" w:eastAsia="黑体" w:hint="default"/>
                <w:sz w:val="19"/>
                <w:szCs w:val="19"/>
              </w:rPr>
            </w:pPr>
            <w:r>
              <w:rPr>
                <w:rFonts w:ascii="黑体" w:hAnsi="黑体" w:cs="黑体" w:eastAsia="黑体" w:hint="default"/>
                <w:sz w:val="19"/>
                <w:szCs w:val="19"/>
              </w:rPr>
              <w:t>附注</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黑体" w:hAnsi="黑体" w:cs="黑体" w:eastAsia="黑体" w:hint="default"/>
                <w:sz w:val="19"/>
                <w:szCs w:val="19"/>
              </w:rPr>
            </w:pPr>
            <w:r>
              <w:rPr>
                <w:rFonts w:ascii="黑体" w:hAnsi="黑体" w:cs="黑体" w:eastAsia="黑体" w:hint="default"/>
                <w:sz w:val="19"/>
                <w:szCs w:val="19"/>
              </w:rPr>
              <w:t>股本</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535" w:right="0"/>
              <w:jc w:val="left"/>
              <w:rPr>
                <w:rFonts w:ascii="黑体" w:hAnsi="黑体" w:cs="黑体" w:eastAsia="黑体" w:hint="default"/>
                <w:sz w:val="19"/>
                <w:szCs w:val="19"/>
              </w:rPr>
            </w:pPr>
            <w:r>
              <w:rPr>
                <w:rFonts w:ascii="黑体" w:hAnsi="黑体" w:cs="黑体" w:eastAsia="黑体" w:hint="default"/>
                <w:sz w:val="19"/>
                <w:szCs w:val="19"/>
              </w:rPr>
              <w:t>资本公积</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571" w:right="0"/>
              <w:jc w:val="left"/>
              <w:rPr>
                <w:rFonts w:ascii="黑体" w:hAnsi="黑体" w:cs="黑体" w:eastAsia="黑体" w:hint="default"/>
                <w:sz w:val="19"/>
                <w:szCs w:val="19"/>
              </w:rPr>
            </w:pPr>
            <w:r>
              <w:rPr>
                <w:rFonts w:ascii="黑体" w:hAnsi="黑体" w:cs="黑体" w:eastAsia="黑体" w:hint="default"/>
                <w:sz w:val="19"/>
                <w:szCs w:val="19"/>
              </w:rPr>
              <w:t>盈余公积</w:t>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501" w:right="0"/>
              <w:jc w:val="left"/>
              <w:rPr>
                <w:rFonts w:ascii="黑体" w:hAnsi="黑体" w:cs="黑体" w:eastAsia="黑体" w:hint="default"/>
                <w:sz w:val="19"/>
                <w:szCs w:val="19"/>
              </w:rPr>
            </w:pPr>
            <w:r>
              <w:rPr>
                <w:rFonts w:ascii="黑体" w:hAnsi="黑体" w:cs="黑体" w:eastAsia="黑体" w:hint="default"/>
                <w:sz w:val="19"/>
                <w:szCs w:val="19"/>
              </w:rPr>
              <w:t>未分配利润</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420" w:right="0"/>
              <w:jc w:val="left"/>
              <w:rPr>
                <w:rFonts w:ascii="黑体" w:hAnsi="黑体" w:cs="黑体" w:eastAsia="黑体" w:hint="default"/>
                <w:sz w:val="19"/>
                <w:szCs w:val="19"/>
              </w:rPr>
            </w:pPr>
            <w:r>
              <w:rPr>
                <w:rFonts w:ascii="黑体" w:hAnsi="黑体" w:cs="黑体" w:eastAsia="黑体" w:hint="default"/>
                <w:sz w:val="19"/>
                <w:szCs w:val="19"/>
              </w:rPr>
              <w:t>股东权益合计</w:t>
            </w:r>
          </w:p>
        </w:tc>
      </w:tr>
      <w:tr>
        <w:trPr>
          <w:trHeight w:val="262" w:hRule="exact"/>
        </w:trPr>
        <w:tc>
          <w:tcPr>
            <w:tcW w:w="461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19"/>
                <w:szCs w:val="19"/>
              </w:rPr>
            </w:pPr>
            <w:r>
              <w:rPr>
                <w:rFonts w:ascii="Arial" w:hAnsi="Arial" w:cs="Arial" w:eastAsia="Arial" w:hint="default"/>
                <w:sz w:val="19"/>
                <w:szCs w:val="19"/>
              </w:rPr>
              <w:t>2014</w:t>
            </w:r>
            <w:r>
              <w:rPr>
                <w:rFonts w:ascii="Arial" w:hAnsi="Arial" w:cs="Arial" w:eastAsia="Arial" w:hint="default"/>
                <w:spacing w:val="-6"/>
                <w:sz w:val="19"/>
                <w:szCs w:val="19"/>
              </w:rPr>
              <w:t> </w:t>
            </w:r>
            <w:r>
              <w:rPr>
                <w:rFonts w:ascii="宋体" w:hAnsi="宋体" w:cs="宋体" w:eastAsia="宋体" w:hint="default"/>
                <w:sz w:val="19"/>
                <w:szCs w:val="19"/>
              </w:rPr>
              <w:t>年</w:t>
            </w:r>
            <w:r>
              <w:rPr>
                <w:rFonts w:ascii="宋体" w:hAnsi="宋体" w:cs="宋体" w:eastAsia="宋体" w:hint="default"/>
                <w:spacing w:val="-48"/>
                <w:sz w:val="19"/>
                <w:szCs w:val="19"/>
              </w:rPr>
              <w:t> </w:t>
            </w:r>
            <w:r>
              <w:rPr>
                <w:rFonts w:ascii="Arial" w:hAnsi="Arial" w:cs="Arial" w:eastAsia="Arial" w:hint="default"/>
                <w:sz w:val="19"/>
                <w:szCs w:val="19"/>
              </w:rPr>
              <w:t>1</w:t>
            </w:r>
            <w:r>
              <w:rPr>
                <w:rFonts w:ascii="Arial" w:hAnsi="Arial" w:cs="Arial" w:eastAsia="Arial" w:hint="default"/>
                <w:spacing w:val="-6"/>
                <w:sz w:val="19"/>
                <w:szCs w:val="19"/>
              </w:rPr>
              <w:t> </w:t>
            </w:r>
            <w:r>
              <w:rPr>
                <w:rFonts w:ascii="宋体" w:hAnsi="宋体" w:cs="宋体" w:eastAsia="宋体" w:hint="default"/>
                <w:sz w:val="19"/>
                <w:szCs w:val="19"/>
              </w:rPr>
              <w:t>月</w:t>
            </w:r>
            <w:r>
              <w:rPr>
                <w:rFonts w:ascii="宋体" w:hAnsi="宋体" w:cs="宋体" w:eastAsia="宋体" w:hint="default"/>
                <w:spacing w:val="-49"/>
                <w:sz w:val="19"/>
                <w:szCs w:val="19"/>
              </w:rPr>
              <w:t> </w:t>
            </w:r>
            <w:r>
              <w:rPr>
                <w:rFonts w:ascii="Arial" w:hAnsi="Arial" w:cs="Arial" w:eastAsia="Arial" w:hint="default"/>
                <w:sz w:val="19"/>
                <w:szCs w:val="19"/>
              </w:rPr>
              <w:t>1</w:t>
            </w:r>
            <w:r>
              <w:rPr>
                <w:rFonts w:ascii="Arial" w:hAnsi="Arial" w:cs="Arial" w:eastAsia="Arial" w:hint="default"/>
                <w:spacing w:val="-6"/>
                <w:sz w:val="19"/>
                <w:szCs w:val="19"/>
              </w:rPr>
              <w:t> </w:t>
            </w:r>
            <w:r>
              <w:rPr>
                <w:rFonts w:ascii="宋体" w:hAnsi="宋体" w:cs="宋体" w:eastAsia="宋体" w:hint="default"/>
                <w:sz w:val="19"/>
                <w:szCs w:val="19"/>
              </w:rPr>
              <w:t>日年初余额</w:t>
            </w:r>
          </w:p>
        </w:tc>
        <w:tc>
          <w:tcPr>
            <w:tcW w:w="751"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Arial" w:hAnsi="Arial" w:cs="Arial" w:eastAsia="Arial" w:hint="default"/>
                <w:sz w:val="19"/>
                <w:szCs w:val="19"/>
              </w:rPr>
            </w:pPr>
            <w:r>
              <w:rPr>
                <w:rFonts w:ascii="Arial"/>
                <w:w w:val="95"/>
                <w:sz w:val="19"/>
              </w:rPr>
              <w:t>21,196,596,395</w:t>
            </w:r>
            <w:r>
              <w:rPr>
                <w:rFonts w:ascii="Arial"/>
                <w:sz w:val="19"/>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Arial" w:hAnsi="Arial" w:cs="Arial" w:eastAsia="Arial" w:hint="default"/>
                <w:sz w:val="19"/>
                <w:szCs w:val="19"/>
              </w:rPr>
            </w:pPr>
            <w:r>
              <w:rPr>
                <w:rFonts w:ascii="Arial"/>
                <w:w w:val="95"/>
                <w:sz w:val="19"/>
              </w:rPr>
              <w:t>17,111,103,108</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Arial" w:hAnsi="Arial" w:cs="Arial" w:eastAsia="Arial" w:hint="default"/>
                <w:sz w:val="19"/>
                <w:szCs w:val="19"/>
              </w:rPr>
            </w:pPr>
            <w:r>
              <w:rPr>
                <w:rFonts w:ascii="Arial"/>
                <w:w w:val="95"/>
                <w:sz w:val="19"/>
              </w:rPr>
              <w:t>919,120,486</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1"/>
              <w:jc w:val="right"/>
              <w:rPr>
                <w:rFonts w:ascii="Arial" w:hAnsi="Arial" w:cs="Arial" w:eastAsia="Arial" w:hint="default"/>
                <w:sz w:val="19"/>
                <w:szCs w:val="19"/>
              </w:rPr>
            </w:pPr>
            <w:r>
              <w:rPr>
                <w:rFonts w:ascii="Arial"/>
                <w:w w:val="95"/>
                <w:sz w:val="19"/>
              </w:rPr>
              <w:t>4,899,353</w:t>
            </w:r>
            <w:r>
              <w:rPr>
                <w:rFonts w:ascii="Arial"/>
                <w:sz w:val="19"/>
              </w:rPr>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1"/>
              <w:jc w:val="right"/>
              <w:rPr>
                <w:rFonts w:ascii="Arial" w:hAnsi="Arial" w:cs="Arial" w:eastAsia="Arial" w:hint="default"/>
                <w:sz w:val="19"/>
                <w:szCs w:val="19"/>
              </w:rPr>
            </w:pPr>
            <w:r>
              <w:rPr>
                <w:rFonts w:ascii="Arial"/>
                <w:w w:val="95"/>
                <w:sz w:val="19"/>
              </w:rPr>
              <w:t>39,231,719,342</w:t>
            </w:r>
            <w:r>
              <w:rPr>
                <w:rFonts w:ascii="Arial"/>
                <w:sz w:val="19"/>
              </w:rPr>
            </w:r>
          </w:p>
        </w:tc>
      </w:tr>
      <w:tr>
        <w:trPr>
          <w:trHeight w:val="262" w:hRule="exact"/>
        </w:trPr>
        <w:tc>
          <w:tcPr>
            <w:tcW w:w="4619"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112" w:right="0"/>
              <w:jc w:val="left"/>
              <w:rPr>
                <w:rFonts w:ascii="宋体" w:hAnsi="宋体" w:cs="宋体" w:eastAsia="宋体" w:hint="default"/>
                <w:sz w:val="19"/>
                <w:szCs w:val="19"/>
              </w:rPr>
            </w:pPr>
            <w:r>
              <w:rPr>
                <w:rFonts w:ascii="宋体" w:hAnsi="宋体" w:cs="宋体" w:eastAsia="宋体" w:hint="default"/>
                <w:sz w:val="19"/>
                <w:szCs w:val="19"/>
              </w:rPr>
              <w:t>（一）综合收益总额</w:t>
            </w:r>
          </w:p>
        </w:tc>
        <w:tc>
          <w:tcPr>
            <w:tcW w:w="751"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19"/>
              <w:jc w:val="right"/>
              <w:rPr>
                <w:rFonts w:ascii="Arial" w:hAnsi="Arial" w:cs="Arial" w:eastAsia="Arial" w:hint="default"/>
                <w:sz w:val="19"/>
                <w:szCs w:val="19"/>
              </w:rPr>
            </w:pPr>
            <w:r>
              <w:rPr>
                <w:rFonts w:ascii="Arial"/>
                <w:w w:val="99"/>
                <w:sz w:val="19"/>
              </w:rPr>
              <w:t>-</w:t>
            </w:r>
            <w:r>
              <w:rPr>
                <w:rFonts w:ascii="Arial"/>
                <w:sz w:val="19"/>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19"/>
              <w:jc w:val="right"/>
              <w:rPr>
                <w:rFonts w:ascii="Arial" w:hAnsi="Arial" w:cs="Arial" w:eastAsia="Arial" w:hint="default"/>
                <w:sz w:val="19"/>
                <w:szCs w:val="19"/>
              </w:rPr>
            </w:pPr>
            <w:r>
              <w:rPr>
                <w:rFonts w:ascii="Arial"/>
                <w:w w:val="99"/>
                <w:sz w:val="19"/>
              </w:rPr>
              <w:t>-</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19"/>
              <w:jc w:val="right"/>
              <w:rPr>
                <w:rFonts w:ascii="Arial" w:hAnsi="Arial" w:cs="Arial" w:eastAsia="Arial" w:hint="default"/>
                <w:sz w:val="19"/>
                <w:szCs w:val="19"/>
              </w:rPr>
            </w:pPr>
            <w:r>
              <w:rPr>
                <w:rFonts w:ascii="Arial"/>
                <w:w w:val="99"/>
                <w:sz w:val="19"/>
              </w:rPr>
              <w:t>-</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36"/>
              <w:jc w:val="right"/>
              <w:rPr>
                <w:rFonts w:ascii="Arial" w:hAnsi="Arial" w:cs="Arial" w:eastAsia="Arial" w:hint="default"/>
                <w:sz w:val="19"/>
                <w:szCs w:val="19"/>
              </w:rPr>
            </w:pPr>
            <w:r>
              <w:rPr>
                <w:rFonts w:ascii="Arial"/>
                <w:w w:val="95"/>
                <w:sz w:val="19"/>
              </w:rPr>
              <w:t>1,257,022,728</w:t>
            </w:r>
            <w:r>
              <w:rPr>
                <w:rFonts w:ascii="Arial"/>
                <w:sz w:val="19"/>
              </w:rPr>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1"/>
              <w:jc w:val="right"/>
              <w:rPr>
                <w:rFonts w:ascii="Arial" w:hAnsi="Arial" w:cs="Arial" w:eastAsia="Arial" w:hint="default"/>
                <w:sz w:val="19"/>
                <w:szCs w:val="19"/>
              </w:rPr>
            </w:pPr>
            <w:r>
              <w:rPr>
                <w:rFonts w:ascii="Arial"/>
                <w:w w:val="95"/>
                <w:sz w:val="19"/>
              </w:rPr>
              <w:t>1,257,022,728</w:t>
            </w:r>
            <w:r>
              <w:rPr>
                <w:rFonts w:ascii="Arial"/>
                <w:sz w:val="19"/>
              </w:rPr>
            </w:r>
          </w:p>
        </w:tc>
      </w:tr>
      <w:tr>
        <w:trPr>
          <w:trHeight w:val="259" w:hRule="exact"/>
        </w:trPr>
        <w:tc>
          <w:tcPr>
            <w:tcW w:w="4619"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112" w:right="0"/>
              <w:jc w:val="left"/>
              <w:rPr>
                <w:rFonts w:ascii="宋体" w:hAnsi="宋体" w:cs="宋体" w:eastAsia="宋体" w:hint="default"/>
                <w:sz w:val="19"/>
                <w:szCs w:val="19"/>
              </w:rPr>
            </w:pPr>
            <w:r>
              <w:rPr>
                <w:rFonts w:ascii="宋体" w:hAnsi="宋体" w:cs="宋体" w:eastAsia="宋体" w:hint="default"/>
                <w:sz w:val="19"/>
                <w:szCs w:val="19"/>
              </w:rPr>
              <w:t>（二）利润分配</w:t>
            </w:r>
          </w:p>
        </w:tc>
        <w:tc>
          <w:tcPr>
            <w:tcW w:w="751"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c>
          <w:tcPr>
            <w:tcW w:w="1995" w:type="dxa"/>
            <w:tcBorders>
              <w:top w:val="single" w:sz="6" w:space="0" w:color="000000"/>
              <w:left w:val="single" w:sz="6" w:space="0" w:color="000000"/>
              <w:bottom w:val="single" w:sz="6" w:space="0" w:color="000000"/>
              <w:right w:val="single" w:sz="6" w:space="0" w:color="000000"/>
            </w:tcBorders>
          </w:tcPr>
          <w:p>
            <w:pPr/>
          </w:p>
        </w:tc>
      </w:tr>
      <w:tr>
        <w:trPr>
          <w:trHeight w:val="262" w:hRule="exact"/>
        </w:trPr>
        <w:tc>
          <w:tcPr>
            <w:tcW w:w="461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513"/>
              <w:jc w:val="right"/>
              <w:rPr>
                <w:rFonts w:ascii="宋体" w:hAnsi="宋体" w:cs="宋体" w:eastAsia="宋体" w:hint="default"/>
                <w:sz w:val="19"/>
                <w:szCs w:val="19"/>
              </w:rPr>
            </w:pPr>
            <w:r>
              <w:rPr>
                <w:rFonts w:ascii="Arial" w:hAnsi="Arial" w:cs="Arial" w:eastAsia="Arial" w:hint="default"/>
                <w:w w:val="95"/>
                <w:sz w:val="19"/>
                <w:szCs w:val="19"/>
              </w:rPr>
              <w:t>1.</w:t>
            </w:r>
            <w:r>
              <w:rPr>
                <w:rFonts w:ascii="宋体" w:hAnsi="宋体" w:cs="宋体" w:eastAsia="宋体" w:hint="default"/>
                <w:w w:val="95"/>
                <w:sz w:val="19"/>
                <w:szCs w:val="19"/>
              </w:rPr>
              <w:t>提取盈余公积－法定公积金</w:t>
            </w:r>
            <w:r>
              <w:rPr>
                <w:rFonts w:ascii="宋体" w:hAnsi="宋体" w:cs="宋体" w:eastAsia="宋体" w:hint="default"/>
                <w:sz w:val="19"/>
                <w:szCs w:val="19"/>
              </w:rPr>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2"/>
              <w:jc w:val="center"/>
              <w:rPr>
                <w:rFonts w:ascii="Arial" w:hAnsi="Arial" w:cs="Arial" w:eastAsia="Arial" w:hint="default"/>
                <w:sz w:val="19"/>
                <w:szCs w:val="19"/>
              </w:rPr>
            </w:pPr>
            <w:r>
              <w:rPr>
                <w:rFonts w:ascii="宋体" w:hAnsi="宋体" w:cs="宋体" w:eastAsia="宋体" w:hint="default"/>
                <w:sz w:val="19"/>
                <w:szCs w:val="19"/>
              </w:rPr>
              <w:t>五</w:t>
            </w:r>
            <w:r>
              <w:rPr>
                <w:rFonts w:ascii="Arial" w:hAnsi="Arial" w:cs="Arial" w:eastAsia="Arial" w:hint="default"/>
                <w:sz w:val="19"/>
                <w:szCs w:val="19"/>
              </w:rPr>
              <w:t>(34)</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19"/>
              <w:jc w:val="right"/>
              <w:rPr>
                <w:rFonts w:ascii="Arial" w:hAnsi="Arial" w:cs="Arial" w:eastAsia="Arial" w:hint="default"/>
                <w:sz w:val="19"/>
                <w:szCs w:val="19"/>
              </w:rPr>
            </w:pPr>
            <w:r>
              <w:rPr>
                <w:rFonts w:ascii="Arial"/>
                <w:w w:val="99"/>
                <w:sz w:val="19"/>
              </w:rPr>
              <w:t>-</w:t>
            </w:r>
            <w:r>
              <w:rPr>
                <w:rFonts w:ascii="Arial"/>
                <w:sz w:val="19"/>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19"/>
              <w:jc w:val="right"/>
              <w:rPr>
                <w:rFonts w:ascii="Arial" w:hAnsi="Arial" w:cs="Arial" w:eastAsia="Arial" w:hint="default"/>
                <w:sz w:val="19"/>
                <w:szCs w:val="19"/>
              </w:rPr>
            </w:pPr>
            <w:r>
              <w:rPr>
                <w:rFonts w:ascii="Arial"/>
                <w:w w:val="99"/>
                <w:sz w:val="19"/>
              </w:rPr>
              <w:t>-</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Arial" w:hAnsi="Arial" w:cs="Arial" w:eastAsia="Arial" w:hint="default"/>
                <w:sz w:val="19"/>
                <w:szCs w:val="19"/>
              </w:rPr>
            </w:pPr>
            <w:r>
              <w:rPr>
                <w:rFonts w:ascii="Arial"/>
                <w:w w:val="95"/>
                <w:sz w:val="19"/>
              </w:rPr>
              <w:t>125,702,273</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79"/>
              <w:jc w:val="right"/>
              <w:rPr>
                <w:rFonts w:ascii="Arial" w:hAnsi="Arial" w:cs="Arial" w:eastAsia="Arial" w:hint="default"/>
                <w:sz w:val="19"/>
                <w:szCs w:val="19"/>
              </w:rPr>
            </w:pPr>
            <w:r>
              <w:rPr>
                <w:rFonts w:ascii="Arial"/>
                <w:spacing w:val="-1"/>
                <w:sz w:val="19"/>
              </w:rPr>
              <w:t>(125,702,273)</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Arial" w:hAnsi="Arial" w:cs="Arial" w:eastAsia="Arial" w:hint="default"/>
                <w:sz w:val="19"/>
                <w:szCs w:val="19"/>
              </w:rPr>
            </w:pPr>
            <w:r>
              <w:rPr>
                <w:rFonts w:ascii="Arial"/>
                <w:w w:val="99"/>
                <w:sz w:val="19"/>
              </w:rPr>
              <w:t>-</w:t>
            </w:r>
            <w:r>
              <w:rPr>
                <w:rFonts w:ascii="Arial"/>
                <w:sz w:val="19"/>
              </w:rPr>
            </w:r>
          </w:p>
        </w:tc>
      </w:tr>
      <w:tr>
        <w:trPr>
          <w:trHeight w:val="262" w:hRule="exact"/>
        </w:trPr>
        <w:tc>
          <w:tcPr>
            <w:tcW w:w="461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653" w:right="0"/>
              <w:jc w:val="left"/>
              <w:rPr>
                <w:rFonts w:ascii="宋体" w:hAnsi="宋体" w:cs="宋体" w:eastAsia="宋体" w:hint="default"/>
                <w:sz w:val="19"/>
                <w:szCs w:val="19"/>
              </w:rPr>
            </w:pPr>
            <w:r>
              <w:rPr>
                <w:rFonts w:ascii="Arial" w:hAnsi="Arial" w:cs="Arial" w:eastAsia="Arial" w:hint="default"/>
                <w:sz w:val="19"/>
                <w:szCs w:val="19"/>
              </w:rPr>
              <w:t>2.</w:t>
            </w:r>
            <w:r>
              <w:rPr>
                <w:rFonts w:ascii="宋体" w:hAnsi="宋体" w:cs="宋体" w:eastAsia="宋体" w:hint="default"/>
                <w:sz w:val="19"/>
                <w:szCs w:val="19"/>
              </w:rPr>
              <w:t>向股东分派的普通股股利</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2"/>
              <w:jc w:val="center"/>
              <w:rPr>
                <w:rFonts w:ascii="Arial" w:hAnsi="Arial" w:cs="Arial" w:eastAsia="Arial" w:hint="default"/>
                <w:sz w:val="19"/>
                <w:szCs w:val="19"/>
              </w:rPr>
            </w:pPr>
            <w:r>
              <w:rPr>
                <w:rFonts w:ascii="宋体" w:hAnsi="宋体" w:cs="宋体" w:eastAsia="宋体" w:hint="default"/>
                <w:sz w:val="19"/>
                <w:szCs w:val="19"/>
              </w:rPr>
              <w:t>五</w:t>
            </w:r>
            <w:r>
              <w:rPr>
                <w:rFonts w:ascii="Arial" w:hAnsi="Arial" w:cs="Arial" w:eastAsia="Arial" w:hint="default"/>
                <w:sz w:val="19"/>
                <w:szCs w:val="19"/>
              </w:rPr>
              <w:t>(35)</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19"/>
              <w:jc w:val="right"/>
              <w:rPr>
                <w:rFonts w:ascii="Arial" w:hAnsi="Arial" w:cs="Arial" w:eastAsia="Arial" w:hint="default"/>
                <w:sz w:val="19"/>
                <w:szCs w:val="19"/>
              </w:rPr>
            </w:pPr>
            <w:r>
              <w:rPr>
                <w:rFonts w:ascii="Arial"/>
                <w:w w:val="99"/>
                <w:sz w:val="19"/>
              </w:rPr>
              <w:t>-</w:t>
            </w:r>
            <w:r>
              <w:rPr>
                <w:rFonts w:ascii="Arial"/>
                <w:sz w:val="19"/>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19"/>
              <w:jc w:val="right"/>
              <w:rPr>
                <w:rFonts w:ascii="Arial" w:hAnsi="Arial" w:cs="Arial" w:eastAsia="Arial" w:hint="default"/>
                <w:sz w:val="19"/>
                <w:szCs w:val="19"/>
              </w:rPr>
            </w:pPr>
            <w:r>
              <w:rPr>
                <w:rFonts w:ascii="Arial"/>
                <w:w w:val="99"/>
                <w:sz w:val="19"/>
              </w:rPr>
              <w:t>-</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19"/>
              <w:jc w:val="right"/>
              <w:rPr>
                <w:rFonts w:ascii="Arial" w:hAnsi="Arial" w:cs="Arial" w:eastAsia="Arial" w:hint="default"/>
                <w:sz w:val="19"/>
                <w:szCs w:val="19"/>
              </w:rPr>
            </w:pPr>
            <w:r>
              <w:rPr>
                <w:rFonts w:ascii="Arial"/>
                <w:w w:val="99"/>
                <w:sz w:val="19"/>
              </w:rPr>
              <w:t>-</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78"/>
              <w:jc w:val="right"/>
              <w:rPr>
                <w:rFonts w:ascii="Arial" w:hAnsi="Arial" w:cs="Arial" w:eastAsia="Arial" w:hint="default"/>
                <w:sz w:val="19"/>
                <w:szCs w:val="19"/>
              </w:rPr>
            </w:pPr>
            <w:r>
              <w:rPr>
                <w:rFonts w:ascii="Arial"/>
                <w:w w:val="95"/>
                <w:sz w:val="19"/>
              </w:rPr>
              <w:t>(1,131,898,248)</w:t>
            </w:r>
            <w:r>
              <w:rPr>
                <w:rFonts w:ascii="Arial"/>
                <w:sz w:val="19"/>
              </w:rPr>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4"/>
              <w:jc w:val="right"/>
              <w:rPr>
                <w:rFonts w:ascii="Arial" w:hAnsi="Arial" w:cs="Arial" w:eastAsia="Arial" w:hint="default"/>
                <w:sz w:val="19"/>
                <w:szCs w:val="19"/>
              </w:rPr>
            </w:pPr>
            <w:r>
              <w:rPr>
                <w:rFonts w:ascii="Arial"/>
                <w:spacing w:val="-1"/>
                <w:sz w:val="19"/>
              </w:rPr>
              <w:t>(1,131,898,248)</w:t>
            </w:r>
          </w:p>
        </w:tc>
      </w:tr>
      <w:tr>
        <w:trPr>
          <w:trHeight w:val="262" w:hRule="exact"/>
        </w:trPr>
        <w:tc>
          <w:tcPr>
            <w:tcW w:w="461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宋体" w:hAnsi="宋体" w:cs="宋体" w:eastAsia="宋体" w:hint="default"/>
                <w:sz w:val="19"/>
                <w:szCs w:val="19"/>
              </w:rPr>
            </w:pPr>
            <w:r>
              <w:rPr>
                <w:rFonts w:ascii="Arial" w:hAnsi="Arial" w:cs="Arial" w:eastAsia="Arial" w:hint="default"/>
                <w:sz w:val="19"/>
                <w:szCs w:val="19"/>
              </w:rPr>
              <w:t>2014</w:t>
            </w:r>
            <w:r>
              <w:rPr>
                <w:rFonts w:ascii="Arial" w:hAnsi="Arial" w:cs="Arial" w:eastAsia="Arial" w:hint="default"/>
                <w:spacing w:val="-6"/>
                <w:sz w:val="19"/>
                <w:szCs w:val="19"/>
              </w:rPr>
              <w:t> </w:t>
            </w:r>
            <w:r>
              <w:rPr>
                <w:rFonts w:ascii="宋体" w:hAnsi="宋体" w:cs="宋体" w:eastAsia="宋体" w:hint="default"/>
                <w:sz w:val="19"/>
                <w:szCs w:val="19"/>
              </w:rPr>
              <w:t>年</w:t>
            </w:r>
            <w:r>
              <w:rPr>
                <w:rFonts w:ascii="宋体" w:hAnsi="宋体" w:cs="宋体" w:eastAsia="宋体" w:hint="default"/>
                <w:spacing w:val="-48"/>
                <w:sz w:val="19"/>
                <w:szCs w:val="19"/>
              </w:rPr>
              <w:t> </w:t>
            </w:r>
            <w:r>
              <w:rPr>
                <w:rFonts w:ascii="Arial" w:hAnsi="Arial" w:cs="Arial" w:eastAsia="Arial" w:hint="default"/>
                <w:sz w:val="19"/>
                <w:szCs w:val="19"/>
              </w:rPr>
              <w:t>12</w:t>
            </w:r>
            <w:r>
              <w:rPr>
                <w:rFonts w:ascii="Arial" w:hAnsi="Arial" w:cs="Arial" w:eastAsia="Arial" w:hint="default"/>
                <w:spacing w:val="-6"/>
                <w:sz w:val="19"/>
                <w:szCs w:val="19"/>
              </w:rPr>
              <w:t> </w:t>
            </w:r>
            <w:r>
              <w:rPr>
                <w:rFonts w:ascii="宋体" w:hAnsi="宋体" w:cs="宋体" w:eastAsia="宋体" w:hint="default"/>
                <w:sz w:val="19"/>
                <w:szCs w:val="19"/>
              </w:rPr>
              <w:t>月</w:t>
            </w:r>
            <w:r>
              <w:rPr>
                <w:rFonts w:ascii="宋体" w:hAnsi="宋体" w:cs="宋体" w:eastAsia="宋体" w:hint="default"/>
                <w:spacing w:val="-48"/>
                <w:sz w:val="19"/>
                <w:szCs w:val="19"/>
              </w:rPr>
              <w:t> </w:t>
            </w:r>
            <w:r>
              <w:rPr>
                <w:rFonts w:ascii="Arial" w:hAnsi="Arial" w:cs="Arial" w:eastAsia="Arial" w:hint="default"/>
                <w:sz w:val="19"/>
                <w:szCs w:val="19"/>
              </w:rPr>
              <w:t>31</w:t>
            </w:r>
            <w:r>
              <w:rPr>
                <w:rFonts w:ascii="Arial" w:hAnsi="Arial" w:cs="Arial" w:eastAsia="Arial" w:hint="default"/>
                <w:spacing w:val="-6"/>
                <w:sz w:val="19"/>
                <w:szCs w:val="19"/>
              </w:rPr>
              <w:t> </w:t>
            </w:r>
            <w:r>
              <w:rPr>
                <w:rFonts w:ascii="宋体" w:hAnsi="宋体" w:cs="宋体" w:eastAsia="宋体" w:hint="default"/>
                <w:sz w:val="19"/>
                <w:szCs w:val="19"/>
              </w:rPr>
              <w:t>日年末余额</w:t>
            </w:r>
          </w:p>
        </w:tc>
        <w:tc>
          <w:tcPr>
            <w:tcW w:w="751"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Arial" w:hAnsi="Arial" w:cs="Arial" w:eastAsia="Arial" w:hint="default"/>
                <w:sz w:val="19"/>
                <w:szCs w:val="19"/>
              </w:rPr>
            </w:pPr>
            <w:r>
              <w:rPr>
                <w:rFonts w:ascii="Arial"/>
                <w:w w:val="95"/>
                <w:sz w:val="19"/>
              </w:rPr>
              <w:t>21,196,596,395</w:t>
            </w:r>
            <w:r>
              <w:rPr>
                <w:rFonts w:ascii="Arial"/>
                <w:sz w:val="19"/>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Arial" w:hAnsi="Arial" w:cs="Arial" w:eastAsia="Arial" w:hint="default"/>
                <w:sz w:val="19"/>
                <w:szCs w:val="19"/>
              </w:rPr>
            </w:pPr>
            <w:r>
              <w:rPr>
                <w:rFonts w:ascii="Arial"/>
                <w:w w:val="95"/>
                <w:sz w:val="19"/>
              </w:rPr>
              <w:t>17,111,103,108</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Arial" w:hAnsi="Arial" w:cs="Arial" w:eastAsia="Arial" w:hint="default"/>
                <w:sz w:val="19"/>
                <w:szCs w:val="19"/>
              </w:rPr>
            </w:pPr>
            <w:r>
              <w:rPr>
                <w:rFonts w:ascii="Arial"/>
                <w:w w:val="95"/>
                <w:sz w:val="19"/>
              </w:rPr>
              <w:t>1,044,822,759</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37"/>
              <w:jc w:val="right"/>
              <w:rPr>
                <w:rFonts w:ascii="Arial" w:hAnsi="Arial" w:cs="Arial" w:eastAsia="Arial" w:hint="default"/>
                <w:sz w:val="19"/>
                <w:szCs w:val="19"/>
              </w:rPr>
            </w:pPr>
            <w:r>
              <w:rPr>
                <w:rFonts w:ascii="Arial"/>
                <w:w w:val="95"/>
                <w:sz w:val="19"/>
              </w:rPr>
              <w:t>4,321,560</w:t>
            </w:r>
            <w:r>
              <w:rPr>
                <w:rFonts w:ascii="Arial"/>
                <w:sz w:val="19"/>
              </w:rPr>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1"/>
              <w:jc w:val="right"/>
              <w:rPr>
                <w:rFonts w:ascii="Arial" w:hAnsi="Arial" w:cs="Arial" w:eastAsia="Arial" w:hint="default"/>
                <w:sz w:val="19"/>
                <w:szCs w:val="19"/>
              </w:rPr>
            </w:pPr>
            <w:r>
              <w:rPr>
                <w:rFonts w:ascii="Arial"/>
                <w:w w:val="95"/>
                <w:sz w:val="19"/>
              </w:rPr>
              <w:t>39,356,843,822</w:t>
            </w:r>
            <w:r>
              <w:rPr>
                <w:rFonts w:ascii="Arial"/>
                <w:sz w:val="19"/>
              </w:rPr>
            </w:r>
          </w:p>
        </w:tc>
      </w:tr>
      <w:tr>
        <w:trPr>
          <w:trHeight w:val="235" w:hRule="exact"/>
        </w:trPr>
        <w:tc>
          <w:tcPr>
            <w:tcW w:w="4619"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c>
          <w:tcPr>
            <w:tcW w:w="1995" w:type="dxa"/>
            <w:tcBorders>
              <w:top w:val="single" w:sz="6" w:space="0" w:color="000000"/>
              <w:left w:val="single" w:sz="6" w:space="0" w:color="000000"/>
              <w:bottom w:val="single" w:sz="6" w:space="0" w:color="000000"/>
              <w:right w:val="single" w:sz="6" w:space="0" w:color="000000"/>
            </w:tcBorders>
          </w:tcPr>
          <w:p>
            <w:pPr/>
          </w:p>
        </w:tc>
      </w:tr>
      <w:tr>
        <w:trPr>
          <w:trHeight w:val="259" w:hRule="exact"/>
        </w:trPr>
        <w:tc>
          <w:tcPr>
            <w:tcW w:w="461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12" w:right="0"/>
              <w:jc w:val="left"/>
              <w:rPr>
                <w:rFonts w:ascii="宋体" w:hAnsi="宋体" w:cs="宋体" w:eastAsia="宋体" w:hint="default"/>
                <w:sz w:val="19"/>
                <w:szCs w:val="19"/>
              </w:rPr>
            </w:pPr>
            <w:r>
              <w:rPr>
                <w:rFonts w:ascii="Arial" w:hAnsi="Arial" w:cs="Arial" w:eastAsia="Arial" w:hint="default"/>
                <w:sz w:val="19"/>
                <w:szCs w:val="19"/>
              </w:rPr>
              <w:t>2013</w:t>
            </w:r>
            <w:r>
              <w:rPr>
                <w:rFonts w:ascii="Arial" w:hAnsi="Arial" w:cs="Arial" w:eastAsia="Arial" w:hint="default"/>
                <w:spacing w:val="-6"/>
                <w:sz w:val="19"/>
                <w:szCs w:val="19"/>
              </w:rPr>
              <w:t> </w:t>
            </w:r>
            <w:r>
              <w:rPr>
                <w:rFonts w:ascii="宋体" w:hAnsi="宋体" w:cs="宋体" w:eastAsia="宋体" w:hint="default"/>
                <w:sz w:val="19"/>
                <w:szCs w:val="19"/>
              </w:rPr>
              <w:t>年</w:t>
            </w:r>
            <w:r>
              <w:rPr>
                <w:rFonts w:ascii="宋体" w:hAnsi="宋体" w:cs="宋体" w:eastAsia="宋体" w:hint="default"/>
                <w:spacing w:val="-48"/>
                <w:sz w:val="19"/>
                <w:szCs w:val="19"/>
              </w:rPr>
              <w:t> </w:t>
            </w:r>
            <w:r>
              <w:rPr>
                <w:rFonts w:ascii="Arial" w:hAnsi="Arial" w:cs="Arial" w:eastAsia="Arial" w:hint="default"/>
                <w:sz w:val="19"/>
                <w:szCs w:val="19"/>
              </w:rPr>
              <w:t>1</w:t>
            </w:r>
            <w:r>
              <w:rPr>
                <w:rFonts w:ascii="Arial" w:hAnsi="Arial" w:cs="Arial" w:eastAsia="Arial" w:hint="default"/>
                <w:spacing w:val="-6"/>
                <w:sz w:val="19"/>
                <w:szCs w:val="19"/>
              </w:rPr>
              <w:t> </w:t>
            </w:r>
            <w:r>
              <w:rPr>
                <w:rFonts w:ascii="宋体" w:hAnsi="宋体" w:cs="宋体" w:eastAsia="宋体" w:hint="default"/>
                <w:sz w:val="19"/>
                <w:szCs w:val="19"/>
              </w:rPr>
              <w:t>月</w:t>
            </w:r>
            <w:r>
              <w:rPr>
                <w:rFonts w:ascii="宋体" w:hAnsi="宋体" w:cs="宋体" w:eastAsia="宋体" w:hint="default"/>
                <w:spacing w:val="-49"/>
                <w:sz w:val="19"/>
                <w:szCs w:val="19"/>
              </w:rPr>
              <w:t> </w:t>
            </w:r>
            <w:r>
              <w:rPr>
                <w:rFonts w:ascii="Arial" w:hAnsi="Arial" w:cs="Arial" w:eastAsia="Arial" w:hint="default"/>
                <w:sz w:val="19"/>
                <w:szCs w:val="19"/>
              </w:rPr>
              <w:t>1</w:t>
            </w:r>
            <w:r>
              <w:rPr>
                <w:rFonts w:ascii="Arial" w:hAnsi="Arial" w:cs="Arial" w:eastAsia="Arial" w:hint="default"/>
                <w:spacing w:val="-6"/>
                <w:sz w:val="19"/>
                <w:szCs w:val="19"/>
              </w:rPr>
              <w:t> </w:t>
            </w:r>
            <w:r>
              <w:rPr>
                <w:rFonts w:ascii="宋体" w:hAnsi="宋体" w:cs="宋体" w:eastAsia="宋体" w:hint="default"/>
                <w:sz w:val="19"/>
                <w:szCs w:val="19"/>
              </w:rPr>
              <w:t>日年初余额</w:t>
            </w:r>
          </w:p>
        </w:tc>
        <w:tc>
          <w:tcPr>
            <w:tcW w:w="751"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Arial" w:hAnsi="Arial" w:cs="Arial" w:eastAsia="Arial" w:hint="default"/>
                <w:sz w:val="19"/>
                <w:szCs w:val="19"/>
              </w:rPr>
            </w:pPr>
            <w:r>
              <w:rPr>
                <w:rFonts w:ascii="Arial"/>
                <w:w w:val="95"/>
                <w:sz w:val="19"/>
              </w:rPr>
              <w:t>21,196,596,395</w:t>
            </w:r>
            <w:r>
              <w:rPr>
                <w:rFonts w:ascii="Arial"/>
                <w:sz w:val="19"/>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0"/>
              <w:jc w:val="right"/>
              <w:rPr>
                <w:rFonts w:ascii="Arial" w:hAnsi="Arial" w:cs="Arial" w:eastAsia="Arial" w:hint="default"/>
                <w:sz w:val="19"/>
                <w:szCs w:val="19"/>
              </w:rPr>
            </w:pPr>
            <w:r>
              <w:rPr>
                <w:rFonts w:ascii="Arial"/>
                <w:w w:val="95"/>
                <w:sz w:val="19"/>
              </w:rPr>
              <w:t>17,111,103,108</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25"/>
              <w:jc w:val="right"/>
              <w:rPr>
                <w:rFonts w:ascii="Arial" w:hAnsi="Arial" w:cs="Arial" w:eastAsia="Arial" w:hint="default"/>
                <w:sz w:val="19"/>
                <w:szCs w:val="19"/>
              </w:rPr>
            </w:pPr>
            <w:r>
              <w:rPr>
                <w:rFonts w:ascii="Arial"/>
                <w:w w:val="95"/>
                <w:sz w:val="19"/>
              </w:rPr>
              <w:t>824,415,632</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79"/>
              <w:jc w:val="right"/>
              <w:rPr>
                <w:rFonts w:ascii="Arial" w:hAnsi="Arial" w:cs="Arial" w:eastAsia="Arial" w:hint="default"/>
                <w:sz w:val="19"/>
                <w:szCs w:val="19"/>
              </w:rPr>
            </w:pPr>
            <w:r>
              <w:rPr>
                <w:rFonts w:ascii="Arial"/>
                <w:spacing w:val="-1"/>
                <w:sz w:val="19"/>
              </w:rPr>
              <w:t>(1,700,137)</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1"/>
              <w:jc w:val="right"/>
              <w:rPr>
                <w:rFonts w:ascii="Arial" w:hAnsi="Arial" w:cs="Arial" w:eastAsia="Arial" w:hint="default"/>
                <w:sz w:val="19"/>
                <w:szCs w:val="19"/>
              </w:rPr>
            </w:pPr>
            <w:r>
              <w:rPr>
                <w:rFonts w:ascii="Arial"/>
                <w:w w:val="95"/>
                <w:sz w:val="19"/>
              </w:rPr>
              <w:t>39,130,414,998</w:t>
            </w:r>
            <w:r>
              <w:rPr>
                <w:rFonts w:ascii="Arial"/>
                <w:sz w:val="19"/>
              </w:rPr>
            </w:r>
          </w:p>
        </w:tc>
      </w:tr>
      <w:tr>
        <w:trPr>
          <w:trHeight w:val="262" w:hRule="exact"/>
        </w:trPr>
        <w:tc>
          <w:tcPr>
            <w:tcW w:w="461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12" w:right="0"/>
              <w:jc w:val="left"/>
              <w:rPr>
                <w:rFonts w:ascii="宋体" w:hAnsi="宋体" w:cs="宋体" w:eastAsia="宋体" w:hint="default"/>
                <w:sz w:val="19"/>
                <w:szCs w:val="19"/>
              </w:rPr>
            </w:pPr>
            <w:r>
              <w:rPr>
                <w:rFonts w:ascii="宋体" w:hAnsi="宋体" w:cs="宋体" w:eastAsia="宋体" w:hint="default"/>
                <w:sz w:val="19"/>
                <w:szCs w:val="19"/>
              </w:rPr>
              <w:t>（一）综合收益总额</w:t>
            </w:r>
          </w:p>
        </w:tc>
        <w:tc>
          <w:tcPr>
            <w:tcW w:w="751"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19"/>
              <w:jc w:val="right"/>
              <w:rPr>
                <w:rFonts w:ascii="Arial" w:hAnsi="Arial" w:cs="Arial" w:eastAsia="Arial" w:hint="default"/>
                <w:sz w:val="19"/>
                <w:szCs w:val="19"/>
              </w:rPr>
            </w:pPr>
            <w:r>
              <w:rPr>
                <w:rFonts w:ascii="Arial"/>
                <w:w w:val="99"/>
                <w:sz w:val="19"/>
              </w:rPr>
              <w:t>-</w:t>
            </w:r>
            <w:r>
              <w:rPr>
                <w:rFonts w:ascii="Arial"/>
                <w:sz w:val="19"/>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19"/>
              <w:jc w:val="right"/>
              <w:rPr>
                <w:rFonts w:ascii="Arial" w:hAnsi="Arial" w:cs="Arial" w:eastAsia="Arial" w:hint="default"/>
                <w:sz w:val="19"/>
                <w:szCs w:val="19"/>
              </w:rPr>
            </w:pPr>
            <w:r>
              <w:rPr>
                <w:rFonts w:ascii="Arial"/>
                <w:w w:val="99"/>
                <w:sz w:val="19"/>
              </w:rPr>
              <w:t>-</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19"/>
              <w:jc w:val="right"/>
              <w:rPr>
                <w:rFonts w:ascii="Arial" w:hAnsi="Arial" w:cs="Arial" w:eastAsia="Arial" w:hint="default"/>
                <w:sz w:val="19"/>
                <w:szCs w:val="19"/>
              </w:rPr>
            </w:pPr>
            <w:r>
              <w:rPr>
                <w:rFonts w:ascii="Arial"/>
                <w:w w:val="99"/>
                <w:sz w:val="19"/>
              </w:rPr>
              <w:t>-</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37"/>
              <w:jc w:val="right"/>
              <w:rPr>
                <w:rFonts w:ascii="Arial" w:hAnsi="Arial" w:cs="Arial" w:eastAsia="Arial" w:hint="default"/>
                <w:sz w:val="19"/>
                <w:szCs w:val="19"/>
              </w:rPr>
            </w:pPr>
            <w:r>
              <w:rPr>
                <w:rFonts w:ascii="Arial"/>
                <w:w w:val="95"/>
                <w:sz w:val="19"/>
              </w:rPr>
              <w:t>947,048,540</w:t>
            </w:r>
            <w:r>
              <w:rPr>
                <w:rFonts w:ascii="Arial"/>
                <w:sz w:val="19"/>
              </w:rPr>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1"/>
              <w:jc w:val="right"/>
              <w:rPr>
                <w:rFonts w:ascii="Arial" w:hAnsi="Arial" w:cs="Arial" w:eastAsia="Arial" w:hint="default"/>
                <w:sz w:val="19"/>
                <w:szCs w:val="19"/>
              </w:rPr>
            </w:pPr>
            <w:r>
              <w:rPr>
                <w:rFonts w:ascii="Arial"/>
                <w:w w:val="95"/>
                <w:sz w:val="19"/>
              </w:rPr>
              <w:t>947,048,540</w:t>
            </w:r>
            <w:r>
              <w:rPr>
                <w:rFonts w:ascii="Arial"/>
                <w:sz w:val="19"/>
              </w:rPr>
            </w:r>
          </w:p>
        </w:tc>
      </w:tr>
      <w:tr>
        <w:trPr>
          <w:trHeight w:val="295" w:hRule="exact"/>
        </w:trPr>
        <w:tc>
          <w:tcPr>
            <w:tcW w:w="4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112" w:right="0"/>
              <w:jc w:val="left"/>
              <w:rPr>
                <w:rFonts w:ascii="宋体" w:hAnsi="宋体" w:cs="宋体" w:eastAsia="宋体" w:hint="default"/>
                <w:sz w:val="19"/>
                <w:szCs w:val="19"/>
              </w:rPr>
            </w:pPr>
            <w:r>
              <w:rPr>
                <w:rFonts w:ascii="宋体" w:hAnsi="宋体" w:cs="宋体" w:eastAsia="宋体" w:hint="default"/>
                <w:sz w:val="19"/>
                <w:szCs w:val="19"/>
              </w:rPr>
              <w:t>（二）利润分配</w:t>
            </w:r>
          </w:p>
        </w:tc>
        <w:tc>
          <w:tcPr>
            <w:tcW w:w="751"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c>
          <w:tcPr>
            <w:tcW w:w="1995" w:type="dxa"/>
            <w:tcBorders>
              <w:top w:val="single" w:sz="6" w:space="0" w:color="000000"/>
              <w:left w:val="single" w:sz="6" w:space="0" w:color="000000"/>
              <w:bottom w:val="single" w:sz="6" w:space="0" w:color="000000"/>
              <w:right w:val="single" w:sz="6" w:space="0" w:color="000000"/>
            </w:tcBorders>
          </w:tcPr>
          <w:p>
            <w:pPr/>
          </w:p>
        </w:tc>
      </w:tr>
      <w:tr>
        <w:trPr>
          <w:trHeight w:val="262" w:hRule="exact"/>
        </w:trPr>
        <w:tc>
          <w:tcPr>
            <w:tcW w:w="461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513"/>
              <w:jc w:val="right"/>
              <w:rPr>
                <w:rFonts w:ascii="宋体" w:hAnsi="宋体" w:cs="宋体" w:eastAsia="宋体" w:hint="default"/>
                <w:sz w:val="19"/>
                <w:szCs w:val="19"/>
              </w:rPr>
            </w:pPr>
            <w:r>
              <w:rPr>
                <w:rFonts w:ascii="Arial" w:hAnsi="Arial" w:cs="Arial" w:eastAsia="Arial" w:hint="default"/>
                <w:w w:val="95"/>
                <w:sz w:val="19"/>
                <w:szCs w:val="19"/>
              </w:rPr>
              <w:t>1.</w:t>
            </w:r>
            <w:r>
              <w:rPr>
                <w:rFonts w:ascii="宋体" w:hAnsi="宋体" w:cs="宋体" w:eastAsia="宋体" w:hint="default"/>
                <w:w w:val="95"/>
                <w:sz w:val="19"/>
                <w:szCs w:val="19"/>
              </w:rPr>
              <w:t>提取盈余公积－法定公积金</w:t>
            </w:r>
            <w:r>
              <w:rPr>
                <w:rFonts w:ascii="宋体" w:hAnsi="宋体" w:cs="宋体" w:eastAsia="宋体" w:hint="default"/>
                <w:sz w:val="19"/>
                <w:szCs w:val="19"/>
              </w:rPr>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2"/>
              <w:jc w:val="center"/>
              <w:rPr>
                <w:rFonts w:ascii="Arial" w:hAnsi="Arial" w:cs="Arial" w:eastAsia="Arial" w:hint="default"/>
                <w:sz w:val="19"/>
                <w:szCs w:val="19"/>
              </w:rPr>
            </w:pPr>
            <w:r>
              <w:rPr>
                <w:rFonts w:ascii="宋体" w:hAnsi="宋体" w:cs="宋体" w:eastAsia="宋体" w:hint="default"/>
                <w:sz w:val="19"/>
                <w:szCs w:val="19"/>
              </w:rPr>
              <w:t>五</w:t>
            </w:r>
            <w:r>
              <w:rPr>
                <w:rFonts w:ascii="Arial" w:hAnsi="Arial" w:cs="Arial" w:eastAsia="Arial" w:hint="default"/>
                <w:sz w:val="19"/>
                <w:szCs w:val="19"/>
              </w:rPr>
              <w:t>(34)</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19"/>
              <w:jc w:val="right"/>
              <w:rPr>
                <w:rFonts w:ascii="Arial" w:hAnsi="Arial" w:cs="Arial" w:eastAsia="Arial" w:hint="default"/>
                <w:sz w:val="19"/>
                <w:szCs w:val="19"/>
              </w:rPr>
            </w:pPr>
            <w:r>
              <w:rPr>
                <w:rFonts w:ascii="Arial"/>
                <w:w w:val="99"/>
                <w:sz w:val="19"/>
              </w:rPr>
              <w:t>-</w:t>
            </w:r>
            <w:r>
              <w:rPr>
                <w:rFonts w:ascii="Arial"/>
                <w:sz w:val="19"/>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19"/>
              <w:jc w:val="right"/>
              <w:rPr>
                <w:rFonts w:ascii="Arial" w:hAnsi="Arial" w:cs="Arial" w:eastAsia="Arial" w:hint="default"/>
                <w:sz w:val="19"/>
                <w:szCs w:val="19"/>
              </w:rPr>
            </w:pPr>
            <w:r>
              <w:rPr>
                <w:rFonts w:ascii="Arial"/>
                <w:w w:val="99"/>
                <w:sz w:val="19"/>
              </w:rPr>
              <w:t>-</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5"/>
              <w:jc w:val="right"/>
              <w:rPr>
                <w:rFonts w:ascii="Arial" w:hAnsi="Arial" w:cs="Arial" w:eastAsia="Arial" w:hint="default"/>
                <w:sz w:val="19"/>
                <w:szCs w:val="19"/>
              </w:rPr>
            </w:pPr>
            <w:r>
              <w:rPr>
                <w:rFonts w:ascii="Arial"/>
                <w:w w:val="95"/>
                <w:sz w:val="19"/>
              </w:rPr>
              <w:t>94,704,854</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79"/>
              <w:jc w:val="right"/>
              <w:rPr>
                <w:rFonts w:ascii="Arial" w:hAnsi="Arial" w:cs="Arial" w:eastAsia="Arial" w:hint="default"/>
                <w:sz w:val="19"/>
                <w:szCs w:val="19"/>
              </w:rPr>
            </w:pPr>
            <w:r>
              <w:rPr>
                <w:rFonts w:ascii="Arial"/>
                <w:spacing w:val="-1"/>
                <w:sz w:val="19"/>
              </w:rPr>
              <w:t>(94,704,854)</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3"/>
              <w:jc w:val="right"/>
              <w:rPr>
                <w:rFonts w:ascii="Arial" w:hAnsi="Arial" w:cs="Arial" w:eastAsia="Arial" w:hint="default"/>
                <w:sz w:val="19"/>
                <w:szCs w:val="19"/>
              </w:rPr>
            </w:pPr>
            <w:r>
              <w:rPr>
                <w:rFonts w:ascii="Arial"/>
                <w:w w:val="99"/>
                <w:sz w:val="19"/>
              </w:rPr>
              <w:t>-</w:t>
            </w:r>
            <w:r>
              <w:rPr>
                <w:rFonts w:ascii="Arial"/>
                <w:sz w:val="19"/>
              </w:rPr>
            </w:r>
          </w:p>
        </w:tc>
      </w:tr>
      <w:tr>
        <w:trPr>
          <w:trHeight w:val="262" w:hRule="exact"/>
        </w:trPr>
        <w:tc>
          <w:tcPr>
            <w:tcW w:w="461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653" w:right="0"/>
              <w:jc w:val="left"/>
              <w:rPr>
                <w:rFonts w:ascii="宋体" w:hAnsi="宋体" w:cs="宋体" w:eastAsia="宋体" w:hint="default"/>
                <w:sz w:val="19"/>
                <w:szCs w:val="19"/>
              </w:rPr>
            </w:pPr>
            <w:r>
              <w:rPr>
                <w:rFonts w:ascii="Arial" w:hAnsi="Arial" w:cs="Arial" w:eastAsia="Arial" w:hint="default"/>
                <w:sz w:val="19"/>
                <w:szCs w:val="19"/>
              </w:rPr>
              <w:t>2.</w:t>
            </w:r>
            <w:r>
              <w:rPr>
                <w:rFonts w:ascii="宋体" w:hAnsi="宋体" w:cs="宋体" w:eastAsia="宋体" w:hint="default"/>
                <w:sz w:val="19"/>
                <w:szCs w:val="19"/>
              </w:rPr>
              <w:t>向股东分派的普通股股利</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2"/>
              <w:jc w:val="center"/>
              <w:rPr>
                <w:rFonts w:ascii="Arial" w:hAnsi="Arial" w:cs="Arial" w:eastAsia="Arial" w:hint="default"/>
                <w:sz w:val="19"/>
                <w:szCs w:val="19"/>
              </w:rPr>
            </w:pPr>
            <w:r>
              <w:rPr>
                <w:rFonts w:ascii="宋体" w:hAnsi="宋体" w:cs="宋体" w:eastAsia="宋体" w:hint="default"/>
                <w:sz w:val="19"/>
                <w:szCs w:val="19"/>
              </w:rPr>
              <w:t>五</w:t>
            </w:r>
            <w:r>
              <w:rPr>
                <w:rFonts w:ascii="Arial" w:hAnsi="Arial" w:cs="Arial" w:eastAsia="Arial" w:hint="default"/>
                <w:sz w:val="19"/>
                <w:szCs w:val="19"/>
              </w:rPr>
              <w:t>(35)</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19"/>
              <w:jc w:val="right"/>
              <w:rPr>
                <w:rFonts w:ascii="Arial" w:hAnsi="Arial" w:cs="Arial" w:eastAsia="Arial" w:hint="default"/>
                <w:sz w:val="19"/>
                <w:szCs w:val="19"/>
              </w:rPr>
            </w:pPr>
            <w:r>
              <w:rPr>
                <w:rFonts w:ascii="Arial"/>
                <w:w w:val="99"/>
                <w:sz w:val="19"/>
              </w:rPr>
              <w:t>-</w:t>
            </w:r>
            <w:r>
              <w:rPr>
                <w:rFonts w:ascii="Arial"/>
                <w:sz w:val="19"/>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19"/>
              <w:jc w:val="right"/>
              <w:rPr>
                <w:rFonts w:ascii="Arial" w:hAnsi="Arial" w:cs="Arial" w:eastAsia="Arial" w:hint="default"/>
                <w:sz w:val="19"/>
                <w:szCs w:val="19"/>
              </w:rPr>
            </w:pPr>
            <w:r>
              <w:rPr>
                <w:rFonts w:ascii="Arial"/>
                <w:w w:val="99"/>
                <w:sz w:val="19"/>
              </w:rPr>
              <w:t>-</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19"/>
              <w:jc w:val="right"/>
              <w:rPr>
                <w:rFonts w:ascii="Arial" w:hAnsi="Arial" w:cs="Arial" w:eastAsia="Arial" w:hint="default"/>
                <w:sz w:val="19"/>
                <w:szCs w:val="19"/>
              </w:rPr>
            </w:pPr>
            <w:r>
              <w:rPr>
                <w:rFonts w:ascii="Arial"/>
                <w:w w:val="99"/>
                <w:sz w:val="19"/>
              </w:rPr>
              <w:t>-</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79"/>
              <w:jc w:val="right"/>
              <w:rPr>
                <w:rFonts w:ascii="Arial" w:hAnsi="Arial" w:cs="Arial" w:eastAsia="Arial" w:hint="default"/>
                <w:sz w:val="19"/>
                <w:szCs w:val="19"/>
              </w:rPr>
            </w:pPr>
            <w:r>
              <w:rPr>
                <w:rFonts w:ascii="Arial"/>
                <w:spacing w:val="-1"/>
                <w:sz w:val="19"/>
              </w:rPr>
              <w:t>(845,744,196)</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8"/>
              <w:jc w:val="right"/>
              <w:rPr>
                <w:rFonts w:ascii="Arial" w:hAnsi="Arial" w:cs="Arial" w:eastAsia="Arial" w:hint="default"/>
                <w:sz w:val="19"/>
                <w:szCs w:val="19"/>
              </w:rPr>
            </w:pPr>
            <w:r>
              <w:rPr>
                <w:rFonts w:ascii="Arial"/>
                <w:spacing w:val="-1"/>
                <w:sz w:val="19"/>
              </w:rPr>
              <w:t>(845,744,196)</w:t>
            </w:r>
          </w:p>
        </w:tc>
      </w:tr>
      <w:tr>
        <w:trPr>
          <w:trHeight w:val="262" w:hRule="exact"/>
        </w:trPr>
        <w:tc>
          <w:tcPr>
            <w:tcW w:w="461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19"/>
                <w:szCs w:val="19"/>
              </w:rPr>
            </w:pPr>
            <w:r>
              <w:rPr>
                <w:rFonts w:ascii="Arial" w:hAnsi="Arial" w:cs="Arial" w:eastAsia="Arial" w:hint="default"/>
                <w:sz w:val="19"/>
                <w:szCs w:val="19"/>
              </w:rPr>
              <w:t>2013</w:t>
            </w:r>
            <w:r>
              <w:rPr>
                <w:rFonts w:ascii="Arial" w:hAnsi="Arial" w:cs="Arial" w:eastAsia="Arial" w:hint="default"/>
                <w:spacing w:val="-6"/>
                <w:sz w:val="19"/>
                <w:szCs w:val="19"/>
              </w:rPr>
              <w:t> </w:t>
            </w:r>
            <w:r>
              <w:rPr>
                <w:rFonts w:ascii="宋体" w:hAnsi="宋体" w:cs="宋体" w:eastAsia="宋体" w:hint="default"/>
                <w:sz w:val="19"/>
                <w:szCs w:val="19"/>
              </w:rPr>
              <w:t>年</w:t>
            </w:r>
            <w:r>
              <w:rPr>
                <w:rFonts w:ascii="宋体" w:hAnsi="宋体" w:cs="宋体" w:eastAsia="宋体" w:hint="default"/>
                <w:spacing w:val="-48"/>
                <w:sz w:val="19"/>
                <w:szCs w:val="19"/>
              </w:rPr>
              <w:t> </w:t>
            </w:r>
            <w:r>
              <w:rPr>
                <w:rFonts w:ascii="Arial" w:hAnsi="Arial" w:cs="Arial" w:eastAsia="Arial" w:hint="default"/>
                <w:sz w:val="19"/>
                <w:szCs w:val="19"/>
              </w:rPr>
              <w:t>12</w:t>
            </w:r>
            <w:r>
              <w:rPr>
                <w:rFonts w:ascii="Arial" w:hAnsi="Arial" w:cs="Arial" w:eastAsia="Arial" w:hint="default"/>
                <w:spacing w:val="-6"/>
                <w:sz w:val="19"/>
                <w:szCs w:val="19"/>
              </w:rPr>
              <w:t> </w:t>
            </w:r>
            <w:r>
              <w:rPr>
                <w:rFonts w:ascii="宋体" w:hAnsi="宋体" w:cs="宋体" w:eastAsia="宋体" w:hint="default"/>
                <w:sz w:val="19"/>
                <w:szCs w:val="19"/>
              </w:rPr>
              <w:t>月</w:t>
            </w:r>
            <w:r>
              <w:rPr>
                <w:rFonts w:ascii="宋体" w:hAnsi="宋体" w:cs="宋体" w:eastAsia="宋体" w:hint="default"/>
                <w:spacing w:val="-48"/>
                <w:sz w:val="19"/>
                <w:szCs w:val="19"/>
              </w:rPr>
              <w:t> </w:t>
            </w:r>
            <w:r>
              <w:rPr>
                <w:rFonts w:ascii="Arial" w:hAnsi="Arial" w:cs="Arial" w:eastAsia="Arial" w:hint="default"/>
                <w:sz w:val="19"/>
                <w:szCs w:val="19"/>
              </w:rPr>
              <w:t>31</w:t>
            </w:r>
            <w:r>
              <w:rPr>
                <w:rFonts w:ascii="Arial" w:hAnsi="Arial" w:cs="Arial" w:eastAsia="Arial" w:hint="default"/>
                <w:spacing w:val="-6"/>
                <w:sz w:val="19"/>
                <w:szCs w:val="19"/>
              </w:rPr>
              <w:t> </w:t>
            </w:r>
            <w:r>
              <w:rPr>
                <w:rFonts w:ascii="宋体" w:hAnsi="宋体" w:cs="宋体" w:eastAsia="宋体" w:hint="default"/>
                <w:sz w:val="19"/>
                <w:szCs w:val="19"/>
              </w:rPr>
              <w:t>日年末余额</w:t>
            </w:r>
          </w:p>
        </w:tc>
        <w:tc>
          <w:tcPr>
            <w:tcW w:w="751"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Arial" w:hAnsi="Arial" w:cs="Arial" w:eastAsia="Arial" w:hint="default"/>
                <w:sz w:val="19"/>
                <w:szCs w:val="19"/>
              </w:rPr>
            </w:pPr>
            <w:r>
              <w:rPr>
                <w:rFonts w:ascii="Arial"/>
                <w:w w:val="95"/>
                <w:sz w:val="19"/>
              </w:rPr>
              <w:t>21,196,596,395</w:t>
            </w:r>
            <w:r>
              <w:rPr>
                <w:rFonts w:ascii="Arial"/>
                <w:sz w:val="19"/>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Arial" w:hAnsi="Arial" w:cs="Arial" w:eastAsia="Arial" w:hint="default"/>
                <w:sz w:val="19"/>
                <w:szCs w:val="19"/>
              </w:rPr>
            </w:pPr>
            <w:r>
              <w:rPr>
                <w:rFonts w:ascii="Arial"/>
                <w:w w:val="95"/>
                <w:sz w:val="19"/>
              </w:rPr>
              <w:t>17,111,103,108</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5"/>
              <w:jc w:val="right"/>
              <w:rPr>
                <w:rFonts w:ascii="Arial" w:hAnsi="Arial" w:cs="Arial" w:eastAsia="Arial" w:hint="default"/>
                <w:sz w:val="19"/>
                <w:szCs w:val="19"/>
              </w:rPr>
            </w:pPr>
            <w:r>
              <w:rPr>
                <w:rFonts w:ascii="Arial"/>
                <w:w w:val="95"/>
                <w:sz w:val="19"/>
              </w:rPr>
              <w:t>919,120,486</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1"/>
              <w:jc w:val="right"/>
              <w:rPr>
                <w:rFonts w:ascii="Arial" w:hAnsi="Arial" w:cs="Arial" w:eastAsia="Arial" w:hint="default"/>
                <w:sz w:val="19"/>
                <w:szCs w:val="19"/>
              </w:rPr>
            </w:pPr>
            <w:r>
              <w:rPr>
                <w:rFonts w:ascii="Arial"/>
                <w:w w:val="95"/>
                <w:sz w:val="19"/>
              </w:rPr>
              <w:t>4,899,353</w:t>
            </w:r>
            <w:r>
              <w:rPr>
                <w:rFonts w:ascii="Arial"/>
                <w:sz w:val="19"/>
              </w:rPr>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1"/>
              <w:jc w:val="right"/>
              <w:rPr>
                <w:rFonts w:ascii="Arial" w:hAnsi="Arial" w:cs="Arial" w:eastAsia="Arial" w:hint="default"/>
                <w:sz w:val="19"/>
                <w:szCs w:val="19"/>
              </w:rPr>
            </w:pPr>
            <w:r>
              <w:rPr>
                <w:rFonts w:ascii="Arial"/>
                <w:w w:val="95"/>
                <w:sz w:val="19"/>
              </w:rPr>
              <w:t>39,231,719,342</w:t>
            </w:r>
            <w:r>
              <w:rPr>
                <w:rFonts w:ascii="Arial"/>
                <w:sz w:val="19"/>
              </w:rPr>
            </w:r>
          </w:p>
        </w:tc>
      </w:tr>
    </w:tbl>
    <w:p>
      <w:pPr>
        <w:spacing w:line="240" w:lineRule="auto" w:before="2"/>
        <w:rPr>
          <w:rFonts w:ascii="黑体" w:hAnsi="黑体" w:cs="黑体" w:eastAsia="黑体" w:hint="default"/>
          <w:sz w:val="14"/>
          <w:szCs w:val="14"/>
        </w:rPr>
      </w:pPr>
    </w:p>
    <w:p>
      <w:pPr>
        <w:spacing w:before="37"/>
        <w:ind w:left="126" w:right="0" w:firstLine="0"/>
        <w:jc w:val="left"/>
        <w:rPr>
          <w:rFonts w:ascii="黑体" w:hAnsi="黑体" w:cs="黑体" w:eastAsia="黑体" w:hint="default"/>
          <w:sz w:val="20"/>
          <w:szCs w:val="20"/>
        </w:rPr>
      </w:pPr>
      <w:r>
        <w:rPr>
          <w:rFonts w:ascii="黑体" w:hAnsi="黑体" w:cs="黑体" w:eastAsia="黑体" w:hint="default"/>
          <w:sz w:val="20"/>
          <w:szCs w:val="20"/>
        </w:rPr>
        <w:t>后附财务报表附注为财务报表的组成部分。</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9"/>
          <w:szCs w:val="19"/>
        </w:rPr>
      </w:pPr>
    </w:p>
    <w:p>
      <w:pPr>
        <w:pStyle w:val="BodyText"/>
        <w:tabs>
          <w:tab w:pos="5697" w:val="left" w:leader="none"/>
          <w:tab w:pos="11060" w:val="left" w:leader="none"/>
        </w:tabs>
        <w:spacing w:line="240" w:lineRule="auto"/>
        <w:ind w:left="140" w:right="0"/>
        <w:jc w:val="left"/>
        <w:rPr>
          <w:rFonts w:ascii="黑体" w:hAnsi="黑体" w:cs="黑体" w:eastAsia="黑体" w:hint="default"/>
        </w:rPr>
      </w:pPr>
      <w:r>
        <w:rPr>
          <w:rFonts w:ascii="黑体" w:hAnsi="黑体" w:cs="黑体" w:eastAsia="黑体" w:hint="default"/>
          <w:spacing w:val="-1"/>
        </w:rPr>
        <w:t>董事长：常小兵</w:t>
        <w:tab/>
        <w:t>财务负责人：李超</w:t>
        <w:tab/>
        <w:t>财务部总经理：李张挺</w:t>
      </w:r>
    </w:p>
    <w:p>
      <w:pPr>
        <w:spacing w:after="0" w:line="240" w:lineRule="auto"/>
        <w:jc w:val="left"/>
        <w:rPr>
          <w:rFonts w:ascii="黑体" w:hAnsi="黑体" w:cs="黑体" w:eastAsia="黑体" w:hint="default"/>
        </w:rPr>
        <w:sectPr>
          <w:headerReference w:type="default" r:id="rId37"/>
          <w:footerReference w:type="default" r:id="rId38"/>
          <w:pgSz w:w="16840" w:h="11910" w:orient="landscape"/>
          <w:pgMar w:header="0" w:footer="650" w:top="1080" w:bottom="840" w:left="860" w:right="900"/>
          <w:pgNumType w:start="63"/>
        </w:sectPr>
      </w:pPr>
    </w:p>
    <w:p>
      <w:pPr>
        <w:spacing w:line="240" w:lineRule="auto" w:before="7"/>
        <w:rPr>
          <w:rFonts w:ascii="黑体" w:hAnsi="黑体" w:cs="黑体" w:eastAsia="黑体" w:hint="default"/>
          <w:sz w:val="16"/>
          <w:szCs w:val="16"/>
        </w:rPr>
      </w:pPr>
    </w:p>
    <w:p>
      <w:pPr>
        <w:pStyle w:val="BodyText"/>
        <w:tabs>
          <w:tab w:pos="540" w:val="left" w:leader="none"/>
        </w:tabs>
        <w:spacing w:line="240" w:lineRule="auto" w:before="32"/>
        <w:ind w:left="106" w:right="115"/>
        <w:jc w:val="left"/>
        <w:rPr>
          <w:rFonts w:ascii="黑体" w:hAnsi="黑体" w:cs="黑体" w:eastAsia="黑体" w:hint="default"/>
        </w:rPr>
      </w:pPr>
      <w:r>
        <w:rPr>
          <w:rFonts w:ascii="黑体" w:hAnsi="黑体" w:cs="黑体" w:eastAsia="黑体" w:hint="default"/>
        </w:rPr>
        <w:t>一</w:t>
        <w:tab/>
        <w:t>公司简介</w:t>
      </w:r>
    </w:p>
    <w:p>
      <w:pPr>
        <w:spacing w:line="240" w:lineRule="auto" w:before="1"/>
        <w:rPr>
          <w:rFonts w:ascii="黑体" w:hAnsi="黑体" w:cs="黑体" w:eastAsia="黑体" w:hint="default"/>
          <w:sz w:val="19"/>
          <w:szCs w:val="19"/>
        </w:rPr>
      </w:pPr>
    </w:p>
    <w:p>
      <w:pPr>
        <w:pStyle w:val="BodyText"/>
        <w:spacing w:line="240" w:lineRule="auto"/>
        <w:ind w:left="125" w:right="115"/>
        <w:jc w:val="left"/>
      </w:pPr>
      <w:r>
        <w:rPr>
          <w:rFonts w:ascii="Arial" w:hAnsi="Arial" w:cs="Arial" w:eastAsia="Arial" w:hint="default"/>
        </w:rPr>
        <w:t>1</w:t>
      </w:r>
      <w:r>
        <w:rPr/>
        <w:t>、</w:t>
      </w:r>
      <w:r>
        <w:rPr>
          <w:spacing w:val="-40"/>
        </w:rPr>
        <w:t> </w:t>
      </w:r>
      <w:r>
        <w:rPr/>
        <w:t>中国联合网络通信股份有限公司简介</w:t>
      </w:r>
    </w:p>
    <w:p>
      <w:pPr>
        <w:spacing w:line="240" w:lineRule="auto" w:before="0"/>
        <w:rPr>
          <w:rFonts w:ascii="宋体" w:hAnsi="宋体" w:cs="宋体" w:eastAsia="宋体" w:hint="default"/>
          <w:sz w:val="20"/>
          <w:szCs w:val="20"/>
        </w:rPr>
      </w:pPr>
    </w:p>
    <w:p>
      <w:pPr>
        <w:pStyle w:val="BodyText"/>
        <w:spacing w:line="286" w:lineRule="exact"/>
        <w:ind w:left="540" w:right="226"/>
        <w:jc w:val="both"/>
        <w:rPr>
          <w:rFonts w:ascii="Arial" w:hAnsi="Arial" w:cs="Arial" w:eastAsia="Arial" w:hint="default"/>
        </w:rPr>
      </w:pPr>
      <w:r>
        <w:rPr>
          <w:spacing w:val="-3"/>
        </w:rPr>
        <w:t>中国联合网络通信股份有限公司（</w:t>
      </w:r>
      <w:r>
        <w:rPr>
          <w:rFonts w:ascii="Arial" w:hAnsi="Arial" w:cs="Arial" w:eastAsia="Arial" w:hint="default"/>
          <w:spacing w:val="-3"/>
        </w:rPr>
        <w:t>“</w:t>
      </w:r>
      <w:r>
        <w:rPr>
          <w:spacing w:val="-3"/>
        </w:rPr>
        <w:t>本公司</w:t>
      </w:r>
      <w:r>
        <w:rPr>
          <w:rFonts w:ascii="Arial" w:hAnsi="Arial" w:cs="Arial" w:eastAsia="Arial" w:hint="default"/>
          <w:spacing w:val="-3"/>
        </w:rPr>
        <w:t>”</w:t>
      </w:r>
      <w:r>
        <w:rPr>
          <w:spacing w:val="-3"/>
        </w:rPr>
        <w:t>）是根据国务院批准的重组方案，由中国联合网络</w:t>
      </w:r>
      <w:r>
        <w:rPr>
          <w:spacing w:val="-46"/>
        </w:rPr>
        <w:t> </w:t>
      </w:r>
      <w:r>
        <w:rPr>
          <w:spacing w:val="-46"/>
        </w:rPr>
      </w:r>
      <w:r>
        <w:rPr>
          <w:spacing w:val="-6"/>
        </w:rPr>
        <w:t>通信集团有限公司（</w:t>
      </w:r>
      <w:r>
        <w:rPr>
          <w:rFonts w:ascii="Arial" w:hAnsi="Arial" w:cs="Arial" w:eastAsia="Arial" w:hint="default"/>
          <w:spacing w:val="-6"/>
        </w:rPr>
        <w:t>“</w:t>
      </w:r>
      <w:r>
        <w:rPr>
          <w:spacing w:val="-6"/>
        </w:rPr>
        <w:t>联通集团</w:t>
      </w:r>
      <w:r>
        <w:rPr>
          <w:rFonts w:ascii="Arial" w:hAnsi="Arial" w:cs="Arial" w:eastAsia="Arial" w:hint="default"/>
          <w:spacing w:val="-6"/>
        </w:rPr>
        <w:t>”</w:t>
      </w:r>
      <w:r>
        <w:rPr>
          <w:spacing w:val="-6"/>
        </w:rPr>
        <w:t>）以其于中国联通（</w:t>
      </w:r>
      <w:r>
        <w:rPr>
          <w:rFonts w:ascii="Arial" w:hAnsi="Arial" w:cs="Arial" w:eastAsia="Arial" w:hint="default"/>
          <w:spacing w:val="-6"/>
        </w:rPr>
        <w:t>BVI</w:t>
      </w:r>
      <w:r>
        <w:rPr>
          <w:spacing w:val="-6"/>
        </w:rPr>
        <w:t>）有限公司（</w:t>
      </w:r>
      <w:r>
        <w:rPr>
          <w:rFonts w:ascii="Arial" w:hAnsi="Arial" w:cs="Arial" w:eastAsia="Arial" w:hint="default"/>
          <w:spacing w:val="-6"/>
        </w:rPr>
        <w:t>“</w:t>
      </w:r>
      <w:r>
        <w:rPr>
          <w:spacing w:val="-6"/>
        </w:rPr>
        <w:t>联通</w:t>
      </w:r>
      <w:r>
        <w:rPr>
          <w:spacing w:val="-41"/>
        </w:rPr>
        <w:t> </w:t>
      </w:r>
      <w:r>
        <w:rPr>
          <w:rFonts w:ascii="Arial" w:hAnsi="Arial" w:cs="Arial" w:eastAsia="Arial" w:hint="default"/>
        </w:rPr>
        <w:t>BVI</w:t>
      </w:r>
      <w:r>
        <w:rPr>
          <w:rFonts w:ascii="Arial" w:hAnsi="Arial" w:cs="Arial" w:eastAsia="Arial" w:hint="default"/>
          <w:spacing w:val="9"/>
        </w:rPr>
        <w:t> </w:t>
      </w:r>
      <w:r>
        <w:rPr>
          <w:spacing w:val="-8"/>
        </w:rPr>
        <w:t>公司</w:t>
      </w:r>
      <w:r>
        <w:rPr>
          <w:rFonts w:ascii="Arial" w:hAnsi="Arial" w:cs="Arial" w:eastAsia="Arial" w:hint="default"/>
          <w:spacing w:val="-8"/>
        </w:rPr>
        <w:t>”</w:t>
      </w:r>
      <w:r>
        <w:rPr>
          <w:spacing w:val="-8"/>
        </w:rPr>
        <w:t>）的</w:t>
      </w:r>
      <w:r>
        <w:rPr>
          <w:spacing w:val="-41"/>
        </w:rPr>
        <w:t> </w:t>
      </w:r>
      <w:r>
        <w:rPr>
          <w:rFonts w:ascii="Arial" w:hAnsi="Arial" w:cs="Arial" w:eastAsia="Arial" w:hint="default"/>
        </w:rPr>
        <w:t>51%</w:t>
      </w:r>
      <w:r>
        <w:rPr>
          <w:rFonts w:ascii="Arial" w:hAnsi="Arial" w:cs="Arial" w:eastAsia="Arial" w:hint="default"/>
          <w:spacing w:val="-56"/>
        </w:rPr>
        <w:t> </w:t>
      </w:r>
      <w:r>
        <w:rPr/>
        <w:t>股权投资所对应的经评估的净资产出资，并联合其他四家发起单位以现金出资于 </w:t>
      </w:r>
      <w:r>
        <w:rPr>
          <w:rFonts w:ascii="Arial" w:hAnsi="Arial" w:cs="Arial" w:eastAsia="Arial" w:hint="default"/>
        </w:rPr>
        <w:t>2001 </w:t>
      </w:r>
      <w:r>
        <w:rPr/>
        <w:t>年</w:t>
      </w:r>
      <w:r>
        <w:rPr>
          <w:spacing w:val="-53"/>
        </w:rPr>
        <w:t> </w:t>
      </w:r>
      <w:r>
        <w:rPr>
          <w:rFonts w:ascii="Arial" w:hAnsi="Arial" w:cs="Arial" w:eastAsia="Arial" w:hint="default"/>
        </w:rPr>
        <w:t>12</w:t>
      </w:r>
    </w:p>
    <w:p>
      <w:pPr>
        <w:pStyle w:val="BodyText"/>
        <w:spacing w:line="267" w:lineRule="exact"/>
        <w:ind w:left="540" w:right="115"/>
        <w:jc w:val="left"/>
      </w:pPr>
      <w:r>
        <w:rPr/>
        <w:t>月 </w:t>
      </w:r>
      <w:r>
        <w:rPr>
          <w:rFonts w:ascii="Arial" w:hAnsi="Arial" w:cs="Arial" w:eastAsia="Arial" w:hint="default"/>
        </w:rPr>
        <w:t>31</w:t>
      </w:r>
      <w:r>
        <w:rPr>
          <w:rFonts w:ascii="Arial" w:hAnsi="Arial" w:cs="Arial" w:eastAsia="Arial" w:hint="default"/>
          <w:spacing w:val="-37"/>
        </w:rPr>
        <w:t> </w:t>
      </w:r>
      <w:r>
        <w:rPr/>
        <w:t>日在中华人民共和国（</w:t>
      </w:r>
      <w:r>
        <w:rPr>
          <w:rFonts w:ascii="Arial" w:hAnsi="Arial" w:cs="Arial" w:eastAsia="Arial" w:hint="default"/>
        </w:rPr>
        <w:t>“</w:t>
      </w:r>
      <w:r>
        <w:rPr/>
        <w:t>中国</w:t>
      </w:r>
      <w:r>
        <w:rPr>
          <w:rFonts w:ascii="Arial" w:hAnsi="Arial" w:cs="Arial" w:eastAsia="Arial" w:hint="default"/>
        </w:rPr>
        <w:t>”</w:t>
      </w:r>
      <w:r>
        <w:rPr/>
        <w:t>）上海成立的股份有限公司，经批准的经营范围为从事国</w:t>
      </w:r>
    </w:p>
    <w:p>
      <w:pPr>
        <w:pStyle w:val="BodyText"/>
        <w:spacing w:line="230" w:lineRule="auto" w:before="1"/>
        <w:ind w:left="540" w:right="115"/>
        <w:jc w:val="left"/>
      </w:pPr>
      <w:r>
        <w:rPr>
          <w:spacing w:val="-3"/>
        </w:rPr>
        <w:t>（境）内外电信行业的投资。本公司目前只直接持有对中国联通（</w:t>
      </w:r>
      <w:r>
        <w:rPr>
          <w:rFonts w:ascii="Arial" w:hAnsi="Arial" w:cs="Arial" w:eastAsia="Arial" w:hint="default"/>
          <w:spacing w:val="-3"/>
        </w:rPr>
        <w:t>BVI</w:t>
      </w:r>
      <w:r>
        <w:rPr>
          <w:spacing w:val="-3"/>
        </w:rPr>
        <w:t>）有限公司（</w:t>
      </w:r>
      <w:r>
        <w:rPr>
          <w:rFonts w:ascii="Arial" w:hAnsi="Arial" w:cs="Arial" w:eastAsia="Arial" w:hint="default"/>
          <w:spacing w:val="-3"/>
        </w:rPr>
        <w:t>“</w:t>
      </w:r>
      <w:r>
        <w:rPr>
          <w:spacing w:val="-3"/>
        </w:rPr>
        <w:t>联通</w:t>
      </w:r>
      <w:r>
        <w:rPr>
          <w:spacing w:val="-44"/>
        </w:rPr>
        <w:t> </w:t>
      </w:r>
      <w:r>
        <w:rPr>
          <w:rFonts w:ascii="Arial" w:hAnsi="Arial" w:cs="Arial" w:eastAsia="Arial" w:hint="default"/>
        </w:rPr>
        <w:t>BVI</w:t>
      </w:r>
      <w:r>
        <w:rPr>
          <w:rFonts w:ascii="Arial" w:hAnsi="Arial" w:cs="Arial" w:eastAsia="Arial" w:hint="default"/>
          <w:spacing w:val="-36"/>
        </w:rPr>
        <w:t> </w:t>
      </w:r>
      <w:r>
        <w:rPr>
          <w:rFonts w:ascii="Arial" w:hAnsi="Arial" w:cs="Arial" w:eastAsia="Arial" w:hint="default"/>
          <w:spacing w:val="-36"/>
        </w:rPr>
      </w:r>
      <w:r>
        <w:rPr/>
        <w:t>公司</w:t>
      </w:r>
      <w:r>
        <w:rPr>
          <w:rFonts w:ascii="Arial" w:hAnsi="Arial" w:cs="Arial" w:eastAsia="Arial" w:hint="default"/>
        </w:rPr>
        <w:t>”</w:t>
      </w:r>
      <w:r>
        <w:rPr/>
        <w:t>）的股权投资。本公司通过联通</w:t>
      </w:r>
      <w:r>
        <w:rPr>
          <w:spacing w:val="-57"/>
        </w:rPr>
        <w:t> </w:t>
      </w:r>
      <w:r>
        <w:rPr>
          <w:rFonts w:ascii="Arial" w:hAnsi="Arial" w:cs="Arial" w:eastAsia="Arial" w:hint="default"/>
        </w:rPr>
        <w:t>BVI</w:t>
      </w:r>
      <w:r>
        <w:rPr>
          <w:rFonts w:ascii="Arial" w:hAnsi="Arial" w:cs="Arial" w:eastAsia="Arial" w:hint="default"/>
          <w:spacing w:val="-10"/>
        </w:rPr>
        <w:t> </w:t>
      </w:r>
      <w:r>
        <w:rPr/>
        <w:t>公司及其子公司中国联合网络通信（香港）股份有</w:t>
      </w:r>
      <w:r>
        <w:rPr>
          <w:w w:val="100"/>
        </w:rPr>
        <w:t> </w:t>
      </w:r>
      <w:r>
        <w:rPr/>
        <w:t>限公司（</w:t>
      </w:r>
      <w:r>
        <w:rPr>
          <w:rFonts w:ascii="Arial" w:hAnsi="Arial" w:cs="Arial" w:eastAsia="Arial" w:hint="default"/>
        </w:rPr>
        <w:t>“</w:t>
      </w:r>
      <w:r>
        <w:rPr/>
        <w:t>联通红筹公司</w:t>
      </w:r>
      <w:r>
        <w:rPr>
          <w:rFonts w:ascii="Arial" w:hAnsi="Arial" w:cs="Arial" w:eastAsia="Arial" w:hint="default"/>
        </w:rPr>
        <w:t>”</w:t>
      </w:r>
      <w:r>
        <w:rPr/>
        <w:t>）控股中国联合网络通信有限公司（</w:t>
      </w:r>
      <w:r>
        <w:rPr>
          <w:rFonts w:ascii="Arial" w:hAnsi="Arial" w:cs="Arial" w:eastAsia="Arial" w:hint="default"/>
        </w:rPr>
        <w:t>“</w:t>
      </w:r>
      <w:r>
        <w:rPr/>
        <w:t>联通运营公司</w:t>
      </w:r>
      <w:r>
        <w:rPr>
          <w:rFonts w:ascii="Arial" w:hAnsi="Arial" w:cs="Arial" w:eastAsia="Arial" w:hint="default"/>
        </w:rPr>
        <w:t>”</w:t>
      </w:r>
      <w:r>
        <w:rPr/>
        <w:t>），联通运营公</w:t>
      </w:r>
      <w:r>
        <w:rPr>
          <w:spacing w:val="-89"/>
        </w:rPr>
        <w:t> </w:t>
      </w:r>
      <w:r>
        <w:rPr/>
        <w:t>司是一家在中国境内提供综合电信服务的大型电信公司，其主营业务为在中国境内提供移动</w:t>
      </w:r>
      <w:r>
        <w:rPr>
          <w:spacing w:val="-23"/>
        </w:rPr>
        <w:t> </w:t>
      </w:r>
      <w:r>
        <w:rPr>
          <w:spacing w:val="-23"/>
        </w:rPr>
      </w:r>
      <w:r>
        <w:rPr/>
        <w:t>和固网语音及相关增值服务、宽带及其他互联网相关服务、信息通信技术服务以及商务及数</w:t>
      </w:r>
      <w:r>
        <w:rPr>
          <w:spacing w:val="-23"/>
        </w:rPr>
        <w:t> </w:t>
      </w:r>
      <w:r>
        <w:rPr>
          <w:spacing w:val="-23"/>
        </w:rPr>
      </w:r>
      <w:r>
        <w:rPr/>
        <w:t>据通信服务。</w:t>
      </w:r>
      <w:r>
        <w:rPr>
          <w:rFonts w:ascii="Arial" w:hAnsi="Arial" w:cs="Arial" w:eastAsia="Arial" w:hint="default"/>
        </w:rPr>
        <w:t>GSM </w:t>
      </w:r>
      <w:r>
        <w:rPr/>
        <w:t>移动语音、</w:t>
      </w:r>
      <w:r>
        <w:rPr>
          <w:rFonts w:ascii="Arial" w:hAnsi="Arial" w:cs="Arial" w:eastAsia="Arial" w:hint="default"/>
        </w:rPr>
        <w:t>WCDMA </w:t>
      </w:r>
      <w:r>
        <w:rPr/>
        <w:t>移动语音、</w:t>
      </w:r>
      <w:r>
        <w:rPr>
          <w:rFonts w:ascii="Arial" w:hAnsi="Arial" w:cs="Arial" w:eastAsia="Arial" w:hint="default"/>
        </w:rPr>
        <w:t>TD-LTE </w:t>
      </w:r>
      <w:r>
        <w:rPr/>
        <w:t>移动语音、</w:t>
      </w:r>
      <w:r>
        <w:rPr>
          <w:rFonts w:ascii="Arial" w:hAnsi="Arial" w:cs="Arial" w:eastAsia="Arial" w:hint="default"/>
        </w:rPr>
        <w:t>LTE FDD</w:t>
      </w:r>
      <w:r>
        <w:rPr>
          <w:rFonts w:ascii="Arial" w:hAnsi="Arial" w:cs="Arial" w:eastAsia="Arial" w:hint="default"/>
          <w:spacing w:val="-31"/>
        </w:rPr>
        <w:t> </w:t>
      </w:r>
      <w:r>
        <w:rPr/>
        <w:t>移动语音，</w:t>
      </w:r>
      <w:r>
        <w:rPr>
          <w:w w:val="100"/>
        </w:rPr>
        <w:t> </w:t>
      </w:r>
      <w:r>
        <w:rPr>
          <w:spacing w:val="-3"/>
        </w:rPr>
        <w:t>以及相关增值服务以下称为</w:t>
      </w:r>
      <w:r>
        <w:rPr>
          <w:rFonts w:ascii="Arial" w:hAnsi="Arial" w:cs="Arial" w:eastAsia="Arial" w:hint="default"/>
          <w:spacing w:val="-3"/>
        </w:rPr>
        <w:t>“</w:t>
      </w:r>
      <w:r>
        <w:rPr>
          <w:spacing w:val="-3"/>
        </w:rPr>
        <w:t>移动业务</w:t>
      </w:r>
      <w:r>
        <w:rPr>
          <w:rFonts w:ascii="Arial" w:hAnsi="Arial" w:cs="Arial" w:eastAsia="Arial" w:hint="default"/>
          <w:spacing w:val="-3"/>
        </w:rPr>
        <w:t>”</w:t>
      </w:r>
      <w:r>
        <w:rPr>
          <w:spacing w:val="-3"/>
        </w:rPr>
        <w:t>。除移动业务外，上述其他业务以外统称为</w:t>
      </w:r>
      <w:r>
        <w:rPr>
          <w:rFonts w:ascii="Arial" w:hAnsi="Arial" w:cs="Arial" w:eastAsia="Arial" w:hint="default"/>
          <w:spacing w:val="-3"/>
        </w:rPr>
        <w:t>“</w:t>
      </w:r>
      <w:r>
        <w:rPr>
          <w:spacing w:val="-3"/>
        </w:rPr>
        <w:t>固网业务</w:t>
      </w:r>
      <w:r>
        <w:rPr>
          <w:rFonts w:ascii="Arial" w:hAnsi="Arial" w:cs="Arial" w:eastAsia="Arial" w:hint="default"/>
          <w:spacing w:val="-3"/>
        </w:rPr>
        <w:t>”</w:t>
      </w:r>
      <w:r>
        <w:rPr>
          <w:spacing w:val="-3"/>
        </w:rPr>
        <w:t>。</w:t>
      </w:r>
    </w:p>
    <w:p>
      <w:pPr>
        <w:spacing w:line="240" w:lineRule="auto" w:before="3"/>
        <w:rPr>
          <w:rFonts w:ascii="宋体" w:hAnsi="宋体" w:cs="宋体" w:eastAsia="宋体" w:hint="default"/>
          <w:sz w:val="18"/>
          <w:szCs w:val="18"/>
        </w:rPr>
      </w:pPr>
    </w:p>
    <w:p>
      <w:pPr>
        <w:pStyle w:val="BodyText"/>
        <w:spacing w:line="448" w:lineRule="auto"/>
        <w:ind w:left="540" w:right="115"/>
        <w:jc w:val="left"/>
      </w:pPr>
      <w:r>
        <w:rPr/>
        <w:t>本公司的母公司及最终控股公司为联通集团。</w:t>
      </w:r>
      <w:r>
        <w:rPr>
          <w:w w:val="100"/>
        </w:rPr>
        <w:t> </w:t>
      </w:r>
      <w:r>
        <w:rPr>
          <w:spacing w:val="-1"/>
        </w:rPr>
        <w:t>于下文中本公司及本公司之子公司（详情请参见附注七）统称</w:t>
      </w:r>
      <w:r>
        <w:rPr>
          <w:rFonts w:ascii="Arial" w:hAnsi="Arial" w:cs="Arial" w:eastAsia="Arial" w:hint="default"/>
          <w:spacing w:val="-1"/>
        </w:rPr>
        <w:t>“</w:t>
      </w:r>
      <w:r>
        <w:rPr>
          <w:spacing w:val="-1"/>
        </w:rPr>
        <w:t>本集团</w:t>
      </w:r>
      <w:r>
        <w:rPr>
          <w:rFonts w:ascii="Arial" w:hAnsi="Arial" w:cs="Arial" w:eastAsia="Arial" w:hint="default"/>
          <w:spacing w:val="-1"/>
        </w:rPr>
        <w:t>”</w:t>
      </w:r>
      <w:r>
        <w:rPr>
          <w:spacing w:val="-1"/>
        </w:rPr>
        <w:t>。</w:t>
      </w:r>
    </w:p>
    <w:p>
      <w:pPr>
        <w:pStyle w:val="BodyText"/>
        <w:spacing w:line="240" w:lineRule="auto" w:before="20"/>
        <w:ind w:left="120" w:right="115"/>
        <w:jc w:val="left"/>
      </w:pPr>
      <w:r>
        <w:rPr>
          <w:rFonts w:ascii="Arial" w:hAnsi="Arial" w:cs="Arial" w:eastAsia="Arial" w:hint="default"/>
        </w:rPr>
        <w:t>2</w:t>
      </w:r>
      <w:r>
        <w:rPr/>
        <w:t>、</w:t>
      </w:r>
      <w:r>
        <w:rPr>
          <w:spacing w:val="-35"/>
        </w:rPr>
        <w:t> </w:t>
      </w:r>
      <w:r>
        <w:rPr/>
        <w:t>本财务报表由本公司董事会于</w:t>
      </w:r>
      <w:r>
        <w:rPr>
          <w:spacing w:val="-56"/>
        </w:rPr>
        <w:t> </w:t>
      </w:r>
      <w:r>
        <w:rPr>
          <w:rFonts w:ascii="Arial" w:hAnsi="Arial" w:cs="Arial" w:eastAsia="Arial" w:hint="default"/>
        </w:rPr>
        <w:t>2015</w:t>
      </w:r>
      <w:r>
        <w:rPr>
          <w:rFonts w:ascii="Arial" w:hAnsi="Arial" w:cs="Arial" w:eastAsia="Arial" w:hint="default"/>
          <w:spacing w:val="-8"/>
        </w:rPr>
        <w:t> </w:t>
      </w:r>
      <w:r>
        <w:rPr/>
        <w:t>年</w:t>
      </w:r>
      <w:r>
        <w:rPr>
          <w:spacing w:val="-56"/>
        </w:rPr>
        <w:t> </w:t>
      </w:r>
      <w:r>
        <w:rPr>
          <w:rFonts w:ascii="Arial" w:hAnsi="Arial" w:cs="Arial" w:eastAsia="Arial" w:hint="default"/>
        </w:rPr>
        <w:t>3</w:t>
      </w:r>
      <w:r>
        <w:rPr>
          <w:rFonts w:ascii="Arial" w:hAnsi="Arial" w:cs="Arial" w:eastAsia="Arial" w:hint="default"/>
          <w:spacing w:val="-10"/>
        </w:rPr>
        <w:t> </w:t>
      </w:r>
      <w:r>
        <w:rPr/>
        <w:t>月</w:t>
      </w:r>
      <w:r>
        <w:rPr>
          <w:spacing w:val="-56"/>
        </w:rPr>
        <w:t> </w:t>
      </w:r>
      <w:r>
        <w:rPr>
          <w:rFonts w:ascii="Arial" w:hAnsi="Arial" w:cs="Arial" w:eastAsia="Arial" w:hint="default"/>
        </w:rPr>
        <w:t>3</w:t>
      </w:r>
      <w:r>
        <w:rPr>
          <w:rFonts w:ascii="Arial" w:hAnsi="Arial" w:cs="Arial" w:eastAsia="Arial" w:hint="default"/>
          <w:spacing w:val="-8"/>
        </w:rPr>
        <w:t> </w:t>
      </w:r>
      <w:r>
        <w:rPr/>
        <w:t>日批准报出。</w:t>
      </w:r>
    </w:p>
    <w:p>
      <w:pPr>
        <w:spacing w:after="0" w:line="240" w:lineRule="auto"/>
        <w:jc w:val="left"/>
        <w:sectPr>
          <w:headerReference w:type="default" r:id="rId39"/>
          <w:footerReference w:type="default" r:id="rId40"/>
          <w:pgSz w:w="11910" w:h="16840"/>
          <w:pgMar w:header="965" w:footer="769" w:top="2280" w:bottom="960" w:left="1440" w:right="800"/>
          <w:pgNumType w:start="64"/>
        </w:sectPr>
      </w:pPr>
    </w:p>
    <w:p>
      <w:pPr>
        <w:spacing w:line="240" w:lineRule="auto" w:before="0"/>
        <w:rPr>
          <w:rFonts w:ascii="宋体" w:hAnsi="宋体" w:cs="宋体" w:eastAsia="宋体" w:hint="default"/>
          <w:sz w:val="18"/>
          <w:szCs w:val="18"/>
        </w:rPr>
      </w:pPr>
    </w:p>
    <w:p>
      <w:pPr>
        <w:pStyle w:val="BodyText"/>
        <w:tabs>
          <w:tab w:pos="540" w:val="left" w:leader="none"/>
        </w:tabs>
        <w:spacing w:line="240" w:lineRule="auto" w:before="32"/>
        <w:ind w:left="106" w:right="115"/>
        <w:jc w:val="left"/>
        <w:rPr>
          <w:rFonts w:ascii="黑体" w:hAnsi="黑体" w:cs="黑体" w:eastAsia="黑体" w:hint="default"/>
        </w:rPr>
      </w:pPr>
      <w:r>
        <w:rPr>
          <w:rFonts w:ascii="黑体" w:hAnsi="黑体" w:cs="黑体" w:eastAsia="黑体" w:hint="default"/>
        </w:rPr>
        <w:t>二</w:t>
        <w:tab/>
        <w:t>财务报表的编制基础</w:t>
      </w:r>
    </w:p>
    <w:p>
      <w:pPr>
        <w:spacing w:line="240" w:lineRule="auto" w:before="1"/>
        <w:rPr>
          <w:rFonts w:ascii="黑体" w:hAnsi="黑体" w:cs="黑体" w:eastAsia="黑体" w:hint="default"/>
          <w:sz w:val="19"/>
          <w:szCs w:val="19"/>
        </w:rPr>
      </w:pPr>
    </w:p>
    <w:p>
      <w:pPr>
        <w:pStyle w:val="BodyText"/>
        <w:spacing w:line="240" w:lineRule="auto"/>
        <w:ind w:left="540" w:right="0"/>
        <w:jc w:val="both"/>
      </w:pPr>
      <w:r>
        <w:rPr/>
        <w:t>本公司以持续经营为基础编制财务报表。</w:t>
      </w:r>
    </w:p>
    <w:p>
      <w:pPr>
        <w:spacing w:line="240" w:lineRule="auto" w:before="2"/>
        <w:rPr>
          <w:rFonts w:ascii="宋体" w:hAnsi="宋体" w:cs="宋体" w:eastAsia="宋体" w:hint="default"/>
          <w:sz w:val="16"/>
          <w:szCs w:val="16"/>
        </w:rPr>
      </w:pPr>
    </w:p>
    <w:p>
      <w:pPr>
        <w:pStyle w:val="BodyText"/>
        <w:spacing w:line="240" w:lineRule="auto"/>
        <w:ind w:left="149" w:right="115"/>
        <w:jc w:val="left"/>
      </w:pPr>
      <w:r>
        <w:rPr>
          <w:rFonts w:ascii="Arial" w:hAnsi="Arial" w:cs="Arial" w:eastAsia="Arial" w:hint="default"/>
        </w:rPr>
        <w:t>1</w:t>
      </w:r>
      <w:r>
        <w:rPr/>
        <w:t>、</w:t>
      </w:r>
      <w:r>
        <w:rPr>
          <w:spacing w:val="-59"/>
        </w:rPr>
        <w:t> </w:t>
      </w:r>
      <w:r>
        <w:rPr/>
        <w:t>合并报表</w:t>
      </w:r>
    </w:p>
    <w:p>
      <w:pPr>
        <w:spacing w:line="240" w:lineRule="auto" w:before="10"/>
        <w:rPr>
          <w:rFonts w:ascii="宋体" w:hAnsi="宋体" w:cs="宋体" w:eastAsia="宋体" w:hint="default"/>
          <w:sz w:val="17"/>
          <w:szCs w:val="17"/>
        </w:rPr>
      </w:pPr>
    </w:p>
    <w:p>
      <w:pPr>
        <w:pStyle w:val="BodyText"/>
        <w:spacing w:line="225" w:lineRule="auto"/>
        <w:ind w:left="540" w:right="187"/>
        <w:jc w:val="both"/>
      </w:pPr>
      <w:r>
        <w:rPr/>
        <w:t>于</w:t>
      </w:r>
      <w:r>
        <w:rPr>
          <w:spacing w:val="-57"/>
        </w:rPr>
        <w:t> </w:t>
      </w:r>
      <w:r>
        <w:rPr>
          <w:rFonts w:ascii="Arial" w:hAnsi="Arial" w:cs="Arial" w:eastAsia="Arial" w:hint="default"/>
        </w:rPr>
        <w:t>2008</w:t>
      </w:r>
      <w:r>
        <w:rPr>
          <w:rFonts w:ascii="Arial" w:hAnsi="Arial" w:cs="Arial" w:eastAsia="Arial" w:hint="default"/>
          <w:spacing w:val="-9"/>
        </w:rPr>
        <w:t> </w:t>
      </w:r>
      <w:r>
        <w:rPr/>
        <w:t>年</w:t>
      </w:r>
      <w:r>
        <w:rPr>
          <w:spacing w:val="-57"/>
        </w:rPr>
        <w:t> </w:t>
      </w:r>
      <w:r>
        <w:rPr>
          <w:rFonts w:ascii="Arial" w:hAnsi="Arial" w:cs="Arial" w:eastAsia="Arial" w:hint="default"/>
        </w:rPr>
        <w:t>10</w:t>
      </w:r>
      <w:r>
        <w:rPr>
          <w:rFonts w:ascii="Arial" w:hAnsi="Arial" w:cs="Arial" w:eastAsia="Arial" w:hint="default"/>
          <w:spacing w:val="-9"/>
        </w:rPr>
        <w:t> </w:t>
      </w:r>
      <w:r>
        <w:rPr/>
        <w:t>月</w:t>
      </w:r>
      <w:r>
        <w:rPr>
          <w:spacing w:val="-57"/>
        </w:rPr>
        <w:t> </w:t>
      </w:r>
      <w:r>
        <w:rPr>
          <w:rFonts w:ascii="Arial" w:hAnsi="Arial" w:cs="Arial" w:eastAsia="Arial" w:hint="default"/>
        </w:rPr>
        <w:t>15</w:t>
      </w:r>
      <w:r>
        <w:rPr>
          <w:rFonts w:ascii="Arial" w:hAnsi="Arial" w:cs="Arial" w:eastAsia="Arial" w:hint="default"/>
          <w:spacing w:val="-9"/>
        </w:rPr>
        <w:t> </w:t>
      </w:r>
      <w:r>
        <w:rPr/>
        <w:t>日，联通红筹公司与中国网通集团（香港）有限公司（</w:t>
      </w:r>
      <w:r>
        <w:rPr>
          <w:rFonts w:ascii="Arial" w:hAnsi="Arial" w:cs="Arial" w:eastAsia="Arial" w:hint="default"/>
        </w:rPr>
        <w:t>“</w:t>
      </w:r>
      <w:r>
        <w:rPr/>
        <w:t>网通红筹公司</w:t>
      </w:r>
      <w:r>
        <w:rPr>
          <w:rFonts w:ascii="Arial" w:hAnsi="Arial" w:cs="Arial" w:eastAsia="Arial" w:hint="default"/>
        </w:rPr>
        <w:t>”</w:t>
      </w:r>
      <w:r>
        <w:rPr/>
        <w:t>）</w:t>
      </w:r>
      <w:r>
        <w:rPr>
          <w:w w:val="100"/>
        </w:rPr>
        <w:t> </w:t>
      </w:r>
      <w:r>
        <w:rPr/>
        <w:t>以协议安排通过换股方式完成了两家公司的合并。交易完成后，本公司所属子公司联通</w:t>
      </w:r>
      <w:r>
        <w:rPr>
          <w:spacing w:val="48"/>
        </w:rPr>
        <w:t> </w:t>
      </w:r>
      <w:r>
        <w:rPr>
          <w:rFonts w:ascii="Arial" w:hAnsi="Arial" w:cs="Arial" w:eastAsia="Arial" w:hint="default"/>
        </w:rPr>
        <w:t>BVI</w:t>
      </w:r>
      <w:r>
        <w:rPr>
          <w:rFonts w:ascii="Arial" w:hAnsi="Arial" w:cs="Arial" w:eastAsia="Arial" w:hint="default"/>
          <w:spacing w:val="-42"/>
        </w:rPr>
        <w:t> </w:t>
      </w:r>
      <w:r>
        <w:rPr/>
        <w:t>公司对联通红筹公司的持股比例由合并前的</w:t>
      </w:r>
      <w:r>
        <w:rPr>
          <w:spacing w:val="-45"/>
        </w:rPr>
        <w:t> </w:t>
      </w:r>
      <w:r>
        <w:rPr>
          <w:rFonts w:ascii="Arial" w:hAnsi="Arial" w:cs="Arial" w:eastAsia="Arial" w:hint="default"/>
        </w:rPr>
        <w:t>71.17%</w:t>
      </w:r>
      <w:r>
        <w:rPr/>
        <w:t>（于</w:t>
      </w:r>
      <w:r>
        <w:rPr>
          <w:spacing w:val="-43"/>
        </w:rPr>
        <w:t> </w:t>
      </w:r>
      <w:r>
        <w:rPr>
          <w:rFonts w:ascii="Arial" w:hAnsi="Arial" w:cs="Arial" w:eastAsia="Arial" w:hint="default"/>
        </w:rPr>
        <w:t>2008</w:t>
      </w:r>
      <w:r>
        <w:rPr>
          <w:rFonts w:ascii="Arial" w:hAnsi="Arial" w:cs="Arial" w:eastAsia="Arial" w:hint="default"/>
          <w:spacing w:val="5"/>
        </w:rPr>
        <w:t> </w:t>
      </w:r>
      <w:r>
        <w:rPr/>
        <w:t>年</w:t>
      </w:r>
      <w:r>
        <w:rPr>
          <w:spacing w:val="-43"/>
        </w:rPr>
        <w:t> </w:t>
      </w:r>
      <w:r>
        <w:rPr>
          <w:rFonts w:ascii="Arial" w:hAnsi="Arial" w:cs="Arial" w:eastAsia="Arial" w:hint="default"/>
        </w:rPr>
        <w:t>9</w:t>
      </w:r>
      <w:r>
        <w:rPr>
          <w:rFonts w:ascii="Arial" w:hAnsi="Arial" w:cs="Arial" w:eastAsia="Arial" w:hint="default"/>
          <w:spacing w:val="5"/>
        </w:rPr>
        <w:t> </w:t>
      </w:r>
      <w:r>
        <w:rPr/>
        <w:t>月</w:t>
      </w:r>
      <w:r>
        <w:rPr>
          <w:spacing w:val="-43"/>
        </w:rPr>
        <w:t> </w:t>
      </w:r>
      <w:r>
        <w:rPr>
          <w:rFonts w:ascii="Arial" w:hAnsi="Arial" w:cs="Arial" w:eastAsia="Arial" w:hint="default"/>
        </w:rPr>
        <w:t>30</w:t>
      </w:r>
      <w:r>
        <w:rPr>
          <w:rFonts w:ascii="Arial" w:hAnsi="Arial" w:cs="Arial" w:eastAsia="Arial" w:hint="default"/>
          <w:spacing w:val="3"/>
        </w:rPr>
        <w:t> </w:t>
      </w:r>
      <w:r>
        <w:rPr/>
        <w:t>日）下降为合并后</w:t>
      </w:r>
      <w:r>
        <w:rPr>
          <w:w w:val="100"/>
        </w:rPr>
        <w:t> </w:t>
      </w:r>
      <w:r>
        <w:rPr/>
        <w:t>的</w:t>
      </w:r>
      <w:r>
        <w:rPr>
          <w:spacing w:val="-56"/>
        </w:rPr>
        <w:t> </w:t>
      </w:r>
      <w:r>
        <w:rPr>
          <w:rFonts w:ascii="Arial" w:hAnsi="Arial" w:cs="Arial" w:eastAsia="Arial" w:hint="default"/>
        </w:rPr>
        <w:t>40.92%</w:t>
      </w:r>
      <w:r>
        <w:rPr/>
        <w:t>。</w:t>
      </w:r>
    </w:p>
    <w:p>
      <w:pPr>
        <w:spacing w:line="240" w:lineRule="auto" w:before="3"/>
        <w:rPr>
          <w:rFonts w:ascii="宋体" w:hAnsi="宋体" w:cs="宋体" w:eastAsia="宋体" w:hint="default"/>
          <w:sz w:val="20"/>
          <w:szCs w:val="20"/>
        </w:rPr>
      </w:pPr>
    </w:p>
    <w:p>
      <w:pPr>
        <w:pStyle w:val="BodyText"/>
        <w:spacing w:line="286" w:lineRule="exact"/>
        <w:ind w:left="540" w:right="225"/>
        <w:jc w:val="both"/>
      </w:pPr>
      <w:r>
        <w:rPr>
          <w:spacing w:val="-9"/>
          <w:w w:val="100"/>
        </w:rPr>
        <w:t>为确保联通</w:t>
      </w:r>
      <w:r>
        <w:rPr>
          <w:rFonts w:ascii="Arial" w:hAnsi="Arial" w:cs="Arial" w:eastAsia="Arial" w:hint="default"/>
          <w:spacing w:val="-9"/>
          <w:w w:val="100"/>
        </w:rPr>
        <w:t>BVI</w:t>
      </w:r>
      <w:r>
        <w:rPr>
          <w:spacing w:val="-9"/>
          <w:w w:val="100"/>
        </w:rPr>
        <w:t>公司对联通红筹公司的控制，联通</w:t>
      </w:r>
      <w:r>
        <w:rPr>
          <w:rFonts w:ascii="Arial" w:hAnsi="Arial" w:cs="Arial" w:eastAsia="Arial" w:hint="default"/>
          <w:spacing w:val="-9"/>
          <w:w w:val="100"/>
        </w:rPr>
        <w:t>BVI</w:t>
      </w:r>
      <w:r>
        <w:rPr>
          <w:spacing w:val="-9"/>
          <w:w w:val="100"/>
        </w:rPr>
        <w:t>公司和中国联通集团（</w:t>
      </w:r>
      <w:r>
        <w:rPr>
          <w:rFonts w:ascii="Arial" w:hAnsi="Arial" w:cs="Arial" w:eastAsia="Arial" w:hint="default"/>
          <w:spacing w:val="-9"/>
          <w:w w:val="100"/>
        </w:rPr>
        <w:t>BVI</w:t>
      </w:r>
      <w:r>
        <w:rPr>
          <w:spacing w:val="-9"/>
          <w:w w:val="100"/>
        </w:rPr>
        <w:t>）有限公司（</w:t>
      </w:r>
      <w:r>
        <w:rPr>
          <w:rFonts w:ascii="Arial" w:hAnsi="Arial" w:cs="Arial" w:eastAsia="Arial" w:hint="default"/>
          <w:spacing w:val="-9"/>
          <w:w w:val="100"/>
        </w:rPr>
        <w:t>“</w:t>
      </w:r>
      <w:r>
        <w:rPr>
          <w:spacing w:val="-9"/>
          <w:w w:val="100"/>
        </w:rPr>
        <w:t>联</w:t>
      </w:r>
      <w:r>
        <w:rPr>
          <w:w w:val="100"/>
        </w:rPr>
        <w:t> </w:t>
      </w:r>
      <w:r>
        <w:rPr>
          <w:spacing w:val="-1"/>
        </w:rPr>
        <w:t>通集团</w:t>
      </w:r>
      <w:r>
        <w:rPr>
          <w:rFonts w:ascii="Arial" w:hAnsi="Arial" w:cs="Arial" w:eastAsia="Arial" w:hint="default"/>
          <w:spacing w:val="-1"/>
        </w:rPr>
        <w:t>BVI</w:t>
      </w:r>
      <w:r>
        <w:rPr>
          <w:spacing w:val="-1"/>
        </w:rPr>
        <w:t>公司</w:t>
      </w:r>
      <w:r>
        <w:rPr>
          <w:rFonts w:ascii="Arial" w:hAnsi="Arial" w:cs="Arial" w:eastAsia="Arial" w:hint="default"/>
          <w:spacing w:val="-1"/>
        </w:rPr>
        <w:t>”</w:t>
      </w:r>
      <w:r>
        <w:rPr>
          <w:spacing w:val="-1"/>
        </w:rPr>
        <w:t>，联通红筹公司另一股东，于合并后持有联通红筹公司约</w:t>
      </w:r>
      <w:r>
        <w:rPr>
          <w:rFonts w:ascii="Arial" w:hAnsi="Arial" w:cs="Arial" w:eastAsia="Arial" w:hint="default"/>
          <w:spacing w:val="-1"/>
        </w:rPr>
        <w:t>29.49%</w:t>
      </w:r>
      <w:r>
        <w:rPr>
          <w:spacing w:val="-1"/>
        </w:rPr>
        <w:t>的股份，原</w:t>
      </w:r>
      <w:r>
        <w:rPr>
          <w:spacing w:val="-45"/>
        </w:rPr>
        <w:t> </w:t>
      </w:r>
      <w:r>
        <w:rPr/>
        <w:t>名为中国网通集团（</w:t>
      </w:r>
      <w:r>
        <w:rPr>
          <w:rFonts w:ascii="Arial" w:hAnsi="Arial" w:cs="Arial" w:eastAsia="Arial" w:hint="default"/>
        </w:rPr>
        <w:t>BVI</w:t>
      </w:r>
      <w:r>
        <w:rPr/>
        <w:t>）有限公司，于</w:t>
      </w:r>
      <w:r>
        <w:rPr>
          <w:rFonts w:ascii="Arial" w:hAnsi="Arial" w:cs="Arial" w:eastAsia="Arial" w:hint="default"/>
        </w:rPr>
        <w:t>2012</w:t>
      </w:r>
      <w:r>
        <w:rPr/>
        <w:t>年</w:t>
      </w:r>
      <w:r>
        <w:rPr>
          <w:rFonts w:ascii="Arial" w:hAnsi="Arial" w:cs="Arial" w:eastAsia="Arial" w:hint="default"/>
        </w:rPr>
        <w:t>8</w:t>
      </w:r>
      <w:r>
        <w:rPr/>
        <w:t>月</w:t>
      </w:r>
      <w:r>
        <w:rPr>
          <w:rFonts w:ascii="Arial" w:hAnsi="Arial" w:cs="Arial" w:eastAsia="Arial" w:hint="default"/>
        </w:rPr>
        <w:t>10</w:t>
      </w:r>
      <w:r>
        <w:rPr/>
        <w:t>日进行了公司名称变更）于</w:t>
      </w:r>
      <w:r>
        <w:rPr>
          <w:rFonts w:ascii="Arial" w:hAnsi="Arial" w:cs="Arial" w:eastAsia="Arial" w:hint="default"/>
        </w:rPr>
        <w:t>2008</w:t>
      </w:r>
      <w:r>
        <w:rPr/>
        <w:t>年</w:t>
      </w:r>
      <w:r>
        <w:rPr>
          <w:rFonts w:ascii="Arial" w:hAnsi="Arial" w:cs="Arial" w:eastAsia="Arial" w:hint="default"/>
        </w:rPr>
        <w:t>9</w:t>
      </w:r>
      <w:r>
        <w:rPr/>
        <w:t>月</w:t>
      </w:r>
      <w:r>
        <w:rPr>
          <w:spacing w:val="-88"/>
        </w:rPr>
        <w:t> </w:t>
      </w:r>
      <w:r>
        <w:rPr>
          <w:rFonts w:ascii="Arial" w:hAnsi="Arial" w:cs="Arial" w:eastAsia="Arial" w:hint="default"/>
          <w:spacing w:val="-3"/>
        </w:rPr>
        <w:t>22</w:t>
      </w:r>
      <w:r>
        <w:rPr>
          <w:spacing w:val="-3"/>
        </w:rPr>
        <w:t>日签订了《一致行动方协议》，同时联通集团</w:t>
      </w:r>
      <w:r>
        <w:rPr>
          <w:rFonts w:ascii="Arial" w:hAnsi="Arial" w:cs="Arial" w:eastAsia="Arial" w:hint="default"/>
          <w:spacing w:val="-3"/>
        </w:rPr>
        <w:t>BVI</w:t>
      </w:r>
      <w:r>
        <w:rPr>
          <w:spacing w:val="-3"/>
        </w:rPr>
        <w:t>公司还于</w:t>
      </w:r>
      <w:r>
        <w:rPr>
          <w:rFonts w:ascii="Arial" w:hAnsi="Arial" w:cs="Arial" w:eastAsia="Arial" w:hint="default"/>
          <w:spacing w:val="-3"/>
        </w:rPr>
        <w:t>2008</w:t>
      </w:r>
      <w:r>
        <w:rPr>
          <w:spacing w:val="-3"/>
        </w:rPr>
        <w:t>年</w:t>
      </w:r>
      <w:r>
        <w:rPr>
          <w:rFonts w:ascii="Arial" w:hAnsi="Arial" w:cs="Arial" w:eastAsia="Arial" w:hint="default"/>
          <w:spacing w:val="-3"/>
        </w:rPr>
        <w:t>10</w:t>
      </w:r>
      <w:r>
        <w:rPr>
          <w:spacing w:val="-3"/>
        </w:rPr>
        <w:t>月</w:t>
      </w:r>
      <w:r>
        <w:rPr>
          <w:rFonts w:ascii="Arial" w:hAnsi="Arial" w:cs="Arial" w:eastAsia="Arial" w:hint="default"/>
          <w:spacing w:val="-3"/>
        </w:rPr>
        <w:t>15</w:t>
      </w:r>
      <w:r>
        <w:rPr>
          <w:spacing w:val="-3"/>
        </w:rPr>
        <w:t>日向联通</w:t>
      </w:r>
      <w:r>
        <w:rPr>
          <w:rFonts w:ascii="Arial" w:hAnsi="Arial" w:cs="Arial" w:eastAsia="Arial" w:hint="default"/>
          <w:spacing w:val="-3"/>
        </w:rPr>
        <w:t>BVI</w:t>
      </w:r>
      <w:r>
        <w:rPr>
          <w:spacing w:val="-3"/>
        </w:rPr>
        <w:t>公司</w:t>
      </w:r>
      <w:r>
        <w:rPr>
          <w:spacing w:val="-54"/>
        </w:rPr>
        <w:t> </w:t>
      </w:r>
      <w:r>
        <w:rPr/>
        <w:t>发出函件确认其持有的对联通红筹公司的表决权将由联通</w:t>
      </w:r>
      <w:r>
        <w:rPr>
          <w:rFonts w:ascii="Arial" w:hAnsi="Arial" w:cs="Arial" w:eastAsia="Arial" w:hint="default"/>
        </w:rPr>
        <w:t>BVI</w:t>
      </w:r>
      <w:r>
        <w:rPr/>
        <w:t>公司控制，并且未经联通</w:t>
      </w:r>
      <w:r>
        <w:rPr>
          <w:rFonts w:ascii="Arial" w:hAnsi="Arial" w:cs="Arial" w:eastAsia="Arial" w:hint="default"/>
        </w:rPr>
        <w:t>BVI</w:t>
      </w:r>
      <w:r>
        <w:rPr/>
        <w:t>公</w:t>
      </w:r>
      <w:r>
        <w:rPr>
          <w:spacing w:val="-63"/>
        </w:rPr>
        <w:t> </w:t>
      </w:r>
      <w:r>
        <w:rPr>
          <w:spacing w:val="-2"/>
        </w:rPr>
        <w:t>司的事先批准，联通集团</w:t>
      </w:r>
      <w:r>
        <w:rPr>
          <w:rFonts w:ascii="Arial" w:hAnsi="Arial" w:cs="Arial" w:eastAsia="Arial" w:hint="default"/>
          <w:spacing w:val="-2"/>
        </w:rPr>
        <w:t>BVI</w:t>
      </w:r>
      <w:r>
        <w:rPr>
          <w:spacing w:val="-2"/>
        </w:rPr>
        <w:t>公司将不会提呈任何决议，以供在任何联通红筹公司的股东大会</w:t>
      </w:r>
      <w:r>
        <w:rPr>
          <w:spacing w:val="-72"/>
        </w:rPr>
        <w:t> </w:t>
      </w:r>
      <w:r>
        <w:rPr>
          <w:spacing w:val="-72"/>
        </w:rPr>
      </w:r>
      <w:r>
        <w:rPr/>
        <w:t>上审议。</w:t>
      </w:r>
    </w:p>
    <w:p>
      <w:pPr>
        <w:spacing w:line="240" w:lineRule="auto" w:before="4"/>
        <w:rPr>
          <w:rFonts w:ascii="宋体" w:hAnsi="宋体" w:cs="宋体" w:eastAsia="宋体" w:hint="default"/>
          <w:sz w:val="18"/>
          <w:szCs w:val="18"/>
        </w:rPr>
      </w:pPr>
    </w:p>
    <w:p>
      <w:pPr>
        <w:pStyle w:val="BodyText"/>
        <w:spacing w:line="225" w:lineRule="auto"/>
        <w:ind w:left="540" w:right="223"/>
        <w:jc w:val="both"/>
      </w:pPr>
      <w:r>
        <w:rPr>
          <w:spacing w:val="-1"/>
        </w:rPr>
        <w:t>因此，根据上述《一致行动方协议》和确认函件，于</w:t>
      </w:r>
      <w:r>
        <w:rPr>
          <w:rFonts w:ascii="Arial" w:hAnsi="Arial" w:cs="Arial" w:eastAsia="Arial" w:hint="default"/>
          <w:spacing w:val="-1"/>
        </w:rPr>
        <w:t>2008</w:t>
      </w:r>
      <w:r>
        <w:rPr>
          <w:spacing w:val="-1"/>
        </w:rPr>
        <w:t>年</w:t>
      </w:r>
      <w:r>
        <w:rPr>
          <w:rFonts w:ascii="Arial" w:hAnsi="Arial" w:cs="Arial" w:eastAsia="Arial" w:hint="default"/>
          <w:spacing w:val="-1"/>
        </w:rPr>
        <w:t>10</w:t>
      </w:r>
      <w:r>
        <w:rPr>
          <w:spacing w:val="-1"/>
        </w:rPr>
        <w:t>月</w:t>
      </w:r>
      <w:r>
        <w:rPr>
          <w:rFonts w:ascii="Arial" w:hAnsi="Arial" w:cs="Arial" w:eastAsia="Arial" w:hint="default"/>
          <w:spacing w:val="-1"/>
        </w:rPr>
        <w:t>15</w:t>
      </w:r>
      <w:r>
        <w:rPr>
          <w:spacing w:val="-1"/>
        </w:rPr>
        <w:t>日，在联通红筹公司和网</w:t>
      </w:r>
      <w:r>
        <w:rPr>
          <w:spacing w:val="-77"/>
        </w:rPr>
        <w:t> </w:t>
      </w:r>
      <w:r>
        <w:rPr>
          <w:spacing w:val="-77"/>
        </w:rPr>
      </w:r>
      <w:r>
        <w:rPr/>
        <w:t>通红筹公司合并完成后，本公司通过联通</w:t>
      </w:r>
      <w:r>
        <w:rPr>
          <w:rFonts w:ascii="Arial" w:hAnsi="Arial" w:cs="Arial" w:eastAsia="Arial" w:hint="default"/>
        </w:rPr>
        <w:t>BVI</w:t>
      </w:r>
      <w:r>
        <w:rPr/>
        <w:t>公司实际控制了联通红筹公司约</w:t>
      </w:r>
      <w:r>
        <w:rPr>
          <w:rFonts w:ascii="Arial" w:hAnsi="Arial" w:cs="Arial" w:eastAsia="Arial" w:hint="default"/>
        </w:rPr>
        <w:t>70.41%</w:t>
      </w:r>
      <w:r>
        <w:rPr/>
        <w:t>表决权</w:t>
      </w:r>
      <w:r>
        <w:rPr>
          <w:spacing w:val="-22"/>
        </w:rPr>
        <w:t> </w:t>
      </w:r>
      <w:r>
        <w:rPr>
          <w:spacing w:val="-22"/>
        </w:rPr>
      </w:r>
      <w:r>
        <w:rPr/>
        <w:t>股份。此外，由于联通红筹公司回购韩国</w:t>
      </w:r>
      <w:r>
        <w:rPr>
          <w:rFonts w:ascii="Arial" w:hAnsi="Arial" w:cs="Arial" w:eastAsia="Arial" w:hint="default"/>
        </w:rPr>
        <w:t>SK</w:t>
      </w:r>
      <w:r>
        <w:rPr/>
        <w:t>电讯株式会社（</w:t>
      </w:r>
      <w:r>
        <w:rPr>
          <w:rFonts w:ascii="Arial" w:hAnsi="Arial" w:cs="Arial" w:eastAsia="Arial" w:hint="default"/>
        </w:rPr>
        <w:t>“SKT”</w:t>
      </w:r>
      <w:r>
        <w:rPr/>
        <w:t>）持有的联通红筹公司股</w:t>
      </w:r>
      <w:r>
        <w:rPr>
          <w:spacing w:val="-16"/>
        </w:rPr>
        <w:t> </w:t>
      </w:r>
      <w:r>
        <w:rPr>
          <w:spacing w:val="-16"/>
        </w:rPr>
      </w:r>
      <w:r>
        <w:rPr/>
        <w:t>份以及联通红筹公司与</w:t>
      </w:r>
      <w:r>
        <w:rPr>
          <w:rFonts w:ascii="Arial" w:hAnsi="Arial" w:cs="Arial" w:eastAsia="Arial" w:hint="default"/>
        </w:rPr>
        <w:t>Telefónica, </w:t>
      </w:r>
      <w:r>
        <w:rPr>
          <w:rFonts w:ascii="Arial" w:hAnsi="Arial" w:cs="Arial" w:eastAsia="Arial" w:hint="default"/>
          <w:spacing w:val="-3"/>
        </w:rPr>
        <w:t>S.A.</w:t>
      </w:r>
      <w:r>
        <w:rPr>
          <w:spacing w:val="-3"/>
        </w:rPr>
        <w:t>（</w:t>
      </w:r>
      <w:r>
        <w:rPr>
          <w:rFonts w:ascii="Arial" w:hAnsi="Arial" w:cs="Arial" w:eastAsia="Arial" w:hint="default"/>
          <w:spacing w:val="-3"/>
        </w:rPr>
        <w:t>“</w:t>
      </w:r>
      <w:r>
        <w:rPr>
          <w:spacing w:val="-3"/>
        </w:rPr>
        <w:t>西班牙电信</w:t>
      </w:r>
      <w:r>
        <w:rPr>
          <w:rFonts w:ascii="Arial" w:hAnsi="Arial" w:cs="Arial" w:eastAsia="Arial" w:hint="default"/>
          <w:spacing w:val="-3"/>
        </w:rPr>
        <w:t>”</w:t>
      </w:r>
      <w:r>
        <w:rPr>
          <w:spacing w:val="-3"/>
        </w:rPr>
        <w:t>）互相投资（详见附注三</w:t>
      </w:r>
      <w:r>
        <w:rPr>
          <w:rFonts w:ascii="Arial" w:hAnsi="Arial" w:cs="Arial" w:eastAsia="Arial" w:hint="default"/>
          <w:spacing w:val="-3"/>
        </w:rPr>
        <w:t>(33)(b)</w:t>
      </w:r>
      <w:r>
        <w:rPr>
          <w:spacing w:val="-3"/>
        </w:rPr>
        <w:t>）和西</w:t>
      </w:r>
      <w:r>
        <w:rPr>
          <w:spacing w:val="-87"/>
        </w:rPr>
        <w:t> </w:t>
      </w:r>
      <w:r>
        <w:rPr>
          <w:spacing w:val="-87"/>
        </w:rPr>
      </w:r>
      <w:r>
        <w:rPr>
          <w:spacing w:val="-3"/>
          <w:w w:val="100"/>
        </w:rPr>
        <w:t>班牙电信将其持有的联通红筹公司股份转让予联通集团</w:t>
      </w:r>
      <w:r>
        <w:rPr>
          <w:rFonts w:ascii="Arial" w:hAnsi="Arial" w:cs="Arial" w:eastAsia="Arial" w:hint="default"/>
          <w:spacing w:val="-3"/>
          <w:w w:val="100"/>
        </w:rPr>
        <w:t>BVI</w:t>
      </w:r>
      <w:r>
        <w:rPr>
          <w:spacing w:val="-3"/>
          <w:w w:val="100"/>
        </w:rPr>
        <w:t>公司，联通</w:t>
      </w:r>
      <w:r>
        <w:rPr>
          <w:rFonts w:ascii="Arial" w:hAnsi="Arial" w:cs="Arial" w:eastAsia="Arial" w:hint="default"/>
          <w:spacing w:val="-3"/>
          <w:w w:val="100"/>
        </w:rPr>
        <w:t>BVI</w:t>
      </w:r>
      <w:r>
        <w:rPr>
          <w:spacing w:val="-3"/>
          <w:w w:val="100"/>
        </w:rPr>
        <w:t>公司和联通集团</w:t>
      </w:r>
      <w:r>
        <w:rPr>
          <w:rFonts w:ascii="Arial" w:hAnsi="Arial" w:cs="Arial" w:eastAsia="Arial" w:hint="default"/>
          <w:spacing w:val="-3"/>
          <w:w w:val="100"/>
        </w:rPr>
        <w:t>BVI</w:t>
      </w:r>
      <w:r>
        <w:rPr>
          <w:rFonts w:ascii="Arial" w:hAnsi="Arial" w:cs="Arial" w:eastAsia="Arial" w:hint="default"/>
          <w:spacing w:val="-56"/>
          <w:w w:val="100"/>
        </w:rPr>
        <w:t> </w:t>
      </w:r>
      <w:r>
        <w:rPr>
          <w:spacing w:val="-1"/>
        </w:rPr>
        <w:t>公司对联通红筹公司持股比例于</w:t>
      </w:r>
      <w:r>
        <w:rPr>
          <w:rFonts w:ascii="Arial" w:hAnsi="Arial" w:cs="Arial" w:eastAsia="Arial" w:hint="default"/>
          <w:spacing w:val="-1"/>
        </w:rPr>
        <w:t>2014</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日增加至</w:t>
      </w:r>
      <w:r>
        <w:rPr>
          <w:rFonts w:ascii="Arial" w:hAnsi="Arial" w:cs="Arial" w:eastAsia="Arial" w:hint="default"/>
          <w:spacing w:val="-1"/>
        </w:rPr>
        <w:t>74.36%</w:t>
      </w:r>
      <w:r>
        <w:rPr>
          <w:spacing w:val="-1"/>
        </w:rPr>
        <w:t>表决权股份（其中联通</w:t>
      </w:r>
      <w:r>
        <w:rPr>
          <w:rFonts w:ascii="Arial" w:hAnsi="Arial" w:cs="Arial" w:eastAsia="Arial" w:hint="default"/>
          <w:spacing w:val="-1"/>
        </w:rPr>
        <w:t>BVI</w:t>
      </w:r>
      <w:r>
        <w:rPr>
          <w:spacing w:val="-1"/>
        </w:rPr>
        <w:t>公</w:t>
      </w:r>
      <w:r>
        <w:rPr>
          <w:spacing w:val="-75"/>
        </w:rPr>
        <w:t> </w:t>
      </w:r>
      <w:r>
        <w:rPr/>
        <w:t>司的持股比例为</w:t>
      </w:r>
      <w:r>
        <w:rPr>
          <w:rFonts w:ascii="Arial" w:hAnsi="Arial" w:cs="Arial" w:eastAsia="Arial" w:hint="default"/>
        </w:rPr>
        <w:t>40.61%</w:t>
      </w:r>
      <w:r>
        <w:rPr/>
        <w:t>，联通集团</w:t>
      </w:r>
      <w:r>
        <w:rPr>
          <w:rFonts w:ascii="Arial" w:hAnsi="Arial" w:cs="Arial" w:eastAsia="Arial" w:hint="default"/>
        </w:rPr>
        <w:t>BVI</w:t>
      </w:r>
      <w:r>
        <w:rPr/>
        <w:t>公司的持股比例为</w:t>
      </w:r>
      <w:r>
        <w:rPr>
          <w:rFonts w:ascii="Arial" w:hAnsi="Arial" w:cs="Arial" w:eastAsia="Arial" w:hint="default"/>
        </w:rPr>
        <w:t>33.75%</w:t>
      </w:r>
      <w:r>
        <w:rPr/>
        <w:t>），故联通</w:t>
      </w:r>
      <w:r>
        <w:rPr>
          <w:rFonts w:ascii="Arial" w:hAnsi="Arial" w:cs="Arial" w:eastAsia="Arial" w:hint="default"/>
        </w:rPr>
        <w:t>BVI</w:t>
      </w:r>
      <w:r>
        <w:rPr/>
        <w:t>公司仍控制</w:t>
      </w:r>
      <w:r>
        <w:rPr>
          <w:spacing w:val="-25"/>
        </w:rPr>
        <w:t> </w:t>
      </w:r>
      <w:r>
        <w:rPr/>
        <w:t>联通红筹公司，联通红筹公司亦继续被纳入本公司的合并财务报表范围。</w:t>
      </w:r>
    </w:p>
    <w:p>
      <w:pPr>
        <w:spacing w:line="240" w:lineRule="auto" w:before="5"/>
        <w:rPr>
          <w:rFonts w:ascii="宋体" w:hAnsi="宋体" w:cs="宋体" w:eastAsia="宋体" w:hint="default"/>
          <w:sz w:val="17"/>
          <w:szCs w:val="17"/>
        </w:rPr>
      </w:pPr>
    </w:p>
    <w:p>
      <w:pPr>
        <w:pStyle w:val="BodyText"/>
        <w:spacing w:line="240" w:lineRule="auto"/>
        <w:ind w:left="120" w:right="115"/>
        <w:jc w:val="left"/>
      </w:pPr>
      <w:r>
        <w:rPr>
          <w:rFonts w:ascii="Arial" w:hAnsi="Arial" w:cs="Arial" w:eastAsia="Arial" w:hint="default"/>
        </w:rPr>
        <w:t>2</w:t>
      </w:r>
      <w:r>
        <w:rPr/>
        <w:t>、</w:t>
      </w:r>
      <w:r>
        <w:rPr>
          <w:spacing w:val="-31"/>
        </w:rPr>
        <w:t> </w:t>
      </w:r>
      <w:r>
        <w:rPr/>
        <w:t>持续经营</w:t>
      </w:r>
    </w:p>
    <w:p>
      <w:pPr>
        <w:spacing w:line="240" w:lineRule="auto" w:before="8"/>
        <w:rPr>
          <w:rFonts w:ascii="宋体" w:hAnsi="宋体" w:cs="宋体" w:eastAsia="宋体" w:hint="default"/>
          <w:sz w:val="18"/>
          <w:szCs w:val="18"/>
        </w:rPr>
      </w:pPr>
    </w:p>
    <w:p>
      <w:pPr>
        <w:pStyle w:val="BodyText"/>
        <w:spacing w:line="286" w:lineRule="exact"/>
        <w:ind w:left="540" w:right="115"/>
        <w:jc w:val="left"/>
      </w:pPr>
      <w:r>
        <w:rPr>
          <w:spacing w:val="-3"/>
        </w:rPr>
        <w:t>于</w:t>
      </w:r>
      <w:r>
        <w:rPr>
          <w:rFonts w:ascii="Arial" w:hAnsi="Arial" w:cs="Arial" w:eastAsia="Arial" w:hint="default"/>
          <w:spacing w:val="-3"/>
        </w:rPr>
        <w:t>2014</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日，本集团的流动负债超出流动资产约人民币</w:t>
      </w:r>
      <w:r>
        <w:rPr>
          <w:rFonts w:ascii="Arial" w:hAnsi="Arial" w:cs="Arial" w:eastAsia="Arial" w:hint="default"/>
          <w:spacing w:val="-3"/>
        </w:rPr>
        <w:t>2,345</w:t>
      </w:r>
      <w:r>
        <w:rPr>
          <w:spacing w:val="-3"/>
        </w:rPr>
        <w:t>亿元（</w:t>
      </w:r>
      <w:r>
        <w:rPr>
          <w:rFonts w:ascii="Arial" w:hAnsi="Arial" w:cs="Arial" w:eastAsia="Arial" w:hint="default"/>
          <w:spacing w:val="-3"/>
        </w:rPr>
        <w:t>2013</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w:t>
      </w:r>
      <w:r>
        <w:rPr>
          <w:spacing w:val="-75"/>
        </w:rPr>
        <w:t> </w:t>
      </w:r>
      <w:r>
        <w:rPr/>
        <w:t>约人民币</w:t>
      </w:r>
      <w:r>
        <w:rPr>
          <w:rFonts w:ascii="Arial" w:hAnsi="Arial" w:cs="Arial" w:eastAsia="Arial" w:hint="default"/>
        </w:rPr>
        <w:t>2,424</w:t>
      </w:r>
      <w:r>
        <w:rPr/>
        <w:t>亿元）。考虑到当前全球经济环境，以及本集团在可预见的将来预计的资本支</w:t>
      </w:r>
      <w:r>
        <w:rPr>
          <w:w w:val="100"/>
        </w:rPr>
        <w:t> </w:t>
      </w:r>
      <w:r>
        <w:rPr/>
        <w:t>出，管理层综合考虑了本集团如下可获得的资金来源：</w:t>
      </w:r>
    </w:p>
    <w:p>
      <w:pPr>
        <w:spacing w:line="240" w:lineRule="auto" w:before="1"/>
        <w:rPr>
          <w:rFonts w:ascii="宋体" w:hAnsi="宋体" w:cs="宋体" w:eastAsia="宋体" w:hint="default"/>
          <w:sz w:val="17"/>
          <w:szCs w:val="17"/>
        </w:rPr>
      </w:pPr>
    </w:p>
    <w:p>
      <w:pPr>
        <w:pStyle w:val="BodyText"/>
        <w:spacing w:line="295" w:lineRule="exact"/>
        <w:ind w:left="569" w:right="0"/>
        <w:jc w:val="both"/>
      </w:pPr>
      <w:r>
        <w:rPr>
          <w:rFonts w:ascii="Symbol" w:hAnsi="Symbol" w:cs="Symbol" w:eastAsia="Symbol" w:hint="default"/>
        </w:rPr>
        <w:t></w:t>
      </w:r>
      <w:r>
        <w:rPr>
          <w:rFonts w:ascii="Symbol" w:hAnsi="Symbol" w:cs="Symbol" w:eastAsia="Symbol" w:hint="default"/>
          <w:spacing w:val="12"/>
        </w:rPr>
        <w:t></w:t>
      </w:r>
      <w:r>
        <w:rPr>
          <w:rFonts w:ascii="Times New Roman" w:hAnsi="Times New Roman" w:cs="Times New Roman" w:eastAsia="Times New Roman" w:hint="default"/>
          <w:spacing w:val="12"/>
        </w:rPr>
      </w:r>
      <w:r>
        <w:rPr/>
        <w:t>本集团从经营活动中持续取得的净现金流入；</w:t>
      </w:r>
    </w:p>
    <w:p>
      <w:pPr>
        <w:pStyle w:val="BodyText"/>
        <w:tabs>
          <w:tab w:pos="960" w:val="left" w:leader="none"/>
        </w:tabs>
        <w:spacing w:line="286" w:lineRule="exact" w:before="18"/>
        <w:ind w:left="960" w:right="230" w:hanging="392"/>
        <w:jc w:val="left"/>
      </w:pPr>
      <w:r>
        <w:rPr>
          <w:rFonts w:ascii="Symbol" w:hAnsi="Symbol" w:cs="Symbol" w:eastAsia="Symbol" w:hint="default"/>
        </w:rPr>
        <w:t></w:t>
      </w:r>
      <w:r>
        <w:rPr>
          <w:rFonts w:ascii="Times New Roman" w:hAnsi="Times New Roman" w:cs="Times New Roman" w:eastAsia="Times New Roman" w:hint="default"/>
        </w:rPr>
        <w:tab/>
      </w:r>
      <w:r>
        <w:rPr>
          <w:spacing w:val="-1"/>
        </w:rPr>
        <w:t>于</w:t>
      </w:r>
      <w:r>
        <w:rPr>
          <w:rFonts w:ascii="Arial" w:hAnsi="Arial" w:cs="Arial" w:eastAsia="Arial" w:hint="default"/>
          <w:spacing w:val="-1"/>
        </w:rPr>
        <w:t>2014</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日，循环银行信贷额度、短期融资券、中期票据和公司债券授予发行额</w:t>
      </w:r>
      <w:r>
        <w:rPr>
          <w:spacing w:val="-51"/>
        </w:rPr>
        <w:t> </w:t>
      </w:r>
      <w:r>
        <w:rPr>
          <w:spacing w:val="-51"/>
        </w:rPr>
      </w:r>
      <w:r>
        <w:rPr/>
        <w:t>度约为人民币</w:t>
      </w:r>
      <w:r>
        <w:rPr>
          <w:rFonts w:ascii="Arial" w:hAnsi="Arial" w:cs="Arial" w:eastAsia="Arial" w:hint="default"/>
        </w:rPr>
        <w:t>3,616</w:t>
      </w:r>
      <w:r>
        <w:rPr/>
        <w:t>亿元及未使用的额度约为人民币</w:t>
      </w:r>
      <w:r>
        <w:rPr>
          <w:rFonts w:ascii="Arial" w:hAnsi="Arial" w:cs="Arial" w:eastAsia="Arial" w:hint="default"/>
        </w:rPr>
        <w:t>2,353</w:t>
      </w:r>
      <w:r>
        <w:rPr/>
        <w:t>亿元；及</w:t>
      </w:r>
    </w:p>
    <w:p>
      <w:pPr>
        <w:pStyle w:val="BodyText"/>
        <w:spacing w:line="277" w:lineRule="exact"/>
        <w:ind w:left="569" w:right="0"/>
        <w:jc w:val="both"/>
      </w:pPr>
      <w:r>
        <w:rPr>
          <w:rFonts w:ascii="Symbol" w:hAnsi="Symbol" w:cs="Symbol" w:eastAsia="Symbol" w:hint="default"/>
        </w:rPr>
        <w:t></w:t>
      </w:r>
      <w:r>
        <w:rPr>
          <w:rFonts w:ascii="Symbol" w:hAnsi="Symbol" w:cs="Symbol" w:eastAsia="Symbol" w:hint="default"/>
          <w:spacing w:val="5"/>
        </w:rPr>
        <w:t></w:t>
      </w:r>
      <w:r>
        <w:rPr>
          <w:rFonts w:ascii="Times New Roman" w:hAnsi="Times New Roman" w:cs="Times New Roman" w:eastAsia="Times New Roman" w:hint="default"/>
          <w:spacing w:val="5"/>
        </w:rPr>
      </w:r>
      <w:r>
        <w:rPr/>
        <w:t>考虑到本集团的信贷记录，从国内银行和其他金融机构获得的其他融资渠道。</w:t>
      </w:r>
    </w:p>
    <w:p>
      <w:pPr>
        <w:spacing w:line="240" w:lineRule="auto" w:before="12"/>
        <w:rPr>
          <w:rFonts w:ascii="宋体" w:hAnsi="宋体" w:cs="宋体" w:eastAsia="宋体" w:hint="default"/>
          <w:sz w:val="19"/>
          <w:szCs w:val="19"/>
        </w:rPr>
      </w:pPr>
    </w:p>
    <w:p>
      <w:pPr>
        <w:pStyle w:val="BodyText"/>
        <w:spacing w:line="286" w:lineRule="exact"/>
        <w:ind w:left="569" w:right="297"/>
        <w:jc w:val="both"/>
      </w:pPr>
      <w:r>
        <w:rPr>
          <w:spacing w:val="-1"/>
        </w:rPr>
        <w:t>此外，本集团相信能够通过短、中、长期方式筹集资金，并通过适当安排融资组合以保持合</w:t>
      </w:r>
      <w:r>
        <w:rPr>
          <w:spacing w:val="-77"/>
        </w:rPr>
        <w:t> </w:t>
      </w:r>
      <w:r>
        <w:rPr>
          <w:spacing w:val="-77"/>
        </w:rPr>
      </w:r>
      <w:r>
        <w:rPr/>
        <w:t>理的融资成本。</w:t>
      </w:r>
    </w:p>
    <w:p>
      <w:pPr>
        <w:spacing w:line="240" w:lineRule="auto" w:before="1"/>
        <w:rPr>
          <w:rFonts w:ascii="宋体" w:hAnsi="宋体" w:cs="宋体" w:eastAsia="宋体" w:hint="default"/>
          <w:sz w:val="17"/>
          <w:szCs w:val="17"/>
        </w:rPr>
      </w:pPr>
    </w:p>
    <w:p>
      <w:pPr>
        <w:pStyle w:val="BodyText"/>
        <w:spacing w:line="287" w:lineRule="exact"/>
        <w:ind w:left="569" w:right="0"/>
        <w:jc w:val="both"/>
      </w:pPr>
      <w:r>
        <w:rPr/>
        <w:t>基于以上考虑，董事会认为本集团有足够的资金以满足营运资金和偿债所需。因此，本集团</w:t>
      </w:r>
    </w:p>
    <w:p>
      <w:pPr>
        <w:pStyle w:val="BodyText"/>
        <w:spacing w:line="302" w:lineRule="exact"/>
        <w:ind w:left="569" w:right="0"/>
        <w:jc w:val="both"/>
      </w:pPr>
      <w:r>
        <w:rPr>
          <w:rFonts w:ascii="Arial" w:hAnsi="Arial" w:cs="Arial" w:eastAsia="Arial" w:hint="default"/>
        </w:rPr>
        <w:t>2014</w:t>
      </w:r>
      <w:r>
        <w:rPr/>
        <w:t>年度财务报表仍按持续经营基础编制。</w:t>
      </w:r>
    </w:p>
    <w:p>
      <w:pPr>
        <w:spacing w:after="0" w:line="302" w:lineRule="exact"/>
        <w:jc w:val="both"/>
        <w:sectPr>
          <w:headerReference w:type="default" r:id="rId41"/>
          <w:pgSz w:w="11910" w:h="16840"/>
          <w:pgMar w:header="965" w:footer="769" w:top="2280" w:bottom="960" w:left="1440" w:right="800"/>
        </w:sectPr>
      </w:pPr>
    </w:p>
    <w:p>
      <w:pPr>
        <w:spacing w:line="240" w:lineRule="auto" w:before="0"/>
        <w:rPr>
          <w:rFonts w:ascii="宋体" w:hAnsi="宋体" w:cs="宋体" w:eastAsia="宋体" w:hint="default"/>
          <w:sz w:val="18"/>
          <w:szCs w:val="18"/>
        </w:rPr>
      </w:pPr>
    </w:p>
    <w:p>
      <w:pPr>
        <w:pStyle w:val="BodyText"/>
        <w:spacing w:line="240" w:lineRule="auto" w:before="32"/>
        <w:ind w:left="100" w:right="1679"/>
        <w:jc w:val="left"/>
        <w:rPr>
          <w:rFonts w:ascii="黑体" w:hAnsi="黑体" w:cs="黑体" w:eastAsia="黑体" w:hint="default"/>
        </w:rPr>
      </w:pPr>
      <w:r>
        <w:rPr>
          <w:rFonts w:ascii="黑体" w:hAnsi="黑体" w:cs="黑体" w:eastAsia="黑体" w:hint="default"/>
        </w:rPr>
        <w:t>三</w:t>
      </w:r>
      <w:r>
        <w:rPr>
          <w:rFonts w:ascii="黑体" w:hAnsi="黑体" w:cs="黑体" w:eastAsia="黑体" w:hint="default"/>
          <w:spacing w:val="89"/>
        </w:rPr>
        <w:t> </w:t>
      </w:r>
      <w:r>
        <w:rPr>
          <w:rFonts w:ascii="黑体" w:hAnsi="黑体" w:cs="黑体" w:eastAsia="黑体" w:hint="default"/>
        </w:rPr>
        <w:t>重要会计政策和会计估计</w:t>
      </w:r>
    </w:p>
    <w:p>
      <w:pPr>
        <w:spacing w:line="240" w:lineRule="auto" w:before="1"/>
        <w:rPr>
          <w:rFonts w:ascii="黑体" w:hAnsi="黑体" w:cs="黑体" w:eastAsia="黑体" w:hint="default"/>
          <w:sz w:val="19"/>
          <w:szCs w:val="19"/>
        </w:rPr>
      </w:pPr>
    </w:p>
    <w:p>
      <w:pPr>
        <w:pStyle w:val="BodyText"/>
        <w:spacing w:line="240" w:lineRule="auto"/>
        <w:ind w:left="100" w:right="1679"/>
        <w:jc w:val="left"/>
      </w:pPr>
      <w:r>
        <w:rPr>
          <w:rFonts w:ascii="Arial" w:hAnsi="Arial" w:cs="Arial" w:eastAsia="Arial" w:hint="default"/>
        </w:rPr>
        <w:t>1</w:t>
      </w:r>
      <w:r>
        <w:rPr/>
        <w:t>、</w:t>
      </w:r>
      <w:r>
        <w:rPr>
          <w:spacing w:val="-34"/>
        </w:rPr>
        <w:t> </w:t>
      </w:r>
      <w:r>
        <w:rPr/>
        <w:t>遵循企业会计准则的声明</w:t>
      </w:r>
    </w:p>
    <w:p>
      <w:pPr>
        <w:spacing w:line="240" w:lineRule="auto" w:before="3"/>
        <w:rPr>
          <w:rFonts w:ascii="宋体" w:hAnsi="宋体" w:cs="宋体" w:eastAsia="宋体" w:hint="default"/>
          <w:sz w:val="19"/>
          <w:szCs w:val="19"/>
        </w:rPr>
      </w:pPr>
    </w:p>
    <w:p>
      <w:pPr>
        <w:pStyle w:val="BodyText"/>
        <w:spacing w:line="225" w:lineRule="auto"/>
        <w:ind w:left="520" w:right="206"/>
        <w:jc w:val="both"/>
      </w:pPr>
      <w:r>
        <w:rPr>
          <w:spacing w:val="-3"/>
        </w:rPr>
        <w:t>本财务报表符合中华人民共和国财政部（以下简称</w:t>
      </w:r>
      <w:r>
        <w:rPr>
          <w:rFonts w:ascii="Arial" w:hAnsi="Arial" w:cs="Arial" w:eastAsia="Arial" w:hint="default"/>
          <w:spacing w:val="-3"/>
        </w:rPr>
        <w:t>“</w:t>
      </w:r>
      <w:r>
        <w:rPr>
          <w:spacing w:val="-3"/>
        </w:rPr>
        <w:t>财政部</w:t>
      </w:r>
      <w:r>
        <w:rPr>
          <w:rFonts w:ascii="Arial" w:hAnsi="Arial" w:cs="Arial" w:eastAsia="Arial" w:hint="default"/>
          <w:spacing w:val="-3"/>
        </w:rPr>
        <w:t>”</w:t>
      </w:r>
      <w:r>
        <w:rPr>
          <w:spacing w:val="-3"/>
        </w:rPr>
        <w:t>）颁布的企业会计准则的要求，真</w:t>
      </w:r>
      <w:r>
        <w:rPr>
          <w:spacing w:val="-44"/>
        </w:rPr>
        <w:t> </w:t>
      </w:r>
      <w:r>
        <w:rPr>
          <w:spacing w:val="-44"/>
        </w:rPr>
      </w:r>
      <w:r>
        <w:rPr>
          <w:spacing w:val="-2"/>
        </w:rPr>
        <w:t>实、完整地反映了本公司</w:t>
      </w:r>
      <w:r>
        <w:rPr>
          <w:rFonts w:ascii="Arial" w:hAnsi="Arial" w:cs="Arial" w:eastAsia="Arial" w:hint="default"/>
          <w:spacing w:val="-2"/>
        </w:rPr>
        <w:t>2014</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日的合并财务状况和财务状况、</w:t>
      </w:r>
      <w:r>
        <w:rPr>
          <w:rFonts w:ascii="Arial" w:hAnsi="Arial" w:cs="Arial" w:eastAsia="Arial" w:hint="default"/>
          <w:spacing w:val="-2"/>
        </w:rPr>
        <w:t>2014</w:t>
      </w:r>
      <w:r>
        <w:rPr>
          <w:spacing w:val="-2"/>
        </w:rPr>
        <w:t>年度的合并经营</w:t>
      </w:r>
      <w:r>
        <w:rPr>
          <w:spacing w:val="-78"/>
        </w:rPr>
        <w:t> </w:t>
      </w:r>
      <w:r>
        <w:rPr>
          <w:spacing w:val="-78"/>
        </w:rPr>
      </w:r>
      <w:r>
        <w:rPr/>
        <w:t>成果和经营成果及合并现金流量和现金流量。</w:t>
      </w:r>
    </w:p>
    <w:p>
      <w:pPr>
        <w:spacing w:line="240" w:lineRule="auto" w:before="8"/>
        <w:rPr>
          <w:rFonts w:ascii="宋体" w:hAnsi="宋体" w:cs="宋体" w:eastAsia="宋体" w:hint="default"/>
          <w:sz w:val="20"/>
          <w:szCs w:val="20"/>
        </w:rPr>
      </w:pPr>
    </w:p>
    <w:p>
      <w:pPr>
        <w:pStyle w:val="BodyText"/>
        <w:spacing w:line="225" w:lineRule="auto"/>
        <w:ind w:left="520" w:right="207"/>
        <w:jc w:val="both"/>
      </w:pPr>
      <w:r>
        <w:rPr>
          <w:spacing w:val="-4"/>
        </w:rPr>
        <w:t>此外，本公司的财务报表同时符合中国证券监督管理委员会（以下简称</w:t>
      </w:r>
      <w:r>
        <w:rPr>
          <w:rFonts w:ascii="Arial" w:hAnsi="Arial" w:cs="Arial" w:eastAsia="Arial" w:hint="default"/>
          <w:spacing w:val="-4"/>
        </w:rPr>
        <w:t>“</w:t>
      </w:r>
      <w:r>
        <w:rPr>
          <w:spacing w:val="-4"/>
        </w:rPr>
        <w:t>证监会</w:t>
      </w:r>
      <w:r>
        <w:rPr>
          <w:rFonts w:ascii="Arial" w:hAnsi="Arial" w:cs="Arial" w:eastAsia="Arial" w:hint="default"/>
          <w:spacing w:val="-4"/>
        </w:rPr>
        <w:t>”</w:t>
      </w:r>
      <w:r>
        <w:rPr>
          <w:spacing w:val="-4"/>
        </w:rPr>
        <w:t>）</w:t>
      </w:r>
      <w:r>
        <w:rPr>
          <w:rFonts w:ascii="Arial" w:hAnsi="Arial" w:cs="Arial" w:eastAsia="Arial" w:hint="default"/>
          <w:spacing w:val="-4"/>
        </w:rPr>
        <w:t>2014</w:t>
      </w:r>
      <w:r>
        <w:rPr>
          <w:spacing w:val="-4"/>
        </w:rPr>
        <w:t>年修订</w:t>
      </w:r>
      <w:r>
        <w:rPr>
          <w:spacing w:val="-45"/>
        </w:rPr>
        <w:t> </w:t>
      </w:r>
      <w:r>
        <w:rPr>
          <w:spacing w:val="-45"/>
        </w:rPr>
      </w:r>
      <w:r>
        <w:rPr/>
        <w:t>的《公开发行证券的公司信息披露编报规则第</w:t>
      </w:r>
      <w:r>
        <w:rPr>
          <w:rFonts w:ascii="Arial" w:hAnsi="Arial" w:cs="Arial" w:eastAsia="Arial" w:hint="default"/>
        </w:rPr>
        <w:t>15</w:t>
      </w:r>
      <w:r>
        <w:rPr/>
        <w:t>号</w:t>
      </w:r>
      <w:r>
        <w:rPr>
          <w:rFonts w:ascii="Arial" w:hAnsi="Arial" w:cs="Arial" w:eastAsia="Arial" w:hint="default"/>
        </w:rPr>
        <w:t>——</w:t>
      </w:r>
      <w:r>
        <w:rPr/>
        <w:t>财务报告的一般规定》有关财务报表</w:t>
      </w:r>
      <w:r>
        <w:rPr>
          <w:spacing w:val="-43"/>
        </w:rPr>
        <w:t> </w:t>
      </w:r>
      <w:r>
        <w:rPr>
          <w:spacing w:val="-43"/>
        </w:rPr>
      </w:r>
      <w:r>
        <w:rPr/>
        <w:t>及其附注的披露要求。</w:t>
      </w:r>
    </w:p>
    <w:p>
      <w:pPr>
        <w:spacing w:line="240" w:lineRule="auto" w:before="5"/>
        <w:rPr>
          <w:rFonts w:ascii="宋体" w:hAnsi="宋体" w:cs="宋体" w:eastAsia="宋体" w:hint="default"/>
          <w:sz w:val="19"/>
          <w:szCs w:val="19"/>
        </w:rPr>
      </w:pPr>
    </w:p>
    <w:p>
      <w:pPr>
        <w:pStyle w:val="BodyText"/>
        <w:spacing w:line="240" w:lineRule="auto"/>
        <w:ind w:left="100" w:right="1679"/>
        <w:jc w:val="left"/>
      </w:pPr>
      <w:r>
        <w:rPr>
          <w:rFonts w:ascii="Arial" w:hAnsi="Arial" w:cs="Arial" w:eastAsia="Arial" w:hint="default"/>
        </w:rPr>
        <w:t>2</w:t>
      </w:r>
      <w:r>
        <w:rPr/>
        <w:t>、</w:t>
      </w:r>
      <w:r>
        <w:rPr>
          <w:spacing w:val="-31"/>
        </w:rPr>
        <w:t> </w:t>
      </w:r>
      <w:r>
        <w:rPr/>
        <w:t>会计期间</w:t>
      </w:r>
    </w:p>
    <w:p>
      <w:pPr>
        <w:spacing w:line="240" w:lineRule="auto" w:before="12"/>
        <w:rPr>
          <w:rFonts w:ascii="宋体" w:hAnsi="宋体" w:cs="宋体" w:eastAsia="宋体" w:hint="default"/>
          <w:sz w:val="17"/>
          <w:szCs w:val="17"/>
        </w:rPr>
      </w:pPr>
    </w:p>
    <w:p>
      <w:pPr>
        <w:pStyle w:val="BodyText"/>
        <w:spacing w:line="240" w:lineRule="auto"/>
        <w:ind w:left="520" w:right="0"/>
        <w:jc w:val="both"/>
      </w:pPr>
      <w:r>
        <w:rPr/>
        <w:t>会计年度自公历</w:t>
      </w:r>
      <w:r>
        <w:rPr>
          <w:rFonts w:ascii="Arial" w:hAnsi="Arial" w:cs="Arial" w:eastAsia="Arial" w:hint="default"/>
        </w:rPr>
        <w:t>1</w:t>
      </w:r>
      <w:r>
        <w:rPr/>
        <w:t>月</w:t>
      </w:r>
      <w:r>
        <w:rPr>
          <w:rFonts w:ascii="Arial" w:hAnsi="Arial" w:cs="Arial" w:eastAsia="Arial" w:hint="default"/>
        </w:rPr>
        <w:t>1</w:t>
      </w:r>
      <w:r>
        <w:rPr/>
        <w:t>日起至</w:t>
      </w:r>
      <w:r>
        <w:rPr>
          <w:rFonts w:ascii="Arial" w:hAnsi="Arial" w:cs="Arial" w:eastAsia="Arial" w:hint="default"/>
        </w:rPr>
        <w:t>12</w:t>
      </w:r>
      <w:r>
        <w:rPr/>
        <w:t>月</w:t>
      </w:r>
      <w:r>
        <w:rPr>
          <w:rFonts w:ascii="Arial" w:hAnsi="Arial" w:cs="Arial" w:eastAsia="Arial" w:hint="default"/>
        </w:rPr>
        <w:t>31</w:t>
      </w:r>
      <w:r>
        <w:rPr/>
        <w:t>日止。</w:t>
      </w:r>
    </w:p>
    <w:p>
      <w:pPr>
        <w:spacing w:line="240" w:lineRule="auto" w:before="12"/>
        <w:rPr>
          <w:rFonts w:ascii="宋体" w:hAnsi="宋体" w:cs="宋体" w:eastAsia="宋体" w:hint="default"/>
          <w:sz w:val="17"/>
          <w:szCs w:val="17"/>
        </w:rPr>
      </w:pPr>
    </w:p>
    <w:p>
      <w:pPr>
        <w:pStyle w:val="BodyText"/>
        <w:spacing w:line="427" w:lineRule="auto"/>
        <w:ind w:left="520" w:right="1679" w:hanging="420"/>
        <w:jc w:val="left"/>
      </w:pPr>
      <w:r>
        <w:rPr>
          <w:rFonts w:ascii="Arial" w:hAnsi="Arial" w:cs="Arial" w:eastAsia="Arial" w:hint="default"/>
        </w:rPr>
        <w:t>3</w:t>
      </w:r>
      <w:r>
        <w:rPr/>
        <w:t>、</w:t>
      </w:r>
      <w:r>
        <w:rPr>
          <w:spacing w:val="-34"/>
        </w:rPr>
        <w:t> </w:t>
      </w:r>
      <w:r>
        <w:rPr/>
        <w:t>记账本位币</w:t>
      </w:r>
      <w:r>
        <w:rPr>
          <w:w w:val="100"/>
        </w:rPr>
        <w:t> </w:t>
      </w:r>
      <w:r>
        <w:rPr>
          <w:spacing w:val="-1"/>
        </w:rPr>
        <w:t>本集团除个别境外子公司外，编制财务报表采用的货币为人民币。</w:t>
      </w:r>
    </w:p>
    <w:p>
      <w:pPr>
        <w:pStyle w:val="BodyText"/>
        <w:spacing w:line="240" w:lineRule="auto" w:before="78"/>
        <w:ind w:left="100" w:right="1679"/>
        <w:jc w:val="left"/>
      </w:pPr>
      <w:r>
        <w:rPr>
          <w:rFonts w:ascii="Arial" w:hAnsi="Arial" w:cs="Arial" w:eastAsia="Arial" w:hint="default"/>
        </w:rPr>
        <w:t>4</w:t>
      </w:r>
      <w:r>
        <w:rPr/>
        <w:t>、</w:t>
      </w:r>
      <w:r>
        <w:rPr>
          <w:spacing w:val="-31"/>
        </w:rPr>
        <w:t> </w:t>
      </w:r>
      <w:r>
        <w:rPr/>
        <w:t>企业合并</w:t>
      </w:r>
    </w:p>
    <w:p>
      <w:pPr>
        <w:spacing w:line="240" w:lineRule="auto" w:before="12"/>
        <w:rPr>
          <w:rFonts w:ascii="宋体" w:hAnsi="宋体" w:cs="宋体" w:eastAsia="宋体" w:hint="default"/>
          <w:sz w:val="17"/>
          <w:szCs w:val="17"/>
        </w:rPr>
      </w:pPr>
    </w:p>
    <w:p>
      <w:pPr>
        <w:pStyle w:val="BodyText"/>
        <w:spacing w:line="240" w:lineRule="auto"/>
        <w:ind w:left="100" w:right="1679"/>
        <w:jc w:val="left"/>
      </w:pPr>
      <w:r>
        <w:rPr>
          <w:rFonts w:ascii="Arial" w:hAnsi="Arial" w:cs="Arial" w:eastAsia="Arial" w:hint="default"/>
        </w:rPr>
        <w:t>(a) </w:t>
      </w:r>
      <w:r>
        <w:rPr>
          <w:rFonts w:ascii="Arial" w:hAnsi="Arial" w:cs="Arial" w:eastAsia="Arial" w:hint="default"/>
          <w:spacing w:val="29"/>
        </w:rPr>
        <w:t> </w:t>
      </w:r>
      <w:r>
        <w:rPr/>
        <w:t>同一控制下的企业合并</w:t>
      </w:r>
    </w:p>
    <w:p>
      <w:pPr>
        <w:spacing w:line="240" w:lineRule="auto" w:before="0"/>
        <w:rPr>
          <w:rFonts w:ascii="宋体" w:hAnsi="宋体" w:cs="宋体" w:eastAsia="宋体" w:hint="default"/>
          <w:sz w:val="20"/>
          <w:szCs w:val="20"/>
        </w:rPr>
      </w:pPr>
    </w:p>
    <w:p>
      <w:pPr>
        <w:pStyle w:val="BodyText"/>
        <w:spacing w:line="286" w:lineRule="exact"/>
        <w:ind w:left="520" w:right="0"/>
        <w:jc w:val="left"/>
      </w:pPr>
      <w:r>
        <w:rPr/>
        <w:t>合并方支付的合并对价及取得的净资产均按最终控制方合并财务报表中的账面价值计量。合</w:t>
      </w:r>
      <w:r>
        <w:rPr>
          <w:spacing w:val="-23"/>
        </w:rPr>
        <w:t> </w:t>
      </w:r>
      <w:r>
        <w:rPr>
          <w:spacing w:val="-23"/>
        </w:rPr>
      </w:r>
      <w:r>
        <w:rPr>
          <w:spacing w:val="-2"/>
        </w:rPr>
        <w:t>并方取得的净资产账面价值与支付的合并对价账面价值的差额，调整资本公积（股本溢价）；</w:t>
      </w:r>
      <w:r>
        <w:rPr>
          <w:spacing w:val="-51"/>
        </w:rPr>
        <w:t> </w:t>
      </w:r>
      <w:r>
        <w:rPr>
          <w:spacing w:val="-51"/>
        </w:rPr>
      </w:r>
      <w:r>
        <w:rPr/>
        <w:t>资本公积（股本溢价）不足以冲减的，调整留存收益。为进行企业合并发生的直接相关费用</w:t>
      </w:r>
      <w:r>
        <w:rPr>
          <w:spacing w:val="-23"/>
        </w:rPr>
        <w:t> </w:t>
      </w:r>
      <w:r>
        <w:rPr>
          <w:spacing w:val="-23"/>
        </w:rPr>
      </w:r>
      <w:r>
        <w:rPr/>
        <w:t>于发生时计入当期损益。为企业合并而发行权益性证券或债务性证券的交易费用，计入权益</w:t>
      </w:r>
      <w:r>
        <w:rPr>
          <w:spacing w:val="-23"/>
        </w:rPr>
        <w:t> </w:t>
      </w:r>
      <w:r>
        <w:rPr>
          <w:spacing w:val="-23"/>
        </w:rPr>
      </w:r>
      <w:r>
        <w:rPr/>
        <w:t>性证券或债务性证券的初始确认金额。</w:t>
      </w:r>
    </w:p>
    <w:p>
      <w:pPr>
        <w:spacing w:line="240" w:lineRule="auto" w:before="4"/>
        <w:rPr>
          <w:rFonts w:ascii="宋体" w:hAnsi="宋体" w:cs="宋体" w:eastAsia="宋体" w:hint="default"/>
          <w:sz w:val="19"/>
          <w:szCs w:val="19"/>
        </w:rPr>
      </w:pPr>
    </w:p>
    <w:p>
      <w:pPr>
        <w:pStyle w:val="BodyText"/>
        <w:spacing w:line="286" w:lineRule="exact"/>
        <w:ind w:left="520" w:right="210"/>
        <w:jc w:val="both"/>
      </w:pPr>
      <w:r>
        <w:rPr/>
        <w:t>本集团执行企业会计准则（</w:t>
      </w:r>
      <w:r>
        <w:rPr>
          <w:rFonts w:ascii="Arial" w:hAnsi="Arial" w:cs="Arial" w:eastAsia="Arial" w:hint="default"/>
        </w:rPr>
        <w:t>2007</w:t>
      </w:r>
      <w:r>
        <w:rPr/>
        <w:t>年</w:t>
      </w:r>
      <w:r>
        <w:rPr>
          <w:rFonts w:ascii="Arial" w:hAnsi="Arial" w:cs="Arial" w:eastAsia="Arial" w:hint="default"/>
        </w:rPr>
        <w:t>1</w:t>
      </w:r>
      <w:r>
        <w:rPr/>
        <w:t>月</w:t>
      </w:r>
      <w:r>
        <w:rPr>
          <w:rFonts w:ascii="Arial" w:hAnsi="Arial" w:cs="Arial" w:eastAsia="Arial" w:hint="default"/>
        </w:rPr>
        <w:t>1</w:t>
      </w:r>
      <w:r>
        <w:rPr/>
        <w:t>日，</w:t>
      </w:r>
      <w:r>
        <w:rPr>
          <w:rFonts w:ascii="Arial" w:hAnsi="Arial" w:cs="Arial" w:eastAsia="Arial" w:hint="default"/>
        </w:rPr>
        <w:t>“</w:t>
      </w:r>
      <w:r>
        <w:rPr/>
        <w:t>首次执行日</w:t>
      </w:r>
      <w:r>
        <w:rPr>
          <w:rFonts w:ascii="Arial" w:hAnsi="Arial" w:cs="Arial" w:eastAsia="Arial" w:hint="default"/>
        </w:rPr>
        <w:t>”</w:t>
      </w:r>
      <w:r>
        <w:rPr/>
        <w:t>）前的同一控制下的企业收购，所</w:t>
      </w:r>
      <w:r>
        <w:rPr>
          <w:spacing w:val="-26"/>
        </w:rPr>
        <w:t> </w:t>
      </w:r>
      <w:r>
        <w:rPr>
          <w:spacing w:val="-26"/>
        </w:rPr>
      </w:r>
      <w:r>
        <w:rPr/>
        <w:t>支付的合并对价与所收购的改制企业经评估的净资产的账面价值的差额根据《企业会计准则</w:t>
      </w:r>
      <w:r>
        <w:rPr>
          <w:spacing w:val="-23"/>
        </w:rPr>
        <w:t> </w:t>
      </w:r>
      <w:r>
        <w:rPr>
          <w:spacing w:val="-23"/>
        </w:rPr>
      </w:r>
      <w:r>
        <w:rPr>
          <w:rFonts w:ascii="Arial" w:hAnsi="Arial" w:cs="Arial" w:eastAsia="Arial" w:hint="default"/>
        </w:rPr>
        <w:t>38</w:t>
      </w:r>
      <w:r>
        <w:rPr/>
        <w:t>号－首次执行企业会计准则》的要求已经于首次执行日追溯调整了本集团的留存收益。</w:t>
      </w:r>
    </w:p>
    <w:p>
      <w:pPr>
        <w:spacing w:line="240" w:lineRule="auto" w:before="1"/>
        <w:rPr>
          <w:rFonts w:ascii="宋体" w:hAnsi="宋体" w:cs="宋体" w:eastAsia="宋体" w:hint="default"/>
          <w:sz w:val="17"/>
          <w:szCs w:val="17"/>
        </w:rPr>
      </w:pPr>
    </w:p>
    <w:p>
      <w:pPr>
        <w:pStyle w:val="BodyText"/>
        <w:spacing w:line="240" w:lineRule="auto"/>
        <w:ind w:left="100" w:right="1679"/>
        <w:jc w:val="left"/>
      </w:pPr>
      <w:r>
        <w:rPr>
          <w:rFonts w:ascii="Arial" w:hAnsi="Arial" w:cs="Arial" w:eastAsia="Arial" w:hint="default"/>
        </w:rPr>
        <w:t>(b) </w:t>
      </w:r>
      <w:r>
        <w:rPr>
          <w:rFonts w:ascii="Arial" w:hAnsi="Arial" w:cs="Arial" w:eastAsia="Arial" w:hint="default"/>
          <w:spacing w:val="27"/>
        </w:rPr>
        <w:t> </w:t>
      </w:r>
      <w:r>
        <w:rPr/>
        <w:t>非同一控制下的企业合并</w:t>
      </w:r>
    </w:p>
    <w:p>
      <w:pPr>
        <w:spacing w:line="240" w:lineRule="auto" w:before="3"/>
        <w:rPr>
          <w:rFonts w:ascii="宋体" w:hAnsi="宋体" w:cs="宋体" w:eastAsia="宋体" w:hint="default"/>
          <w:sz w:val="18"/>
          <w:szCs w:val="18"/>
        </w:rPr>
      </w:pPr>
    </w:p>
    <w:p>
      <w:pPr>
        <w:pStyle w:val="BodyText"/>
        <w:spacing w:line="237" w:lineRule="auto"/>
        <w:ind w:left="520" w:right="205"/>
        <w:jc w:val="both"/>
      </w:pPr>
      <w:r>
        <w:rPr/>
        <w:t>购买方发生的合并成本及在合并中取得的可辨认净资产按购买日的公允价值计量。合并成本</w:t>
      </w:r>
      <w:r>
        <w:rPr>
          <w:spacing w:val="-23"/>
        </w:rPr>
        <w:t> </w:t>
      </w:r>
      <w:r>
        <w:rPr>
          <w:spacing w:val="-23"/>
        </w:rPr>
      </w:r>
      <w:r>
        <w:rPr/>
        <w:t>大于合并中取得的被购买方于购买日可辨认净资产公允价值份额的差额，确认为商誉；合并</w:t>
      </w:r>
      <w:r>
        <w:rPr>
          <w:spacing w:val="-23"/>
        </w:rPr>
        <w:t> </w:t>
      </w:r>
      <w:r>
        <w:rPr>
          <w:spacing w:val="-23"/>
        </w:rPr>
      </w:r>
      <w:r>
        <w:rPr/>
        <w:t>成本小于合并中取得的被购买方可辨认净资产公允价值份额的差额，计入当期损益。为进行</w:t>
      </w:r>
      <w:r>
        <w:rPr>
          <w:spacing w:val="-17"/>
        </w:rPr>
        <w:t> </w:t>
      </w:r>
      <w:r>
        <w:rPr>
          <w:spacing w:val="-17"/>
        </w:rPr>
      </w:r>
      <w:r>
        <w:rPr/>
        <w:t>企业合并发生的直接相关费用于发生时计入当期损益。为企业合并而发行权益性证券或债务</w:t>
      </w:r>
      <w:r>
        <w:rPr>
          <w:spacing w:val="-19"/>
        </w:rPr>
        <w:t> </w:t>
      </w:r>
      <w:r>
        <w:rPr>
          <w:spacing w:val="-19"/>
        </w:rPr>
      </w:r>
      <w:r>
        <w:rPr/>
        <w:t>性证券的交易费用，计入权益性证券或债务性证券的初始确认金额。</w:t>
      </w:r>
    </w:p>
    <w:p>
      <w:pPr>
        <w:spacing w:after="0" w:line="237" w:lineRule="auto"/>
        <w:jc w:val="both"/>
        <w:sectPr>
          <w:headerReference w:type="default" r:id="rId42"/>
          <w:pgSz w:w="11910" w:h="16840"/>
          <w:pgMar w:header="965" w:footer="769" w:top="2280" w:bottom="960" w:left="1460" w:right="820"/>
        </w:sectPr>
      </w:pPr>
    </w:p>
    <w:p>
      <w:pPr>
        <w:spacing w:line="240" w:lineRule="auto" w:before="0"/>
        <w:rPr>
          <w:rFonts w:ascii="宋体" w:hAnsi="宋体" w:cs="宋体" w:eastAsia="宋体" w:hint="default"/>
          <w:sz w:val="18"/>
          <w:szCs w:val="18"/>
        </w:rPr>
      </w:pPr>
    </w:p>
    <w:p>
      <w:pPr>
        <w:pStyle w:val="BodyText"/>
        <w:spacing w:line="427" w:lineRule="auto" w:before="32"/>
        <w:ind w:left="540" w:right="2130" w:hanging="420"/>
        <w:jc w:val="left"/>
      </w:pPr>
      <w:r>
        <w:rPr>
          <w:rFonts w:ascii="Arial" w:hAnsi="Arial" w:cs="Arial" w:eastAsia="Arial" w:hint="default"/>
        </w:rPr>
        <w:t>5</w:t>
      </w:r>
      <w:r>
        <w:rPr/>
        <w:t>、</w:t>
      </w:r>
      <w:r>
        <w:rPr>
          <w:spacing w:val="-34"/>
        </w:rPr>
        <w:t> </w:t>
      </w:r>
      <w:r>
        <w:rPr/>
        <w:t>合并财务报表的编制方法</w:t>
      </w:r>
      <w:r>
        <w:rPr>
          <w:w w:val="100"/>
        </w:rPr>
        <w:t> </w:t>
      </w:r>
      <w:r>
        <w:rPr>
          <w:spacing w:val="-1"/>
        </w:rPr>
        <w:t>编制合并财务报表时，合并范围包括本公司及全部子公司。</w:t>
      </w:r>
    </w:p>
    <w:p>
      <w:pPr>
        <w:pStyle w:val="BodyText"/>
        <w:spacing w:line="237" w:lineRule="auto" w:before="80"/>
        <w:ind w:left="540" w:right="110"/>
        <w:jc w:val="both"/>
      </w:pPr>
      <w:r>
        <w:rPr/>
        <w:t>从取得子公司的实际控制权之日起，本集团开始将其纳入合并范围；从丧失实际控制权之日</w:t>
      </w:r>
      <w:r>
        <w:rPr>
          <w:spacing w:val="-23"/>
        </w:rPr>
        <w:t> </w:t>
      </w:r>
      <w:r>
        <w:rPr>
          <w:spacing w:val="-23"/>
        </w:rPr>
      </w:r>
      <w:r>
        <w:rPr/>
        <w:t>起停止纳入合并范围。对于同一控制下企业合并取得的子公司，自其与本公司同受最终控制</w:t>
      </w:r>
      <w:r>
        <w:rPr>
          <w:spacing w:val="-23"/>
        </w:rPr>
        <w:t> </w:t>
      </w:r>
      <w:r>
        <w:rPr>
          <w:spacing w:val="-23"/>
        </w:rPr>
      </w:r>
      <w:r>
        <w:rPr/>
        <w:t>方控制之日起纳入本公司合并范围，并对合并财务报表的期初数以及前期比较报表进行相应</w:t>
      </w:r>
      <w:r>
        <w:rPr>
          <w:spacing w:val="-23"/>
        </w:rPr>
        <w:t> </w:t>
      </w:r>
      <w:r>
        <w:rPr>
          <w:spacing w:val="-23"/>
        </w:rPr>
      </w:r>
      <w:r>
        <w:rPr/>
        <w:t>调整。本公司在编制合并财务报表时，自本公司最终控制方对被合并子公司开始实施控制时</w:t>
      </w:r>
      <w:r>
        <w:rPr>
          <w:spacing w:val="-21"/>
        </w:rPr>
        <w:t> </w:t>
      </w:r>
      <w:r>
        <w:rPr>
          <w:spacing w:val="-21"/>
        </w:rPr>
      </w:r>
      <w:r>
        <w:rPr/>
        <w:t>起将被合并子公司的各项资产、负债在最终控制方合并财务报表中的账面价值并入本公司合</w:t>
      </w:r>
      <w:r>
        <w:rPr>
          <w:spacing w:val="-23"/>
        </w:rPr>
        <w:t> </w:t>
      </w:r>
      <w:r>
        <w:rPr>
          <w:spacing w:val="-23"/>
        </w:rPr>
      </w:r>
      <w:r>
        <w:rPr/>
        <w:t>并资产负债表，被合并子公司的经营成果纳入本公司合并利润表。</w:t>
      </w:r>
    </w:p>
    <w:p>
      <w:pPr>
        <w:spacing w:line="240" w:lineRule="auto" w:before="6"/>
        <w:rPr>
          <w:rFonts w:ascii="宋体" w:hAnsi="宋体" w:cs="宋体" w:eastAsia="宋体" w:hint="default"/>
          <w:sz w:val="19"/>
          <w:szCs w:val="19"/>
        </w:rPr>
      </w:pPr>
    </w:p>
    <w:p>
      <w:pPr>
        <w:pStyle w:val="BodyText"/>
        <w:spacing w:line="237" w:lineRule="auto"/>
        <w:ind w:left="540" w:right="112"/>
        <w:jc w:val="both"/>
      </w:pPr>
      <w:r>
        <w:rPr/>
        <w:t>在编制合并财务报表时，子公司与本公司采用的会计政策或会计期间不一致的，按照本公司</w:t>
      </w:r>
      <w:r>
        <w:rPr>
          <w:spacing w:val="-23"/>
        </w:rPr>
        <w:t> </w:t>
      </w:r>
      <w:r>
        <w:rPr>
          <w:spacing w:val="-23"/>
        </w:rPr>
      </w:r>
      <w:r>
        <w:rPr/>
        <w:t>的会计政策和会计期间对子公司财务报表进行必要的调整。对于非同一控制下企业合并取得</w:t>
      </w:r>
      <w:r>
        <w:rPr>
          <w:spacing w:val="-23"/>
        </w:rPr>
        <w:t> </w:t>
      </w:r>
      <w:r>
        <w:rPr>
          <w:spacing w:val="-23"/>
        </w:rPr>
      </w:r>
      <w:r>
        <w:rPr/>
        <w:t>的子公司，以购买日可辨认净资产公允价值为基础对其财务报表进行调整。</w:t>
      </w:r>
    </w:p>
    <w:p>
      <w:pPr>
        <w:spacing w:line="240" w:lineRule="auto" w:before="6"/>
        <w:rPr>
          <w:rFonts w:ascii="宋体" w:hAnsi="宋体" w:cs="宋体" w:eastAsia="宋体" w:hint="default"/>
          <w:sz w:val="19"/>
          <w:szCs w:val="19"/>
        </w:rPr>
      </w:pPr>
    </w:p>
    <w:p>
      <w:pPr>
        <w:pStyle w:val="BodyText"/>
        <w:spacing w:line="237" w:lineRule="auto"/>
        <w:ind w:left="540" w:right="112"/>
        <w:jc w:val="both"/>
      </w:pPr>
      <w:r>
        <w:rPr/>
        <w:t>集团内所有重大往来余额、交易及未实现利润在合并财务报表编制时予以抵销。子公司少数</w:t>
      </w:r>
      <w:r>
        <w:rPr>
          <w:spacing w:val="-23"/>
        </w:rPr>
        <w:t> </w:t>
      </w:r>
      <w:r>
        <w:rPr>
          <w:spacing w:val="-23"/>
        </w:rPr>
      </w:r>
      <w:r>
        <w:rPr/>
        <w:t>股东应占的权益、损益和综合收益分别在合并财务报表中股东权益、净利润及综合收益总额</w:t>
      </w:r>
      <w:r>
        <w:rPr>
          <w:spacing w:val="-23"/>
        </w:rPr>
        <w:t> </w:t>
      </w:r>
      <w:r>
        <w:rPr>
          <w:spacing w:val="-23"/>
        </w:rPr>
      </w:r>
      <w:r>
        <w:rPr/>
        <w:t>项目下单独列示。</w:t>
      </w:r>
    </w:p>
    <w:p>
      <w:pPr>
        <w:spacing w:line="240" w:lineRule="auto" w:before="4"/>
        <w:rPr>
          <w:rFonts w:ascii="宋体" w:hAnsi="宋体" w:cs="宋体" w:eastAsia="宋体" w:hint="default"/>
          <w:sz w:val="17"/>
          <w:szCs w:val="17"/>
        </w:rPr>
      </w:pPr>
    </w:p>
    <w:p>
      <w:pPr>
        <w:pStyle w:val="BodyText"/>
        <w:spacing w:line="240" w:lineRule="auto"/>
        <w:ind w:left="120" w:right="2130"/>
        <w:jc w:val="left"/>
      </w:pPr>
      <w:r>
        <w:rPr>
          <w:rFonts w:ascii="Arial" w:hAnsi="Arial" w:cs="Arial" w:eastAsia="Arial" w:hint="default"/>
        </w:rPr>
        <w:t>6</w:t>
      </w:r>
      <w:r>
        <w:rPr/>
        <w:t>、</w:t>
      </w:r>
      <w:r>
        <w:rPr>
          <w:spacing w:val="-34"/>
        </w:rPr>
        <w:t> </w:t>
      </w:r>
      <w:r>
        <w:rPr/>
        <w:t>现金及现金等价物</w:t>
      </w:r>
    </w:p>
    <w:p>
      <w:pPr>
        <w:spacing w:line="240" w:lineRule="auto" w:before="7"/>
        <w:rPr>
          <w:rFonts w:ascii="宋体" w:hAnsi="宋体" w:cs="宋体" w:eastAsia="宋体" w:hint="default"/>
          <w:sz w:val="18"/>
          <w:szCs w:val="18"/>
        </w:rPr>
      </w:pPr>
    </w:p>
    <w:p>
      <w:pPr>
        <w:pStyle w:val="BodyText"/>
        <w:spacing w:line="286" w:lineRule="exact"/>
        <w:ind w:left="540" w:right="105"/>
        <w:jc w:val="both"/>
      </w:pPr>
      <w:r>
        <w:rPr>
          <w:spacing w:val="-2"/>
        </w:rPr>
        <w:t>现金及现金等价物是指库存现金，可随时用于支付的存款，以及持有的期限短（一般不超过</w:t>
      </w:r>
      <w:r>
        <w:rPr>
          <w:rFonts w:ascii="Arial" w:hAnsi="Arial" w:cs="Arial" w:eastAsia="Arial" w:hint="default"/>
          <w:spacing w:val="-2"/>
        </w:rPr>
        <w:t>3</w:t>
      </w:r>
      <w:r>
        <w:rPr>
          <w:rFonts w:ascii="Arial" w:hAnsi="Arial" w:cs="Arial" w:eastAsia="Arial" w:hint="default"/>
          <w:spacing w:val="-9"/>
        </w:rPr>
        <w:t> </w:t>
      </w:r>
      <w:r>
        <w:rPr/>
        <w:t>个月）、流动性强、易于转换为已知金额现金、价值变动风险很小的投资。</w:t>
      </w:r>
    </w:p>
    <w:p>
      <w:pPr>
        <w:pStyle w:val="BodyText"/>
        <w:spacing w:line="240" w:lineRule="auto" w:before="197"/>
        <w:ind w:left="120" w:right="2130"/>
        <w:jc w:val="left"/>
      </w:pPr>
      <w:r>
        <w:rPr>
          <w:rFonts w:ascii="Arial" w:hAnsi="Arial" w:cs="Arial" w:eastAsia="Arial" w:hint="default"/>
        </w:rPr>
        <w:t>7</w:t>
      </w:r>
      <w:r>
        <w:rPr/>
        <w:t>、</w:t>
      </w:r>
      <w:r>
        <w:rPr>
          <w:spacing w:val="-31"/>
        </w:rPr>
        <w:t> </w:t>
      </w:r>
      <w:r>
        <w:rPr/>
        <w:t>外币折算</w:t>
      </w:r>
    </w:p>
    <w:p>
      <w:pPr>
        <w:pStyle w:val="BodyText"/>
        <w:spacing w:line="240" w:lineRule="auto" w:before="191"/>
        <w:ind w:left="120" w:right="2130"/>
        <w:jc w:val="left"/>
      </w:pPr>
      <w:r>
        <w:rPr>
          <w:rFonts w:ascii="Arial" w:hAnsi="Arial" w:cs="Arial" w:eastAsia="Arial" w:hint="default"/>
        </w:rPr>
        <w:t>(a) </w:t>
      </w:r>
      <w:r>
        <w:rPr>
          <w:rFonts w:ascii="Arial" w:hAnsi="Arial" w:cs="Arial" w:eastAsia="Arial" w:hint="default"/>
          <w:spacing w:val="31"/>
        </w:rPr>
        <w:t> </w:t>
      </w:r>
      <w:r>
        <w:rPr/>
        <w:t>外币交易</w:t>
      </w:r>
    </w:p>
    <w:p>
      <w:pPr>
        <w:spacing w:line="240" w:lineRule="auto" w:before="6"/>
        <w:rPr>
          <w:rFonts w:ascii="宋体" w:hAnsi="宋体" w:cs="宋体" w:eastAsia="宋体" w:hint="default"/>
          <w:sz w:val="16"/>
          <w:szCs w:val="16"/>
        </w:rPr>
      </w:pPr>
    </w:p>
    <w:p>
      <w:pPr>
        <w:pStyle w:val="BodyText"/>
        <w:spacing w:line="240" w:lineRule="auto"/>
        <w:ind w:left="540" w:right="0"/>
        <w:jc w:val="both"/>
      </w:pPr>
      <w:r>
        <w:rPr/>
        <w:t>外币交易按交易发生日的即期汇率将外币金额折算为人民币入账。</w:t>
      </w:r>
    </w:p>
    <w:p>
      <w:pPr>
        <w:spacing w:line="240" w:lineRule="auto" w:before="3"/>
        <w:rPr>
          <w:rFonts w:ascii="宋体" w:hAnsi="宋体" w:cs="宋体" w:eastAsia="宋体" w:hint="default"/>
          <w:sz w:val="21"/>
          <w:szCs w:val="21"/>
        </w:rPr>
      </w:pPr>
    </w:p>
    <w:p>
      <w:pPr>
        <w:pStyle w:val="BodyText"/>
        <w:spacing w:line="286" w:lineRule="exact"/>
        <w:ind w:left="540" w:right="107"/>
        <w:jc w:val="both"/>
      </w:pPr>
      <w:r>
        <w:rPr/>
        <w:t>于资产负债表日，外币货币性项目采用资产负债表日的即期汇率折算为人民币。为购建符合</w:t>
      </w:r>
      <w:r>
        <w:rPr>
          <w:spacing w:val="-23"/>
        </w:rPr>
        <w:t> </w:t>
      </w:r>
      <w:r>
        <w:rPr>
          <w:spacing w:val="-23"/>
        </w:rPr>
      </w:r>
      <w:r>
        <w:rPr/>
        <w:t>借款费用资本化条件的资产而借入的外币专门借款产生的汇兑差额在资本化期间内予以资本</w:t>
      </w:r>
      <w:r>
        <w:rPr>
          <w:spacing w:val="-19"/>
        </w:rPr>
        <w:t> </w:t>
      </w:r>
      <w:r>
        <w:rPr>
          <w:spacing w:val="-19"/>
        </w:rPr>
      </w:r>
      <w:r>
        <w:rPr/>
        <w:t>化；其他汇兑差额直接计入当期损益。以历史成本计量的外币非货币性项目，于资产负债表</w:t>
      </w:r>
      <w:r>
        <w:rPr>
          <w:spacing w:val="-23"/>
        </w:rPr>
        <w:t> </w:t>
      </w:r>
      <w:r>
        <w:rPr>
          <w:spacing w:val="-23"/>
        </w:rPr>
      </w:r>
      <w:r>
        <w:rPr/>
        <w:t>日采用交易发生日的即期汇率折算。以公允价值计量的外币非货币性项目，采用公允价值确</w:t>
      </w:r>
      <w:r>
        <w:rPr>
          <w:spacing w:val="-23"/>
        </w:rPr>
        <w:t> </w:t>
      </w:r>
      <w:r>
        <w:rPr>
          <w:spacing w:val="-23"/>
        </w:rPr>
      </w:r>
      <w:r>
        <w:rPr/>
        <w:t>定日的即期汇率折算，由此产生的汇兑差额，属于可供出售金融资产的外币非货币性项目的</w:t>
      </w:r>
      <w:r>
        <w:rPr>
          <w:spacing w:val="-23"/>
        </w:rPr>
        <w:t> </w:t>
      </w:r>
      <w:r>
        <w:rPr>
          <w:spacing w:val="-23"/>
        </w:rPr>
      </w:r>
      <w:r>
        <w:rPr/>
        <w:t>差额，计入其他综合收益；其他差额计入当期损益。汇率变动对现金的影响额，在现金流量</w:t>
      </w:r>
      <w:r>
        <w:rPr>
          <w:spacing w:val="-23"/>
        </w:rPr>
        <w:t> </w:t>
      </w:r>
      <w:r>
        <w:rPr>
          <w:spacing w:val="-23"/>
        </w:rPr>
      </w:r>
      <w:r>
        <w:rPr/>
        <w:t>表中单独列示。</w:t>
      </w:r>
    </w:p>
    <w:p>
      <w:pPr>
        <w:spacing w:after="0" w:line="286" w:lineRule="exact"/>
        <w:jc w:val="both"/>
        <w:sectPr>
          <w:headerReference w:type="default" r:id="rId43"/>
          <w:pgSz w:w="11910" w:h="16840"/>
          <w:pgMar w:header="965" w:footer="769" w:top="2820" w:bottom="960" w:left="1440" w:right="920"/>
        </w:sectPr>
      </w:pPr>
    </w:p>
    <w:p>
      <w:pPr>
        <w:spacing w:line="240" w:lineRule="auto" w:before="0"/>
        <w:rPr>
          <w:rFonts w:ascii="宋体" w:hAnsi="宋体" w:cs="宋体" w:eastAsia="宋体" w:hint="default"/>
          <w:sz w:val="18"/>
          <w:szCs w:val="18"/>
        </w:rPr>
      </w:pPr>
    </w:p>
    <w:p>
      <w:pPr>
        <w:pStyle w:val="BodyText"/>
        <w:spacing w:line="240" w:lineRule="auto" w:before="32"/>
        <w:ind w:left="120" w:right="2130"/>
        <w:jc w:val="left"/>
      </w:pPr>
      <w:r>
        <w:rPr>
          <w:rFonts w:ascii="Arial" w:hAnsi="Arial" w:cs="Arial" w:eastAsia="Arial" w:hint="default"/>
        </w:rPr>
        <w:t>7</w:t>
      </w:r>
      <w:r>
        <w:rPr/>
        <w:t>、</w:t>
      </w:r>
      <w:r>
        <w:rPr>
          <w:spacing w:val="-32"/>
        </w:rPr>
        <w:t> </w:t>
      </w:r>
      <w:r>
        <w:rPr/>
        <w:t>外币折算（续）</w:t>
      </w:r>
    </w:p>
    <w:p>
      <w:pPr>
        <w:pStyle w:val="BodyText"/>
        <w:spacing w:line="240" w:lineRule="auto" w:before="195"/>
        <w:ind w:left="120" w:right="2130"/>
        <w:jc w:val="left"/>
      </w:pPr>
      <w:r>
        <w:rPr>
          <w:rFonts w:ascii="Arial" w:hAnsi="Arial" w:cs="Arial" w:eastAsia="Arial" w:hint="default"/>
        </w:rPr>
        <w:t>(b) </w:t>
      </w:r>
      <w:r>
        <w:rPr>
          <w:rFonts w:ascii="Arial" w:hAnsi="Arial" w:cs="Arial" w:eastAsia="Arial" w:hint="default"/>
          <w:spacing w:val="29"/>
        </w:rPr>
        <w:t> </w:t>
      </w:r>
      <w:r>
        <w:rPr/>
        <w:t>外币财务报表的折算</w:t>
      </w:r>
    </w:p>
    <w:p>
      <w:pPr>
        <w:spacing w:line="240" w:lineRule="auto" w:before="13"/>
        <w:rPr>
          <w:rFonts w:ascii="宋体" w:hAnsi="宋体" w:cs="宋体" w:eastAsia="宋体" w:hint="default"/>
          <w:sz w:val="16"/>
          <w:szCs w:val="16"/>
        </w:rPr>
      </w:pPr>
    </w:p>
    <w:p>
      <w:pPr>
        <w:pStyle w:val="BodyText"/>
        <w:spacing w:line="235" w:lineRule="auto"/>
        <w:ind w:left="540" w:right="107"/>
        <w:jc w:val="both"/>
      </w:pPr>
      <w:r>
        <w:rPr/>
        <w:t>境外经营的子公司资产负债表中的资产和负债项目，采用资产负债表日的即期汇率折算，股</w:t>
      </w:r>
      <w:r>
        <w:rPr>
          <w:spacing w:val="-23"/>
        </w:rPr>
        <w:t> </w:t>
      </w:r>
      <w:r>
        <w:rPr>
          <w:spacing w:val="-23"/>
        </w:rPr>
      </w:r>
      <w:r>
        <w:rPr>
          <w:spacing w:val="-3"/>
        </w:rPr>
        <w:t>东权益中除</w:t>
      </w:r>
      <w:r>
        <w:rPr>
          <w:rFonts w:ascii="Arial" w:hAnsi="Arial" w:cs="Arial" w:eastAsia="Arial" w:hint="default"/>
          <w:spacing w:val="-3"/>
        </w:rPr>
        <w:t>“</w:t>
      </w:r>
      <w:r>
        <w:rPr>
          <w:spacing w:val="-3"/>
        </w:rPr>
        <w:t>未分配利润</w:t>
      </w:r>
      <w:r>
        <w:rPr>
          <w:rFonts w:ascii="Arial" w:hAnsi="Arial" w:cs="Arial" w:eastAsia="Arial" w:hint="default"/>
          <w:spacing w:val="-3"/>
        </w:rPr>
        <w:t>”</w:t>
      </w:r>
      <w:r>
        <w:rPr>
          <w:spacing w:val="-3"/>
        </w:rPr>
        <w:t>项目外，其他项目采用发生时的即期汇率折算。境外经营的子公司利</w:t>
      </w:r>
      <w:r>
        <w:rPr>
          <w:spacing w:val="-42"/>
        </w:rPr>
        <w:t> </w:t>
      </w:r>
      <w:r>
        <w:rPr>
          <w:spacing w:val="-42"/>
        </w:rPr>
      </w:r>
      <w:r>
        <w:rPr/>
        <w:t>润表中的收入与费用项目，采用交易发生日的即期汇率之近似汇率折算。上述折算产生的外</w:t>
      </w:r>
      <w:r>
        <w:rPr>
          <w:spacing w:val="-23"/>
        </w:rPr>
        <w:t> </w:t>
      </w:r>
      <w:r>
        <w:rPr>
          <w:spacing w:val="-23"/>
        </w:rPr>
      </w:r>
      <w:r>
        <w:rPr/>
        <w:t>币报表折算差额，在股东权益项目下的其他综合收益中列示。境外经营的子公司现金流量项</w:t>
      </w:r>
      <w:r>
        <w:rPr>
          <w:spacing w:val="-23"/>
        </w:rPr>
        <w:t> </w:t>
      </w:r>
      <w:r>
        <w:rPr>
          <w:spacing w:val="-23"/>
        </w:rPr>
      </w:r>
      <w:r>
        <w:rPr/>
        <w:t>目，采用现金流量发生日的即期汇率之近似汇率折算。汇率变动对现金的影响额，在现金流</w:t>
      </w:r>
      <w:r>
        <w:rPr>
          <w:spacing w:val="-23"/>
        </w:rPr>
        <w:t> </w:t>
      </w:r>
      <w:r>
        <w:rPr>
          <w:spacing w:val="-23"/>
        </w:rPr>
      </w:r>
      <w:r>
        <w:rPr/>
        <w:t>量表中单独列示。</w:t>
      </w:r>
    </w:p>
    <w:p>
      <w:pPr>
        <w:spacing w:line="240" w:lineRule="auto" w:before="1"/>
        <w:rPr>
          <w:rFonts w:ascii="宋体" w:hAnsi="宋体" w:cs="宋体" w:eastAsia="宋体" w:hint="default"/>
          <w:sz w:val="17"/>
          <w:szCs w:val="17"/>
        </w:rPr>
      </w:pPr>
    </w:p>
    <w:p>
      <w:pPr>
        <w:pStyle w:val="BodyText"/>
        <w:spacing w:line="391" w:lineRule="auto"/>
        <w:ind w:left="120" w:right="8106"/>
        <w:jc w:val="left"/>
      </w:pPr>
      <w:r>
        <w:rPr>
          <w:rFonts w:ascii="Arial" w:hAnsi="Arial" w:cs="Arial" w:eastAsia="Arial" w:hint="default"/>
        </w:rPr>
        <w:t>8</w:t>
      </w:r>
      <w:r>
        <w:rPr/>
        <w:t>、金融工具</w:t>
      </w:r>
      <w:r>
        <w:rPr>
          <w:w w:val="100"/>
        </w:rPr>
        <w:t> </w:t>
      </w:r>
      <w:r>
        <w:rPr>
          <w:rFonts w:ascii="Arial" w:hAnsi="Arial" w:cs="Arial" w:eastAsia="Arial" w:hint="default"/>
        </w:rPr>
        <w:t>(a) </w:t>
      </w:r>
      <w:r>
        <w:rPr>
          <w:rFonts w:ascii="Arial" w:hAnsi="Arial" w:cs="Arial" w:eastAsia="Arial" w:hint="default"/>
          <w:spacing w:val="31"/>
        </w:rPr>
        <w:t> </w:t>
      </w:r>
      <w:r>
        <w:rPr/>
        <w:t>金融资产</w:t>
      </w:r>
    </w:p>
    <w:p>
      <w:pPr>
        <w:pStyle w:val="BodyText"/>
        <w:spacing w:line="240" w:lineRule="auto" w:before="33"/>
        <w:ind w:left="120" w:right="2130"/>
        <w:jc w:val="left"/>
      </w:pPr>
      <w:r>
        <w:rPr>
          <w:rFonts w:ascii="Arial" w:hAnsi="Arial" w:cs="Arial" w:eastAsia="Arial" w:hint="default"/>
        </w:rPr>
        <w:t>(1) </w:t>
      </w:r>
      <w:r>
        <w:rPr>
          <w:rFonts w:ascii="Arial" w:hAnsi="Arial" w:cs="Arial" w:eastAsia="Arial" w:hint="default"/>
          <w:spacing w:val="29"/>
        </w:rPr>
        <w:t> </w:t>
      </w:r>
      <w:r>
        <w:rPr/>
        <w:t>金融资产分类</w:t>
      </w:r>
    </w:p>
    <w:p>
      <w:pPr>
        <w:spacing w:line="240" w:lineRule="auto" w:before="8"/>
        <w:rPr>
          <w:rFonts w:ascii="宋体" w:hAnsi="宋体" w:cs="宋体" w:eastAsia="宋体" w:hint="default"/>
          <w:sz w:val="18"/>
          <w:szCs w:val="18"/>
        </w:rPr>
      </w:pPr>
    </w:p>
    <w:p>
      <w:pPr>
        <w:pStyle w:val="BodyText"/>
        <w:spacing w:line="286" w:lineRule="exact"/>
        <w:ind w:left="540" w:right="109"/>
        <w:jc w:val="both"/>
      </w:pPr>
      <w:r>
        <w:rPr/>
        <w:t>金融资产于初始确认时分类为：以公允价值计量且其变动计入当期损益的金融资产、应收款</w:t>
      </w:r>
      <w:r>
        <w:rPr>
          <w:spacing w:val="-23"/>
        </w:rPr>
        <w:t> </w:t>
      </w:r>
      <w:r>
        <w:rPr>
          <w:spacing w:val="-23"/>
        </w:rPr>
      </w:r>
      <w:r>
        <w:rPr/>
        <w:t>项、可供出售金融资产和持有至到期投资。金融资产的分类取决于本集团对金融资产的持有</w:t>
      </w:r>
      <w:r>
        <w:rPr>
          <w:spacing w:val="-20"/>
        </w:rPr>
        <w:t> </w:t>
      </w:r>
      <w:r>
        <w:rPr>
          <w:spacing w:val="-20"/>
        </w:rPr>
      </w:r>
      <w:r>
        <w:rPr/>
        <w:t>意图和持有能力。</w:t>
      </w:r>
    </w:p>
    <w:p>
      <w:pPr>
        <w:spacing w:line="240" w:lineRule="auto" w:before="3"/>
        <w:rPr>
          <w:rFonts w:ascii="宋体" w:hAnsi="宋体" w:cs="宋体" w:eastAsia="宋体" w:hint="default"/>
          <w:sz w:val="17"/>
          <w:szCs w:val="17"/>
        </w:rPr>
      </w:pPr>
    </w:p>
    <w:p>
      <w:pPr>
        <w:pStyle w:val="BodyText"/>
        <w:spacing w:line="240" w:lineRule="auto"/>
        <w:ind w:left="540" w:right="0"/>
        <w:jc w:val="both"/>
      </w:pPr>
      <w:r>
        <w:rPr>
          <w:rFonts w:ascii="Arial" w:hAnsi="Arial" w:cs="Arial" w:eastAsia="Arial" w:hint="default"/>
        </w:rPr>
        <w:t>(i)  </w:t>
      </w:r>
      <w:r>
        <w:rPr>
          <w:rFonts w:ascii="Arial" w:hAnsi="Arial" w:cs="Arial" w:eastAsia="Arial" w:hint="default"/>
          <w:spacing w:val="35"/>
        </w:rPr>
        <w:t> </w:t>
      </w:r>
      <w:r>
        <w:rPr/>
        <w:t>以公允价值计量且其变动计入当期损益的金融资产</w:t>
      </w:r>
    </w:p>
    <w:p>
      <w:pPr>
        <w:spacing w:line="240" w:lineRule="auto" w:before="0"/>
        <w:rPr>
          <w:rFonts w:ascii="宋体" w:hAnsi="宋体" w:cs="宋体" w:eastAsia="宋体" w:hint="default"/>
          <w:sz w:val="16"/>
          <w:szCs w:val="16"/>
        </w:rPr>
      </w:pPr>
    </w:p>
    <w:p>
      <w:pPr>
        <w:pStyle w:val="BodyText"/>
        <w:spacing w:line="286" w:lineRule="exact"/>
        <w:ind w:left="967" w:right="104"/>
        <w:jc w:val="both"/>
      </w:pPr>
      <w:r>
        <w:rPr/>
        <w:t>以公允价值计量且其变动计入当期损益的金融资产包括持有目的为短期内出售的金融资</w:t>
      </w:r>
      <w:r>
        <w:rPr>
          <w:spacing w:val="-13"/>
        </w:rPr>
        <w:t> </w:t>
      </w:r>
      <w:r>
        <w:rPr>
          <w:spacing w:val="-13"/>
        </w:rPr>
      </w:r>
      <w:r>
        <w:rPr/>
        <w:t>产。</w:t>
      </w:r>
    </w:p>
    <w:p>
      <w:pPr>
        <w:spacing w:line="240" w:lineRule="auto" w:before="1"/>
        <w:rPr>
          <w:rFonts w:ascii="宋体" w:hAnsi="宋体" w:cs="宋体" w:eastAsia="宋体" w:hint="default"/>
          <w:sz w:val="17"/>
          <w:szCs w:val="17"/>
        </w:rPr>
      </w:pPr>
    </w:p>
    <w:p>
      <w:pPr>
        <w:pStyle w:val="ListParagraph"/>
        <w:numPr>
          <w:ilvl w:val="0"/>
          <w:numId w:val="1"/>
        </w:numPr>
        <w:tabs>
          <w:tab w:pos="961" w:val="left" w:leader="none"/>
        </w:tabs>
        <w:spacing w:line="240" w:lineRule="auto" w:before="0" w:after="0"/>
        <w:ind w:left="960" w:right="0" w:hanging="420"/>
        <w:jc w:val="both"/>
        <w:rPr>
          <w:rFonts w:ascii="宋体" w:hAnsi="宋体" w:cs="宋体" w:eastAsia="宋体" w:hint="default"/>
          <w:sz w:val="22"/>
          <w:szCs w:val="22"/>
        </w:rPr>
      </w:pPr>
      <w:r>
        <w:rPr>
          <w:rFonts w:ascii="宋体" w:hAnsi="宋体" w:cs="宋体" w:eastAsia="宋体" w:hint="default"/>
          <w:sz w:val="22"/>
          <w:szCs w:val="22"/>
        </w:rPr>
        <w:t>应收款项</w:t>
      </w:r>
    </w:p>
    <w:p>
      <w:pPr>
        <w:spacing w:line="240" w:lineRule="auto" w:before="12"/>
        <w:rPr>
          <w:rFonts w:ascii="宋体" w:hAnsi="宋体" w:cs="宋体" w:eastAsia="宋体" w:hint="default"/>
          <w:sz w:val="17"/>
          <w:szCs w:val="17"/>
        </w:rPr>
      </w:pPr>
    </w:p>
    <w:p>
      <w:pPr>
        <w:pStyle w:val="BodyText"/>
        <w:spacing w:line="240" w:lineRule="auto"/>
        <w:ind w:left="967" w:right="0"/>
        <w:jc w:val="both"/>
      </w:pPr>
      <w:r>
        <w:rPr/>
        <w:t>应收款项是指在活跃市场中没有报价、回收金额固定或可确定的非衍生金融资产。</w:t>
      </w:r>
    </w:p>
    <w:p>
      <w:pPr>
        <w:spacing w:line="240" w:lineRule="auto" w:before="2"/>
        <w:rPr>
          <w:rFonts w:ascii="宋体" w:hAnsi="宋体" w:cs="宋体" w:eastAsia="宋体" w:hint="default"/>
          <w:sz w:val="19"/>
          <w:szCs w:val="19"/>
        </w:rPr>
      </w:pPr>
    </w:p>
    <w:p>
      <w:pPr>
        <w:pStyle w:val="BodyText"/>
        <w:spacing w:line="240" w:lineRule="auto"/>
        <w:ind w:left="540" w:right="0"/>
        <w:jc w:val="both"/>
      </w:pPr>
      <w:r>
        <w:rPr>
          <w:rFonts w:ascii="Arial" w:hAnsi="Arial" w:cs="Arial" w:eastAsia="Arial" w:hint="default"/>
        </w:rPr>
        <w:t>(iii) </w:t>
      </w:r>
      <w:r>
        <w:rPr>
          <w:rFonts w:ascii="Arial" w:hAnsi="Arial" w:cs="Arial" w:eastAsia="Arial" w:hint="default"/>
          <w:spacing w:val="3"/>
        </w:rPr>
        <w:t> </w:t>
      </w:r>
      <w:r>
        <w:rPr/>
        <w:t>持有至到期投资</w:t>
      </w:r>
    </w:p>
    <w:p>
      <w:pPr>
        <w:spacing w:line="240" w:lineRule="auto" w:before="11"/>
        <w:rPr>
          <w:rFonts w:ascii="宋体" w:hAnsi="宋体" w:cs="宋体" w:eastAsia="宋体" w:hint="default"/>
          <w:sz w:val="18"/>
          <w:szCs w:val="18"/>
        </w:rPr>
      </w:pPr>
    </w:p>
    <w:p>
      <w:pPr>
        <w:pStyle w:val="BodyText"/>
        <w:spacing w:line="230" w:lineRule="auto"/>
        <w:ind w:left="967" w:right="104"/>
        <w:jc w:val="both"/>
      </w:pPr>
      <w:r>
        <w:rPr/>
        <w:t>持有至到期投资是指到期日固定、回收金额固定或可确定，且管理层有明确意图和能力</w:t>
      </w:r>
      <w:r>
        <w:rPr>
          <w:spacing w:val="-13"/>
        </w:rPr>
        <w:t> </w:t>
      </w:r>
      <w:r>
        <w:rPr>
          <w:spacing w:val="-13"/>
        </w:rPr>
      </w:r>
      <w:r>
        <w:rPr/>
        <w:t>持有至到期的非衍生金融资产。取得时期限超过</w:t>
      </w:r>
      <w:r>
        <w:rPr>
          <w:rFonts w:ascii="Arial" w:hAnsi="Arial" w:cs="Arial" w:eastAsia="Arial" w:hint="default"/>
        </w:rPr>
        <w:t>12</w:t>
      </w:r>
      <w:r>
        <w:rPr/>
        <w:t>个月但自资产负债表日起</w:t>
      </w:r>
      <w:r>
        <w:rPr>
          <w:rFonts w:ascii="Arial" w:hAnsi="Arial" w:cs="Arial" w:eastAsia="Arial" w:hint="default"/>
        </w:rPr>
        <w:t>12</w:t>
      </w:r>
      <w:r>
        <w:rPr/>
        <w:t>个月（含</w:t>
      </w:r>
      <w:r>
        <w:rPr>
          <w:spacing w:val="-52"/>
        </w:rPr>
        <w:t> </w:t>
      </w:r>
      <w:r>
        <w:rPr>
          <w:spacing w:val="-52"/>
        </w:rPr>
      </w:r>
      <w:r>
        <w:rPr>
          <w:rFonts w:ascii="Arial" w:hAnsi="Arial" w:cs="Arial" w:eastAsia="Arial" w:hint="default"/>
        </w:rPr>
        <w:t>12</w:t>
      </w:r>
      <w:r>
        <w:rPr/>
        <w:t>个月）内到期的持有至到期投资，列示为一年内到期的非流动资产；取得时期限在</w:t>
      </w:r>
      <w:r>
        <w:rPr>
          <w:rFonts w:ascii="Arial" w:hAnsi="Arial" w:cs="Arial" w:eastAsia="Arial" w:hint="default"/>
        </w:rPr>
        <w:t>12</w:t>
      </w:r>
      <w:r>
        <w:rPr>
          <w:rFonts w:ascii="Arial" w:hAnsi="Arial" w:cs="Arial" w:eastAsia="Arial" w:hint="default"/>
          <w:spacing w:val="-4"/>
        </w:rPr>
        <w:t> </w:t>
      </w:r>
      <w:r>
        <w:rPr/>
        <w:t>个月之内（含</w:t>
      </w:r>
      <w:r>
        <w:rPr>
          <w:rFonts w:ascii="Arial" w:hAnsi="Arial" w:cs="Arial" w:eastAsia="Arial" w:hint="default"/>
        </w:rPr>
        <w:t>12</w:t>
      </w:r>
      <w:r>
        <w:rPr/>
        <w:t>个月）的持有至到期投资，列示为其他流动资产。</w:t>
      </w:r>
    </w:p>
    <w:p>
      <w:pPr>
        <w:spacing w:line="240" w:lineRule="auto" w:before="3"/>
        <w:rPr>
          <w:rFonts w:ascii="宋体" w:hAnsi="宋体" w:cs="宋体" w:eastAsia="宋体" w:hint="default"/>
          <w:sz w:val="18"/>
          <w:szCs w:val="18"/>
        </w:rPr>
      </w:pPr>
    </w:p>
    <w:p>
      <w:pPr>
        <w:pStyle w:val="BodyText"/>
        <w:spacing w:line="240" w:lineRule="auto"/>
        <w:ind w:left="540" w:right="0"/>
        <w:jc w:val="both"/>
      </w:pPr>
      <w:r>
        <w:rPr>
          <w:rFonts w:ascii="Arial" w:hAnsi="Arial" w:cs="Arial" w:eastAsia="Arial" w:hint="default"/>
        </w:rPr>
        <w:t>(iv)</w:t>
      </w:r>
      <w:r>
        <w:rPr>
          <w:rFonts w:ascii="Arial" w:hAnsi="Arial" w:cs="Arial" w:eastAsia="Arial" w:hint="default"/>
          <w:spacing w:val="51"/>
        </w:rPr>
        <w:t> </w:t>
      </w:r>
      <w:r>
        <w:rPr/>
        <w:t>可供出售金融资产</w:t>
      </w:r>
    </w:p>
    <w:p>
      <w:pPr>
        <w:pStyle w:val="BodyText"/>
        <w:spacing w:line="232" w:lineRule="auto" w:before="189"/>
        <w:ind w:left="967" w:right="104"/>
        <w:jc w:val="both"/>
      </w:pPr>
      <w:r>
        <w:rPr/>
        <w:t>可供出售金融资产包括初始确认时即被指定为可供出售的非衍生金融资产及未被划分为</w:t>
      </w:r>
      <w:r>
        <w:rPr>
          <w:spacing w:val="-13"/>
        </w:rPr>
        <w:t> </w:t>
      </w:r>
      <w:r>
        <w:rPr>
          <w:spacing w:val="-13"/>
        </w:rPr>
      </w:r>
      <w:r>
        <w:rPr/>
        <w:t>其他类的金融资产。自资产负债表日起</w:t>
      </w:r>
      <w:r>
        <w:rPr>
          <w:rFonts w:ascii="Arial" w:hAnsi="Arial" w:cs="Arial" w:eastAsia="Arial" w:hint="default"/>
        </w:rPr>
        <w:t>12</w:t>
      </w:r>
      <w:r>
        <w:rPr/>
        <w:t>个月内将出售的可供出售金融资产在资产负债</w:t>
      </w:r>
      <w:r>
        <w:rPr>
          <w:spacing w:val="-31"/>
        </w:rPr>
        <w:t> </w:t>
      </w:r>
      <w:r>
        <w:rPr>
          <w:spacing w:val="-31"/>
        </w:rPr>
      </w:r>
      <w:r>
        <w:rPr/>
        <w:t>表中列示为其他流动资产。</w:t>
      </w:r>
    </w:p>
    <w:p>
      <w:pPr>
        <w:spacing w:after="0" w:line="232" w:lineRule="auto"/>
        <w:jc w:val="both"/>
        <w:sectPr>
          <w:headerReference w:type="default" r:id="rId44"/>
          <w:pgSz w:w="11910" w:h="16840"/>
          <w:pgMar w:header="965" w:footer="769" w:top="2820" w:bottom="960" w:left="1440" w:right="920"/>
        </w:sectPr>
      </w:pPr>
    </w:p>
    <w:p>
      <w:pPr>
        <w:spacing w:line="240" w:lineRule="auto" w:before="4"/>
        <w:rPr>
          <w:rFonts w:ascii="宋体" w:hAnsi="宋体" w:cs="宋体" w:eastAsia="宋体" w:hint="default"/>
          <w:sz w:val="11"/>
          <w:szCs w:val="11"/>
        </w:rPr>
      </w:pPr>
    </w:p>
    <w:p>
      <w:pPr>
        <w:pStyle w:val="BodyText"/>
        <w:spacing w:line="240" w:lineRule="auto" w:before="32"/>
        <w:ind w:left="120" w:right="0"/>
        <w:jc w:val="left"/>
      </w:pPr>
      <w:r>
        <w:rPr>
          <w:rFonts w:ascii="Arial" w:hAnsi="Arial" w:cs="Arial" w:eastAsia="Arial" w:hint="default"/>
        </w:rPr>
        <w:t>(2) </w:t>
      </w:r>
      <w:r>
        <w:rPr>
          <w:rFonts w:ascii="Arial" w:hAnsi="Arial" w:cs="Arial" w:eastAsia="Arial" w:hint="default"/>
          <w:spacing w:val="28"/>
        </w:rPr>
        <w:t> </w:t>
      </w:r>
      <w:r>
        <w:rPr/>
        <w:t>确认和计量</w:t>
      </w:r>
    </w:p>
    <w:p>
      <w:pPr>
        <w:pStyle w:val="BodyText"/>
        <w:spacing w:line="286" w:lineRule="exact" w:before="190"/>
        <w:ind w:left="540" w:right="209"/>
        <w:jc w:val="both"/>
      </w:pPr>
      <w:r>
        <w:rPr/>
        <w:t>金融资产于本集团成为金融工具合同的一方时，按公允价值在资产负债表内确认。以公允价</w:t>
      </w:r>
      <w:r>
        <w:rPr>
          <w:spacing w:val="-23"/>
        </w:rPr>
        <w:t> </w:t>
      </w:r>
      <w:r>
        <w:rPr>
          <w:spacing w:val="-23"/>
        </w:rPr>
      </w:r>
      <w:r>
        <w:rPr/>
        <w:t>值计量且其变动计入当期损益的金融资产，取得时发生的相关交易费用直接计入当期损益。</w:t>
      </w:r>
      <w:r>
        <w:rPr>
          <w:spacing w:val="-20"/>
        </w:rPr>
        <w:t> </w:t>
      </w:r>
      <w:r>
        <w:rPr>
          <w:spacing w:val="-20"/>
        </w:rPr>
      </w:r>
      <w:r>
        <w:rPr/>
        <w:t>其他金融资产的相关交易费用计入初始确认金额。</w:t>
      </w:r>
    </w:p>
    <w:p>
      <w:pPr>
        <w:spacing w:line="240" w:lineRule="auto" w:before="3"/>
        <w:rPr>
          <w:rFonts w:ascii="宋体" w:hAnsi="宋体" w:cs="宋体" w:eastAsia="宋体" w:hint="default"/>
          <w:sz w:val="15"/>
          <w:szCs w:val="15"/>
        </w:rPr>
      </w:pPr>
    </w:p>
    <w:p>
      <w:pPr>
        <w:pStyle w:val="BodyText"/>
        <w:spacing w:line="286" w:lineRule="exact"/>
        <w:ind w:left="540" w:right="212"/>
        <w:jc w:val="both"/>
      </w:pPr>
      <w:r>
        <w:rPr/>
        <w:t>以公允价值计量且其变动计入当期损益的金融资产和可供出售金融资产按照公允价值进行后</w:t>
      </w:r>
      <w:r>
        <w:rPr>
          <w:spacing w:val="-23"/>
        </w:rPr>
        <w:t> </w:t>
      </w:r>
      <w:r>
        <w:rPr>
          <w:spacing w:val="-23"/>
        </w:rPr>
      </w:r>
      <w:r>
        <w:rPr/>
        <w:t>续计量，但在活跃市场中没有报价且其公允价值不能可靠计量的权益工具投资，按照成本计</w:t>
      </w:r>
      <w:r>
        <w:rPr>
          <w:spacing w:val="-23"/>
        </w:rPr>
        <w:t> </w:t>
      </w:r>
      <w:r>
        <w:rPr>
          <w:spacing w:val="-23"/>
        </w:rPr>
      </w:r>
      <w:r>
        <w:rPr/>
        <w:t>量；应收款项以及持有至到期投资采用实际利率法，以摊余成本计量。</w:t>
      </w:r>
    </w:p>
    <w:p>
      <w:pPr>
        <w:spacing w:line="240" w:lineRule="auto" w:before="6"/>
        <w:rPr>
          <w:rFonts w:ascii="宋体" w:hAnsi="宋体" w:cs="宋体" w:eastAsia="宋体" w:hint="default"/>
          <w:sz w:val="17"/>
          <w:szCs w:val="17"/>
        </w:rPr>
      </w:pPr>
    </w:p>
    <w:p>
      <w:pPr>
        <w:pStyle w:val="BodyText"/>
        <w:spacing w:line="237" w:lineRule="auto"/>
        <w:ind w:left="540" w:right="211"/>
        <w:jc w:val="both"/>
      </w:pPr>
      <w:r>
        <w:rPr/>
        <w:t>以公允价值计量且其变动计入当期损益的金融资产的公允价值变动作为公允价值变动损益计</w:t>
      </w:r>
      <w:r>
        <w:rPr>
          <w:spacing w:val="-23"/>
        </w:rPr>
        <w:t> </w:t>
      </w:r>
      <w:r>
        <w:rPr>
          <w:spacing w:val="-23"/>
        </w:rPr>
      </w:r>
      <w:r>
        <w:rPr/>
        <w:t>入当期损益；在资产持有期间所取得的利息或现金股利以及在处置时产生的处置损益，计入</w:t>
      </w:r>
      <w:r>
        <w:rPr>
          <w:spacing w:val="-23"/>
        </w:rPr>
        <w:t> </w:t>
      </w:r>
      <w:r>
        <w:rPr>
          <w:spacing w:val="-23"/>
        </w:rPr>
      </w:r>
      <w:r>
        <w:rPr/>
        <w:t>当期损益。</w:t>
      </w:r>
    </w:p>
    <w:p>
      <w:pPr>
        <w:spacing w:line="240" w:lineRule="auto" w:before="7"/>
        <w:rPr>
          <w:rFonts w:ascii="宋体" w:hAnsi="宋体" w:cs="宋体" w:eastAsia="宋体" w:hint="default"/>
          <w:sz w:val="19"/>
          <w:szCs w:val="19"/>
        </w:rPr>
      </w:pPr>
    </w:p>
    <w:p>
      <w:pPr>
        <w:pStyle w:val="BodyText"/>
        <w:spacing w:line="237" w:lineRule="auto"/>
        <w:ind w:left="540" w:right="99"/>
        <w:jc w:val="both"/>
      </w:pPr>
      <w:r>
        <w:rPr/>
        <w:t>除减值损失及外币货币性金融资产形成的汇兑损益外，可供出售金融资产公允价值变动作为</w:t>
      </w:r>
      <w:r>
        <w:rPr>
          <w:spacing w:val="-22"/>
        </w:rPr>
        <w:t> </w:t>
      </w:r>
      <w:r>
        <w:rPr>
          <w:spacing w:val="-22"/>
        </w:rPr>
      </w:r>
      <w:r>
        <w:rPr/>
        <w:t>其他综合收益计入股东权益，待该金融资产终止确认时，原直接计入权益的公允价值变动累</w:t>
      </w:r>
      <w:r>
        <w:rPr>
          <w:spacing w:val="-23"/>
        </w:rPr>
        <w:t> </w:t>
      </w:r>
      <w:r>
        <w:rPr>
          <w:spacing w:val="-23"/>
        </w:rPr>
      </w:r>
      <w:r>
        <w:rPr/>
        <w:t>计额转入当期损益。可供出售债务工具投资在持有期间按实际利率法计算的利息，以及被投</w:t>
      </w:r>
      <w:r>
        <w:rPr>
          <w:spacing w:val="-23"/>
        </w:rPr>
        <w:t> </w:t>
      </w:r>
      <w:r>
        <w:rPr>
          <w:spacing w:val="-23"/>
        </w:rPr>
      </w:r>
      <w:r>
        <w:rPr>
          <w:spacing w:val="-2"/>
        </w:rPr>
        <w:t>资单位已宣告发放的与可供出售权益工具投资相关的现金股利，作为投资收益计入当期损益。</w:t>
      </w:r>
    </w:p>
    <w:p>
      <w:pPr>
        <w:spacing w:line="240" w:lineRule="auto" w:before="1"/>
        <w:rPr>
          <w:rFonts w:ascii="宋体" w:hAnsi="宋体" w:cs="宋体" w:eastAsia="宋体" w:hint="default"/>
          <w:sz w:val="17"/>
          <w:szCs w:val="17"/>
        </w:rPr>
      </w:pPr>
    </w:p>
    <w:p>
      <w:pPr>
        <w:pStyle w:val="BodyText"/>
        <w:spacing w:line="240" w:lineRule="auto"/>
        <w:ind w:left="120" w:right="0"/>
        <w:jc w:val="left"/>
      </w:pPr>
      <w:r>
        <w:rPr>
          <w:rFonts w:ascii="Arial" w:hAnsi="Arial" w:cs="Arial" w:eastAsia="Arial" w:hint="default"/>
        </w:rPr>
        <w:t>(3) </w:t>
      </w:r>
      <w:r>
        <w:rPr>
          <w:rFonts w:ascii="Arial" w:hAnsi="Arial" w:cs="Arial" w:eastAsia="Arial" w:hint="default"/>
          <w:spacing w:val="29"/>
        </w:rPr>
        <w:t> </w:t>
      </w:r>
      <w:r>
        <w:rPr/>
        <w:t>金融资产减值</w:t>
      </w:r>
    </w:p>
    <w:p>
      <w:pPr>
        <w:spacing w:line="240" w:lineRule="auto" w:before="10"/>
        <w:rPr>
          <w:rFonts w:ascii="宋体" w:hAnsi="宋体" w:cs="宋体" w:eastAsia="宋体" w:hint="default"/>
          <w:sz w:val="18"/>
          <w:szCs w:val="18"/>
        </w:rPr>
      </w:pPr>
    </w:p>
    <w:p>
      <w:pPr>
        <w:pStyle w:val="BodyText"/>
        <w:spacing w:line="286" w:lineRule="exact"/>
        <w:ind w:left="540" w:right="211"/>
        <w:jc w:val="both"/>
      </w:pPr>
      <w:r>
        <w:rPr/>
        <w:t>除以公允价值计量且其变动计入当期损益的金融资产外，本集团于资产负债表日对金融资产</w:t>
      </w:r>
      <w:r>
        <w:rPr>
          <w:spacing w:val="-23"/>
        </w:rPr>
        <w:t> </w:t>
      </w:r>
      <w:r>
        <w:rPr>
          <w:spacing w:val="-23"/>
        </w:rPr>
      </w:r>
      <w:r>
        <w:rPr/>
        <w:t>的账面价值进行检查，如果有客观证据表明某项金融资产发生减值的，计提减值准备。</w:t>
      </w:r>
    </w:p>
    <w:p>
      <w:pPr>
        <w:spacing w:line="240" w:lineRule="auto" w:before="4"/>
        <w:rPr>
          <w:rFonts w:ascii="宋体" w:hAnsi="宋体" w:cs="宋体" w:eastAsia="宋体" w:hint="default"/>
          <w:sz w:val="17"/>
          <w:szCs w:val="17"/>
        </w:rPr>
      </w:pPr>
    </w:p>
    <w:p>
      <w:pPr>
        <w:pStyle w:val="BodyText"/>
        <w:spacing w:line="237" w:lineRule="auto"/>
        <w:ind w:left="540" w:right="102"/>
        <w:jc w:val="both"/>
      </w:pPr>
      <w:r>
        <w:rPr/>
        <w:t>以摊余成本计量的金融资产发生减值时，按预计未来现金流量（不包括尚未发生的未来信用</w:t>
      </w:r>
      <w:r>
        <w:rPr>
          <w:spacing w:val="-22"/>
        </w:rPr>
        <w:t> </w:t>
      </w:r>
      <w:r>
        <w:rPr>
          <w:spacing w:val="-22"/>
        </w:rPr>
      </w:r>
      <w:r>
        <w:rPr/>
        <w:t>损失）现值低于账面价值的差额，计提减值准备。如果有客观证据表明该金融资产价值已恢</w:t>
      </w:r>
      <w:r>
        <w:rPr>
          <w:spacing w:val="-23"/>
        </w:rPr>
        <w:t> </w:t>
      </w:r>
      <w:r>
        <w:rPr>
          <w:spacing w:val="-23"/>
        </w:rPr>
      </w:r>
      <w:r>
        <w:rPr>
          <w:spacing w:val="-2"/>
        </w:rPr>
        <w:t>复，且客观上与确认该损失后发生的事项有关，原确认的减值损失予以转回，计入当期损益。</w:t>
      </w:r>
    </w:p>
    <w:p>
      <w:pPr>
        <w:spacing w:line="240" w:lineRule="auto" w:before="9"/>
        <w:rPr>
          <w:rFonts w:ascii="宋体" w:hAnsi="宋体" w:cs="宋体" w:eastAsia="宋体" w:hint="default"/>
          <w:sz w:val="19"/>
          <w:szCs w:val="19"/>
        </w:rPr>
      </w:pPr>
    </w:p>
    <w:p>
      <w:pPr>
        <w:pStyle w:val="BodyText"/>
        <w:spacing w:line="232" w:lineRule="auto"/>
        <w:ind w:left="540" w:right="207"/>
        <w:jc w:val="both"/>
      </w:pPr>
      <w:r>
        <w:rPr/>
        <w:t>对于可供出售权益工具投资，发生减值的客观证据包括权益工具投资的公允价值发生严重或</w:t>
      </w:r>
      <w:r>
        <w:rPr>
          <w:spacing w:val="-23"/>
        </w:rPr>
        <w:t> </w:t>
      </w:r>
      <w:r>
        <w:rPr>
          <w:spacing w:val="-23"/>
        </w:rPr>
      </w:r>
      <w:r>
        <w:rPr/>
        <w:t>非暂时性下跌，公允价值低于其成本本身并不足以说明可供出售权益工具投资已发生减值，</w:t>
      </w:r>
      <w:r>
        <w:rPr>
          <w:spacing w:val="-23"/>
        </w:rPr>
        <w:t> </w:t>
      </w:r>
      <w:r>
        <w:rPr>
          <w:spacing w:val="-23"/>
        </w:rPr>
      </w:r>
      <w:r>
        <w:rPr/>
        <w:t>应综合相关因素进行判断。对于持有的以战略合作为主要目的、不因股价临时变动而做出售</w:t>
      </w:r>
      <w:r>
        <w:rPr>
          <w:spacing w:val="-23"/>
        </w:rPr>
        <w:t> </w:t>
      </w:r>
      <w:r>
        <w:rPr>
          <w:spacing w:val="-23"/>
        </w:rPr>
      </w:r>
      <w:r>
        <w:rPr/>
        <w:t>决定的可供出售权益工具投资，则对被投资单位基本运营情况进行分析：若被投资单位经营</w:t>
      </w:r>
      <w:r>
        <w:rPr>
          <w:spacing w:val="-19"/>
        </w:rPr>
        <w:t> </w:t>
      </w:r>
      <w:r>
        <w:rPr>
          <w:spacing w:val="-19"/>
        </w:rPr>
      </w:r>
      <w:r>
        <w:rPr/>
        <w:t>状况发生严重恶化，营业收入连续三年减少</w:t>
      </w:r>
      <w:r>
        <w:rPr>
          <w:rFonts w:ascii="Arial" w:hAnsi="Arial" w:cs="Arial" w:eastAsia="Arial" w:hint="default"/>
        </w:rPr>
        <w:t>10%</w:t>
      </w:r>
      <w:r>
        <w:rPr/>
        <w:t>以上，或息税折旧摊销前盈余连续三年减少</w:t>
      </w:r>
      <w:r>
        <w:rPr>
          <w:spacing w:val="-22"/>
        </w:rPr>
        <w:t> </w:t>
      </w:r>
      <w:r>
        <w:rPr>
          <w:spacing w:val="-22"/>
        </w:rPr>
      </w:r>
      <w:r>
        <w:rPr>
          <w:rFonts w:ascii="Arial" w:hAnsi="Arial" w:cs="Arial" w:eastAsia="Arial" w:hint="default"/>
        </w:rPr>
        <w:t>20%</w:t>
      </w:r>
      <w:r>
        <w:rPr/>
        <w:t>以上，则表明其发生减值；对于以股价获利等为主要目的的可供出售权益工具投资，若</w:t>
      </w:r>
      <w:r>
        <w:rPr>
          <w:spacing w:val="-25"/>
        </w:rPr>
        <w:t> </w:t>
      </w:r>
      <w:r>
        <w:rPr>
          <w:spacing w:val="-25"/>
        </w:rPr>
      </w:r>
      <w:r>
        <w:rPr/>
        <w:t>该权益工具投资于资产负债表日的公允价值低于其初始投资成本超过</w:t>
      </w:r>
      <w:r>
        <w:rPr>
          <w:rFonts w:ascii="Arial" w:hAnsi="Arial" w:cs="Arial" w:eastAsia="Arial" w:hint="default"/>
        </w:rPr>
        <w:t>50%</w:t>
      </w:r>
      <w:r>
        <w:rPr/>
        <w:t>或低于其初始投资</w:t>
      </w:r>
      <w:r>
        <w:rPr>
          <w:spacing w:val="-20"/>
        </w:rPr>
        <w:t> </w:t>
      </w:r>
      <w:r>
        <w:rPr>
          <w:spacing w:val="-20"/>
        </w:rPr>
      </w:r>
      <w:r>
        <w:rPr/>
        <w:t>成本持续时间超过</w:t>
      </w:r>
      <w:r>
        <w:rPr>
          <w:rFonts w:ascii="Arial" w:hAnsi="Arial" w:cs="Arial" w:eastAsia="Arial" w:hint="default"/>
        </w:rPr>
        <w:t>24</w:t>
      </w:r>
      <w:r>
        <w:rPr/>
        <w:t>个月的，则表明其发生减值。</w:t>
      </w:r>
    </w:p>
    <w:p>
      <w:pPr>
        <w:spacing w:line="240" w:lineRule="auto" w:before="5"/>
        <w:rPr>
          <w:rFonts w:ascii="宋体" w:hAnsi="宋体" w:cs="宋体" w:eastAsia="宋体" w:hint="default"/>
          <w:sz w:val="18"/>
          <w:szCs w:val="18"/>
        </w:rPr>
      </w:pPr>
    </w:p>
    <w:p>
      <w:pPr>
        <w:pStyle w:val="BodyText"/>
        <w:spacing w:line="237" w:lineRule="auto"/>
        <w:ind w:left="540" w:right="0"/>
        <w:jc w:val="left"/>
      </w:pPr>
      <w:r>
        <w:rPr/>
        <w:t>可供出售金融资产发生减值时，原直接计入股东权益的因公允价值下降形成的累计损失予以</w:t>
      </w:r>
      <w:r>
        <w:rPr>
          <w:spacing w:val="-23"/>
        </w:rPr>
        <w:t> </w:t>
      </w:r>
      <w:r>
        <w:rPr>
          <w:spacing w:val="-23"/>
        </w:rPr>
      </w:r>
      <w:r>
        <w:rPr/>
        <w:t>转出并计入减值损失。对已确认减值损失的可供出售债务工具投资，在期后公允价值上升且</w:t>
      </w:r>
      <w:r>
        <w:rPr>
          <w:spacing w:val="-23"/>
        </w:rPr>
        <w:t> </w:t>
      </w:r>
      <w:r>
        <w:rPr>
          <w:spacing w:val="-23"/>
        </w:rPr>
      </w:r>
      <w:r>
        <w:rPr>
          <w:spacing w:val="-2"/>
        </w:rPr>
        <w:t>客观上与确认原减值损失后发生的事项有关的，原确认的减值损失予以转回并计入当期损益。</w:t>
      </w:r>
      <w:r>
        <w:rPr>
          <w:spacing w:val="-49"/>
        </w:rPr>
        <w:t> </w:t>
      </w:r>
      <w:r>
        <w:rPr>
          <w:spacing w:val="-49"/>
        </w:rPr>
      </w:r>
      <w:r>
        <w:rPr/>
        <w:t>对已确认减值损失的可供出售权益工具投资，期后公允价值上升直接计入股东权益。但是，</w:t>
      </w:r>
      <w:r>
        <w:rPr>
          <w:spacing w:val="-23"/>
        </w:rPr>
        <w:t> </w:t>
      </w:r>
      <w:r>
        <w:rPr>
          <w:spacing w:val="-23"/>
        </w:rPr>
      </w:r>
      <w:r>
        <w:rPr/>
        <w:t>在活跃市场中没有报价且其公允价值不能可靠计量的权益工具投资，不得转回。</w:t>
      </w:r>
    </w:p>
    <w:p>
      <w:pPr>
        <w:spacing w:after="0" w:line="237" w:lineRule="auto"/>
        <w:jc w:val="left"/>
        <w:sectPr>
          <w:headerReference w:type="default" r:id="rId45"/>
          <w:pgSz w:w="11910" w:h="16840"/>
          <w:pgMar w:header="965" w:footer="769" w:top="3880" w:bottom="960" w:left="1440" w:right="820"/>
        </w:sectPr>
      </w:pPr>
    </w:p>
    <w:p>
      <w:pPr>
        <w:spacing w:line="240" w:lineRule="auto" w:before="4"/>
        <w:rPr>
          <w:rFonts w:ascii="宋体" w:hAnsi="宋体" w:cs="宋体" w:eastAsia="宋体" w:hint="default"/>
          <w:sz w:val="11"/>
          <w:szCs w:val="11"/>
        </w:rPr>
      </w:pPr>
    </w:p>
    <w:p>
      <w:pPr>
        <w:pStyle w:val="BodyText"/>
        <w:spacing w:line="240" w:lineRule="auto" w:before="32"/>
        <w:ind w:left="120" w:right="2130"/>
        <w:jc w:val="left"/>
      </w:pPr>
      <w:r>
        <w:rPr>
          <w:rFonts w:ascii="Arial" w:hAnsi="Arial" w:cs="Arial" w:eastAsia="Arial" w:hint="default"/>
        </w:rPr>
        <w:t>(4) </w:t>
      </w:r>
      <w:r>
        <w:rPr>
          <w:rFonts w:ascii="Arial" w:hAnsi="Arial" w:cs="Arial" w:eastAsia="Arial" w:hint="default"/>
          <w:spacing w:val="29"/>
        </w:rPr>
        <w:t> </w:t>
      </w:r>
      <w:r>
        <w:rPr/>
        <w:t>金融资产的终止确认</w:t>
      </w:r>
    </w:p>
    <w:p>
      <w:pPr>
        <w:spacing w:line="240" w:lineRule="auto" w:before="11"/>
        <w:rPr>
          <w:rFonts w:ascii="宋体" w:hAnsi="宋体" w:cs="宋体" w:eastAsia="宋体" w:hint="default"/>
          <w:sz w:val="17"/>
          <w:szCs w:val="17"/>
        </w:rPr>
      </w:pPr>
    </w:p>
    <w:p>
      <w:pPr>
        <w:pStyle w:val="BodyText"/>
        <w:spacing w:line="225" w:lineRule="auto"/>
        <w:ind w:left="540" w:right="108"/>
        <w:jc w:val="both"/>
      </w:pPr>
      <w:r>
        <w:rPr/>
        <w:t>金融资产满足下列条件之一的，予以终止确认：（</w:t>
      </w:r>
      <w:r>
        <w:rPr>
          <w:rFonts w:ascii="Arial" w:hAnsi="Arial" w:cs="Arial" w:eastAsia="Arial" w:hint="default"/>
        </w:rPr>
        <w:t>i</w:t>
      </w:r>
      <w:r>
        <w:rPr/>
        <w:t>）收取该金融资产现金流量的合同权利终</w:t>
      </w:r>
      <w:r>
        <w:rPr>
          <w:spacing w:val="-66"/>
        </w:rPr>
        <w:t> </w:t>
      </w:r>
      <w:r>
        <w:rPr>
          <w:spacing w:val="-66"/>
        </w:rPr>
      </w:r>
      <w:r>
        <w:rPr>
          <w:spacing w:val="-1"/>
        </w:rPr>
        <w:t>止；（</w:t>
      </w:r>
      <w:r>
        <w:rPr>
          <w:rFonts w:ascii="Arial" w:hAnsi="Arial" w:cs="Arial" w:eastAsia="Arial" w:hint="default"/>
          <w:spacing w:val="-1"/>
        </w:rPr>
        <w:t>ii</w:t>
      </w:r>
      <w:r>
        <w:rPr>
          <w:spacing w:val="-1"/>
        </w:rPr>
        <w:t>）该金融资产已转移，且本集团将金融资产所有权上几乎所有的风险和报酬转移给转</w:t>
      </w:r>
      <w:r>
        <w:rPr>
          <w:spacing w:val="-78"/>
        </w:rPr>
        <w:t> </w:t>
      </w:r>
      <w:r>
        <w:rPr>
          <w:spacing w:val="-78"/>
        </w:rPr>
      </w:r>
      <w:r>
        <w:rPr>
          <w:spacing w:val="-3"/>
        </w:rPr>
        <w:t>入方；或者（</w:t>
      </w:r>
      <w:r>
        <w:rPr>
          <w:rFonts w:ascii="Arial" w:hAnsi="Arial" w:cs="Arial" w:eastAsia="Arial" w:hint="default"/>
          <w:spacing w:val="-3"/>
        </w:rPr>
        <w:t>iii</w:t>
      </w:r>
      <w:r>
        <w:rPr>
          <w:spacing w:val="-3"/>
        </w:rPr>
        <w:t>）该金融资产已转移，虽然本集团既没有转移也没有保留金融资产所有权上几</w:t>
      </w:r>
      <w:r>
        <w:rPr>
          <w:spacing w:val="-39"/>
        </w:rPr>
        <w:t> </w:t>
      </w:r>
      <w:r>
        <w:rPr>
          <w:spacing w:val="-39"/>
        </w:rPr>
      </w:r>
      <w:r>
        <w:rPr/>
        <w:t>乎所有的风险和报酬，但是放弃了对该金融资产控制。</w:t>
      </w:r>
    </w:p>
    <w:p>
      <w:pPr>
        <w:spacing w:line="240" w:lineRule="auto" w:before="5"/>
        <w:rPr>
          <w:rFonts w:ascii="宋体" w:hAnsi="宋体" w:cs="宋体" w:eastAsia="宋体" w:hint="default"/>
          <w:sz w:val="21"/>
          <w:szCs w:val="21"/>
        </w:rPr>
      </w:pPr>
    </w:p>
    <w:p>
      <w:pPr>
        <w:pStyle w:val="BodyText"/>
        <w:spacing w:line="286" w:lineRule="exact"/>
        <w:ind w:left="540" w:right="112"/>
        <w:jc w:val="both"/>
      </w:pPr>
      <w:r>
        <w:rPr/>
        <w:t>金融资产终止确认时，其账面价值与收到的对价以及原直接计入股东权益的公允价值变动累</w:t>
      </w:r>
      <w:r>
        <w:rPr>
          <w:spacing w:val="-23"/>
        </w:rPr>
        <w:t> </w:t>
      </w:r>
      <w:r>
        <w:rPr>
          <w:spacing w:val="-23"/>
        </w:rPr>
      </w:r>
      <w:r>
        <w:rPr/>
        <w:t>计额之和的差额，计入当期损益。</w:t>
      </w:r>
    </w:p>
    <w:p>
      <w:pPr>
        <w:spacing w:line="240" w:lineRule="auto" w:before="3"/>
        <w:rPr>
          <w:rFonts w:ascii="宋体" w:hAnsi="宋体" w:cs="宋体" w:eastAsia="宋体" w:hint="default"/>
          <w:sz w:val="15"/>
          <w:szCs w:val="15"/>
        </w:rPr>
      </w:pPr>
    </w:p>
    <w:p>
      <w:pPr>
        <w:pStyle w:val="BodyText"/>
        <w:spacing w:line="240" w:lineRule="auto"/>
        <w:ind w:left="120" w:right="2130"/>
        <w:jc w:val="left"/>
      </w:pPr>
      <w:r>
        <w:rPr>
          <w:rFonts w:ascii="Arial" w:hAnsi="Arial" w:cs="Arial" w:eastAsia="Arial" w:hint="default"/>
        </w:rPr>
        <w:t>(b) </w:t>
      </w:r>
      <w:r>
        <w:rPr>
          <w:rFonts w:ascii="Arial" w:hAnsi="Arial" w:cs="Arial" w:eastAsia="Arial" w:hint="default"/>
          <w:spacing w:val="31"/>
        </w:rPr>
        <w:t> </w:t>
      </w:r>
      <w:r>
        <w:rPr/>
        <w:t>金融负债</w:t>
      </w:r>
    </w:p>
    <w:p>
      <w:pPr>
        <w:spacing w:line="240" w:lineRule="auto" w:before="5"/>
        <w:rPr>
          <w:rFonts w:ascii="宋体" w:hAnsi="宋体" w:cs="宋体" w:eastAsia="宋体" w:hint="default"/>
          <w:sz w:val="16"/>
          <w:szCs w:val="16"/>
        </w:rPr>
      </w:pPr>
    </w:p>
    <w:p>
      <w:pPr>
        <w:pStyle w:val="BodyText"/>
        <w:spacing w:line="240" w:lineRule="auto"/>
        <w:ind w:left="540" w:right="112"/>
        <w:jc w:val="both"/>
      </w:pPr>
      <w:r>
        <w:rPr/>
        <w:t>金融负债于初始确认时分类为以公允价值计量且其变动计入当期损益的金融负债和其他金融</w:t>
      </w:r>
      <w:r>
        <w:rPr>
          <w:spacing w:val="-23"/>
        </w:rPr>
        <w:t> </w:t>
      </w:r>
      <w:r>
        <w:rPr>
          <w:spacing w:val="-23"/>
        </w:rPr>
      </w:r>
      <w:r>
        <w:rPr/>
        <w:t>负债。本集团的金融负债主要为其他金融负债，包括应付款项、借款及应付债券等。</w:t>
      </w:r>
    </w:p>
    <w:p>
      <w:pPr>
        <w:spacing w:line="240" w:lineRule="auto" w:before="3"/>
        <w:rPr>
          <w:rFonts w:ascii="宋体" w:hAnsi="宋体" w:cs="宋体" w:eastAsia="宋体" w:hint="default"/>
          <w:sz w:val="21"/>
          <w:szCs w:val="21"/>
        </w:rPr>
      </w:pPr>
    </w:p>
    <w:p>
      <w:pPr>
        <w:pStyle w:val="BodyText"/>
        <w:spacing w:line="286" w:lineRule="exact"/>
        <w:ind w:left="540" w:right="109"/>
        <w:jc w:val="both"/>
      </w:pPr>
      <w:r>
        <w:rPr/>
        <w:t>应付款项包括应付账款、其他应付款等，以公允价值进行初始计量，并采用实际利率法按摊</w:t>
      </w:r>
      <w:r>
        <w:rPr>
          <w:spacing w:val="-23"/>
        </w:rPr>
        <w:t> </w:t>
      </w:r>
      <w:r>
        <w:rPr>
          <w:spacing w:val="-23"/>
        </w:rPr>
      </w:r>
      <w:r>
        <w:rPr/>
        <w:t>余成本进行后续计量。</w:t>
      </w:r>
    </w:p>
    <w:p>
      <w:pPr>
        <w:spacing w:line="240" w:lineRule="auto" w:before="3"/>
        <w:rPr>
          <w:rFonts w:ascii="宋体" w:hAnsi="宋体" w:cs="宋体" w:eastAsia="宋体" w:hint="default"/>
          <w:sz w:val="19"/>
          <w:szCs w:val="19"/>
        </w:rPr>
      </w:pPr>
    </w:p>
    <w:p>
      <w:pPr>
        <w:pStyle w:val="BodyText"/>
        <w:spacing w:line="286" w:lineRule="exact"/>
        <w:ind w:left="540" w:right="109"/>
        <w:jc w:val="both"/>
      </w:pPr>
      <w:r>
        <w:rPr/>
        <w:t>借款及应付债券（含短期融资券）按其公允价值扣除交易费用后的金额进行初始计量，并采</w:t>
      </w:r>
      <w:r>
        <w:rPr>
          <w:spacing w:val="-21"/>
        </w:rPr>
        <w:t> </w:t>
      </w:r>
      <w:r>
        <w:rPr>
          <w:spacing w:val="-21"/>
        </w:rPr>
      </w:r>
      <w:r>
        <w:rPr/>
        <w:t>用实际利率法按摊余成本进行后续计量。</w:t>
      </w:r>
    </w:p>
    <w:p>
      <w:pPr>
        <w:spacing w:line="240" w:lineRule="auto" w:before="6"/>
        <w:rPr>
          <w:rFonts w:ascii="宋体" w:hAnsi="宋体" w:cs="宋体" w:eastAsia="宋体" w:hint="default"/>
          <w:sz w:val="17"/>
          <w:szCs w:val="17"/>
        </w:rPr>
      </w:pPr>
    </w:p>
    <w:p>
      <w:pPr>
        <w:pStyle w:val="BodyText"/>
        <w:spacing w:line="237" w:lineRule="auto"/>
        <w:ind w:left="540" w:right="112"/>
        <w:jc w:val="both"/>
      </w:pPr>
      <w:r>
        <w:rPr/>
        <w:t>其他金融负债期限在一年以下（含一年）的，列示为流动负债；期限在一年以上但自资产负</w:t>
      </w:r>
      <w:r>
        <w:rPr>
          <w:spacing w:val="-23"/>
        </w:rPr>
        <w:t> </w:t>
      </w:r>
      <w:r>
        <w:rPr>
          <w:spacing w:val="-23"/>
        </w:rPr>
      </w:r>
      <w:r>
        <w:rPr/>
        <w:t>债表日起一年内（含一年）到期的，列示为一年内到期的非流动负债；其余列示为非流动负</w:t>
      </w:r>
      <w:r>
        <w:rPr>
          <w:spacing w:val="-23"/>
        </w:rPr>
        <w:t> </w:t>
      </w:r>
      <w:r>
        <w:rPr>
          <w:spacing w:val="-23"/>
        </w:rPr>
      </w:r>
      <w:r>
        <w:rPr/>
        <w:t>债。</w:t>
      </w:r>
    </w:p>
    <w:p>
      <w:pPr>
        <w:spacing w:line="240" w:lineRule="auto" w:before="6"/>
        <w:rPr>
          <w:rFonts w:ascii="宋体" w:hAnsi="宋体" w:cs="宋体" w:eastAsia="宋体" w:hint="default"/>
          <w:sz w:val="21"/>
          <w:szCs w:val="21"/>
        </w:rPr>
      </w:pPr>
    </w:p>
    <w:p>
      <w:pPr>
        <w:pStyle w:val="BodyText"/>
        <w:spacing w:line="286" w:lineRule="exact"/>
        <w:ind w:left="569" w:right="112"/>
        <w:jc w:val="both"/>
      </w:pPr>
      <w:r>
        <w:rPr/>
        <w:t>当金融负债的现时义务全部或部分已经解除时，终止确认该金融负债或义务已解除的部分。</w:t>
      </w:r>
      <w:r>
        <w:rPr>
          <w:spacing w:val="-49"/>
        </w:rPr>
        <w:t> </w:t>
      </w:r>
      <w:r>
        <w:rPr>
          <w:spacing w:val="-49"/>
        </w:rPr>
      </w:r>
      <w:r>
        <w:rPr/>
        <w:t>终止确认部分的账面价值与支付的对价之间的差额，计入当期损益。</w:t>
      </w:r>
    </w:p>
    <w:p>
      <w:pPr>
        <w:spacing w:line="240" w:lineRule="auto" w:before="3"/>
        <w:rPr>
          <w:rFonts w:ascii="宋体" w:hAnsi="宋体" w:cs="宋体" w:eastAsia="宋体" w:hint="default"/>
          <w:sz w:val="19"/>
          <w:szCs w:val="19"/>
        </w:rPr>
      </w:pPr>
    </w:p>
    <w:p>
      <w:pPr>
        <w:pStyle w:val="BodyText"/>
        <w:spacing w:line="286" w:lineRule="exact"/>
        <w:ind w:left="547" w:right="112" w:firstLine="21"/>
        <w:jc w:val="both"/>
      </w:pPr>
      <w:r>
        <w:rPr/>
        <w:t>对于本集团发行的可转换为权益股份且转换时所发行的股份数量和对价的金额固定的可转换</w:t>
      </w:r>
      <w:r>
        <w:rPr>
          <w:spacing w:val="-70"/>
        </w:rPr>
        <w:t> </w:t>
      </w:r>
      <w:r>
        <w:rPr>
          <w:spacing w:val="-70"/>
        </w:rPr>
      </w:r>
      <w:r>
        <w:rPr/>
        <w:t>工具，本集团将其作为包含负债和权益成分的复合金融工具。</w:t>
      </w:r>
    </w:p>
    <w:p>
      <w:pPr>
        <w:spacing w:line="240" w:lineRule="auto" w:before="3"/>
        <w:rPr>
          <w:rFonts w:ascii="宋体" w:hAnsi="宋体" w:cs="宋体" w:eastAsia="宋体" w:hint="default"/>
          <w:sz w:val="19"/>
          <w:szCs w:val="19"/>
        </w:rPr>
      </w:pPr>
    </w:p>
    <w:p>
      <w:pPr>
        <w:pStyle w:val="BodyText"/>
        <w:spacing w:line="286" w:lineRule="exact"/>
        <w:ind w:left="547" w:right="112"/>
        <w:jc w:val="both"/>
      </w:pPr>
      <w:r>
        <w:rPr/>
        <w:t>在初始确认时，本集团将相关负债和权益成分进行分拆，先确定负债成分的公允价值</w:t>
      </w:r>
      <w:r>
        <w:rPr>
          <w:spacing w:val="-6"/>
        </w:rPr>
        <w:t> </w:t>
      </w:r>
      <w:r>
        <w:rPr>
          <w:rFonts w:ascii="Arial" w:hAnsi="Arial" w:cs="Arial" w:eastAsia="Arial" w:hint="default"/>
        </w:rPr>
        <w:t>(</w:t>
      </w:r>
      <w:r>
        <w:rPr/>
        <w:t>包括</w:t>
      </w:r>
      <w:r>
        <w:rPr>
          <w:spacing w:val="-3"/>
          <w:w w:val="100"/>
        </w:rPr>
        <w:t> </w:t>
      </w:r>
      <w:r>
        <w:rPr/>
        <w:t>其中可能包含的非权益性嵌入衍生工具的公允价值</w:t>
      </w:r>
      <w:r>
        <w:rPr>
          <w:rFonts w:ascii="Arial" w:hAnsi="Arial" w:cs="Arial" w:eastAsia="Arial" w:hint="default"/>
        </w:rPr>
        <w:t>)</w:t>
      </w:r>
      <w:r>
        <w:rPr>
          <w:rFonts w:ascii="Arial" w:hAnsi="Arial" w:cs="Arial" w:eastAsia="Arial" w:hint="default"/>
          <w:spacing w:val="47"/>
        </w:rPr>
        <w:t> </w:t>
      </w:r>
      <w:r>
        <w:rPr/>
        <w:t>，再从复合金融工具公允价值中扣除负</w:t>
      </w:r>
      <w:r>
        <w:rPr>
          <w:w w:val="100"/>
        </w:rPr>
        <w:t> </w:t>
      </w:r>
      <w:r>
        <w:rPr/>
        <w:t>债成分的公允价值，作为权益成分的价值，计入权益。发行复合金融工具发生的交易费用，</w:t>
      </w:r>
      <w:r>
        <w:rPr>
          <w:w w:val="100"/>
        </w:rPr>
        <w:t> </w:t>
      </w:r>
      <w:r>
        <w:rPr/>
        <w:t>在负债成分和权益成分之间按照各自占总发行价款的比例进行分摊。</w:t>
      </w:r>
    </w:p>
    <w:p>
      <w:pPr>
        <w:spacing w:line="240" w:lineRule="auto" w:before="3"/>
        <w:rPr>
          <w:rFonts w:ascii="宋体" w:hAnsi="宋体" w:cs="宋体" w:eastAsia="宋体" w:hint="default"/>
          <w:sz w:val="19"/>
          <w:szCs w:val="19"/>
        </w:rPr>
      </w:pPr>
    </w:p>
    <w:p>
      <w:pPr>
        <w:pStyle w:val="BodyText"/>
        <w:spacing w:line="286" w:lineRule="exact"/>
        <w:ind w:left="569" w:right="112"/>
        <w:jc w:val="both"/>
      </w:pPr>
      <w:r>
        <w:rPr/>
        <w:t>在完成初始确认后，可转换工具的负债组成部分以实际利率法按摊余成本进行后续计量。除</w:t>
      </w:r>
      <w:r>
        <w:rPr>
          <w:spacing w:val="-49"/>
        </w:rPr>
        <w:t> </w:t>
      </w:r>
      <w:r>
        <w:rPr>
          <w:spacing w:val="-49"/>
        </w:rPr>
      </w:r>
      <w:r>
        <w:rPr/>
        <w:t>非可转换工具的转换权被行使或者可转换工具到期或赎回，否则可转换工具的权益组成部分</w:t>
      </w:r>
      <w:r>
        <w:rPr>
          <w:spacing w:val="-49"/>
        </w:rPr>
        <w:t> </w:t>
      </w:r>
      <w:r>
        <w:rPr>
          <w:spacing w:val="-49"/>
        </w:rPr>
      </w:r>
      <w:r>
        <w:rPr/>
        <w:t>在初始确认后不再重新计量。</w:t>
      </w:r>
    </w:p>
    <w:p>
      <w:pPr>
        <w:spacing w:after="0" w:line="286" w:lineRule="exact"/>
        <w:jc w:val="both"/>
        <w:sectPr>
          <w:headerReference w:type="default" r:id="rId46"/>
          <w:pgSz w:w="11910" w:h="16840"/>
          <w:pgMar w:header="965" w:footer="769" w:top="3880" w:bottom="960" w:left="1440" w:right="920"/>
        </w:sectPr>
      </w:pPr>
    </w:p>
    <w:p>
      <w:pPr>
        <w:spacing w:line="240" w:lineRule="auto" w:before="0"/>
        <w:rPr>
          <w:rFonts w:ascii="宋体" w:hAnsi="宋体" w:cs="宋体" w:eastAsia="宋体" w:hint="default"/>
          <w:sz w:val="18"/>
          <w:szCs w:val="18"/>
        </w:rPr>
      </w:pPr>
    </w:p>
    <w:p>
      <w:pPr>
        <w:pStyle w:val="BodyText"/>
        <w:spacing w:line="240" w:lineRule="auto" w:before="32"/>
        <w:ind w:left="120" w:right="0"/>
        <w:jc w:val="left"/>
      </w:pPr>
      <w:r>
        <w:rPr>
          <w:rFonts w:ascii="Arial" w:hAnsi="Arial" w:cs="Arial" w:eastAsia="Arial" w:hint="default"/>
        </w:rPr>
        <w:t>9</w:t>
      </w:r>
      <w:r>
        <w:rPr/>
        <w:t>、应收款项</w:t>
      </w:r>
    </w:p>
    <w:p>
      <w:pPr>
        <w:spacing w:line="240" w:lineRule="auto" w:before="2"/>
        <w:rPr>
          <w:rFonts w:ascii="宋体" w:hAnsi="宋体" w:cs="宋体" w:eastAsia="宋体" w:hint="default"/>
          <w:sz w:val="19"/>
          <w:szCs w:val="19"/>
        </w:rPr>
      </w:pPr>
    </w:p>
    <w:p>
      <w:pPr>
        <w:pStyle w:val="BodyText"/>
        <w:spacing w:line="286" w:lineRule="exact"/>
        <w:ind w:left="588" w:right="175"/>
        <w:jc w:val="both"/>
      </w:pPr>
      <w:r>
        <w:rPr/>
        <w:t>本集团的应收款项主要包括应收账款和其他应收款。本集团对外提供电信服务及其他劳务或</w:t>
      </w:r>
      <w:r>
        <w:rPr>
          <w:spacing w:val="-70"/>
        </w:rPr>
        <w:t> </w:t>
      </w:r>
      <w:r>
        <w:rPr>
          <w:spacing w:val="-70"/>
        </w:rPr>
      </w:r>
      <w:r>
        <w:rPr/>
        <w:t>销售通信产品以及其他日常经营活动形成的应收款项，按应收的合同或协议价款的公允价值</w:t>
      </w:r>
      <w:r>
        <w:rPr>
          <w:spacing w:val="-70"/>
        </w:rPr>
        <w:t> </w:t>
      </w:r>
      <w:r>
        <w:rPr>
          <w:spacing w:val="-70"/>
        </w:rPr>
      </w:r>
      <w:r>
        <w:rPr/>
        <w:t>作为初始确认金额。</w:t>
      </w:r>
    </w:p>
    <w:p>
      <w:pPr>
        <w:pStyle w:val="BodyText"/>
        <w:spacing w:line="240" w:lineRule="auto" w:before="197"/>
        <w:ind w:left="120" w:right="0"/>
        <w:jc w:val="left"/>
      </w:pPr>
      <w:r>
        <w:rPr>
          <w:rFonts w:ascii="Arial" w:hAnsi="Arial" w:cs="Arial" w:eastAsia="Arial" w:hint="default"/>
        </w:rPr>
        <w:t>(a) </w:t>
      </w:r>
      <w:r>
        <w:rPr>
          <w:rFonts w:ascii="Arial" w:hAnsi="Arial" w:cs="Arial" w:eastAsia="Arial" w:hint="default"/>
          <w:spacing w:val="26"/>
        </w:rPr>
        <w:t> </w:t>
      </w:r>
      <w:r>
        <w:rPr/>
        <w:t>单项金额重大并单独计提坏账准备的应收款项</w:t>
      </w:r>
    </w:p>
    <w:p>
      <w:pPr>
        <w:spacing w:line="240" w:lineRule="auto" w:before="11"/>
        <w:rPr>
          <w:rFonts w:ascii="宋体" w:hAnsi="宋体" w:cs="宋体" w:eastAsia="宋体" w:hint="default"/>
          <w:sz w:val="18"/>
          <w:szCs w:val="18"/>
        </w:rPr>
      </w:pPr>
    </w:p>
    <w:p>
      <w:pPr>
        <w:pStyle w:val="BodyText"/>
        <w:spacing w:line="284" w:lineRule="exact"/>
        <w:ind w:left="569" w:right="172"/>
        <w:jc w:val="both"/>
      </w:pPr>
      <w:r>
        <w:rPr/>
        <w:t>对于单项金额重大的应收款项，单独进行减值测试，当存在客观证据表明本集团将无法按应</w:t>
      </w:r>
      <w:r>
        <w:rPr>
          <w:spacing w:val="-49"/>
        </w:rPr>
        <w:t> </w:t>
      </w:r>
      <w:r>
        <w:rPr>
          <w:spacing w:val="-49"/>
        </w:rPr>
      </w:r>
      <w:r>
        <w:rPr/>
        <w:t>收款项的原有条款收回所有款项时，计提坏账准备。</w:t>
      </w:r>
    </w:p>
    <w:p>
      <w:pPr>
        <w:spacing w:line="240" w:lineRule="auto" w:before="6"/>
        <w:rPr>
          <w:rFonts w:ascii="宋体" w:hAnsi="宋体" w:cs="宋体" w:eastAsia="宋体" w:hint="default"/>
          <w:sz w:val="19"/>
          <w:szCs w:val="19"/>
        </w:rPr>
      </w:pPr>
    </w:p>
    <w:p>
      <w:pPr>
        <w:pStyle w:val="BodyText"/>
        <w:spacing w:line="286" w:lineRule="exact"/>
        <w:ind w:left="569" w:right="172"/>
        <w:jc w:val="both"/>
      </w:pPr>
      <w:r>
        <w:rPr/>
        <w:t>本集团的用户主体为公众、商务及个人用户，因此，本集团结合实际经营情况确认单项金额</w:t>
      </w:r>
      <w:r>
        <w:rPr>
          <w:spacing w:val="-49"/>
        </w:rPr>
        <w:t> </w:t>
      </w:r>
      <w:r>
        <w:rPr>
          <w:spacing w:val="-49"/>
        </w:rPr>
      </w:r>
      <w:r>
        <w:rPr/>
        <w:t>重大的判断依据或金额标准。</w:t>
      </w:r>
    </w:p>
    <w:p>
      <w:pPr>
        <w:spacing w:line="240" w:lineRule="auto" w:before="3"/>
        <w:rPr>
          <w:rFonts w:ascii="宋体" w:hAnsi="宋体" w:cs="宋体" w:eastAsia="宋体" w:hint="default"/>
          <w:sz w:val="19"/>
          <w:szCs w:val="19"/>
        </w:rPr>
      </w:pPr>
    </w:p>
    <w:p>
      <w:pPr>
        <w:pStyle w:val="BodyText"/>
        <w:spacing w:line="286" w:lineRule="exact"/>
        <w:ind w:left="569" w:right="172"/>
        <w:jc w:val="both"/>
      </w:pPr>
      <w:r>
        <w:rPr/>
        <w:t>单项金额重大并单独计提坏账准备的计提方法为：根据应收款项的预计未来现金流量现值低</w:t>
      </w:r>
      <w:r>
        <w:rPr>
          <w:spacing w:val="-49"/>
        </w:rPr>
        <w:t> </w:t>
      </w:r>
      <w:r>
        <w:rPr>
          <w:spacing w:val="-49"/>
        </w:rPr>
      </w:r>
      <w:r>
        <w:rPr/>
        <w:t>于其账面价值的差额进行计提。</w:t>
      </w:r>
    </w:p>
    <w:p>
      <w:pPr>
        <w:pStyle w:val="BodyText"/>
        <w:tabs>
          <w:tab w:pos="595" w:val="left" w:leader="none"/>
        </w:tabs>
        <w:spacing w:line="240" w:lineRule="auto" w:before="197"/>
        <w:ind w:left="120" w:right="0"/>
        <w:jc w:val="left"/>
      </w:pPr>
      <w:r>
        <w:rPr>
          <w:rFonts w:ascii="Arial" w:hAnsi="Arial" w:cs="Arial" w:eastAsia="Arial" w:hint="default"/>
        </w:rPr>
        <w:t>(b)</w:t>
        <w:tab/>
      </w:r>
      <w:r>
        <w:rPr/>
        <w:t>单项金额不重大但单独计提坏账准备的应收款项</w:t>
      </w:r>
    </w:p>
    <w:p>
      <w:pPr>
        <w:spacing w:line="240" w:lineRule="auto" w:before="11"/>
        <w:rPr>
          <w:rFonts w:ascii="宋体" w:hAnsi="宋体" w:cs="宋体" w:eastAsia="宋体" w:hint="default"/>
          <w:sz w:val="18"/>
          <w:szCs w:val="18"/>
        </w:rPr>
      </w:pPr>
    </w:p>
    <w:p>
      <w:pPr>
        <w:pStyle w:val="BodyText"/>
        <w:spacing w:line="284" w:lineRule="exact"/>
        <w:ind w:left="569" w:right="172" w:firstLine="26"/>
        <w:jc w:val="both"/>
      </w:pPr>
      <w:r>
        <w:rPr/>
        <w:t>对于单项金额不重大，但回收风险明显区别于组合的款项，单独进行减值测试，当存在客观</w:t>
      </w:r>
      <w:r>
        <w:rPr>
          <w:spacing w:val="-99"/>
        </w:rPr>
        <w:t> </w:t>
      </w:r>
      <w:r>
        <w:rPr>
          <w:spacing w:val="-99"/>
        </w:rPr>
      </w:r>
      <w:r>
        <w:rPr/>
        <w:t>证据表明本集团将无法按应收款项的原有条款收回所有款项时，计提坏账准备。</w:t>
      </w:r>
    </w:p>
    <w:p>
      <w:pPr>
        <w:spacing w:line="240" w:lineRule="auto" w:before="6"/>
        <w:rPr>
          <w:rFonts w:ascii="宋体" w:hAnsi="宋体" w:cs="宋体" w:eastAsia="宋体" w:hint="default"/>
          <w:sz w:val="19"/>
          <w:szCs w:val="19"/>
        </w:rPr>
      </w:pPr>
    </w:p>
    <w:p>
      <w:pPr>
        <w:pStyle w:val="BodyText"/>
        <w:spacing w:line="286" w:lineRule="exact"/>
        <w:ind w:left="569" w:right="172"/>
        <w:jc w:val="both"/>
      </w:pPr>
      <w:r>
        <w:rPr/>
        <w:t>单项金额不重大并单独计提坏账准备的计提方法为：根据应收款项的预计未来现金流量现值</w:t>
      </w:r>
      <w:r>
        <w:rPr>
          <w:spacing w:val="-49"/>
        </w:rPr>
        <w:t> </w:t>
      </w:r>
      <w:r>
        <w:rPr>
          <w:spacing w:val="-49"/>
        </w:rPr>
      </w:r>
      <w:r>
        <w:rPr/>
        <w:t>低于其账面价值的差额进行计提。</w:t>
      </w:r>
    </w:p>
    <w:p>
      <w:pPr>
        <w:pStyle w:val="BodyText"/>
        <w:tabs>
          <w:tab w:pos="595" w:val="left" w:leader="none"/>
        </w:tabs>
        <w:spacing w:line="240" w:lineRule="auto" w:before="197"/>
        <w:ind w:left="120" w:right="0"/>
        <w:jc w:val="left"/>
      </w:pPr>
      <w:r>
        <w:rPr>
          <w:rFonts w:ascii="Arial" w:hAnsi="Arial" w:cs="Arial" w:eastAsia="Arial" w:hint="default"/>
        </w:rPr>
        <w:t>(c)</w:t>
        <w:tab/>
      </w:r>
      <w:r>
        <w:rPr/>
        <w:t>按信用风险特征组合计提坏账准备的应收款项</w:t>
      </w:r>
    </w:p>
    <w:p>
      <w:pPr>
        <w:spacing w:line="240" w:lineRule="auto" w:before="8"/>
        <w:rPr>
          <w:rFonts w:ascii="宋体" w:hAnsi="宋体" w:cs="宋体" w:eastAsia="宋体" w:hint="default"/>
          <w:sz w:val="16"/>
          <w:szCs w:val="16"/>
        </w:rPr>
      </w:pPr>
    </w:p>
    <w:p>
      <w:pPr>
        <w:pStyle w:val="BodyText"/>
        <w:spacing w:line="237" w:lineRule="auto"/>
        <w:ind w:left="595" w:right="171"/>
        <w:jc w:val="both"/>
      </w:pPr>
      <w:r>
        <w:rPr/>
        <w:t>本集团的应收款项按信用风险特征划分为若干组合，上述单独减值测试后未计提坏账准备的</w:t>
      </w:r>
      <w:r>
        <w:rPr>
          <w:spacing w:val="-73"/>
        </w:rPr>
        <w:t> </w:t>
      </w:r>
      <w:r>
        <w:rPr>
          <w:spacing w:val="-73"/>
        </w:rPr>
      </w:r>
      <w:r>
        <w:rPr/>
        <w:t>应收款项也会被包括于具有类似信用风险特征的组合中再进行减值测试。针对不同组合，本</w:t>
      </w:r>
      <w:r>
        <w:rPr>
          <w:spacing w:val="-73"/>
        </w:rPr>
        <w:t> </w:t>
      </w:r>
      <w:r>
        <w:rPr>
          <w:spacing w:val="-73"/>
        </w:rPr>
      </w:r>
      <w:r>
        <w:rPr/>
        <w:t>集团根据以前年度与之具有类似信用风险特征的应收款项组合的实际损失率为基础，结合现</w:t>
      </w:r>
      <w:r>
        <w:rPr>
          <w:spacing w:val="-73"/>
        </w:rPr>
        <w:t> </w:t>
      </w:r>
      <w:r>
        <w:rPr>
          <w:spacing w:val="-73"/>
        </w:rPr>
      </w:r>
      <w:r>
        <w:rPr/>
        <w:t>时情况确定应计提的坏账准备。</w:t>
      </w:r>
    </w:p>
    <w:p>
      <w:pPr>
        <w:spacing w:line="240" w:lineRule="auto" w:before="1"/>
        <w:rPr>
          <w:rFonts w:ascii="宋体" w:hAnsi="宋体" w:cs="宋体" w:eastAsia="宋体" w:hint="default"/>
          <w:sz w:val="19"/>
          <w:szCs w:val="19"/>
        </w:rPr>
      </w:pPr>
    </w:p>
    <w:p>
      <w:pPr>
        <w:pStyle w:val="BodyText"/>
        <w:spacing w:line="240" w:lineRule="auto"/>
        <w:ind w:left="595" w:right="0"/>
        <w:jc w:val="both"/>
      </w:pPr>
      <w:r>
        <w:rPr/>
        <w:t>本集团按不同信用风险特征划分的组合如下：</w:t>
      </w:r>
    </w:p>
    <w:p>
      <w:pPr>
        <w:spacing w:line="240" w:lineRule="auto" w:before="3"/>
        <w:rPr>
          <w:rFonts w:ascii="宋体" w:hAnsi="宋体" w:cs="宋体" w:eastAsia="宋体" w:hint="default"/>
          <w:sz w:val="24"/>
          <w:szCs w:val="24"/>
        </w:rPr>
      </w:pPr>
    </w:p>
    <w:tbl>
      <w:tblPr>
        <w:tblW w:w="0" w:type="auto"/>
        <w:jc w:val="left"/>
        <w:tblInd w:w="419" w:type="dxa"/>
        <w:tblLayout w:type="fixed"/>
        <w:tblCellMar>
          <w:top w:w="0" w:type="dxa"/>
          <w:left w:w="0" w:type="dxa"/>
          <w:bottom w:w="0" w:type="dxa"/>
          <w:right w:w="0" w:type="dxa"/>
        </w:tblCellMar>
        <w:tblLook w:val="01E0"/>
      </w:tblPr>
      <w:tblGrid>
        <w:gridCol w:w="3982"/>
        <w:gridCol w:w="5103"/>
      </w:tblGrid>
      <w:tr>
        <w:trPr>
          <w:trHeight w:val="253" w:hRule="exact"/>
        </w:trPr>
        <w:tc>
          <w:tcPr>
            <w:tcW w:w="3982"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22"/>
                <w:szCs w:val="22"/>
              </w:rPr>
            </w:pPr>
            <w:r>
              <w:rPr>
                <w:rFonts w:ascii="宋体" w:hAnsi="宋体" w:cs="宋体" w:eastAsia="宋体" w:hint="default"/>
                <w:sz w:val="22"/>
                <w:szCs w:val="22"/>
              </w:rPr>
              <w:t>一般组合</w:t>
            </w:r>
          </w:p>
        </w:tc>
        <w:tc>
          <w:tcPr>
            <w:tcW w:w="5103" w:type="dxa"/>
            <w:tcBorders>
              <w:top w:val="nil" w:sz="6" w:space="0" w:color="auto"/>
              <w:left w:val="nil" w:sz="6" w:space="0" w:color="auto"/>
              <w:bottom w:val="nil" w:sz="6" w:space="0" w:color="auto"/>
              <w:right w:val="nil" w:sz="6" w:space="0" w:color="auto"/>
            </w:tcBorders>
          </w:tcPr>
          <w:p>
            <w:pPr>
              <w:pStyle w:val="TableParagraph"/>
              <w:spacing w:line="221" w:lineRule="exact"/>
              <w:ind w:right="220"/>
              <w:jc w:val="right"/>
              <w:rPr>
                <w:rFonts w:ascii="宋体" w:hAnsi="宋体" w:cs="宋体" w:eastAsia="宋体" w:hint="default"/>
                <w:sz w:val="22"/>
                <w:szCs w:val="22"/>
              </w:rPr>
            </w:pPr>
            <w:r>
              <w:rPr>
                <w:rFonts w:ascii="宋体" w:hAnsi="宋体" w:cs="宋体" w:eastAsia="宋体" w:hint="default"/>
                <w:spacing w:val="-1"/>
                <w:sz w:val="22"/>
                <w:szCs w:val="22"/>
              </w:rPr>
              <w:t>一般商务及公众用户</w:t>
            </w:r>
          </w:p>
        </w:tc>
      </w:tr>
      <w:tr>
        <w:trPr>
          <w:trHeight w:val="253" w:hRule="exact"/>
        </w:trPr>
        <w:tc>
          <w:tcPr>
            <w:tcW w:w="3982" w:type="dxa"/>
            <w:tcBorders>
              <w:top w:val="nil" w:sz="6" w:space="0" w:color="auto"/>
              <w:left w:val="nil" w:sz="6" w:space="0" w:color="auto"/>
              <w:bottom w:val="nil" w:sz="6" w:space="0" w:color="auto"/>
              <w:right w:val="nil" w:sz="6" w:space="0" w:color="auto"/>
            </w:tcBorders>
          </w:tcPr>
          <w:p>
            <w:pPr>
              <w:pStyle w:val="TableParagraph"/>
              <w:spacing w:line="253"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其他组合</w:t>
            </w:r>
          </w:p>
        </w:tc>
        <w:tc>
          <w:tcPr>
            <w:tcW w:w="5103" w:type="dxa"/>
            <w:tcBorders>
              <w:top w:val="nil" w:sz="6" w:space="0" w:color="auto"/>
              <w:left w:val="nil" w:sz="6" w:space="0" w:color="auto"/>
              <w:bottom w:val="nil" w:sz="6" w:space="0" w:color="auto"/>
              <w:right w:val="nil" w:sz="6" w:space="0" w:color="auto"/>
            </w:tcBorders>
          </w:tcPr>
          <w:p>
            <w:pPr>
              <w:pStyle w:val="TableParagraph"/>
              <w:spacing w:line="253" w:lineRule="exact"/>
              <w:ind w:right="198"/>
              <w:jc w:val="right"/>
              <w:rPr>
                <w:rFonts w:ascii="宋体" w:hAnsi="宋体" w:cs="宋体" w:eastAsia="宋体" w:hint="default"/>
                <w:sz w:val="22"/>
                <w:szCs w:val="22"/>
              </w:rPr>
            </w:pPr>
            <w:r>
              <w:rPr>
                <w:rFonts w:ascii="宋体" w:hAnsi="宋体" w:cs="宋体" w:eastAsia="宋体" w:hint="default"/>
                <w:sz w:val="22"/>
                <w:szCs w:val="22"/>
              </w:rPr>
              <w:t>其他客户</w:t>
            </w:r>
          </w:p>
        </w:tc>
      </w:tr>
    </w:tbl>
    <w:p>
      <w:pPr>
        <w:spacing w:after="0" w:line="253" w:lineRule="exact"/>
        <w:jc w:val="right"/>
        <w:rPr>
          <w:rFonts w:ascii="宋体" w:hAnsi="宋体" w:cs="宋体" w:eastAsia="宋体" w:hint="default"/>
          <w:sz w:val="22"/>
          <w:szCs w:val="22"/>
        </w:rPr>
        <w:sectPr>
          <w:headerReference w:type="default" r:id="rId47"/>
          <w:pgSz w:w="11910" w:h="16840"/>
          <w:pgMar w:header="965" w:footer="769" w:top="2820" w:bottom="960" w:left="1440" w:right="860"/>
        </w:sectPr>
      </w:pPr>
    </w:p>
    <w:p>
      <w:pPr>
        <w:spacing w:line="240" w:lineRule="auto" w:before="0"/>
        <w:rPr>
          <w:rFonts w:ascii="宋体" w:hAnsi="宋体" w:cs="宋体" w:eastAsia="宋体" w:hint="default"/>
          <w:sz w:val="18"/>
          <w:szCs w:val="18"/>
        </w:rPr>
      </w:pPr>
    </w:p>
    <w:p>
      <w:pPr>
        <w:pStyle w:val="BodyText"/>
        <w:spacing w:line="240" w:lineRule="auto" w:before="32"/>
        <w:ind w:left="120" w:right="2130"/>
        <w:jc w:val="left"/>
      </w:pPr>
      <w:r>
        <w:rPr>
          <w:rFonts w:ascii="Arial" w:hAnsi="Arial" w:cs="Arial" w:eastAsia="Arial" w:hint="default"/>
        </w:rPr>
        <w:t>9</w:t>
      </w:r>
      <w:r>
        <w:rPr/>
        <w:t>、应收款项（续）</w:t>
      </w:r>
    </w:p>
    <w:p>
      <w:pPr>
        <w:pStyle w:val="BodyText"/>
        <w:tabs>
          <w:tab w:pos="595" w:val="left" w:leader="none"/>
        </w:tabs>
        <w:spacing w:line="240" w:lineRule="auto" w:before="195"/>
        <w:ind w:left="120" w:right="2130"/>
        <w:jc w:val="left"/>
      </w:pPr>
      <w:r>
        <w:rPr>
          <w:rFonts w:ascii="Arial" w:hAnsi="Arial" w:cs="Arial" w:eastAsia="Arial" w:hint="default"/>
        </w:rPr>
        <w:t>(c)</w:t>
        <w:tab/>
      </w:r>
      <w:r>
        <w:rPr/>
        <w:t>按信用风险特征组合计提坏账准备的应收款项（续）</w:t>
      </w:r>
    </w:p>
    <w:p>
      <w:pPr>
        <w:spacing w:line="240" w:lineRule="auto" w:before="7"/>
        <w:rPr>
          <w:rFonts w:ascii="宋体" w:hAnsi="宋体" w:cs="宋体" w:eastAsia="宋体" w:hint="default"/>
          <w:sz w:val="15"/>
          <w:szCs w:val="15"/>
        </w:rPr>
      </w:pPr>
    </w:p>
    <w:p>
      <w:pPr>
        <w:pStyle w:val="BodyText"/>
        <w:spacing w:line="240" w:lineRule="auto"/>
        <w:ind w:left="595" w:right="0"/>
        <w:jc w:val="left"/>
      </w:pPr>
      <w:r>
        <w:rPr/>
        <w:t>本集团按信用风险特征组合计提坏账准备的计提方法为账龄分析法，根据以往经验、历史收</w:t>
      </w:r>
      <w:r>
        <w:rPr>
          <w:spacing w:val="-71"/>
        </w:rPr>
        <w:t> </w:t>
      </w:r>
      <w:r>
        <w:rPr>
          <w:spacing w:val="-71"/>
        </w:rPr>
      </w:r>
      <w:r>
        <w:rPr/>
        <w:t>款情况、用户信用度及收款趋势确定提取比例。具体如下：</w:t>
      </w:r>
    </w:p>
    <w:p>
      <w:pPr>
        <w:spacing w:line="240" w:lineRule="auto" w:before="1"/>
        <w:rPr>
          <w:rFonts w:ascii="宋体" w:hAnsi="宋体" w:cs="宋体" w:eastAsia="宋体" w:hint="default"/>
          <w:sz w:val="19"/>
          <w:szCs w:val="19"/>
        </w:rPr>
      </w:pPr>
    </w:p>
    <w:p>
      <w:pPr>
        <w:pStyle w:val="BodyText"/>
        <w:spacing w:line="240" w:lineRule="auto"/>
        <w:ind w:left="598" w:right="2130"/>
        <w:jc w:val="left"/>
      </w:pPr>
      <w:r>
        <w:rPr>
          <w:rFonts w:ascii="Arial" w:hAnsi="Arial" w:cs="Arial" w:eastAsia="Arial" w:hint="default"/>
        </w:rPr>
        <w:t>(i) </w:t>
      </w:r>
      <w:r>
        <w:rPr>
          <w:rFonts w:ascii="Arial" w:hAnsi="Arial" w:cs="Arial" w:eastAsia="Arial" w:hint="default"/>
          <w:spacing w:val="41"/>
        </w:rPr>
        <w:t> </w:t>
      </w:r>
      <w:r>
        <w:rPr/>
        <w:t>一般组合采用账龄分析法的计提比例列示如下：</w:t>
      </w:r>
    </w:p>
    <w:p>
      <w:pPr>
        <w:spacing w:line="240" w:lineRule="auto" w:before="3"/>
        <w:rPr>
          <w:rFonts w:ascii="宋体" w:hAnsi="宋体" w:cs="宋体" w:eastAsia="宋体" w:hint="default"/>
          <w:sz w:val="23"/>
          <w:szCs w:val="23"/>
        </w:rPr>
      </w:pPr>
    </w:p>
    <w:tbl>
      <w:tblPr>
        <w:tblW w:w="0" w:type="auto"/>
        <w:jc w:val="left"/>
        <w:tblInd w:w="743" w:type="dxa"/>
        <w:tblLayout w:type="fixed"/>
        <w:tblCellMar>
          <w:top w:w="0" w:type="dxa"/>
          <w:left w:w="0" w:type="dxa"/>
          <w:bottom w:w="0" w:type="dxa"/>
          <w:right w:w="0" w:type="dxa"/>
        </w:tblCellMar>
        <w:tblLook w:val="01E0"/>
      </w:tblPr>
      <w:tblGrid>
        <w:gridCol w:w="6203"/>
        <w:gridCol w:w="2451"/>
      </w:tblGrid>
      <w:tr>
        <w:trPr>
          <w:trHeight w:val="262" w:hRule="exact"/>
        </w:trPr>
        <w:tc>
          <w:tcPr>
            <w:tcW w:w="6203" w:type="dxa"/>
            <w:tcBorders>
              <w:top w:val="nil" w:sz="6" w:space="0" w:color="auto"/>
              <w:left w:val="nil" w:sz="6" w:space="0" w:color="auto"/>
              <w:bottom w:val="nil" w:sz="6" w:space="0" w:color="auto"/>
              <w:right w:val="nil" w:sz="6" w:space="0" w:color="auto"/>
            </w:tcBorders>
          </w:tcPr>
          <w:p>
            <w:pPr/>
          </w:p>
        </w:tc>
        <w:tc>
          <w:tcPr>
            <w:tcW w:w="2451" w:type="dxa"/>
            <w:tcBorders>
              <w:top w:val="nil" w:sz="6" w:space="0" w:color="auto"/>
              <w:left w:val="nil" w:sz="6" w:space="0" w:color="auto"/>
              <w:bottom w:val="single" w:sz="6" w:space="0" w:color="000000"/>
              <w:right w:val="nil" w:sz="6" w:space="0" w:color="auto"/>
            </w:tcBorders>
          </w:tcPr>
          <w:p>
            <w:pPr>
              <w:pStyle w:val="TableParagraph"/>
              <w:spacing w:line="221" w:lineRule="exact"/>
              <w:ind w:right="75"/>
              <w:jc w:val="right"/>
              <w:rPr>
                <w:rFonts w:ascii="宋体" w:hAnsi="宋体" w:cs="宋体" w:eastAsia="宋体" w:hint="default"/>
                <w:sz w:val="22"/>
                <w:szCs w:val="22"/>
              </w:rPr>
            </w:pPr>
            <w:r>
              <w:rPr>
                <w:rFonts w:ascii="宋体" w:hAnsi="宋体" w:cs="宋体" w:eastAsia="宋体" w:hint="default"/>
                <w:spacing w:val="-1"/>
                <w:sz w:val="22"/>
                <w:szCs w:val="22"/>
              </w:rPr>
              <w:t>应收账款计提比例</w:t>
            </w:r>
          </w:p>
        </w:tc>
      </w:tr>
      <w:tr>
        <w:trPr>
          <w:trHeight w:val="512" w:hRule="exact"/>
        </w:trPr>
        <w:tc>
          <w:tcPr>
            <w:tcW w:w="620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00" w:right="0"/>
              <w:jc w:val="left"/>
              <w:rPr>
                <w:rFonts w:ascii="宋体" w:hAnsi="宋体" w:cs="宋体" w:eastAsia="宋体" w:hint="default"/>
                <w:sz w:val="22"/>
                <w:szCs w:val="22"/>
              </w:rPr>
            </w:pPr>
            <w:r>
              <w:rPr>
                <w:rFonts w:ascii="宋体" w:hAnsi="宋体" w:cs="宋体" w:eastAsia="宋体" w:hint="default"/>
                <w:sz w:val="22"/>
                <w:szCs w:val="22"/>
              </w:rPr>
              <w:t>超过信用期后账龄</w:t>
            </w:r>
            <w:r>
              <w:rPr>
                <w:rFonts w:ascii="宋体" w:hAnsi="宋体" w:cs="宋体" w:eastAsia="宋体" w:hint="default"/>
                <w:spacing w:val="-55"/>
                <w:sz w:val="22"/>
                <w:szCs w:val="22"/>
              </w:rPr>
              <w:t> </w:t>
            </w:r>
            <w:r>
              <w:rPr>
                <w:rFonts w:ascii="Arial" w:hAnsi="Arial" w:cs="Arial" w:eastAsia="Arial" w:hint="default"/>
                <w:sz w:val="22"/>
                <w:szCs w:val="22"/>
              </w:rPr>
              <w:t>3</w:t>
            </w:r>
            <w:r>
              <w:rPr>
                <w:rFonts w:ascii="Arial" w:hAnsi="Arial" w:cs="Arial" w:eastAsia="Arial" w:hint="default"/>
                <w:spacing w:val="-7"/>
                <w:sz w:val="22"/>
                <w:szCs w:val="22"/>
              </w:rPr>
              <w:t> </w:t>
            </w:r>
            <w:r>
              <w:rPr>
                <w:rFonts w:ascii="宋体" w:hAnsi="宋体" w:cs="宋体" w:eastAsia="宋体" w:hint="default"/>
                <w:sz w:val="22"/>
                <w:szCs w:val="22"/>
              </w:rPr>
              <w:t>个月以内</w:t>
            </w:r>
          </w:p>
        </w:tc>
        <w:tc>
          <w:tcPr>
            <w:tcW w:w="2451"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9"/>
              <w:jc w:val="right"/>
              <w:rPr>
                <w:rFonts w:ascii="Arial" w:hAnsi="Arial" w:cs="Arial" w:eastAsia="Arial" w:hint="default"/>
                <w:sz w:val="22"/>
                <w:szCs w:val="22"/>
              </w:rPr>
            </w:pPr>
            <w:r>
              <w:rPr>
                <w:rFonts w:ascii="Arial"/>
                <w:w w:val="100"/>
                <w:sz w:val="22"/>
              </w:rPr>
              <w:t>-</w:t>
            </w:r>
          </w:p>
        </w:tc>
      </w:tr>
      <w:tr>
        <w:trPr>
          <w:trHeight w:val="267" w:hRule="exact"/>
        </w:trPr>
        <w:tc>
          <w:tcPr>
            <w:tcW w:w="6203"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超过信用期后账龄</w:t>
            </w:r>
            <w:r>
              <w:rPr>
                <w:rFonts w:ascii="宋体" w:hAnsi="宋体" w:cs="宋体" w:eastAsia="宋体" w:hint="default"/>
                <w:spacing w:val="-55"/>
                <w:sz w:val="22"/>
                <w:szCs w:val="22"/>
              </w:rPr>
              <w:t> </w:t>
            </w:r>
            <w:r>
              <w:rPr>
                <w:rFonts w:ascii="Arial" w:hAnsi="Arial" w:cs="Arial" w:eastAsia="Arial" w:hint="default"/>
                <w:sz w:val="22"/>
                <w:szCs w:val="22"/>
              </w:rPr>
              <w:t>3</w:t>
            </w:r>
            <w:r>
              <w:rPr>
                <w:rFonts w:ascii="Arial" w:hAnsi="Arial" w:cs="Arial" w:eastAsia="Arial" w:hint="default"/>
                <w:spacing w:val="-7"/>
                <w:sz w:val="22"/>
                <w:szCs w:val="22"/>
              </w:rPr>
              <w:t> </w:t>
            </w:r>
            <w:r>
              <w:rPr>
                <w:rFonts w:ascii="宋体" w:hAnsi="宋体" w:cs="宋体" w:eastAsia="宋体" w:hint="default"/>
                <w:sz w:val="22"/>
                <w:szCs w:val="22"/>
              </w:rPr>
              <w:t>个月以上</w:t>
            </w:r>
          </w:p>
        </w:tc>
        <w:tc>
          <w:tcPr>
            <w:tcW w:w="245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2"/>
              <w:jc w:val="right"/>
              <w:rPr>
                <w:rFonts w:ascii="Arial" w:hAnsi="Arial" w:cs="Arial" w:eastAsia="Arial" w:hint="default"/>
                <w:sz w:val="22"/>
                <w:szCs w:val="22"/>
              </w:rPr>
            </w:pPr>
            <w:r>
              <w:rPr>
                <w:rFonts w:ascii="Arial"/>
                <w:spacing w:val="-1"/>
                <w:sz w:val="22"/>
              </w:rPr>
              <w:t>100%</w:t>
            </w:r>
            <w:r>
              <w:rPr>
                <w:rFonts w:ascii="Arial"/>
                <w:sz w:val="22"/>
              </w:rPr>
            </w:r>
          </w:p>
        </w:tc>
      </w:tr>
    </w:tbl>
    <w:p>
      <w:pPr>
        <w:spacing w:line="240" w:lineRule="auto" w:before="6"/>
        <w:rPr>
          <w:rFonts w:ascii="宋体" w:hAnsi="宋体" w:cs="宋体" w:eastAsia="宋体" w:hint="default"/>
          <w:sz w:val="14"/>
          <w:szCs w:val="14"/>
        </w:rPr>
      </w:pPr>
    </w:p>
    <w:p>
      <w:pPr>
        <w:pStyle w:val="BodyText"/>
        <w:spacing w:line="286" w:lineRule="exact" w:before="61"/>
        <w:ind w:left="595" w:right="0"/>
        <w:jc w:val="left"/>
      </w:pPr>
      <w:r>
        <w:rPr>
          <w:spacing w:val="-1"/>
        </w:rPr>
        <w:t>本集团对除满足特定信用评估标准规定以外的个人用户授予的信用期一般为自账单之日起</w:t>
      </w:r>
      <w:r>
        <w:rPr>
          <w:rFonts w:ascii="Arial" w:hAnsi="Arial" w:cs="Arial" w:eastAsia="Arial" w:hint="default"/>
          <w:spacing w:val="-1"/>
        </w:rPr>
        <w:t>30</w:t>
      </w:r>
      <w:r>
        <w:rPr>
          <w:rFonts w:ascii="Arial" w:hAnsi="Arial" w:cs="Arial" w:eastAsia="Arial" w:hint="default"/>
          <w:spacing w:val="-8"/>
        </w:rPr>
        <w:t> </w:t>
      </w:r>
      <w:r>
        <w:rPr/>
        <w:t>天。本集团对公司用户授予的信用期是基于服务合同条款，一般不超过</w:t>
      </w:r>
      <w:r>
        <w:rPr>
          <w:rFonts w:ascii="Arial" w:hAnsi="Arial" w:cs="Arial" w:eastAsia="Arial" w:hint="default"/>
        </w:rPr>
        <w:t>1</w:t>
      </w:r>
      <w:r>
        <w:rPr/>
        <w:t>年。</w:t>
      </w:r>
    </w:p>
    <w:p>
      <w:pPr>
        <w:spacing w:line="240" w:lineRule="auto" w:before="1"/>
        <w:rPr>
          <w:rFonts w:ascii="宋体" w:hAnsi="宋体" w:cs="宋体" w:eastAsia="宋体" w:hint="default"/>
          <w:sz w:val="17"/>
          <w:szCs w:val="17"/>
        </w:rPr>
      </w:pPr>
    </w:p>
    <w:p>
      <w:pPr>
        <w:pStyle w:val="BodyText"/>
        <w:spacing w:line="240" w:lineRule="auto"/>
        <w:ind w:left="598" w:right="2130"/>
        <w:jc w:val="left"/>
      </w:pPr>
      <w:r>
        <w:rPr>
          <w:rFonts w:ascii="Arial" w:hAnsi="Arial" w:cs="Arial" w:eastAsia="Arial" w:hint="default"/>
        </w:rPr>
        <w:t>(ii)</w:t>
      </w:r>
      <w:r>
        <w:rPr>
          <w:rFonts w:ascii="Arial" w:hAnsi="Arial" w:cs="Arial" w:eastAsia="Arial" w:hint="default"/>
          <w:spacing w:val="51"/>
        </w:rPr>
        <w:t> </w:t>
      </w:r>
      <w:r>
        <w:rPr/>
        <w:t>其他组合，一般计提比例列示如下：</w:t>
      </w:r>
    </w:p>
    <w:p>
      <w:pPr>
        <w:spacing w:line="240" w:lineRule="auto" w:before="4"/>
        <w:rPr>
          <w:rFonts w:ascii="宋体" w:hAnsi="宋体" w:cs="宋体" w:eastAsia="宋体" w:hint="default"/>
          <w:sz w:val="22"/>
          <w:szCs w:val="22"/>
        </w:rPr>
      </w:pPr>
    </w:p>
    <w:tbl>
      <w:tblPr>
        <w:tblW w:w="0" w:type="auto"/>
        <w:jc w:val="left"/>
        <w:tblInd w:w="753" w:type="dxa"/>
        <w:tblLayout w:type="fixed"/>
        <w:tblCellMar>
          <w:top w:w="0" w:type="dxa"/>
          <w:left w:w="0" w:type="dxa"/>
          <w:bottom w:w="0" w:type="dxa"/>
          <w:right w:w="0" w:type="dxa"/>
        </w:tblCellMar>
        <w:tblLook w:val="01E0"/>
      </w:tblPr>
      <w:tblGrid>
        <w:gridCol w:w="3690"/>
        <w:gridCol w:w="2357"/>
        <w:gridCol w:w="238"/>
        <w:gridCol w:w="2372"/>
      </w:tblGrid>
      <w:tr>
        <w:trPr>
          <w:trHeight w:val="264" w:hRule="exact"/>
        </w:trPr>
        <w:tc>
          <w:tcPr>
            <w:tcW w:w="3690" w:type="dxa"/>
            <w:tcBorders>
              <w:top w:val="nil" w:sz="6" w:space="0" w:color="auto"/>
              <w:left w:val="nil" w:sz="6" w:space="0" w:color="auto"/>
              <w:bottom w:val="nil" w:sz="6" w:space="0" w:color="auto"/>
              <w:right w:val="nil" w:sz="6" w:space="0" w:color="auto"/>
            </w:tcBorders>
          </w:tcPr>
          <w:p>
            <w:pPr/>
          </w:p>
        </w:tc>
        <w:tc>
          <w:tcPr>
            <w:tcW w:w="2357" w:type="dxa"/>
            <w:tcBorders>
              <w:top w:val="nil" w:sz="6" w:space="0" w:color="auto"/>
              <w:left w:val="nil" w:sz="6" w:space="0" w:color="auto"/>
              <w:bottom w:val="single" w:sz="6" w:space="0" w:color="000000"/>
              <w:right w:val="nil" w:sz="6" w:space="0" w:color="auto"/>
            </w:tcBorders>
          </w:tcPr>
          <w:p>
            <w:pPr>
              <w:pStyle w:val="TableParagraph"/>
              <w:spacing w:line="221" w:lineRule="exact"/>
              <w:ind w:right="111"/>
              <w:jc w:val="right"/>
              <w:rPr>
                <w:rFonts w:ascii="宋体" w:hAnsi="宋体" w:cs="宋体" w:eastAsia="宋体" w:hint="default"/>
                <w:sz w:val="22"/>
                <w:szCs w:val="22"/>
              </w:rPr>
            </w:pPr>
            <w:r>
              <w:rPr>
                <w:rFonts w:ascii="宋体" w:hAnsi="宋体" w:cs="宋体" w:eastAsia="宋体" w:hint="default"/>
                <w:spacing w:val="-1"/>
                <w:sz w:val="22"/>
                <w:szCs w:val="22"/>
              </w:rPr>
              <w:t>应收账款计提比例</w:t>
            </w:r>
          </w:p>
        </w:tc>
        <w:tc>
          <w:tcPr>
            <w:tcW w:w="238"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single" w:sz="6" w:space="0" w:color="000000"/>
              <w:right w:val="nil" w:sz="6" w:space="0" w:color="auto"/>
            </w:tcBorders>
          </w:tcPr>
          <w:p>
            <w:pPr>
              <w:pStyle w:val="TableParagraph"/>
              <w:spacing w:line="221" w:lineRule="exact"/>
              <w:ind w:right="108"/>
              <w:jc w:val="right"/>
              <w:rPr>
                <w:rFonts w:ascii="宋体" w:hAnsi="宋体" w:cs="宋体" w:eastAsia="宋体" w:hint="default"/>
                <w:sz w:val="22"/>
                <w:szCs w:val="22"/>
              </w:rPr>
            </w:pPr>
            <w:r>
              <w:rPr>
                <w:rFonts w:ascii="宋体" w:hAnsi="宋体" w:cs="宋体" w:eastAsia="宋体" w:hint="default"/>
                <w:spacing w:val="-1"/>
                <w:sz w:val="22"/>
                <w:szCs w:val="22"/>
              </w:rPr>
              <w:t>其他应收款计提比例</w:t>
            </w:r>
          </w:p>
        </w:tc>
      </w:tr>
      <w:tr>
        <w:trPr>
          <w:trHeight w:val="510" w:hRule="exact"/>
        </w:trPr>
        <w:tc>
          <w:tcPr>
            <w:tcW w:w="3690" w:type="dxa"/>
            <w:tcBorders>
              <w:top w:val="nil" w:sz="6" w:space="0" w:color="auto"/>
              <w:left w:val="nil" w:sz="6" w:space="0" w:color="auto"/>
              <w:bottom w:val="nil" w:sz="6" w:space="0" w:color="auto"/>
              <w:right w:val="nil" w:sz="6" w:space="0" w:color="auto"/>
            </w:tcBorders>
          </w:tcPr>
          <w:p>
            <w:pPr>
              <w:pStyle w:val="TableParagraph"/>
              <w:spacing w:line="240" w:lineRule="auto" w:before="175"/>
              <w:ind w:left="200" w:right="0"/>
              <w:jc w:val="left"/>
              <w:rPr>
                <w:rFonts w:ascii="宋体" w:hAnsi="宋体" w:cs="宋体" w:eastAsia="宋体" w:hint="default"/>
                <w:sz w:val="22"/>
                <w:szCs w:val="22"/>
              </w:rPr>
            </w:pPr>
            <w:r>
              <w:rPr>
                <w:rFonts w:ascii="宋体" w:hAnsi="宋体" w:cs="宋体" w:eastAsia="宋体" w:hint="default"/>
                <w:sz w:val="22"/>
                <w:szCs w:val="22"/>
              </w:rPr>
              <w:t>账龄</w:t>
            </w:r>
            <w:r>
              <w:rPr>
                <w:rFonts w:ascii="宋体" w:hAnsi="宋体" w:cs="宋体" w:eastAsia="宋体" w:hint="default"/>
                <w:spacing w:val="-54"/>
                <w:sz w:val="22"/>
                <w:szCs w:val="22"/>
              </w:rPr>
              <w:t> </w:t>
            </w:r>
            <w:r>
              <w:rPr>
                <w:rFonts w:ascii="Arial" w:hAnsi="Arial" w:cs="Arial" w:eastAsia="Arial" w:hint="default"/>
                <w:sz w:val="22"/>
                <w:szCs w:val="22"/>
              </w:rPr>
              <w:t>6</w:t>
            </w:r>
            <w:r>
              <w:rPr>
                <w:rFonts w:ascii="Arial" w:hAnsi="Arial" w:cs="Arial" w:eastAsia="Arial" w:hint="default"/>
                <w:spacing w:val="-6"/>
                <w:sz w:val="22"/>
                <w:szCs w:val="22"/>
              </w:rPr>
              <w:t> </w:t>
            </w:r>
            <w:r>
              <w:rPr>
                <w:rFonts w:ascii="宋体" w:hAnsi="宋体" w:cs="宋体" w:eastAsia="宋体" w:hint="default"/>
                <w:sz w:val="22"/>
                <w:szCs w:val="22"/>
              </w:rPr>
              <w:t>个月以内</w:t>
            </w:r>
          </w:p>
        </w:tc>
        <w:tc>
          <w:tcPr>
            <w:tcW w:w="2357"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45"/>
              <w:jc w:val="right"/>
              <w:rPr>
                <w:rFonts w:ascii="Arial" w:hAnsi="Arial" w:cs="Arial" w:eastAsia="Arial" w:hint="default"/>
                <w:sz w:val="22"/>
                <w:szCs w:val="22"/>
              </w:rPr>
            </w:pPr>
            <w:r>
              <w:rPr>
                <w:rFonts w:ascii="Arial"/>
                <w:w w:val="100"/>
                <w:sz w:val="22"/>
              </w:rPr>
              <w:t>-</w:t>
            </w:r>
          </w:p>
        </w:tc>
        <w:tc>
          <w:tcPr>
            <w:tcW w:w="238" w:type="dxa"/>
            <w:tcBorders>
              <w:top w:val="nil" w:sz="6" w:space="0" w:color="auto"/>
              <w:left w:val="nil" w:sz="6" w:space="0" w:color="auto"/>
              <w:bottom w:val="nil" w:sz="6" w:space="0" w:color="auto"/>
              <w:right w:val="nil" w:sz="6" w:space="0" w:color="auto"/>
            </w:tcBorders>
          </w:tcPr>
          <w:p>
            <w:pPr/>
          </w:p>
        </w:tc>
        <w:tc>
          <w:tcPr>
            <w:tcW w:w="2372"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49"/>
              <w:jc w:val="right"/>
              <w:rPr>
                <w:rFonts w:ascii="Arial" w:hAnsi="Arial" w:cs="Arial" w:eastAsia="Arial" w:hint="default"/>
                <w:sz w:val="22"/>
                <w:szCs w:val="22"/>
              </w:rPr>
            </w:pPr>
            <w:r>
              <w:rPr>
                <w:rFonts w:ascii="Arial"/>
                <w:w w:val="100"/>
                <w:sz w:val="22"/>
              </w:rPr>
              <w:t>-</w:t>
            </w:r>
          </w:p>
        </w:tc>
      </w:tr>
      <w:tr>
        <w:trPr>
          <w:trHeight w:val="286" w:hRule="exact"/>
        </w:trPr>
        <w:tc>
          <w:tcPr>
            <w:tcW w:w="3690"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宋体" w:hAnsi="宋体" w:cs="宋体" w:eastAsia="宋体" w:hint="default"/>
                <w:sz w:val="22"/>
                <w:szCs w:val="22"/>
              </w:rPr>
              <w:t>账龄</w:t>
            </w:r>
            <w:r>
              <w:rPr>
                <w:rFonts w:ascii="宋体" w:hAnsi="宋体" w:cs="宋体" w:eastAsia="宋体" w:hint="default"/>
                <w:spacing w:val="-54"/>
                <w:sz w:val="22"/>
                <w:szCs w:val="22"/>
              </w:rPr>
              <w:t> </w:t>
            </w:r>
            <w:r>
              <w:rPr>
                <w:rFonts w:ascii="Arial" w:hAnsi="Arial" w:cs="Arial" w:eastAsia="Arial" w:hint="default"/>
                <w:sz w:val="22"/>
                <w:szCs w:val="22"/>
              </w:rPr>
              <w:t>6-12</w:t>
            </w:r>
            <w:r>
              <w:rPr>
                <w:rFonts w:ascii="Arial" w:hAnsi="Arial" w:cs="Arial" w:eastAsia="Arial" w:hint="default"/>
                <w:spacing w:val="-8"/>
                <w:sz w:val="22"/>
                <w:szCs w:val="22"/>
              </w:rPr>
              <w:t> </w:t>
            </w:r>
            <w:r>
              <w:rPr>
                <w:rFonts w:ascii="宋体" w:hAnsi="宋体" w:cs="宋体" w:eastAsia="宋体" w:hint="default"/>
                <w:sz w:val="22"/>
                <w:szCs w:val="22"/>
              </w:rPr>
              <w:t>个月</w:t>
            </w:r>
          </w:p>
        </w:tc>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1"/>
              <w:jc w:val="right"/>
              <w:rPr>
                <w:rFonts w:ascii="Arial" w:hAnsi="Arial" w:cs="Arial" w:eastAsia="Arial" w:hint="default"/>
                <w:sz w:val="22"/>
                <w:szCs w:val="22"/>
              </w:rPr>
            </w:pPr>
            <w:r>
              <w:rPr>
                <w:rFonts w:ascii="Arial"/>
                <w:spacing w:val="-1"/>
                <w:sz w:val="22"/>
              </w:rPr>
              <w:t>10%</w:t>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9"/>
              <w:jc w:val="right"/>
              <w:rPr>
                <w:rFonts w:ascii="Arial" w:hAnsi="Arial" w:cs="Arial" w:eastAsia="Arial" w:hint="default"/>
                <w:sz w:val="22"/>
                <w:szCs w:val="22"/>
              </w:rPr>
            </w:pPr>
            <w:r>
              <w:rPr>
                <w:rFonts w:ascii="Arial"/>
                <w:spacing w:val="-1"/>
                <w:sz w:val="22"/>
              </w:rPr>
              <w:t>10%</w:t>
            </w:r>
            <w:r>
              <w:rPr>
                <w:rFonts w:ascii="Arial"/>
                <w:sz w:val="22"/>
              </w:rPr>
            </w:r>
          </w:p>
        </w:tc>
      </w:tr>
      <w:tr>
        <w:trPr>
          <w:trHeight w:val="284" w:hRule="exact"/>
        </w:trPr>
        <w:tc>
          <w:tcPr>
            <w:tcW w:w="3690" w:type="dxa"/>
            <w:tcBorders>
              <w:top w:val="nil" w:sz="6" w:space="0" w:color="auto"/>
              <w:left w:val="nil" w:sz="6" w:space="0" w:color="auto"/>
              <w:bottom w:val="nil" w:sz="6" w:space="0" w:color="auto"/>
              <w:right w:val="nil" w:sz="6" w:space="0" w:color="auto"/>
            </w:tcBorders>
          </w:tcPr>
          <w:p>
            <w:pPr>
              <w:pStyle w:val="TableParagraph"/>
              <w:spacing w:line="254" w:lineRule="exact"/>
              <w:ind w:left="209" w:right="0"/>
              <w:jc w:val="left"/>
              <w:rPr>
                <w:rFonts w:ascii="宋体" w:hAnsi="宋体" w:cs="宋体" w:eastAsia="宋体" w:hint="default"/>
                <w:sz w:val="22"/>
                <w:szCs w:val="22"/>
              </w:rPr>
            </w:pPr>
            <w:r>
              <w:rPr>
                <w:rFonts w:ascii="宋体" w:hAnsi="宋体" w:cs="宋体" w:eastAsia="宋体" w:hint="default"/>
                <w:sz w:val="22"/>
                <w:szCs w:val="22"/>
              </w:rPr>
              <w:t>账龄</w:t>
            </w:r>
            <w:r>
              <w:rPr>
                <w:rFonts w:ascii="宋体" w:hAnsi="宋体" w:cs="宋体" w:eastAsia="宋体" w:hint="default"/>
                <w:spacing w:val="-54"/>
                <w:sz w:val="22"/>
                <w:szCs w:val="22"/>
              </w:rPr>
              <w:t> </w:t>
            </w:r>
            <w:r>
              <w:rPr>
                <w:rFonts w:ascii="Arial" w:hAnsi="Arial" w:cs="Arial" w:eastAsia="Arial" w:hint="default"/>
                <w:sz w:val="22"/>
                <w:szCs w:val="22"/>
              </w:rPr>
              <w:t>1-2</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1"/>
              <w:jc w:val="right"/>
              <w:rPr>
                <w:rFonts w:ascii="Arial" w:hAnsi="Arial" w:cs="Arial" w:eastAsia="Arial" w:hint="default"/>
                <w:sz w:val="22"/>
                <w:szCs w:val="22"/>
              </w:rPr>
            </w:pPr>
            <w:r>
              <w:rPr>
                <w:rFonts w:ascii="Arial"/>
                <w:spacing w:val="-1"/>
                <w:sz w:val="22"/>
              </w:rPr>
              <w:t>20%</w:t>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9"/>
              <w:jc w:val="right"/>
              <w:rPr>
                <w:rFonts w:ascii="Arial" w:hAnsi="Arial" w:cs="Arial" w:eastAsia="Arial" w:hint="default"/>
                <w:sz w:val="22"/>
                <w:szCs w:val="22"/>
              </w:rPr>
            </w:pPr>
            <w:r>
              <w:rPr>
                <w:rFonts w:ascii="Arial"/>
                <w:spacing w:val="-1"/>
                <w:sz w:val="22"/>
              </w:rPr>
              <w:t>20%</w:t>
            </w:r>
            <w:r>
              <w:rPr>
                <w:rFonts w:ascii="Arial"/>
                <w:sz w:val="22"/>
              </w:rPr>
            </w:r>
          </w:p>
        </w:tc>
      </w:tr>
      <w:tr>
        <w:trPr>
          <w:trHeight w:val="286" w:hRule="exact"/>
        </w:trPr>
        <w:tc>
          <w:tcPr>
            <w:tcW w:w="3690" w:type="dxa"/>
            <w:tcBorders>
              <w:top w:val="nil" w:sz="6" w:space="0" w:color="auto"/>
              <w:left w:val="nil" w:sz="6" w:space="0" w:color="auto"/>
              <w:bottom w:val="nil" w:sz="6" w:space="0" w:color="auto"/>
              <w:right w:val="nil" w:sz="6" w:space="0" w:color="auto"/>
            </w:tcBorders>
          </w:tcPr>
          <w:p>
            <w:pPr>
              <w:pStyle w:val="TableParagraph"/>
              <w:spacing w:line="255" w:lineRule="exact"/>
              <w:ind w:left="209" w:right="0"/>
              <w:jc w:val="left"/>
              <w:rPr>
                <w:rFonts w:ascii="宋体" w:hAnsi="宋体" w:cs="宋体" w:eastAsia="宋体" w:hint="default"/>
                <w:sz w:val="22"/>
                <w:szCs w:val="22"/>
              </w:rPr>
            </w:pPr>
            <w:r>
              <w:rPr>
                <w:rFonts w:ascii="宋体" w:hAnsi="宋体" w:cs="宋体" w:eastAsia="宋体" w:hint="default"/>
                <w:sz w:val="22"/>
                <w:szCs w:val="22"/>
              </w:rPr>
              <w:t>账龄</w:t>
            </w:r>
            <w:r>
              <w:rPr>
                <w:rFonts w:ascii="宋体" w:hAnsi="宋体" w:cs="宋体" w:eastAsia="宋体" w:hint="default"/>
                <w:spacing w:val="-54"/>
                <w:sz w:val="22"/>
                <w:szCs w:val="22"/>
              </w:rPr>
              <w:t> </w:t>
            </w:r>
            <w:r>
              <w:rPr>
                <w:rFonts w:ascii="Arial" w:hAnsi="Arial" w:cs="Arial" w:eastAsia="Arial" w:hint="default"/>
                <w:sz w:val="22"/>
                <w:szCs w:val="22"/>
              </w:rPr>
              <w:t>2-3</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1"/>
              <w:jc w:val="right"/>
              <w:rPr>
                <w:rFonts w:ascii="Arial" w:hAnsi="Arial" w:cs="Arial" w:eastAsia="Arial" w:hint="default"/>
                <w:sz w:val="22"/>
                <w:szCs w:val="22"/>
              </w:rPr>
            </w:pPr>
            <w:r>
              <w:rPr>
                <w:rFonts w:ascii="Arial"/>
                <w:spacing w:val="-1"/>
                <w:sz w:val="22"/>
              </w:rPr>
              <w:t>50%</w:t>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9"/>
              <w:jc w:val="right"/>
              <w:rPr>
                <w:rFonts w:ascii="Arial" w:hAnsi="Arial" w:cs="Arial" w:eastAsia="Arial" w:hint="default"/>
                <w:sz w:val="22"/>
                <w:szCs w:val="22"/>
              </w:rPr>
            </w:pPr>
            <w:r>
              <w:rPr>
                <w:rFonts w:ascii="Arial"/>
                <w:spacing w:val="-1"/>
                <w:sz w:val="22"/>
              </w:rPr>
              <w:t>50%</w:t>
            </w:r>
            <w:r>
              <w:rPr>
                <w:rFonts w:ascii="Arial"/>
                <w:sz w:val="22"/>
              </w:rPr>
            </w:r>
          </w:p>
        </w:tc>
      </w:tr>
      <w:tr>
        <w:trPr>
          <w:trHeight w:val="267" w:hRule="exact"/>
        </w:trPr>
        <w:tc>
          <w:tcPr>
            <w:tcW w:w="3690" w:type="dxa"/>
            <w:tcBorders>
              <w:top w:val="nil" w:sz="6" w:space="0" w:color="auto"/>
              <w:left w:val="nil" w:sz="6" w:space="0" w:color="auto"/>
              <w:bottom w:val="nil" w:sz="6" w:space="0" w:color="auto"/>
              <w:right w:val="nil" w:sz="6" w:space="0" w:color="auto"/>
            </w:tcBorders>
          </w:tcPr>
          <w:p>
            <w:pPr>
              <w:pStyle w:val="TableParagraph"/>
              <w:spacing w:line="255" w:lineRule="exact"/>
              <w:ind w:left="209" w:right="0"/>
              <w:jc w:val="left"/>
              <w:rPr>
                <w:rFonts w:ascii="宋体" w:hAnsi="宋体" w:cs="宋体" w:eastAsia="宋体" w:hint="default"/>
                <w:sz w:val="22"/>
                <w:szCs w:val="22"/>
              </w:rPr>
            </w:pPr>
            <w:r>
              <w:rPr>
                <w:rFonts w:ascii="宋体" w:hAnsi="宋体" w:cs="宋体" w:eastAsia="宋体" w:hint="default"/>
                <w:sz w:val="22"/>
                <w:szCs w:val="22"/>
              </w:rPr>
              <w:t>账龄</w:t>
            </w:r>
            <w:r>
              <w:rPr>
                <w:rFonts w:ascii="宋体" w:hAnsi="宋体" w:cs="宋体" w:eastAsia="宋体" w:hint="default"/>
                <w:spacing w:val="-55"/>
                <w:sz w:val="22"/>
                <w:szCs w:val="22"/>
              </w:rPr>
              <w:t> </w:t>
            </w:r>
            <w:r>
              <w:rPr>
                <w:rFonts w:ascii="Arial" w:hAnsi="Arial" w:cs="Arial" w:eastAsia="Arial" w:hint="default"/>
                <w:sz w:val="22"/>
                <w:szCs w:val="22"/>
              </w:rPr>
              <w:t>3</w:t>
            </w:r>
            <w:r>
              <w:rPr>
                <w:rFonts w:ascii="Arial" w:hAnsi="Arial" w:cs="Arial" w:eastAsia="Arial" w:hint="default"/>
                <w:spacing w:val="-7"/>
                <w:sz w:val="22"/>
                <w:szCs w:val="22"/>
              </w:rPr>
              <w:t> </w:t>
            </w:r>
            <w:r>
              <w:rPr>
                <w:rFonts w:ascii="宋体" w:hAnsi="宋体" w:cs="宋体" w:eastAsia="宋体" w:hint="default"/>
                <w:sz w:val="22"/>
                <w:szCs w:val="22"/>
              </w:rPr>
              <w:t>年以上</w:t>
            </w:r>
          </w:p>
        </w:tc>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1"/>
              <w:jc w:val="right"/>
              <w:rPr>
                <w:rFonts w:ascii="Arial" w:hAnsi="Arial" w:cs="Arial" w:eastAsia="Arial" w:hint="default"/>
                <w:sz w:val="22"/>
                <w:szCs w:val="22"/>
              </w:rPr>
            </w:pPr>
            <w:r>
              <w:rPr>
                <w:rFonts w:ascii="Arial"/>
                <w:spacing w:val="-1"/>
                <w:sz w:val="22"/>
              </w:rPr>
              <w:t>100%</w:t>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9"/>
              <w:jc w:val="right"/>
              <w:rPr>
                <w:rFonts w:ascii="Arial" w:hAnsi="Arial" w:cs="Arial" w:eastAsia="Arial" w:hint="default"/>
                <w:sz w:val="22"/>
                <w:szCs w:val="22"/>
              </w:rPr>
            </w:pPr>
            <w:r>
              <w:rPr>
                <w:rFonts w:ascii="Arial"/>
                <w:spacing w:val="-1"/>
                <w:sz w:val="22"/>
              </w:rPr>
              <w:t>100%</w:t>
            </w:r>
            <w:r>
              <w:rPr>
                <w:rFonts w:ascii="Arial"/>
                <w:sz w:val="22"/>
              </w:rPr>
            </w:r>
          </w:p>
        </w:tc>
      </w:tr>
    </w:tbl>
    <w:p>
      <w:pPr>
        <w:spacing w:line="240" w:lineRule="auto" w:before="6"/>
        <w:rPr>
          <w:rFonts w:ascii="宋体" w:hAnsi="宋体" w:cs="宋体" w:eastAsia="宋体" w:hint="default"/>
          <w:sz w:val="14"/>
          <w:szCs w:val="14"/>
        </w:rPr>
      </w:pPr>
    </w:p>
    <w:p>
      <w:pPr>
        <w:pStyle w:val="BodyText"/>
        <w:spacing w:line="240" w:lineRule="auto" w:before="32"/>
        <w:ind w:left="120" w:right="2130"/>
        <w:jc w:val="left"/>
      </w:pPr>
      <w:r>
        <w:rPr>
          <w:rFonts w:ascii="Arial" w:hAnsi="Arial" w:cs="Arial" w:eastAsia="Arial" w:hint="default"/>
        </w:rPr>
        <w:t>10</w:t>
      </w:r>
      <w:r>
        <w:rPr/>
        <w:t>、存货</w:t>
      </w:r>
    </w:p>
    <w:p>
      <w:pPr>
        <w:spacing w:line="240" w:lineRule="auto" w:before="12"/>
        <w:rPr>
          <w:rFonts w:ascii="宋体" w:hAnsi="宋体" w:cs="宋体" w:eastAsia="宋体" w:hint="default"/>
          <w:sz w:val="15"/>
          <w:szCs w:val="15"/>
        </w:rPr>
      </w:pPr>
    </w:p>
    <w:p>
      <w:pPr>
        <w:pStyle w:val="BodyText"/>
        <w:tabs>
          <w:tab w:pos="595" w:val="left" w:leader="none"/>
        </w:tabs>
        <w:spacing w:line="240" w:lineRule="auto"/>
        <w:ind w:left="120" w:right="2130"/>
        <w:jc w:val="left"/>
      </w:pPr>
      <w:r>
        <w:rPr>
          <w:rFonts w:ascii="Arial" w:hAnsi="Arial" w:cs="Arial" w:eastAsia="Arial" w:hint="default"/>
        </w:rPr>
        <w:t>(a)</w:t>
        <w:tab/>
      </w:r>
      <w:r>
        <w:rPr/>
        <w:t>分类</w:t>
      </w:r>
    </w:p>
    <w:p>
      <w:pPr>
        <w:spacing w:line="240" w:lineRule="auto" w:before="10"/>
        <w:rPr>
          <w:rFonts w:ascii="宋体" w:hAnsi="宋体" w:cs="宋体" w:eastAsia="宋体" w:hint="default"/>
          <w:sz w:val="18"/>
          <w:szCs w:val="18"/>
        </w:rPr>
      </w:pPr>
    </w:p>
    <w:p>
      <w:pPr>
        <w:pStyle w:val="BodyText"/>
        <w:spacing w:line="286" w:lineRule="exact"/>
        <w:ind w:left="595" w:right="0"/>
        <w:jc w:val="left"/>
      </w:pPr>
      <w:r>
        <w:rPr>
          <w:spacing w:val="-2"/>
        </w:rPr>
        <w:t>存货包括手机等通讯终端、手机识别卡（如</w:t>
      </w:r>
      <w:r>
        <w:rPr>
          <w:rFonts w:ascii="Arial" w:hAnsi="Arial" w:cs="Arial" w:eastAsia="Arial" w:hint="default"/>
          <w:spacing w:val="-2"/>
        </w:rPr>
        <w:t>SIM</w:t>
      </w:r>
      <w:r>
        <w:rPr>
          <w:spacing w:val="-2"/>
        </w:rPr>
        <w:t>卡、</w:t>
      </w:r>
      <w:r>
        <w:rPr>
          <w:rFonts w:ascii="Arial" w:hAnsi="Arial" w:cs="Arial" w:eastAsia="Arial" w:hint="default"/>
          <w:spacing w:val="-2"/>
        </w:rPr>
        <w:t>USIM</w:t>
      </w:r>
      <w:r>
        <w:rPr>
          <w:spacing w:val="-2"/>
        </w:rPr>
        <w:t>卡等）及配件等，按成本与可变现</w:t>
      </w:r>
      <w:r>
        <w:rPr>
          <w:spacing w:val="-53"/>
        </w:rPr>
        <w:t> </w:t>
      </w:r>
      <w:r>
        <w:rPr>
          <w:spacing w:val="-53"/>
        </w:rPr>
      </w:r>
      <w:r>
        <w:rPr/>
        <w:t>净值孰低计量。</w:t>
      </w:r>
    </w:p>
    <w:p>
      <w:pPr>
        <w:pStyle w:val="BodyText"/>
        <w:tabs>
          <w:tab w:pos="595" w:val="left" w:leader="none"/>
        </w:tabs>
        <w:spacing w:line="410" w:lineRule="auto" w:before="197"/>
        <w:ind w:left="595" w:right="2130" w:hanging="476"/>
        <w:jc w:val="left"/>
      </w:pPr>
      <w:r>
        <w:rPr>
          <w:rFonts w:ascii="Arial" w:hAnsi="Arial" w:cs="Arial" w:eastAsia="Arial" w:hint="default"/>
        </w:rPr>
        <w:t>(b)</w:t>
        <w:tab/>
      </w:r>
      <w:r>
        <w:rPr/>
        <w:t>发出存货的计价方法</w:t>
      </w:r>
      <w:r>
        <w:rPr>
          <w:w w:val="100"/>
        </w:rPr>
        <w:t> </w:t>
      </w:r>
      <w:r>
        <w:rPr>
          <w:spacing w:val="-1"/>
        </w:rPr>
        <w:t>存货于取得时按实际成本入账，存货发出时的成本按先进先出法核算。</w:t>
      </w:r>
    </w:p>
    <w:p>
      <w:pPr>
        <w:pStyle w:val="BodyText"/>
        <w:tabs>
          <w:tab w:pos="595" w:val="left" w:leader="none"/>
        </w:tabs>
        <w:spacing w:line="240" w:lineRule="auto" w:before="69"/>
        <w:ind w:left="120" w:right="2130"/>
        <w:jc w:val="left"/>
      </w:pPr>
      <w:r>
        <w:rPr>
          <w:rFonts w:ascii="Arial" w:hAnsi="Arial" w:cs="Arial" w:eastAsia="Arial" w:hint="default"/>
        </w:rPr>
        <w:t>(c)</w:t>
        <w:tab/>
      </w:r>
      <w:r>
        <w:rPr/>
        <w:t>存货可变现净值的确定依据及存货跌价准备的计提方法</w:t>
      </w:r>
    </w:p>
    <w:p>
      <w:pPr>
        <w:spacing w:line="240" w:lineRule="auto" w:before="8"/>
        <w:rPr>
          <w:rFonts w:ascii="宋体" w:hAnsi="宋体" w:cs="宋体" w:eastAsia="宋体" w:hint="default"/>
          <w:sz w:val="18"/>
          <w:szCs w:val="18"/>
        </w:rPr>
      </w:pPr>
    </w:p>
    <w:p>
      <w:pPr>
        <w:pStyle w:val="BodyText"/>
        <w:spacing w:line="286" w:lineRule="exact"/>
        <w:ind w:left="588" w:right="0"/>
        <w:jc w:val="left"/>
      </w:pPr>
      <w:r>
        <w:rPr/>
        <w:t>存货跌价准备按存货成本高于其可变现净值的差额计提。可变现净值按日常活动中，以存货</w:t>
      </w:r>
      <w:r>
        <w:rPr>
          <w:spacing w:val="-70"/>
        </w:rPr>
        <w:t> </w:t>
      </w:r>
      <w:r>
        <w:rPr>
          <w:spacing w:val="-70"/>
        </w:rPr>
      </w:r>
      <w:r>
        <w:rPr/>
        <w:t>的估计售价减去估计的销售费用及相关税费后的金额确定。</w:t>
      </w:r>
    </w:p>
    <w:p>
      <w:pPr>
        <w:pStyle w:val="BodyText"/>
        <w:tabs>
          <w:tab w:pos="595" w:val="left" w:leader="none"/>
        </w:tabs>
        <w:spacing w:line="240" w:lineRule="auto" w:before="197"/>
        <w:ind w:left="120" w:right="2130"/>
        <w:jc w:val="left"/>
      </w:pPr>
      <w:r>
        <w:rPr>
          <w:rFonts w:ascii="Arial" w:hAnsi="Arial" w:cs="Arial" w:eastAsia="Arial" w:hint="default"/>
        </w:rPr>
        <w:t>(d)</w:t>
        <w:tab/>
      </w:r>
      <w:r>
        <w:rPr/>
        <w:t>本集团的存货盘存制度采用永续盘存制。</w:t>
      </w:r>
    </w:p>
    <w:p>
      <w:pPr>
        <w:pStyle w:val="BodyText"/>
        <w:tabs>
          <w:tab w:pos="595" w:val="left" w:leader="none"/>
        </w:tabs>
        <w:spacing w:line="240" w:lineRule="auto" w:before="191"/>
        <w:ind w:left="120" w:right="2130"/>
        <w:jc w:val="left"/>
      </w:pPr>
      <w:r>
        <w:rPr>
          <w:rFonts w:ascii="Arial" w:hAnsi="Arial" w:cs="Arial" w:eastAsia="Arial" w:hint="default"/>
        </w:rPr>
        <w:t>(e)</w:t>
        <w:tab/>
      </w:r>
      <w:r>
        <w:rPr/>
        <w:t>低值易耗品采用一次转销法进行摊销。</w:t>
      </w:r>
    </w:p>
    <w:p>
      <w:pPr>
        <w:spacing w:after="0" w:line="240" w:lineRule="auto"/>
        <w:jc w:val="left"/>
        <w:sectPr>
          <w:headerReference w:type="default" r:id="rId48"/>
          <w:pgSz w:w="11910" w:h="16840"/>
          <w:pgMar w:header="965" w:footer="769" w:top="2820" w:bottom="960" w:left="1440" w:right="920"/>
        </w:sectPr>
      </w:pPr>
    </w:p>
    <w:p>
      <w:pPr>
        <w:spacing w:line="240" w:lineRule="auto" w:before="0"/>
        <w:rPr>
          <w:rFonts w:ascii="宋体" w:hAnsi="宋体" w:cs="宋体" w:eastAsia="宋体" w:hint="default"/>
          <w:sz w:val="18"/>
          <w:szCs w:val="18"/>
        </w:rPr>
      </w:pPr>
    </w:p>
    <w:p>
      <w:pPr>
        <w:pStyle w:val="BodyText"/>
        <w:spacing w:line="240" w:lineRule="auto" w:before="32"/>
        <w:ind w:left="120" w:right="2130"/>
        <w:jc w:val="left"/>
      </w:pPr>
      <w:r>
        <w:rPr>
          <w:rFonts w:ascii="Arial" w:hAnsi="Arial" w:cs="Arial" w:eastAsia="Arial" w:hint="default"/>
        </w:rPr>
        <w:t>11</w:t>
      </w:r>
      <w:r>
        <w:rPr/>
        <w:t>、长期股权投资</w:t>
      </w:r>
    </w:p>
    <w:p>
      <w:pPr>
        <w:spacing w:line="240" w:lineRule="auto" w:before="4"/>
        <w:rPr>
          <w:rFonts w:ascii="宋体" w:hAnsi="宋体" w:cs="宋体" w:eastAsia="宋体" w:hint="default"/>
          <w:sz w:val="20"/>
          <w:szCs w:val="20"/>
        </w:rPr>
      </w:pPr>
    </w:p>
    <w:p>
      <w:pPr>
        <w:pStyle w:val="BodyText"/>
        <w:spacing w:line="284" w:lineRule="exact"/>
        <w:ind w:left="595" w:right="112"/>
        <w:jc w:val="both"/>
      </w:pPr>
      <w:r>
        <w:rPr/>
        <w:t>长期股权投资包括：本公司对子公司的长期股权投资；本集团对合营企业和联营企业的长期</w:t>
      </w:r>
      <w:r>
        <w:rPr>
          <w:spacing w:val="-73"/>
        </w:rPr>
        <w:t> </w:t>
      </w:r>
      <w:r>
        <w:rPr>
          <w:spacing w:val="-73"/>
        </w:rPr>
      </w:r>
      <w:r>
        <w:rPr/>
        <w:t>股权投资。</w:t>
      </w:r>
    </w:p>
    <w:p>
      <w:pPr>
        <w:spacing w:line="240" w:lineRule="auto" w:before="2"/>
        <w:rPr>
          <w:rFonts w:ascii="宋体" w:hAnsi="宋体" w:cs="宋体" w:eastAsia="宋体" w:hint="default"/>
          <w:sz w:val="18"/>
          <w:szCs w:val="18"/>
        </w:rPr>
      </w:pPr>
    </w:p>
    <w:p>
      <w:pPr>
        <w:pStyle w:val="BodyText"/>
        <w:spacing w:line="230" w:lineRule="auto"/>
        <w:ind w:left="595" w:right="105"/>
        <w:jc w:val="both"/>
      </w:pPr>
      <w:r>
        <w:rPr/>
        <w:t>子公司是指本公司能够对其实施控制的被投资单位；合营企业是由本集团与其他合营方共同</w:t>
      </w:r>
      <w:r>
        <w:rPr>
          <w:spacing w:val="-73"/>
        </w:rPr>
        <w:t> </w:t>
      </w:r>
      <w:r>
        <w:rPr>
          <w:spacing w:val="-73"/>
        </w:rPr>
      </w:r>
      <w:r>
        <w:rPr/>
        <w:t>控制（参见附注三</w:t>
      </w:r>
      <w:r>
        <w:rPr>
          <w:rFonts w:ascii="Arial" w:hAnsi="Arial" w:cs="Arial" w:eastAsia="Arial" w:hint="default"/>
        </w:rPr>
        <w:t>(11)(c)</w:t>
      </w:r>
      <w:r>
        <w:rPr/>
        <w:t>）且仅对其净资产享有权利的一项安排；联营企业是指本集团能够</w:t>
      </w:r>
      <w:r>
        <w:rPr>
          <w:spacing w:val="-60"/>
        </w:rPr>
        <w:t> </w:t>
      </w:r>
      <w:r>
        <w:rPr>
          <w:spacing w:val="-60"/>
        </w:rPr>
      </w:r>
      <w:r>
        <w:rPr/>
        <w:t>对其财务和经营决策具有重大影响的被投资单位。</w:t>
      </w:r>
    </w:p>
    <w:p>
      <w:pPr>
        <w:spacing w:line="240" w:lineRule="auto" w:before="7"/>
        <w:rPr>
          <w:rFonts w:ascii="宋体" w:hAnsi="宋体" w:cs="宋体" w:eastAsia="宋体" w:hint="default"/>
          <w:sz w:val="21"/>
          <w:szCs w:val="21"/>
        </w:rPr>
      </w:pPr>
    </w:p>
    <w:p>
      <w:pPr>
        <w:pStyle w:val="BodyText"/>
        <w:spacing w:line="286" w:lineRule="exact"/>
        <w:ind w:left="595" w:right="112"/>
        <w:jc w:val="both"/>
      </w:pPr>
      <w:r>
        <w:rPr/>
        <w:t>对子公司的投资，在公司财务报表中按照成本法确定的金额列示，在编制合并财务报表时按</w:t>
      </w:r>
      <w:r>
        <w:rPr>
          <w:spacing w:val="-73"/>
        </w:rPr>
        <w:t> </w:t>
      </w:r>
      <w:r>
        <w:rPr>
          <w:spacing w:val="-73"/>
        </w:rPr>
      </w:r>
      <w:r>
        <w:rPr/>
        <w:t>权益法调整后进行合并；对合营企业和联营企业投资采用权益法核算。</w:t>
      </w:r>
    </w:p>
    <w:p>
      <w:pPr>
        <w:pStyle w:val="BodyText"/>
        <w:tabs>
          <w:tab w:pos="595" w:val="left" w:leader="none"/>
        </w:tabs>
        <w:spacing w:line="240" w:lineRule="auto" w:before="197"/>
        <w:ind w:left="120" w:right="2130"/>
        <w:jc w:val="left"/>
      </w:pPr>
      <w:r>
        <w:rPr>
          <w:rFonts w:ascii="Arial" w:hAnsi="Arial" w:cs="Arial" w:eastAsia="Arial" w:hint="default"/>
        </w:rPr>
        <w:t>(a)</w:t>
        <w:tab/>
      </w:r>
      <w:r>
        <w:rPr/>
        <w:t>投资成本确定</w:t>
      </w:r>
    </w:p>
    <w:p>
      <w:pPr>
        <w:spacing w:line="240" w:lineRule="auto" w:before="8"/>
        <w:rPr>
          <w:rFonts w:ascii="宋体" w:hAnsi="宋体" w:cs="宋体" w:eastAsia="宋体" w:hint="default"/>
          <w:sz w:val="16"/>
          <w:szCs w:val="16"/>
        </w:rPr>
      </w:pPr>
    </w:p>
    <w:p>
      <w:pPr>
        <w:pStyle w:val="BodyText"/>
        <w:spacing w:line="237" w:lineRule="auto"/>
        <w:ind w:left="595" w:right="111"/>
        <w:jc w:val="both"/>
      </w:pPr>
      <w:r>
        <w:rPr/>
        <w:t>对于企业合并形成的长期股权投资：同一控制下企业合并取得的长期股权投资，在合并日按</w:t>
      </w:r>
      <w:r>
        <w:rPr>
          <w:spacing w:val="-73"/>
        </w:rPr>
        <w:t> </w:t>
      </w:r>
      <w:r>
        <w:rPr>
          <w:spacing w:val="-73"/>
        </w:rPr>
      </w:r>
      <w:r>
        <w:rPr/>
        <w:t>照取得被合并方所有者权益在最终控制方合并财务报表中的账面价值的份额作为投资成本；</w:t>
      </w:r>
      <w:r>
        <w:rPr>
          <w:spacing w:val="-73"/>
        </w:rPr>
        <w:t> </w:t>
      </w:r>
      <w:r>
        <w:rPr>
          <w:spacing w:val="-73"/>
        </w:rPr>
      </w:r>
      <w:r>
        <w:rPr/>
        <w:t>非同一控制下企业合并取得的长期股权投资，按照合并成本作为长期股权投资的投资成本。</w:t>
      </w:r>
      <w:r>
        <w:rPr>
          <w:spacing w:val="-73"/>
        </w:rPr>
        <w:t> </w:t>
      </w:r>
      <w:r>
        <w:rPr>
          <w:spacing w:val="-73"/>
        </w:rPr>
      </w:r>
      <w:r>
        <w:rPr/>
        <w:t>本公司个别子公司在以前年度进行公司制改建时对其持有的长期股权投资，按国有资产管理</w:t>
      </w:r>
      <w:r>
        <w:rPr>
          <w:spacing w:val="-72"/>
        </w:rPr>
        <w:t> </w:t>
      </w:r>
      <w:r>
        <w:rPr>
          <w:spacing w:val="-72"/>
        </w:rPr>
      </w:r>
      <w:r>
        <w:rPr/>
        <w:t>部门确认的评估值作为入账价值。</w:t>
      </w:r>
    </w:p>
    <w:p>
      <w:pPr>
        <w:spacing w:line="240" w:lineRule="auto" w:before="3"/>
        <w:rPr>
          <w:rFonts w:ascii="宋体" w:hAnsi="宋体" w:cs="宋体" w:eastAsia="宋体" w:hint="default"/>
          <w:sz w:val="21"/>
          <w:szCs w:val="21"/>
        </w:rPr>
      </w:pPr>
    </w:p>
    <w:p>
      <w:pPr>
        <w:pStyle w:val="BodyText"/>
        <w:spacing w:line="286" w:lineRule="exact"/>
        <w:ind w:left="595" w:right="112"/>
        <w:jc w:val="both"/>
      </w:pPr>
      <w:r>
        <w:rPr/>
        <w:t>对于以企业合并以外的其他方式取得的长期股权投资：支付现金取得的长期股权投资，按照</w:t>
      </w:r>
      <w:r>
        <w:rPr>
          <w:spacing w:val="-73"/>
        </w:rPr>
        <w:t> </w:t>
      </w:r>
      <w:r>
        <w:rPr>
          <w:spacing w:val="-73"/>
        </w:rPr>
      </w:r>
      <w:r>
        <w:rPr/>
        <w:t>实际支付的购买价款作为初始投资成本；发行权益性证券取得的长期股权投资，以发行权益</w:t>
      </w:r>
      <w:r>
        <w:rPr>
          <w:spacing w:val="-73"/>
        </w:rPr>
        <w:t> </w:t>
      </w:r>
      <w:r>
        <w:rPr>
          <w:spacing w:val="-73"/>
        </w:rPr>
      </w:r>
      <w:r>
        <w:rPr/>
        <w:t>性证券的公允价值作为初始投资成本。</w:t>
      </w:r>
    </w:p>
    <w:p>
      <w:pPr>
        <w:pStyle w:val="BodyText"/>
        <w:tabs>
          <w:tab w:pos="595" w:val="left" w:leader="none"/>
        </w:tabs>
        <w:spacing w:line="240" w:lineRule="auto" w:before="197"/>
        <w:ind w:left="120" w:right="2130"/>
        <w:jc w:val="left"/>
      </w:pPr>
      <w:r>
        <w:rPr>
          <w:rFonts w:ascii="Arial" w:hAnsi="Arial" w:cs="Arial" w:eastAsia="Arial" w:hint="default"/>
        </w:rPr>
        <w:t>(b)</w:t>
        <w:tab/>
      </w:r>
      <w:r>
        <w:rPr/>
        <w:t>后续计量及损益确认方法</w:t>
      </w:r>
    </w:p>
    <w:p>
      <w:pPr>
        <w:spacing w:line="240" w:lineRule="auto" w:before="10"/>
        <w:rPr>
          <w:rFonts w:ascii="宋体" w:hAnsi="宋体" w:cs="宋体" w:eastAsia="宋体" w:hint="default"/>
          <w:sz w:val="18"/>
          <w:szCs w:val="18"/>
        </w:rPr>
      </w:pPr>
    </w:p>
    <w:p>
      <w:pPr>
        <w:pStyle w:val="BodyText"/>
        <w:spacing w:line="286" w:lineRule="exact"/>
        <w:ind w:left="595" w:right="112"/>
        <w:jc w:val="both"/>
      </w:pPr>
      <w:r>
        <w:rPr/>
        <w:t>采用成本法核算的长期股权投资，按照初始投资成本计量，被投资单位宣告分派的现金股利</w:t>
      </w:r>
      <w:r>
        <w:rPr>
          <w:spacing w:val="-73"/>
        </w:rPr>
        <w:t> </w:t>
      </w:r>
      <w:r>
        <w:rPr>
          <w:spacing w:val="-73"/>
        </w:rPr>
      </w:r>
      <w:r>
        <w:rPr/>
        <w:t>或利润，确认为当期投资收益计入当期损益。</w:t>
      </w:r>
    </w:p>
    <w:p>
      <w:pPr>
        <w:spacing w:line="240" w:lineRule="auto" w:before="4"/>
        <w:rPr>
          <w:rFonts w:ascii="宋体" w:hAnsi="宋体" w:cs="宋体" w:eastAsia="宋体" w:hint="default"/>
          <w:sz w:val="17"/>
          <w:szCs w:val="17"/>
        </w:rPr>
      </w:pPr>
    </w:p>
    <w:p>
      <w:pPr>
        <w:pStyle w:val="BodyText"/>
        <w:spacing w:line="237" w:lineRule="auto"/>
        <w:ind w:left="595" w:right="112"/>
        <w:jc w:val="both"/>
      </w:pPr>
      <w:r>
        <w:rPr/>
        <w:t>采用权益法核算的长期股权投资，初始投资成本大于投资时应享有被投资单位可辨认净资产</w:t>
      </w:r>
      <w:r>
        <w:rPr>
          <w:spacing w:val="-73"/>
        </w:rPr>
        <w:t> </w:t>
      </w:r>
      <w:r>
        <w:rPr>
          <w:spacing w:val="-73"/>
        </w:rPr>
      </w:r>
      <w:r>
        <w:rPr/>
        <w:t>公允价值份额的，以初始投资成本作为长期股权投资成本；初始投资成本小于投资时应享有</w:t>
      </w:r>
      <w:r>
        <w:rPr>
          <w:spacing w:val="-73"/>
        </w:rPr>
        <w:t> </w:t>
      </w:r>
      <w:r>
        <w:rPr>
          <w:spacing w:val="-73"/>
        </w:rPr>
      </w:r>
      <w:r>
        <w:rPr/>
        <w:t>被投资单位可辨认净资产公允价值份额的，其差额计入当期损益，并相应调增长期股权投资</w:t>
      </w:r>
      <w:r>
        <w:rPr>
          <w:spacing w:val="-73"/>
        </w:rPr>
        <w:t> </w:t>
      </w:r>
      <w:r>
        <w:rPr>
          <w:spacing w:val="-73"/>
        </w:rPr>
      </w:r>
      <w:r>
        <w:rPr/>
        <w:t>成本。</w:t>
      </w:r>
    </w:p>
    <w:p>
      <w:pPr>
        <w:spacing w:line="240" w:lineRule="auto" w:before="6"/>
        <w:rPr>
          <w:rFonts w:ascii="宋体" w:hAnsi="宋体" w:cs="宋体" w:eastAsia="宋体" w:hint="default"/>
          <w:sz w:val="19"/>
          <w:szCs w:val="19"/>
        </w:rPr>
      </w:pPr>
    </w:p>
    <w:p>
      <w:pPr>
        <w:pStyle w:val="BodyText"/>
        <w:spacing w:line="237" w:lineRule="auto"/>
        <w:ind w:left="595" w:right="111"/>
        <w:jc w:val="both"/>
      </w:pPr>
      <w:r>
        <w:rPr/>
        <w:t>采用权益法核算的长期股权投资，本集团按应享有或应分担的被投资单位的净损益和其他综</w:t>
      </w:r>
      <w:r>
        <w:rPr>
          <w:spacing w:val="-73"/>
        </w:rPr>
        <w:t> </w:t>
      </w:r>
      <w:r>
        <w:rPr>
          <w:spacing w:val="-73"/>
        </w:rPr>
      </w:r>
      <w:r>
        <w:rPr/>
        <w:t>合收益的份额分别确认当期投资损益和其他综合收益。确认被投资单位发生的净亏损，以长</w:t>
      </w:r>
      <w:r>
        <w:rPr>
          <w:spacing w:val="-73"/>
        </w:rPr>
        <w:t> </w:t>
      </w:r>
      <w:r>
        <w:rPr>
          <w:spacing w:val="-73"/>
        </w:rPr>
      </w:r>
      <w:r>
        <w:rPr/>
        <w:t>期股权投资的账面价值以及其他实质上构成对被投资单位净投资的长期权益减记至零为限，</w:t>
      </w:r>
      <w:r>
        <w:rPr>
          <w:spacing w:val="-73"/>
        </w:rPr>
        <w:t> </w:t>
      </w:r>
      <w:r>
        <w:rPr>
          <w:spacing w:val="-73"/>
        </w:rPr>
      </w:r>
      <w:r>
        <w:rPr/>
        <w:t>但本集团负有承担额外损失义务且符合或有事项准则所规定的预计负债确认条件的，继续确</w:t>
      </w:r>
      <w:r>
        <w:rPr>
          <w:spacing w:val="-73"/>
        </w:rPr>
        <w:t> </w:t>
      </w:r>
      <w:r>
        <w:rPr>
          <w:spacing w:val="-73"/>
        </w:rPr>
      </w:r>
      <w:r>
        <w:rPr/>
        <w:t>认投资损失并作为预计负债核算。被投资单位除净损益、其他综合收益和利润分配以外股东</w:t>
      </w:r>
      <w:r>
        <w:rPr>
          <w:spacing w:val="-73"/>
        </w:rPr>
        <w:t> </w:t>
      </w:r>
      <w:r>
        <w:rPr>
          <w:spacing w:val="-73"/>
        </w:rPr>
      </w:r>
      <w:r>
        <w:rPr/>
        <w:t>权益的其他变动，在本集团持股比例不变的情况下，按照持股比例计算应享有或承担的部分</w:t>
      </w:r>
      <w:r>
        <w:rPr>
          <w:spacing w:val="-73"/>
        </w:rPr>
        <w:t> </w:t>
      </w:r>
      <w:r>
        <w:rPr>
          <w:spacing w:val="-73"/>
        </w:rPr>
      </w:r>
      <w:r>
        <w:rPr/>
        <w:t>直接计入股东权益，并同时调整长期股权投资的账面价值。被投资单位分派的利润或现金股</w:t>
      </w:r>
      <w:r>
        <w:rPr>
          <w:spacing w:val="-73"/>
        </w:rPr>
        <w:t> </w:t>
      </w:r>
      <w:r>
        <w:rPr>
          <w:spacing w:val="-73"/>
        </w:rPr>
      </w:r>
      <w:r>
        <w:rPr/>
        <w:t>利于宣告分派时按照本集团应分得的部分，相应减少长期股权投资的账面价值。本集团与被</w:t>
      </w:r>
      <w:r>
        <w:rPr>
          <w:spacing w:val="-73"/>
        </w:rPr>
        <w:t> </w:t>
      </w:r>
      <w:r>
        <w:rPr>
          <w:spacing w:val="-73"/>
        </w:rPr>
      </w:r>
      <w:r>
        <w:rPr/>
        <w:t>投资单位之间未实现的内部交易损益按照应享有或应分担的比例计算归属于本集团的部分，</w:t>
      </w:r>
      <w:r>
        <w:rPr>
          <w:spacing w:val="-73"/>
        </w:rPr>
        <w:t> </w:t>
      </w:r>
      <w:r>
        <w:rPr>
          <w:spacing w:val="-73"/>
        </w:rPr>
      </w:r>
      <w:r>
        <w:rPr/>
        <w:t>予以抵销，在此基础上确认投资损益。本集团与被投资单位发生的内部交易损失，其中属于</w:t>
      </w:r>
      <w:r>
        <w:rPr>
          <w:spacing w:val="-73"/>
        </w:rPr>
        <w:t> </w:t>
      </w:r>
      <w:r>
        <w:rPr>
          <w:spacing w:val="-73"/>
        </w:rPr>
      </w:r>
      <w:r>
        <w:rPr/>
        <w:t>资产减值损失的部分，相应的未实现损失不予抵销。</w:t>
      </w:r>
    </w:p>
    <w:p>
      <w:pPr>
        <w:spacing w:after="0" w:line="237" w:lineRule="auto"/>
        <w:jc w:val="both"/>
        <w:sectPr>
          <w:headerReference w:type="default" r:id="rId49"/>
          <w:pgSz w:w="11910" w:h="16840"/>
          <w:pgMar w:header="965" w:footer="769" w:top="2820" w:bottom="960" w:left="1440" w:right="920"/>
        </w:sectPr>
      </w:pPr>
    </w:p>
    <w:p>
      <w:pPr>
        <w:spacing w:line="240" w:lineRule="auto" w:before="0"/>
        <w:rPr>
          <w:rFonts w:ascii="宋体" w:hAnsi="宋体" w:cs="宋体" w:eastAsia="宋体" w:hint="default"/>
          <w:sz w:val="18"/>
          <w:szCs w:val="18"/>
        </w:rPr>
      </w:pPr>
    </w:p>
    <w:p>
      <w:pPr>
        <w:pStyle w:val="BodyText"/>
        <w:spacing w:line="240" w:lineRule="auto" w:before="32"/>
        <w:ind w:left="120" w:right="2130"/>
        <w:jc w:val="left"/>
      </w:pPr>
      <w:r>
        <w:rPr>
          <w:rFonts w:ascii="Arial" w:hAnsi="Arial" w:cs="Arial" w:eastAsia="Arial" w:hint="default"/>
        </w:rPr>
        <w:t>11</w:t>
      </w:r>
      <w:r>
        <w:rPr/>
        <w:t>、长期股权投资（续）</w:t>
      </w:r>
    </w:p>
    <w:p>
      <w:pPr>
        <w:pStyle w:val="BodyText"/>
        <w:tabs>
          <w:tab w:pos="595" w:val="left" w:leader="none"/>
        </w:tabs>
        <w:spacing w:line="240" w:lineRule="auto" w:before="195"/>
        <w:ind w:left="120" w:right="2130"/>
        <w:jc w:val="left"/>
      </w:pPr>
      <w:r>
        <w:rPr>
          <w:rFonts w:ascii="Arial" w:hAnsi="Arial" w:cs="Arial" w:eastAsia="Arial" w:hint="default"/>
        </w:rPr>
        <w:t>(c)</w:t>
        <w:tab/>
      </w:r>
      <w:r>
        <w:rPr/>
        <w:t>确定对被投资单位具有控制、共同控制、重大影响的判断标准</w:t>
      </w:r>
    </w:p>
    <w:p>
      <w:pPr>
        <w:spacing w:line="240" w:lineRule="auto" w:before="10"/>
        <w:rPr>
          <w:rFonts w:ascii="宋体" w:hAnsi="宋体" w:cs="宋体" w:eastAsia="宋体" w:hint="default"/>
          <w:sz w:val="16"/>
          <w:szCs w:val="16"/>
        </w:rPr>
      </w:pPr>
    </w:p>
    <w:p>
      <w:pPr>
        <w:pStyle w:val="BodyText"/>
        <w:spacing w:line="237" w:lineRule="auto"/>
        <w:ind w:left="595" w:right="112"/>
        <w:jc w:val="both"/>
      </w:pPr>
      <w:r>
        <w:rPr/>
        <w:t>控制，是指本集团拥有对被投资方的权力，通过参与被投资方的相关活动而享有可变回报，</w:t>
      </w:r>
      <w:r>
        <w:rPr>
          <w:spacing w:val="-73"/>
        </w:rPr>
        <w:t> </w:t>
      </w:r>
      <w:r>
        <w:rPr>
          <w:spacing w:val="-73"/>
        </w:rPr>
      </w:r>
      <w:r>
        <w:rPr/>
        <w:t>并且有能力运用对被投资方的权力影响其回报金额。在判断本集团是否拥有对被投资方的权</w:t>
      </w:r>
      <w:r>
        <w:rPr>
          <w:spacing w:val="-73"/>
        </w:rPr>
        <w:t> </w:t>
      </w:r>
      <w:r>
        <w:rPr>
          <w:spacing w:val="-73"/>
        </w:rPr>
      </w:r>
      <w:r>
        <w:rPr/>
        <w:t>力时，本集团仅考虑与被投资方相关的实质性权利（包括本集团自身所享有的及其他方所享</w:t>
      </w:r>
      <w:r>
        <w:rPr>
          <w:spacing w:val="-73"/>
        </w:rPr>
        <w:t> </w:t>
      </w:r>
      <w:r>
        <w:rPr>
          <w:spacing w:val="-73"/>
        </w:rPr>
      </w:r>
      <w:r>
        <w:rPr/>
        <w:t>有的实质性权利）。</w:t>
      </w:r>
    </w:p>
    <w:p>
      <w:pPr>
        <w:spacing w:line="240" w:lineRule="auto" w:before="3"/>
        <w:rPr>
          <w:rFonts w:ascii="宋体" w:hAnsi="宋体" w:cs="宋体" w:eastAsia="宋体" w:hint="default"/>
          <w:sz w:val="21"/>
          <w:szCs w:val="21"/>
        </w:rPr>
      </w:pPr>
    </w:p>
    <w:p>
      <w:pPr>
        <w:pStyle w:val="BodyText"/>
        <w:spacing w:line="286" w:lineRule="exact"/>
        <w:ind w:left="595" w:right="112"/>
        <w:jc w:val="both"/>
      </w:pPr>
      <w:r>
        <w:rPr/>
        <w:t>共同控制指按照相关约定对某项安排所共有的控制，并且该安排的相关活动（即对安排的回</w:t>
      </w:r>
      <w:r>
        <w:rPr>
          <w:spacing w:val="-73"/>
        </w:rPr>
        <w:t> </w:t>
      </w:r>
      <w:r>
        <w:rPr>
          <w:spacing w:val="-73"/>
        </w:rPr>
      </w:r>
      <w:r>
        <w:rPr/>
        <w:t>报产生重大影响的活动）必须经过分享控制权的参与方一致同意后才能决策。</w:t>
      </w:r>
    </w:p>
    <w:p>
      <w:pPr>
        <w:spacing w:line="240" w:lineRule="auto" w:before="4"/>
        <w:rPr>
          <w:rFonts w:ascii="宋体" w:hAnsi="宋体" w:cs="宋体" w:eastAsia="宋体" w:hint="default"/>
          <w:sz w:val="16"/>
          <w:szCs w:val="16"/>
        </w:rPr>
      </w:pPr>
    </w:p>
    <w:p>
      <w:pPr>
        <w:pStyle w:val="BodyText"/>
        <w:spacing w:line="240" w:lineRule="auto"/>
        <w:ind w:left="595" w:right="0"/>
        <w:jc w:val="both"/>
      </w:pPr>
      <w:r>
        <w:rPr/>
        <w:t>本集团在判断对被投资单位是否存在共同控制时，通常考虑下述事项：</w:t>
      </w:r>
    </w:p>
    <w:p>
      <w:pPr>
        <w:spacing w:line="240" w:lineRule="auto" w:before="2"/>
        <w:rPr>
          <w:rFonts w:ascii="宋体" w:hAnsi="宋体" w:cs="宋体" w:eastAsia="宋体" w:hint="default"/>
          <w:sz w:val="18"/>
          <w:szCs w:val="18"/>
        </w:rPr>
      </w:pPr>
    </w:p>
    <w:p>
      <w:pPr>
        <w:pStyle w:val="BodyText"/>
        <w:spacing w:line="295" w:lineRule="exact"/>
        <w:ind w:left="595" w:right="0"/>
        <w:jc w:val="both"/>
      </w:pPr>
      <w:r>
        <w:rPr>
          <w:rFonts w:ascii="Arial" w:hAnsi="Arial" w:cs="Arial" w:eastAsia="Arial" w:hint="default"/>
        </w:rPr>
        <w:t>-   </w:t>
      </w:r>
      <w:r>
        <w:rPr>
          <w:rFonts w:ascii="Arial" w:hAnsi="Arial" w:cs="Arial" w:eastAsia="Arial" w:hint="default"/>
          <w:spacing w:val="41"/>
        </w:rPr>
        <w:t> </w:t>
      </w:r>
      <w:r>
        <w:rPr/>
        <w:t>是否任何一个参与方均不能单独控制被投资单位的相关活动；</w:t>
      </w:r>
    </w:p>
    <w:p>
      <w:pPr>
        <w:pStyle w:val="BodyText"/>
        <w:spacing w:line="295" w:lineRule="exact"/>
        <w:ind w:left="595" w:right="0"/>
        <w:jc w:val="both"/>
      </w:pPr>
      <w:r>
        <w:rPr>
          <w:rFonts w:ascii="Arial" w:hAnsi="Arial" w:cs="Arial" w:eastAsia="Arial" w:hint="default"/>
        </w:rPr>
        <w:t>-   </w:t>
      </w:r>
      <w:r>
        <w:rPr>
          <w:rFonts w:ascii="Arial" w:hAnsi="Arial" w:cs="Arial" w:eastAsia="Arial" w:hint="default"/>
          <w:spacing w:val="41"/>
        </w:rPr>
        <w:t> </w:t>
      </w:r>
      <w:r>
        <w:rPr/>
        <w:t>涉及被投资单位相关活动的决策是否需要分享控制权参与方一致同意。</w:t>
      </w:r>
    </w:p>
    <w:p>
      <w:pPr>
        <w:spacing w:line="240" w:lineRule="auto" w:before="5"/>
        <w:rPr>
          <w:rFonts w:ascii="宋体" w:hAnsi="宋体" w:cs="宋体" w:eastAsia="宋体" w:hint="default"/>
          <w:sz w:val="20"/>
          <w:szCs w:val="20"/>
        </w:rPr>
      </w:pPr>
    </w:p>
    <w:p>
      <w:pPr>
        <w:pStyle w:val="BodyText"/>
        <w:spacing w:line="284" w:lineRule="exact"/>
        <w:ind w:left="595" w:right="112"/>
        <w:jc w:val="both"/>
      </w:pPr>
      <w:r>
        <w:rPr/>
        <w:t>重大影响是指本集团对被投资单位的财务和经营政策有参与决策的权力，但并不能够控制或</w:t>
      </w:r>
      <w:r>
        <w:rPr>
          <w:spacing w:val="-73"/>
        </w:rPr>
        <w:t> </w:t>
      </w:r>
      <w:r>
        <w:rPr>
          <w:spacing w:val="-73"/>
        </w:rPr>
      </w:r>
      <w:r>
        <w:rPr/>
        <w:t>者与其他方一起共同控制这些政策的制定。</w:t>
      </w:r>
    </w:p>
    <w:p>
      <w:pPr>
        <w:spacing w:line="240" w:lineRule="auto" w:before="4"/>
        <w:rPr>
          <w:rFonts w:ascii="宋体" w:hAnsi="宋体" w:cs="宋体" w:eastAsia="宋体" w:hint="default"/>
          <w:sz w:val="15"/>
          <w:szCs w:val="15"/>
        </w:rPr>
      </w:pPr>
    </w:p>
    <w:p>
      <w:pPr>
        <w:pStyle w:val="BodyText"/>
        <w:tabs>
          <w:tab w:pos="595" w:val="left" w:leader="none"/>
        </w:tabs>
        <w:spacing w:line="240" w:lineRule="auto"/>
        <w:ind w:left="120" w:right="2130"/>
        <w:jc w:val="left"/>
      </w:pPr>
      <w:r>
        <w:rPr>
          <w:rFonts w:ascii="Arial" w:hAnsi="Arial" w:cs="Arial" w:eastAsia="Arial" w:hint="default"/>
        </w:rPr>
        <w:t>(d)</w:t>
        <w:tab/>
      </w:r>
      <w:r>
        <w:rPr/>
        <w:t>长期股权投资减值</w:t>
      </w:r>
    </w:p>
    <w:p>
      <w:pPr>
        <w:spacing w:line="240" w:lineRule="auto" w:before="5"/>
        <w:rPr>
          <w:rFonts w:ascii="宋体" w:hAnsi="宋体" w:cs="宋体" w:eastAsia="宋体" w:hint="default"/>
          <w:sz w:val="20"/>
          <w:szCs w:val="20"/>
        </w:rPr>
      </w:pPr>
    </w:p>
    <w:p>
      <w:pPr>
        <w:pStyle w:val="BodyText"/>
        <w:spacing w:line="286" w:lineRule="exact"/>
        <w:ind w:left="595" w:right="112"/>
        <w:jc w:val="both"/>
      </w:pPr>
      <w:r>
        <w:rPr/>
        <w:t>对子公司、合营企业及联营企业的长期股权投资，当其可收回金额低于其账面价值时，账面</w:t>
      </w:r>
      <w:r>
        <w:rPr>
          <w:spacing w:val="-73"/>
        </w:rPr>
        <w:t> </w:t>
      </w:r>
      <w:r>
        <w:rPr>
          <w:spacing w:val="-73"/>
        </w:rPr>
      </w:r>
      <w:r>
        <w:rPr/>
        <w:t>价值减记至可收回金额（附注三</w:t>
      </w:r>
      <w:r>
        <w:rPr>
          <w:rFonts w:ascii="Arial" w:hAnsi="Arial" w:cs="Arial" w:eastAsia="Arial" w:hint="default"/>
        </w:rPr>
        <w:t>(17)</w:t>
      </w:r>
      <w:r>
        <w:rPr/>
        <w:t>）。</w:t>
      </w:r>
    </w:p>
    <w:p>
      <w:pPr>
        <w:pStyle w:val="BodyText"/>
        <w:spacing w:line="240" w:lineRule="auto" w:before="197"/>
        <w:ind w:left="120" w:right="2130"/>
        <w:jc w:val="left"/>
      </w:pPr>
      <w:r>
        <w:rPr>
          <w:rFonts w:ascii="Arial" w:hAnsi="Arial" w:cs="Arial" w:eastAsia="Arial" w:hint="default"/>
        </w:rPr>
        <w:t>12</w:t>
      </w:r>
      <w:r>
        <w:rPr/>
        <w:t>、固定资产</w:t>
      </w:r>
    </w:p>
    <w:p>
      <w:pPr>
        <w:pStyle w:val="BodyText"/>
        <w:tabs>
          <w:tab w:pos="595" w:val="left" w:leader="none"/>
        </w:tabs>
        <w:spacing w:line="240" w:lineRule="auto" w:before="188"/>
        <w:ind w:left="120" w:right="2130"/>
        <w:jc w:val="left"/>
      </w:pPr>
      <w:r>
        <w:rPr>
          <w:rFonts w:ascii="Arial" w:hAnsi="Arial" w:cs="Arial" w:eastAsia="Arial" w:hint="default"/>
        </w:rPr>
        <w:t>(a)</w:t>
        <w:tab/>
      </w:r>
      <w:r>
        <w:rPr/>
        <w:t>固定资产确认及初始计量</w:t>
      </w:r>
    </w:p>
    <w:p>
      <w:pPr>
        <w:spacing w:line="240" w:lineRule="auto" w:before="11"/>
        <w:rPr>
          <w:rFonts w:ascii="宋体" w:hAnsi="宋体" w:cs="宋体" w:eastAsia="宋体" w:hint="default"/>
          <w:sz w:val="16"/>
          <w:szCs w:val="16"/>
        </w:rPr>
      </w:pPr>
    </w:p>
    <w:p>
      <w:pPr>
        <w:pStyle w:val="BodyText"/>
        <w:spacing w:line="237" w:lineRule="auto"/>
        <w:ind w:left="607" w:right="114"/>
        <w:jc w:val="both"/>
      </w:pPr>
      <w:r>
        <w:rPr>
          <w:spacing w:val="-1"/>
        </w:rPr>
        <w:t>固定资产主要包括房屋及建筑物、通信设备以及办公设备等。固定资产在与其有关的经济利</w:t>
      </w:r>
      <w:r>
        <w:rPr>
          <w:spacing w:val="-47"/>
        </w:rPr>
        <w:t> </w:t>
      </w:r>
      <w:r>
        <w:rPr>
          <w:spacing w:val="-47"/>
        </w:rPr>
      </w:r>
      <w:r>
        <w:rPr>
          <w:spacing w:val="-1"/>
        </w:rPr>
        <w:t>益很可能流入本集团、且其成本能够可靠计量时予以确认。购置或新建的固定资产按取得时</w:t>
      </w:r>
      <w:r>
        <w:rPr>
          <w:spacing w:val="-47"/>
        </w:rPr>
        <w:t> </w:t>
      </w:r>
      <w:r>
        <w:rPr>
          <w:spacing w:val="-47"/>
        </w:rPr>
      </w:r>
      <w:r>
        <w:rPr>
          <w:spacing w:val="-1"/>
        </w:rPr>
        <w:t>的成本进行初始计量。本集团在进行重组时，国有股股东投入的固定资产，按国有资产管理</w:t>
      </w:r>
      <w:r>
        <w:rPr>
          <w:spacing w:val="-47"/>
        </w:rPr>
        <w:t> </w:t>
      </w:r>
      <w:r>
        <w:rPr>
          <w:spacing w:val="-47"/>
        </w:rPr>
      </w:r>
      <w:r>
        <w:rPr/>
        <w:t>部门确认的评估值作为入账价值。</w:t>
      </w:r>
    </w:p>
    <w:p>
      <w:pPr>
        <w:spacing w:line="240" w:lineRule="auto" w:before="6"/>
        <w:rPr>
          <w:rFonts w:ascii="宋体" w:hAnsi="宋体" w:cs="宋体" w:eastAsia="宋体" w:hint="default"/>
          <w:sz w:val="19"/>
          <w:szCs w:val="19"/>
        </w:rPr>
      </w:pPr>
    </w:p>
    <w:p>
      <w:pPr>
        <w:pStyle w:val="BodyText"/>
        <w:spacing w:line="237" w:lineRule="auto"/>
        <w:ind w:left="607" w:right="114"/>
        <w:jc w:val="both"/>
      </w:pPr>
      <w:r>
        <w:rPr>
          <w:spacing w:val="-1"/>
        </w:rPr>
        <w:t>与固定资产有关的后续支出，在与其相关的经济利益很可能流入本集团且其成本能够可靠的</w:t>
      </w:r>
      <w:r>
        <w:rPr>
          <w:spacing w:val="-47"/>
        </w:rPr>
        <w:t> </w:t>
      </w:r>
      <w:r>
        <w:rPr>
          <w:spacing w:val="-47"/>
        </w:rPr>
      </w:r>
      <w:r>
        <w:rPr>
          <w:spacing w:val="-1"/>
        </w:rPr>
        <w:t>计量时，计入固定资产成本；对于被替换的部分，终止确认其账面价值；所有其他后续支出</w:t>
      </w:r>
      <w:r>
        <w:rPr>
          <w:spacing w:val="-47"/>
        </w:rPr>
        <w:t> </w:t>
      </w:r>
      <w:r>
        <w:rPr>
          <w:spacing w:val="-47"/>
        </w:rPr>
      </w:r>
      <w:r>
        <w:rPr/>
        <w:t>于发生时计入当期损益。</w:t>
      </w:r>
    </w:p>
    <w:p>
      <w:pPr>
        <w:spacing w:after="0" w:line="237" w:lineRule="auto"/>
        <w:jc w:val="both"/>
        <w:sectPr>
          <w:headerReference w:type="default" r:id="rId50"/>
          <w:pgSz w:w="11910" w:h="16840"/>
          <w:pgMar w:header="965" w:footer="769" w:top="2820" w:bottom="960" w:left="1440" w:right="920"/>
        </w:sectPr>
      </w:pPr>
    </w:p>
    <w:p>
      <w:pPr>
        <w:spacing w:line="240" w:lineRule="auto" w:before="0"/>
        <w:rPr>
          <w:rFonts w:ascii="宋体" w:hAnsi="宋体" w:cs="宋体" w:eastAsia="宋体" w:hint="default"/>
          <w:sz w:val="18"/>
          <w:szCs w:val="18"/>
        </w:rPr>
      </w:pPr>
    </w:p>
    <w:p>
      <w:pPr>
        <w:pStyle w:val="BodyText"/>
        <w:spacing w:line="240" w:lineRule="auto" w:before="32"/>
        <w:ind w:left="120" w:right="0"/>
        <w:jc w:val="left"/>
      </w:pPr>
      <w:r>
        <w:rPr>
          <w:rFonts w:ascii="Arial" w:hAnsi="Arial" w:cs="Arial" w:eastAsia="Arial" w:hint="default"/>
        </w:rPr>
        <w:t>12</w:t>
      </w:r>
      <w:r>
        <w:rPr/>
        <w:t>、固定资产（续）</w:t>
      </w:r>
    </w:p>
    <w:p>
      <w:pPr>
        <w:pStyle w:val="BodyText"/>
        <w:tabs>
          <w:tab w:pos="595" w:val="left" w:leader="none"/>
        </w:tabs>
        <w:spacing w:line="240" w:lineRule="auto" w:before="195"/>
        <w:ind w:left="120" w:right="0"/>
        <w:jc w:val="left"/>
      </w:pPr>
      <w:r>
        <w:rPr>
          <w:rFonts w:ascii="Arial" w:hAnsi="Arial" w:cs="Arial" w:eastAsia="Arial" w:hint="default"/>
        </w:rPr>
        <w:t>(b)</w:t>
        <w:tab/>
      </w:r>
      <w:r>
        <w:rPr/>
        <w:t>固定资产的折旧方法</w:t>
      </w:r>
    </w:p>
    <w:p>
      <w:pPr>
        <w:spacing w:line="240" w:lineRule="auto" w:before="10"/>
        <w:rPr>
          <w:rFonts w:ascii="宋体" w:hAnsi="宋体" w:cs="宋体" w:eastAsia="宋体" w:hint="default"/>
          <w:sz w:val="16"/>
          <w:szCs w:val="16"/>
        </w:rPr>
      </w:pPr>
    </w:p>
    <w:p>
      <w:pPr>
        <w:pStyle w:val="BodyText"/>
        <w:spacing w:line="237" w:lineRule="auto"/>
        <w:ind w:left="607" w:right="214"/>
        <w:jc w:val="both"/>
      </w:pPr>
      <w:r>
        <w:rPr>
          <w:spacing w:val="-1"/>
        </w:rPr>
        <w:t>固定资产折旧采用年限平均法并按其入账价值减去预计净残值后在预计使用寿命内计提。对</w:t>
      </w:r>
      <w:r>
        <w:rPr>
          <w:spacing w:val="-47"/>
        </w:rPr>
        <w:t> </w:t>
      </w:r>
      <w:r>
        <w:rPr>
          <w:spacing w:val="-47"/>
        </w:rPr>
      </w:r>
      <w:r>
        <w:rPr>
          <w:spacing w:val="-1"/>
        </w:rPr>
        <w:t>计提了减值准备的固定资产，则在未来期间按扣除减值准备后的账面价值及依据尚可使用年</w:t>
      </w:r>
      <w:r>
        <w:rPr>
          <w:spacing w:val="-47"/>
        </w:rPr>
        <w:t> </w:t>
      </w:r>
      <w:r>
        <w:rPr>
          <w:spacing w:val="-47"/>
        </w:rPr>
      </w:r>
      <w:r>
        <w:rPr/>
        <w:t>限确定折旧额。</w:t>
      </w:r>
    </w:p>
    <w:p>
      <w:pPr>
        <w:spacing w:line="240" w:lineRule="auto" w:before="4"/>
        <w:rPr>
          <w:rFonts w:ascii="宋体" w:hAnsi="宋体" w:cs="宋体" w:eastAsia="宋体" w:hint="default"/>
          <w:sz w:val="19"/>
          <w:szCs w:val="19"/>
        </w:rPr>
      </w:pPr>
    </w:p>
    <w:p>
      <w:pPr>
        <w:pStyle w:val="BodyText"/>
        <w:spacing w:line="240" w:lineRule="auto"/>
        <w:ind w:left="607" w:right="0"/>
        <w:jc w:val="both"/>
      </w:pPr>
      <w:r>
        <w:rPr/>
        <w:t>固定资产的预计使用寿命、净残值率及年折旧率列示如下：</w:t>
      </w:r>
    </w:p>
    <w:p>
      <w:pPr>
        <w:spacing w:line="240" w:lineRule="auto" w:before="3"/>
        <w:rPr>
          <w:rFonts w:ascii="宋体" w:hAnsi="宋体" w:cs="宋体" w:eastAsia="宋体" w:hint="default"/>
          <w:sz w:val="24"/>
          <w:szCs w:val="24"/>
        </w:rPr>
      </w:pPr>
    </w:p>
    <w:tbl>
      <w:tblPr>
        <w:tblW w:w="0" w:type="auto"/>
        <w:jc w:val="left"/>
        <w:tblInd w:w="402" w:type="dxa"/>
        <w:tblLayout w:type="fixed"/>
        <w:tblCellMar>
          <w:top w:w="0" w:type="dxa"/>
          <w:left w:w="0" w:type="dxa"/>
          <w:bottom w:w="0" w:type="dxa"/>
          <w:right w:w="0" w:type="dxa"/>
        </w:tblCellMar>
        <w:tblLook w:val="01E0"/>
      </w:tblPr>
      <w:tblGrid>
        <w:gridCol w:w="2406"/>
        <w:gridCol w:w="2095"/>
        <w:gridCol w:w="274"/>
        <w:gridCol w:w="1803"/>
        <w:gridCol w:w="240"/>
        <w:gridCol w:w="2168"/>
      </w:tblGrid>
      <w:tr>
        <w:trPr>
          <w:trHeight w:val="264" w:hRule="exact"/>
        </w:trPr>
        <w:tc>
          <w:tcPr>
            <w:tcW w:w="2406" w:type="dxa"/>
            <w:tcBorders>
              <w:top w:val="nil" w:sz="6" w:space="0" w:color="auto"/>
              <w:left w:val="nil" w:sz="6" w:space="0" w:color="auto"/>
              <w:bottom w:val="nil" w:sz="6" w:space="0" w:color="auto"/>
              <w:right w:val="nil" w:sz="6" w:space="0" w:color="auto"/>
            </w:tcBorders>
          </w:tcPr>
          <w:p>
            <w:pPr/>
          </w:p>
        </w:tc>
        <w:tc>
          <w:tcPr>
            <w:tcW w:w="2095" w:type="dxa"/>
            <w:tcBorders>
              <w:top w:val="nil" w:sz="6" w:space="0" w:color="auto"/>
              <w:left w:val="nil" w:sz="6" w:space="0" w:color="auto"/>
              <w:bottom w:val="single" w:sz="6" w:space="0" w:color="000000"/>
              <w:right w:val="nil" w:sz="6" w:space="0" w:color="auto"/>
            </w:tcBorders>
          </w:tcPr>
          <w:p>
            <w:pPr>
              <w:pStyle w:val="TableParagraph"/>
              <w:spacing w:line="221" w:lineRule="exact"/>
              <w:ind w:right="0"/>
              <w:jc w:val="center"/>
              <w:rPr>
                <w:rFonts w:ascii="宋体" w:hAnsi="宋体" w:cs="宋体" w:eastAsia="宋体" w:hint="default"/>
                <w:sz w:val="22"/>
                <w:szCs w:val="22"/>
              </w:rPr>
            </w:pPr>
            <w:r>
              <w:rPr>
                <w:rFonts w:ascii="宋体" w:hAnsi="宋体" w:cs="宋体" w:eastAsia="宋体" w:hint="default"/>
                <w:sz w:val="22"/>
                <w:szCs w:val="22"/>
              </w:rPr>
              <w:t>预计使用寿命</w:t>
            </w:r>
          </w:p>
        </w:tc>
        <w:tc>
          <w:tcPr>
            <w:tcW w:w="274" w:type="dxa"/>
            <w:tcBorders>
              <w:top w:val="nil" w:sz="6" w:space="0" w:color="auto"/>
              <w:left w:val="nil" w:sz="6" w:space="0" w:color="auto"/>
              <w:bottom w:val="nil" w:sz="6" w:space="0" w:color="auto"/>
              <w:right w:val="nil" w:sz="6" w:space="0" w:color="auto"/>
            </w:tcBorders>
          </w:tcPr>
          <w:p>
            <w:pPr/>
          </w:p>
        </w:tc>
        <w:tc>
          <w:tcPr>
            <w:tcW w:w="1803" w:type="dxa"/>
            <w:tcBorders>
              <w:top w:val="nil" w:sz="6" w:space="0" w:color="auto"/>
              <w:left w:val="nil" w:sz="6" w:space="0" w:color="auto"/>
              <w:bottom w:val="single" w:sz="6" w:space="0" w:color="000000"/>
              <w:right w:val="nil" w:sz="6" w:space="0" w:color="auto"/>
            </w:tcBorders>
          </w:tcPr>
          <w:p>
            <w:pPr>
              <w:pStyle w:val="TableParagraph"/>
              <w:spacing w:line="221" w:lineRule="exact"/>
              <w:ind w:right="0"/>
              <w:jc w:val="center"/>
              <w:rPr>
                <w:rFonts w:ascii="宋体" w:hAnsi="宋体" w:cs="宋体" w:eastAsia="宋体" w:hint="default"/>
                <w:sz w:val="22"/>
                <w:szCs w:val="22"/>
              </w:rPr>
            </w:pPr>
            <w:r>
              <w:rPr>
                <w:rFonts w:ascii="宋体" w:hAnsi="宋体" w:cs="宋体" w:eastAsia="宋体" w:hint="default"/>
                <w:sz w:val="22"/>
                <w:szCs w:val="22"/>
              </w:rPr>
              <w:t>预计净残值率</w:t>
            </w:r>
          </w:p>
        </w:tc>
        <w:tc>
          <w:tcPr>
            <w:tcW w:w="240"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single" w:sz="6" w:space="0" w:color="000000"/>
              <w:right w:val="nil" w:sz="6" w:space="0" w:color="auto"/>
            </w:tcBorders>
          </w:tcPr>
          <w:p>
            <w:pPr>
              <w:pStyle w:val="TableParagraph"/>
              <w:spacing w:line="221" w:lineRule="exact"/>
              <w:ind w:right="0"/>
              <w:jc w:val="center"/>
              <w:rPr>
                <w:rFonts w:ascii="宋体" w:hAnsi="宋体" w:cs="宋体" w:eastAsia="宋体" w:hint="default"/>
                <w:sz w:val="22"/>
                <w:szCs w:val="22"/>
              </w:rPr>
            </w:pPr>
            <w:r>
              <w:rPr>
                <w:rFonts w:ascii="宋体" w:hAnsi="宋体" w:cs="宋体" w:eastAsia="宋体" w:hint="default"/>
                <w:sz w:val="22"/>
                <w:szCs w:val="22"/>
              </w:rPr>
              <w:t>年折旧率</w:t>
            </w:r>
          </w:p>
        </w:tc>
      </w:tr>
      <w:tr>
        <w:trPr>
          <w:trHeight w:val="510" w:hRule="exact"/>
        </w:trPr>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175"/>
              <w:ind w:left="200"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2095" w:type="dxa"/>
            <w:tcBorders>
              <w:top w:val="single" w:sz="6" w:space="0" w:color="000000"/>
              <w:left w:val="nil" w:sz="6" w:space="0" w:color="auto"/>
              <w:bottom w:val="nil" w:sz="6" w:space="0" w:color="auto"/>
              <w:right w:val="nil" w:sz="6" w:space="0" w:color="auto"/>
            </w:tcBorders>
          </w:tcPr>
          <w:p>
            <w:pPr>
              <w:pStyle w:val="TableParagraph"/>
              <w:spacing w:line="240" w:lineRule="auto" w:before="168"/>
              <w:ind w:right="0"/>
              <w:jc w:val="center"/>
              <w:rPr>
                <w:rFonts w:ascii="宋体" w:hAnsi="宋体" w:cs="宋体" w:eastAsia="宋体" w:hint="default"/>
                <w:sz w:val="22"/>
                <w:szCs w:val="22"/>
              </w:rPr>
            </w:pPr>
            <w:r>
              <w:rPr>
                <w:rFonts w:ascii="Arial" w:hAnsi="Arial" w:cs="Arial" w:eastAsia="Arial" w:hint="default"/>
                <w:sz w:val="22"/>
                <w:szCs w:val="22"/>
              </w:rPr>
              <w:t>10-30</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74" w:type="dxa"/>
            <w:tcBorders>
              <w:top w:val="nil" w:sz="6" w:space="0" w:color="auto"/>
              <w:left w:val="nil" w:sz="6" w:space="0" w:color="auto"/>
              <w:bottom w:val="nil" w:sz="6" w:space="0" w:color="auto"/>
              <w:right w:val="nil" w:sz="6" w:space="0" w:color="auto"/>
            </w:tcBorders>
          </w:tcPr>
          <w:p>
            <w:pPr/>
          </w:p>
        </w:tc>
        <w:tc>
          <w:tcPr>
            <w:tcW w:w="1803"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22"/>
                <w:szCs w:val="22"/>
              </w:rPr>
            </w:pPr>
            <w:r>
              <w:rPr>
                <w:rFonts w:ascii="Arial"/>
                <w:sz w:val="22"/>
              </w:rPr>
              <w:t>3%-5%</w:t>
            </w:r>
          </w:p>
        </w:tc>
        <w:tc>
          <w:tcPr>
            <w:tcW w:w="240" w:type="dxa"/>
            <w:tcBorders>
              <w:top w:val="nil" w:sz="6" w:space="0" w:color="auto"/>
              <w:left w:val="nil" w:sz="6" w:space="0" w:color="auto"/>
              <w:bottom w:val="nil" w:sz="6" w:space="0" w:color="auto"/>
              <w:right w:val="nil" w:sz="6" w:space="0" w:color="auto"/>
            </w:tcBorders>
          </w:tcPr>
          <w:p>
            <w:pPr/>
          </w:p>
        </w:tc>
        <w:tc>
          <w:tcPr>
            <w:tcW w:w="2168"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center"/>
              <w:rPr>
                <w:rFonts w:ascii="Arial" w:hAnsi="Arial" w:cs="Arial" w:eastAsia="Arial" w:hint="default"/>
                <w:sz w:val="22"/>
                <w:szCs w:val="22"/>
              </w:rPr>
            </w:pPr>
            <w:r>
              <w:rPr>
                <w:rFonts w:ascii="Arial"/>
                <w:sz w:val="22"/>
              </w:rPr>
              <w:t>3.17%-9.70%</w:t>
            </w:r>
          </w:p>
        </w:tc>
      </w:tr>
      <w:tr>
        <w:trPr>
          <w:trHeight w:val="286" w:hRule="exact"/>
        </w:trPr>
        <w:tc>
          <w:tcPr>
            <w:tcW w:w="2406"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通信设备</w:t>
            </w:r>
          </w:p>
        </w:tc>
        <w:tc>
          <w:tcPr>
            <w:tcW w:w="2095" w:type="dxa"/>
            <w:tcBorders>
              <w:top w:val="nil" w:sz="6" w:space="0" w:color="auto"/>
              <w:left w:val="nil" w:sz="6" w:space="0" w:color="auto"/>
              <w:bottom w:val="nil" w:sz="6" w:space="0" w:color="auto"/>
              <w:right w:val="nil" w:sz="6" w:space="0" w:color="auto"/>
            </w:tcBorders>
          </w:tcPr>
          <w:p>
            <w:pPr>
              <w:pStyle w:val="TableParagraph"/>
              <w:spacing w:line="254" w:lineRule="exact"/>
              <w:ind w:right="0"/>
              <w:jc w:val="center"/>
              <w:rPr>
                <w:rFonts w:ascii="宋体" w:hAnsi="宋体" w:cs="宋体" w:eastAsia="宋体" w:hint="default"/>
                <w:sz w:val="22"/>
                <w:szCs w:val="22"/>
              </w:rPr>
            </w:pPr>
            <w:r>
              <w:rPr>
                <w:rFonts w:ascii="Arial" w:hAnsi="Arial" w:cs="Arial" w:eastAsia="Arial" w:hint="default"/>
                <w:sz w:val="22"/>
                <w:szCs w:val="22"/>
              </w:rPr>
              <w:t>5-10</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74" w:type="dxa"/>
            <w:tcBorders>
              <w:top w:val="nil" w:sz="6" w:space="0" w:color="auto"/>
              <w:left w:val="nil" w:sz="6" w:space="0" w:color="auto"/>
              <w:bottom w:val="nil" w:sz="6" w:space="0" w:color="auto"/>
              <w:right w:val="nil" w:sz="6" w:space="0" w:color="auto"/>
            </w:tcBorders>
          </w:tcPr>
          <w:p>
            <w:pP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center"/>
              <w:rPr>
                <w:rFonts w:ascii="Arial" w:hAnsi="Arial" w:cs="Arial" w:eastAsia="Arial" w:hint="default"/>
                <w:sz w:val="22"/>
                <w:szCs w:val="22"/>
              </w:rPr>
            </w:pPr>
            <w:r>
              <w:rPr>
                <w:rFonts w:ascii="Arial"/>
                <w:sz w:val="22"/>
              </w:rPr>
              <w:t>3%-5%</w:t>
            </w:r>
          </w:p>
        </w:tc>
        <w:tc>
          <w:tcPr>
            <w:tcW w:w="240"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center"/>
              <w:rPr>
                <w:rFonts w:ascii="Arial" w:hAnsi="Arial" w:cs="Arial" w:eastAsia="Arial" w:hint="default"/>
                <w:sz w:val="22"/>
                <w:szCs w:val="22"/>
              </w:rPr>
            </w:pPr>
            <w:r>
              <w:rPr>
                <w:rFonts w:ascii="Arial"/>
                <w:sz w:val="22"/>
              </w:rPr>
              <w:t>9.50%-19.40%</w:t>
            </w:r>
          </w:p>
        </w:tc>
      </w:tr>
      <w:tr>
        <w:trPr>
          <w:trHeight w:val="268" w:hRule="exact"/>
        </w:trPr>
        <w:tc>
          <w:tcPr>
            <w:tcW w:w="2406"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办公设备及其他</w:t>
            </w:r>
          </w:p>
        </w:tc>
        <w:tc>
          <w:tcPr>
            <w:tcW w:w="2095" w:type="dxa"/>
            <w:tcBorders>
              <w:top w:val="nil" w:sz="6" w:space="0" w:color="auto"/>
              <w:left w:val="nil" w:sz="6" w:space="0" w:color="auto"/>
              <w:bottom w:val="nil" w:sz="6" w:space="0" w:color="auto"/>
              <w:right w:val="nil" w:sz="6" w:space="0" w:color="auto"/>
            </w:tcBorders>
          </w:tcPr>
          <w:p>
            <w:pPr>
              <w:pStyle w:val="TableParagraph"/>
              <w:spacing w:line="254" w:lineRule="exact"/>
              <w:ind w:right="0"/>
              <w:jc w:val="center"/>
              <w:rPr>
                <w:rFonts w:ascii="宋体" w:hAnsi="宋体" w:cs="宋体" w:eastAsia="宋体" w:hint="default"/>
                <w:sz w:val="22"/>
                <w:szCs w:val="22"/>
              </w:rPr>
            </w:pPr>
            <w:r>
              <w:rPr>
                <w:rFonts w:ascii="Arial" w:hAnsi="Arial" w:cs="Arial" w:eastAsia="Arial" w:hint="default"/>
                <w:sz w:val="22"/>
                <w:szCs w:val="22"/>
              </w:rPr>
              <w:t>5-10</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74" w:type="dxa"/>
            <w:tcBorders>
              <w:top w:val="nil" w:sz="6" w:space="0" w:color="auto"/>
              <w:left w:val="nil" w:sz="6" w:space="0" w:color="auto"/>
              <w:bottom w:val="nil" w:sz="6" w:space="0" w:color="auto"/>
              <w:right w:val="nil" w:sz="6" w:space="0" w:color="auto"/>
            </w:tcBorders>
          </w:tcPr>
          <w:p>
            <w:pP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center"/>
              <w:rPr>
                <w:rFonts w:ascii="Arial" w:hAnsi="Arial" w:cs="Arial" w:eastAsia="Arial" w:hint="default"/>
                <w:sz w:val="22"/>
                <w:szCs w:val="22"/>
              </w:rPr>
            </w:pPr>
            <w:r>
              <w:rPr>
                <w:rFonts w:ascii="Arial"/>
                <w:sz w:val="22"/>
              </w:rPr>
              <w:t>3%-5%</w:t>
            </w:r>
          </w:p>
        </w:tc>
        <w:tc>
          <w:tcPr>
            <w:tcW w:w="240"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center"/>
              <w:rPr>
                <w:rFonts w:ascii="Arial" w:hAnsi="Arial" w:cs="Arial" w:eastAsia="Arial" w:hint="default"/>
                <w:sz w:val="22"/>
                <w:szCs w:val="22"/>
              </w:rPr>
            </w:pPr>
            <w:r>
              <w:rPr>
                <w:rFonts w:ascii="Arial"/>
                <w:sz w:val="22"/>
              </w:rPr>
              <w:t>9.50%-19.40%</w:t>
            </w:r>
          </w:p>
        </w:tc>
      </w:tr>
    </w:tbl>
    <w:p>
      <w:pPr>
        <w:spacing w:line="240" w:lineRule="auto" w:before="4"/>
        <w:rPr>
          <w:rFonts w:ascii="宋体" w:hAnsi="宋体" w:cs="宋体" w:eastAsia="宋体" w:hint="default"/>
          <w:sz w:val="14"/>
          <w:szCs w:val="14"/>
        </w:rPr>
      </w:pPr>
    </w:p>
    <w:p>
      <w:pPr>
        <w:pStyle w:val="BodyText"/>
        <w:spacing w:line="240" w:lineRule="auto" w:before="32"/>
        <w:ind w:left="598" w:right="0"/>
        <w:jc w:val="both"/>
      </w:pPr>
      <w:r>
        <w:rPr>
          <w:spacing w:val="-3"/>
        </w:rPr>
        <w:t>对固定资产的预计使用寿命、预计净残值和折旧方法于每年年度终了进行复核并作适当调整。</w:t>
      </w:r>
    </w:p>
    <w:p>
      <w:pPr>
        <w:spacing w:line="240" w:lineRule="auto" w:before="4"/>
        <w:rPr>
          <w:rFonts w:ascii="宋体" w:hAnsi="宋体" w:cs="宋体" w:eastAsia="宋体" w:hint="default"/>
          <w:sz w:val="17"/>
          <w:szCs w:val="17"/>
        </w:rPr>
      </w:pPr>
    </w:p>
    <w:p>
      <w:pPr>
        <w:pStyle w:val="BodyText"/>
        <w:tabs>
          <w:tab w:pos="595" w:val="left" w:leader="none"/>
        </w:tabs>
        <w:spacing w:line="240" w:lineRule="auto"/>
        <w:ind w:left="120" w:right="0"/>
        <w:jc w:val="left"/>
      </w:pPr>
      <w:r>
        <w:rPr>
          <w:rFonts w:ascii="Arial" w:hAnsi="Arial" w:cs="Arial" w:eastAsia="Arial" w:hint="default"/>
        </w:rPr>
        <w:t>(c)</w:t>
        <w:tab/>
      </w:r>
      <w:r>
        <w:rPr/>
        <w:t>当固定资产的可收回金额低于其账面价值时，账面价值减记至可收回金额（附注三</w:t>
      </w:r>
      <w:r>
        <w:rPr>
          <w:rFonts w:ascii="Arial" w:hAnsi="Arial" w:cs="Arial" w:eastAsia="Arial" w:hint="default"/>
        </w:rPr>
        <w:t>(17)</w:t>
      </w:r>
      <w:r>
        <w:rPr/>
        <w:t>）。</w:t>
      </w:r>
    </w:p>
    <w:p>
      <w:pPr>
        <w:pStyle w:val="BodyText"/>
        <w:tabs>
          <w:tab w:pos="595" w:val="left" w:leader="none"/>
        </w:tabs>
        <w:spacing w:line="240" w:lineRule="auto" w:before="176"/>
        <w:ind w:left="120" w:right="0"/>
        <w:jc w:val="left"/>
      </w:pPr>
      <w:r>
        <w:rPr>
          <w:rFonts w:ascii="Arial" w:hAnsi="Arial" w:cs="Arial" w:eastAsia="Arial" w:hint="default"/>
        </w:rPr>
        <w:t>(d)</w:t>
        <w:tab/>
      </w:r>
      <w:r>
        <w:rPr/>
        <w:t>融资租入固定资产的认定依据、计量方法和折旧方法</w:t>
      </w:r>
    </w:p>
    <w:p>
      <w:pPr>
        <w:spacing w:line="240" w:lineRule="auto" w:before="9"/>
        <w:rPr>
          <w:rFonts w:ascii="宋体" w:hAnsi="宋体" w:cs="宋体" w:eastAsia="宋体" w:hint="default"/>
          <w:sz w:val="15"/>
          <w:szCs w:val="15"/>
        </w:rPr>
      </w:pPr>
    </w:p>
    <w:p>
      <w:pPr>
        <w:pStyle w:val="BodyText"/>
        <w:spacing w:line="237" w:lineRule="auto"/>
        <w:ind w:left="598" w:right="211"/>
        <w:jc w:val="both"/>
      </w:pPr>
      <w:r>
        <w:rPr/>
        <w:t>实质上转移了与资产所有权有关的全部风险和报酬的租赁为融资租赁。融资租入固定资产以</w:t>
      </w:r>
      <w:r>
        <w:rPr>
          <w:spacing w:val="-76"/>
        </w:rPr>
        <w:t> </w:t>
      </w:r>
      <w:r>
        <w:rPr>
          <w:spacing w:val="-76"/>
        </w:rPr>
      </w:r>
      <w:r>
        <w:rPr/>
        <w:t>租赁资产的公允价值与最低租赁付款额的现值两者中的较低者作为租入资产的入账价值。租</w:t>
      </w:r>
      <w:r>
        <w:rPr>
          <w:spacing w:val="-76"/>
        </w:rPr>
        <w:t> </w:t>
      </w:r>
      <w:r>
        <w:rPr>
          <w:spacing w:val="-76"/>
        </w:rPr>
      </w:r>
      <w:r>
        <w:rPr/>
        <w:t>入资产的入账价值与最低租赁付款额之间的差额作为未确认融资费用（附注三</w:t>
      </w:r>
      <w:r>
        <w:rPr>
          <w:rFonts w:ascii="Arial" w:hAnsi="Arial" w:cs="Arial" w:eastAsia="Arial" w:hint="default"/>
        </w:rPr>
        <w:t>(28)(a)</w:t>
      </w:r>
      <w:r>
        <w:rPr/>
        <w:t>）。</w:t>
      </w:r>
    </w:p>
    <w:p>
      <w:pPr>
        <w:spacing w:line="240" w:lineRule="auto" w:before="4"/>
        <w:rPr>
          <w:rFonts w:ascii="宋体" w:hAnsi="宋体" w:cs="宋体" w:eastAsia="宋体" w:hint="default"/>
          <w:sz w:val="18"/>
          <w:szCs w:val="18"/>
        </w:rPr>
      </w:pPr>
    </w:p>
    <w:p>
      <w:pPr>
        <w:pStyle w:val="BodyText"/>
        <w:spacing w:line="237" w:lineRule="auto"/>
        <w:ind w:left="598" w:right="211"/>
        <w:jc w:val="both"/>
      </w:pPr>
      <w:r>
        <w:rPr/>
        <w:t>融资租入的固定资产采用与自有固定资产相一致的折旧政策。能够合理确定租赁期届满时将</w:t>
      </w:r>
      <w:r>
        <w:rPr>
          <w:spacing w:val="-76"/>
        </w:rPr>
        <w:t> </w:t>
      </w:r>
      <w:r>
        <w:rPr>
          <w:spacing w:val="-76"/>
        </w:rPr>
      </w:r>
      <w:r>
        <w:rPr/>
        <w:t>取得租入资产所有权的，租入固定资产在其预计使用寿命内计提折旧；否则，租入固定资产</w:t>
      </w:r>
      <w:r>
        <w:rPr>
          <w:spacing w:val="-76"/>
        </w:rPr>
        <w:t> </w:t>
      </w:r>
      <w:r>
        <w:rPr>
          <w:spacing w:val="-76"/>
        </w:rPr>
      </w:r>
      <w:r>
        <w:rPr/>
        <w:t>在租赁期与该资产预计使用寿命两者中较短的期间内计提折旧。</w:t>
      </w:r>
    </w:p>
    <w:p>
      <w:pPr>
        <w:spacing w:line="240" w:lineRule="auto" w:before="4"/>
        <w:rPr>
          <w:rFonts w:ascii="宋体" w:hAnsi="宋体" w:cs="宋体" w:eastAsia="宋体" w:hint="default"/>
          <w:sz w:val="17"/>
          <w:szCs w:val="17"/>
        </w:rPr>
      </w:pPr>
    </w:p>
    <w:p>
      <w:pPr>
        <w:pStyle w:val="BodyText"/>
        <w:tabs>
          <w:tab w:pos="595" w:val="left" w:leader="none"/>
        </w:tabs>
        <w:spacing w:line="240" w:lineRule="auto"/>
        <w:ind w:left="120" w:right="0"/>
        <w:jc w:val="left"/>
      </w:pPr>
      <w:r>
        <w:rPr>
          <w:rFonts w:ascii="Arial" w:hAnsi="Arial" w:cs="Arial" w:eastAsia="Arial" w:hint="default"/>
        </w:rPr>
        <w:t>(e)</w:t>
        <w:tab/>
      </w:r>
      <w:r>
        <w:rPr/>
        <w:t>固定资产的处置</w:t>
      </w:r>
    </w:p>
    <w:p>
      <w:pPr>
        <w:spacing w:line="240" w:lineRule="auto" w:before="7"/>
        <w:rPr>
          <w:rFonts w:ascii="宋体" w:hAnsi="宋体" w:cs="宋体" w:eastAsia="宋体" w:hint="default"/>
          <w:sz w:val="18"/>
          <w:szCs w:val="18"/>
        </w:rPr>
      </w:pPr>
    </w:p>
    <w:p>
      <w:pPr>
        <w:pStyle w:val="BodyText"/>
        <w:spacing w:line="286" w:lineRule="exact"/>
        <w:ind w:left="598" w:right="212"/>
        <w:jc w:val="both"/>
      </w:pPr>
      <w:r>
        <w:rPr/>
        <w:t>当固定资产被处置、或者预期通过使用或处置不能产生经济利益时，终止确认该固定资产。</w:t>
      </w:r>
      <w:r>
        <w:rPr>
          <w:spacing w:val="-76"/>
        </w:rPr>
        <w:t> </w:t>
      </w:r>
      <w:r>
        <w:rPr>
          <w:spacing w:val="-76"/>
        </w:rPr>
      </w:r>
      <w:r>
        <w:rPr/>
        <w:t>固定资产出售、转让、报废或毁损时的处置收入扣除其账面价值和相关税费后的金额计入当</w:t>
      </w:r>
      <w:r>
        <w:rPr>
          <w:spacing w:val="-76"/>
        </w:rPr>
        <w:t> </w:t>
      </w:r>
      <w:r>
        <w:rPr>
          <w:spacing w:val="-76"/>
        </w:rPr>
      </w:r>
      <w:r>
        <w:rPr/>
        <w:t>期损益。</w:t>
      </w:r>
    </w:p>
    <w:p>
      <w:pPr>
        <w:pStyle w:val="BodyText"/>
        <w:spacing w:line="240" w:lineRule="auto" w:before="197"/>
        <w:ind w:left="120" w:right="0"/>
        <w:jc w:val="left"/>
      </w:pPr>
      <w:r>
        <w:rPr>
          <w:rFonts w:ascii="Arial" w:hAnsi="Arial" w:cs="Arial" w:eastAsia="Arial" w:hint="default"/>
        </w:rPr>
        <w:t>13</w:t>
      </w:r>
      <w:r>
        <w:rPr/>
        <w:t>、在建工程</w:t>
      </w:r>
    </w:p>
    <w:p>
      <w:pPr>
        <w:spacing w:line="240" w:lineRule="auto" w:before="10"/>
        <w:rPr>
          <w:rFonts w:ascii="宋体" w:hAnsi="宋体" w:cs="宋体" w:eastAsia="宋体" w:hint="default"/>
          <w:sz w:val="16"/>
          <w:szCs w:val="16"/>
        </w:rPr>
      </w:pPr>
    </w:p>
    <w:p>
      <w:pPr>
        <w:pStyle w:val="BodyText"/>
        <w:spacing w:line="237" w:lineRule="auto"/>
        <w:ind w:left="598" w:right="211"/>
        <w:jc w:val="both"/>
      </w:pPr>
      <w:r>
        <w:rPr/>
        <w:t>在建工程按实际发生的成本计量。实际成本包括建筑成本、安装成本、符合资本化条件的借</w:t>
      </w:r>
      <w:r>
        <w:rPr>
          <w:spacing w:val="-76"/>
        </w:rPr>
        <w:t> </w:t>
      </w:r>
      <w:r>
        <w:rPr>
          <w:spacing w:val="-76"/>
        </w:rPr>
      </w:r>
      <w:r>
        <w:rPr/>
        <w:t>款费用以及其他为使在建工程达到预定可使用状态所发生的必要支出。在建工程在达到预定</w:t>
      </w:r>
      <w:r>
        <w:rPr>
          <w:spacing w:val="-76"/>
        </w:rPr>
        <w:t> </w:t>
      </w:r>
      <w:r>
        <w:rPr>
          <w:spacing w:val="-76"/>
        </w:rPr>
      </w:r>
      <w:r>
        <w:rPr/>
        <w:t>可使用状态时，转入固定资产并自次月起开始计提折旧。</w:t>
      </w:r>
    </w:p>
    <w:p>
      <w:pPr>
        <w:spacing w:line="240" w:lineRule="auto" w:before="4"/>
        <w:rPr>
          <w:rFonts w:ascii="宋体" w:hAnsi="宋体" w:cs="宋体" w:eastAsia="宋体" w:hint="default"/>
          <w:sz w:val="19"/>
          <w:szCs w:val="19"/>
        </w:rPr>
      </w:pPr>
    </w:p>
    <w:p>
      <w:pPr>
        <w:pStyle w:val="BodyText"/>
        <w:spacing w:line="240" w:lineRule="auto"/>
        <w:ind w:left="598" w:right="0"/>
        <w:jc w:val="both"/>
      </w:pPr>
      <w:r>
        <w:rPr/>
        <w:t>当在建工程的可收回金额低于其账面价值时，账面价值减记至可收回金额（附注三</w:t>
      </w:r>
      <w:r>
        <w:rPr>
          <w:rFonts w:ascii="Arial" w:hAnsi="Arial" w:cs="Arial" w:eastAsia="Arial" w:hint="default"/>
        </w:rPr>
        <w:t>(17)</w:t>
      </w:r>
      <w:r>
        <w:rPr/>
        <w:t>）。</w:t>
      </w:r>
    </w:p>
    <w:p>
      <w:pPr>
        <w:spacing w:after="0" w:line="240" w:lineRule="auto"/>
        <w:jc w:val="both"/>
        <w:sectPr>
          <w:headerReference w:type="default" r:id="rId51"/>
          <w:pgSz w:w="11910" w:h="16840"/>
          <w:pgMar w:header="965" w:footer="769" w:top="2820" w:bottom="960" w:left="1440" w:right="820"/>
        </w:sectPr>
      </w:pPr>
    </w:p>
    <w:p>
      <w:pPr>
        <w:spacing w:line="240" w:lineRule="auto" w:before="0"/>
        <w:rPr>
          <w:rFonts w:ascii="宋体" w:hAnsi="宋体" w:cs="宋体" w:eastAsia="宋体" w:hint="default"/>
          <w:sz w:val="18"/>
          <w:szCs w:val="18"/>
        </w:rPr>
      </w:pPr>
    </w:p>
    <w:p>
      <w:pPr>
        <w:pStyle w:val="BodyText"/>
        <w:spacing w:line="240" w:lineRule="auto" w:before="32"/>
        <w:ind w:left="120" w:right="2130"/>
        <w:jc w:val="left"/>
      </w:pPr>
      <w:r>
        <w:rPr>
          <w:rFonts w:ascii="Arial" w:hAnsi="Arial" w:cs="Arial" w:eastAsia="Arial" w:hint="default"/>
        </w:rPr>
        <w:t>14</w:t>
      </w:r>
      <w:r>
        <w:rPr/>
        <w:t>、借款费用</w:t>
      </w:r>
    </w:p>
    <w:p>
      <w:pPr>
        <w:spacing w:line="240" w:lineRule="auto" w:before="3"/>
        <w:rPr>
          <w:rFonts w:ascii="宋体" w:hAnsi="宋体" w:cs="宋体" w:eastAsia="宋体" w:hint="default"/>
          <w:sz w:val="18"/>
          <w:szCs w:val="18"/>
        </w:rPr>
      </w:pPr>
    </w:p>
    <w:p>
      <w:pPr>
        <w:pStyle w:val="BodyText"/>
        <w:spacing w:line="237" w:lineRule="auto"/>
        <w:ind w:left="598" w:right="111"/>
        <w:jc w:val="both"/>
      </w:pPr>
      <w:r>
        <w:rPr/>
        <w:t>发生的可直接归属于需要经过相当长时间的购建活动才能达到预定可使用状态之固定资产的</w:t>
      </w:r>
      <w:r>
        <w:rPr>
          <w:spacing w:val="-76"/>
        </w:rPr>
        <w:t> </w:t>
      </w:r>
      <w:r>
        <w:rPr>
          <w:spacing w:val="-76"/>
        </w:rPr>
      </w:r>
      <w:r>
        <w:rPr/>
        <w:t>购建的借款费用，在资产支出及借款费用已经发生、为使资产达到预定可使用状态所必要的</w:t>
      </w:r>
      <w:r>
        <w:rPr>
          <w:spacing w:val="-76"/>
        </w:rPr>
        <w:t> </w:t>
      </w:r>
      <w:r>
        <w:rPr>
          <w:spacing w:val="-76"/>
        </w:rPr>
      </w:r>
      <w:r>
        <w:rPr/>
        <w:t>购建活动已经开始时，开始资本化并计入该资产的成本。当购建的资产达到预定可使用状态</w:t>
      </w:r>
      <w:r>
        <w:rPr>
          <w:spacing w:val="-76"/>
        </w:rPr>
        <w:t> </w:t>
      </w:r>
      <w:r>
        <w:rPr>
          <w:spacing w:val="-76"/>
        </w:rPr>
      </w:r>
      <w:r>
        <w:rPr/>
        <w:t>时停止资本化，其后发生的借款费用计入当期损益。如果资产的购建活动发生非正常中断，</w:t>
      </w:r>
      <w:r>
        <w:rPr>
          <w:spacing w:val="-75"/>
        </w:rPr>
        <w:t> </w:t>
      </w:r>
      <w:r>
        <w:rPr>
          <w:spacing w:val="-75"/>
        </w:rPr>
      </w:r>
      <w:r>
        <w:rPr/>
        <w:t>并且中断时间连续超过</w:t>
      </w:r>
      <w:r>
        <w:rPr>
          <w:rFonts w:ascii="Arial" w:hAnsi="Arial" w:cs="Arial" w:eastAsia="Arial" w:hint="default"/>
        </w:rPr>
        <w:t>3</w:t>
      </w:r>
      <w:r>
        <w:rPr/>
        <w:t>个月，暂停借款费用的资本化，直至资产的购建活动重新开始。</w:t>
      </w:r>
    </w:p>
    <w:p>
      <w:pPr>
        <w:spacing w:line="240" w:lineRule="auto" w:before="1"/>
        <w:rPr>
          <w:rFonts w:ascii="宋体" w:hAnsi="宋体" w:cs="宋体" w:eastAsia="宋体" w:hint="default"/>
          <w:sz w:val="20"/>
          <w:szCs w:val="20"/>
        </w:rPr>
      </w:pPr>
    </w:p>
    <w:p>
      <w:pPr>
        <w:pStyle w:val="BodyText"/>
        <w:spacing w:line="286" w:lineRule="exact"/>
        <w:ind w:left="598" w:right="112"/>
        <w:jc w:val="both"/>
      </w:pPr>
      <w:r>
        <w:rPr/>
        <w:t>对于为购建符合资本化条件的固定资产而占用的一般借款，按照累计资产支出超过专门借款</w:t>
      </w:r>
      <w:r>
        <w:rPr>
          <w:spacing w:val="-76"/>
        </w:rPr>
        <w:t> </w:t>
      </w:r>
      <w:r>
        <w:rPr>
          <w:spacing w:val="-76"/>
        </w:rPr>
      </w:r>
      <w:r>
        <w:rPr/>
        <w:t>部分的资本支出加权平均数乘以所占用一般借款的加权平均实际利率计算确定一般借款费用</w:t>
      </w:r>
      <w:r>
        <w:rPr>
          <w:spacing w:val="-76"/>
        </w:rPr>
        <w:t> </w:t>
      </w:r>
      <w:r>
        <w:rPr>
          <w:spacing w:val="-76"/>
        </w:rPr>
      </w:r>
      <w:r>
        <w:rPr/>
        <w:t>的资本化金额。实际利率为将借款在预期存续期间或适用的更短期间内的未来现金流量折现</w:t>
      </w:r>
      <w:r>
        <w:rPr>
          <w:spacing w:val="-76"/>
        </w:rPr>
        <w:t> </w:t>
      </w:r>
      <w:r>
        <w:rPr>
          <w:spacing w:val="-76"/>
        </w:rPr>
      </w:r>
      <w:r>
        <w:rPr/>
        <w:t>为该借款初始确认金额所使用的利率。</w:t>
      </w:r>
    </w:p>
    <w:p>
      <w:pPr>
        <w:pStyle w:val="BodyText"/>
        <w:spacing w:line="240" w:lineRule="auto" w:before="197"/>
        <w:ind w:left="120" w:right="2130"/>
        <w:jc w:val="left"/>
      </w:pPr>
      <w:r>
        <w:rPr>
          <w:rFonts w:ascii="Arial" w:hAnsi="Arial" w:cs="Arial" w:eastAsia="Arial" w:hint="default"/>
        </w:rPr>
        <w:t>15</w:t>
      </w:r>
      <w:r>
        <w:rPr/>
        <w:t>、无形资产</w:t>
      </w:r>
    </w:p>
    <w:p>
      <w:pPr>
        <w:spacing w:line="240" w:lineRule="auto" w:before="8"/>
        <w:rPr>
          <w:rFonts w:ascii="宋体" w:hAnsi="宋体" w:cs="宋体" w:eastAsia="宋体" w:hint="default"/>
          <w:sz w:val="16"/>
          <w:szCs w:val="16"/>
        </w:rPr>
      </w:pPr>
    </w:p>
    <w:p>
      <w:pPr>
        <w:pStyle w:val="BodyText"/>
        <w:spacing w:line="240" w:lineRule="auto"/>
        <w:ind w:left="598" w:right="112"/>
        <w:jc w:val="both"/>
      </w:pPr>
      <w:r>
        <w:rPr/>
        <w:t>无形资产主要包括土地使用权、计算机软件和电路及设备使用权等，以成本计量。本集团重</w:t>
      </w:r>
      <w:r>
        <w:rPr>
          <w:spacing w:val="-76"/>
        </w:rPr>
        <w:t> </w:t>
      </w:r>
      <w:r>
        <w:rPr>
          <w:spacing w:val="-76"/>
        </w:rPr>
      </w:r>
      <w:r>
        <w:rPr/>
        <w:t>组时国有股股东投入的无形资产，按国有资产管理部门确认的评估值作为入账价值。</w:t>
      </w:r>
    </w:p>
    <w:p>
      <w:pPr>
        <w:spacing w:line="240" w:lineRule="auto" w:before="1"/>
        <w:rPr>
          <w:rFonts w:ascii="宋体" w:hAnsi="宋体" w:cs="宋体" w:eastAsia="宋体" w:hint="default"/>
          <w:sz w:val="17"/>
          <w:szCs w:val="17"/>
        </w:rPr>
      </w:pPr>
    </w:p>
    <w:p>
      <w:pPr>
        <w:pStyle w:val="BodyText"/>
        <w:tabs>
          <w:tab w:pos="595" w:val="left" w:leader="none"/>
        </w:tabs>
        <w:spacing w:line="240" w:lineRule="auto"/>
        <w:ind w:left="120" w:right="2130"/>
        <w:jc w:val="left"/>
      </w:pPr>
      <w:r>
        <w:rPr>
          <w:rFonts w:ascii="Arial" w:hAnsi="Arial" w:cs="Arial" w:eastAsia="Arial" w:hint="default"/>
        </w:rPr>
        <w:t>(a)</w:t>
        <w:tab/>
      </w:r>
      <w:r>
        <w:rPr/>
        <w:t>土地使用权</w:t>
      </w:r>
    </w:p>
    <w:p>
      <w:pPr>
        <w:spacing w:line="240" w:lineRule="auto" w:before="5"/>
        <w:rPr>
          <w:rFonts w:ascii="宋体" w:hAnsi="宋体" w:cs="宋体" w:eastAsia="宋体" w:hint="default"/>
          <w:sz w:val="19"/>
          <w:szCs w:val="19"/>
        </w:rPr>
      </w:pPr>
    </w:p>
    <w:p>
      <w:pPr>
        <w:pStyle w:val="BodyText"/>
        <w:spacing w:line="240" w:lineRule="exact"/>
        <w:ind w:left="595" w:right="112"/>
        <w:jc w:val="both"/>
      </w:pPr>
      <w:r>
        <w:rPr/>
        <w:t>土地使用权按使用年限平均摊销。外购土地及建筑物支付的价款在建筑物与土地使用权之间</w:t>
      </w:r>
      <w:r>
        <w:rPr>
          <w:spacing w:val="-73"/>
        </w:rPr>
        <w:t> </w:t>
      </w:r>
      <w:r>
        <w:rPr>
          <w:spacing w:val="-73"/>
        </w:rPr>
      </w:r>
      <w:r>
        <w:rPr/>
        <w:t>进行分配。</w:t>
      </w:r>
    </w:p>
    <w:p>
      <w:pPr>
        <w:pStyle w:val="BodyText"/>
        <w:tabs>
          <w:tab w:pos="595" w:val="left" w:leader="none"/>
        </w:tabs>
        <w:spacing w:line="240" w:lineRule="auto" w:before="189"/>
        <w:ind w:left="120" w:right="2130"/>
        <w:jc w:val="left"/>
      </w:pPr>
      <w:r>
        <w:rPr>
          <w:rFonts w:ascii="Arial" w:hAnsi="Arial" w:cs="Arial" w:eastAsia="Arial" w:hint="default"/>
        </w:rPr>
        <w:t>(b)</w:t>
        <w:tab/>
      </w:r>
      <w:r>
        <w:rPr/>
        <w:t>计算机软件</w:t>
      </w:r>
    </w:p>
    <w:p>
      <w:pPr>
        <w:spacing w:line="240" w:lineRule="auto" w:before="5"/>
        <w:rPr>
          <w:rFonts w:ascii="宋体" w:hAnsi="宋体" w:cs="宋体" w:eastAsia="宋体" w:hint="default"/>
          <w:sz w:val="16"/>
          <w:szCs w:val="16"/>
        </w:rPr>
      </w:pPr>
    </w:p>
    <w:p>
      <w:pPr>
        <w:pStyle w:val="BodyText"/>
        <w:spacing w:line="240" w:lineRule="auto"/>
        <w:ind w:left="598" w:right="0"/>
        <w:jc w:val="both"/>
      </w:pPr>
      <w:r>
        <w:rPr/>
        <w:t>计算机软件在其预计使用年限内平均摊销。</w:t>
      </w:r>
    </w:p>
    <w:p>
      <w:pPr>
        <w:spacing w:line="240" w:lineRule="auto" w:before="1"/>
        <w:rPr>
          <w:rFonts w:ascii="宋体" w:hAnsi="宋体" w:cs="宋体" w:eastAsia="宋体" w:hint="default"/>
          <w:sz w:val="17"/>
          <w:szCs w:val="17"/>
        </w:rPr>
      </w:pPr>
    </w:p>
    <w:p>
      <w:pPr>
        <w:pStyle w:val="BodyText"/>
        <w:tabs>
          <w:tab w:pos="595" w:val="left" w:leader="none"/>
        </w:tabs>
        <w:spacing w:line="240" w:lineRule="auto"/>
        <w:ind w:left="120" w:right="2130"/>
        <w:jc w:val="left"/>
      </w:pPr>
      <w:r>
        <w:rPr>
          <w:rFonts w:ascii="Arial" w:hAnsi="Arial" w:cs="Arial" w:eastAsia="Arial" w:hint="default"/>
        </w:rPr>
        <w:t>(c)</w:t>
        <w:tab/>
      </w:r>
      <w:r>
        <w:rPr/>
        <w:t>电路及设备使用权</w:t>
      </w:r>
    </w:p>
    <w:p>
      <w:pPr>
        <w:spacing w:line="240" w:lineRule="auto" w:before="10"/>
        <w:rPr>
          <w:rFonts w:ascii="宋体" w:hAnsi="宋体" w:cs="宋体" w:eastAsia="宋体" w:hint="default"/>
          <w:sz w:val="18"/>
          <w:szCs w:val="18"/>
        </w:rPr>
      </w:pPr>
    </w:p>
    <w:p>
      <w:pPr>
        <w:pStyle w:val="BodyText"/>
        <w:spacing w:line="286" w:lineRule="exact"/>
        <w:ind w:left="598" w:right="112"/>
        <w:jc w:val="both"/>
      </w:pPr>
      <w:r>
        <w:rPr/>
        <w:t>电路及设备使用权主要是指本集团购买的不可撤销使用权的网络容量的资本性支出，以成本</w:t>
      </w:r>
      <w:r>
        <w:rPr>
          <w:spacing w:val="-76"/>
        </w:rPr>
        <w:t> </w:t>
      </w:r>
      <w:r>
        <w:rPr>
          <w:spacing w:val="-76"/>
        </w:rPr>
      </w:r>
      <w:r>
        <w:rPr/>
        <w:t>入账并按预计使用期限平均摊销。</w:t>
      </w:r>
    </w:p>
    <w:p>
      <w:pPr>
        <w:pStyle w:val="BodyText"/>
        <w:tabs>
          <w:tab w:pos="595" w:val="left" w:leader="none"/>
        </w:tabs>
        <w:spacing w:line="240" w:lineRule="auto" w:before="185"/>
        <w:ind w:left="120" w:right="2130"/>
        <w:jc w:val="left"/>
      </w:pPr>
      <w:r>
        <w:rPr>
          <w:rFonts w:ascii="Arial" w:hAnsi="Arial" w:cs="Arial" w:eastAsia="Arial" w:hint="default"/>
        </w:rPr>
        <w:t>(d)</w:t>
        <w:tab/>
      </w:r>
      <w:r>
        <w:rPr/>
        <w:t>定期复核使用寿命和摊销方法</w:t>
      </w:r>
    </w:p>
    <w:p>
      <w:pPr>
        <w:spacing w:line="240" w:lineRule="auto" w:before="10"/>
        <w:rPr>
          <w:rFonts w:ascii="宋体" w:hAnsi="宋体" w:cs="宋体" w:eastAsia="宋体" w:hint="default"/>
          <w:sz w:val="17"/>
          <w:szCs w:val="17"/>
        </w:rPr>
      </w:pPr>
    </w:p>
    <w:p>
      <w:pPr>
        <w:pStyle w:val="BodyText"/>
        <w:spacing w:line="284" w:lineRule="exact"/>
        <w:ind w:left="598" w:right="112"/>
        <w:jc w:val="both"/>
      </w:pPr>
      <w:r>
        <w:rPr/>
        <w:t>本集团对使用寿命有限的无形资产的预计使用寿命及摊销方法于每年年度终了进行复核并作</w:t>
      </w:r>
      <w:r>
        <w:rPr>
          <w:spacing w:val="-76"/>
        </w:rPr>
        <w:t> </w:t>
      </w:r>
      <w:r>
        <w:rPr>
          <w:spacing w:val="-76"/>
        </w:rPr>
      </w:r>
      <w:r>
        <w:rPr/>
        <w:t>适当调整。</w:t>
      </w:r>
    </w:p>
    <w:p>
      <w:pPr>
        <w:spacing w:line="240" w:lineRule="auto" w:before="4"/>
        <w:rPr>
          <w:rFonts w:ascii="宋体" w:hAnsi="宋体" w:cs="宋体" w:eastAsia="宋体" w:hint="default"/>
          <w:sz w:val="15"/>
          <w:szCs w:val="15"/>
        </w:rPr>
      </w:pPr>
    </w:p>
    <w:p>
      <w:pPr>
        <w:pStyle w:val="BodyText"/>
        <w:spacing w:line="410" w:lineRule="auto"/>
        <w:ind w:left="588" w:right="0" w:hanging="468"/>
        <w:jc w:val="left"/>
      </w:pPr>
      <w:r>
        <w:rPr>
          <w:rFonts w:ascii="Arial" w:hAnsi="Arial" w:cs="Arial" w:eastAsia="Arial" w:hint="default"/>
        </w:rPr>
        <w:t>(e)</w:t>
      </w:r>
      <w:r>
        <w:rPr>
          <w:rFonts w:ascii="Arial" w:hAnsi="Arial" w:cs="Arial" w:eastAsia="Arial" w:hint="default"/>
          <w:spacing w:val="14"/>
        </w:rPr>
        <w:t> </w:t>
      </w:r>
      <w:r>
        <w:rPr/>
        <w:t>无形资产减值</w:t>
      </w:r>
      <w:r>
        <w:rPr>
          <w:spacing w:val="-108"/>
        </w:rPr>
        <w:t> </w:t>
      </w:r>
      <w:r>
        <w:rPr>
          <w:spacing w:val="-108"/>
        </w:rPr>
      </w:r>
      <w:r>
        <w:rPr>
          <w:spacing w:val="-2"/>
        </w:rPr>
        <w:t>当无形资产的可收回金额低于其账面价值时，账面价值减记至可收回金额（附注三</w:t>
      </w:r>
      <w:r>
        <w:rPr>
          <w:rFonts w:ascii="Arial" w:hAnsi="Arial" w:cs="Arial" w:eastAsia="Arial" w:hint="default"/>
          <w:spacing w:val="-2"/>
        </w:rPr>
        <w:t>(17)</w:t>
      </w:r>
      <w:r>
        <w:rPr>
          <w:spacing w:val="-2"/>
        </w:rPr>
        <w:t>）。</w:t>
      </w:r>
      <w:r>
        <w:rPr/>
      </w:r>
    </w:p>
    <w:p>
      <w:pPr>
        <w:spacing w:after="0" w:line="410" w:lineRule="auto"/>
        <w:jc w:val="left"/>
        <w:sectPr>
          <w:headerReference w:type="default" r:id="rId52"/>
          <w:pgSz w:w="11910" w:h="16840"/>
          <w:pgMar w:header="965" w:footer="769" w:top="2820" w:bottom="960" w:left="1440" w:right="920"/>
        </w:sectPr>
      </w:pPr>
    </w:p>
    <w:p>
      <w:pPr>
        <w:spacing w:line="240" w:lineRule="auto" w:before="0"/>
        <w:rPr>
          <w:rFonts w:ascii="宋体" w:hAnsi="宋体" w:cs="宋体" w:eastAsia="宋体" w:hint="default"/>
          <w:sz w:val="18"/>
          <w:szCs w:val="18"/>
        </w:rPr>
      </w:pPr>
    </w:p>
    <w:p>
      <w:pPr>
        <w:pStyle w:val="BodyText"/>
        <w:spacing w:line="240" w:lineRule="auto" w:before="32"/>
        <w:ind w:left="120" w:right="115"/>
        <w:jc w:val="left"/>
      </w:pPr>
      <w:r>
        <w:rPr>
          <w:rFonts w:ascii="Arial" w:hAnsi="Arial" w:cs="Arial" w:eastAsia="Arial" w:hint="default"/>
        </w:rPr>
        <w:t>16</w:t>
      </w:r>
      <w:r>
        <w:rPr/>
        <w:t>、长期待摊费用</w:t>
      </w:r>
    </w:p>
    <w:p>
      <w:pPr>
        <w:spacing w:line="240" w:lineRule="auto" w:before="1"/>
        <w:rPr>
          <w:rFonts w:ascii="宋体" w:hAnsi="宋体" w:cs="宋体" w:eastAsia="宋体" w:hint="default"/>
          <w:sz w:val="18"/>
          <w:szCs w:val="18"/>
        </w:rPr>
      </w:pPr>
    </w:p>
    <w:p>
      <w:pPr>
        <w:pStyle w:val="BodyText"/>
        <w:spacing w:line="293" w:lineRule="exact"/>
        <w:ind w:left="588" w:right="0"/>
        <w:jc w:val="both"/>
      </w:pPr>
      <w:r>
        <w:rPr>
          <w:spacing w:val="-3"/>
        </w:rPr>
        <w:t>长期待摊费用主要包括以下已经发生但应由本年和以后各期负担的摊销期限在</w:t>
      </w:r>
      <w:r>
        <w:rPr>
          <w:rFonts w:ascii="Arial" w:hAnsi="Arial" w:cs="Arial" w:eastAsia="Arial" w:hint="default"/>
          <w:spacing w:val="-3"/>
        </w:rPr>
        <w:t>1</w:t>
      </w:r>
      <w:r>
        <w:rPr>
          <w:spacing w:val="-3"/>
        </w:rPr>
        <w:t>年以上（不含</w:t>
      </w:r>
    </w:p>
    <w:p>
      <w:pPr>
        <w:pStyle w:val="BodyText"/>
        <w:spacing w:line="293" w:lineRule="exact"/>
        <w:ind w:left="588" w:right="0"/>
        <w:jc w:val="both"/>
      </w:pPr>
      <w:r>
        <w:rPr>
          <w:rFonts w:ascii="Arial" w:hAnsi="Arial" w:cs="Arial" w:eastAsia="Arial" w:hint="default"/>
          <w:spacing w:val="-6"/>
        </w:rPr>
        <w:t>1</w:t>
      </w:r>
      <w:r>
        <w:rPr>
          <w:spacing w:val="-6"/>
        </w:rPr>
        <w:t>年）的各项费用，按预计受益期间分期平均摊销，并以实际支出减去累计摊销后的净额列示。</w:t>
      </w:r>
    </w:p>
    <w:p>
      <w:pPr>
        <w:spacing w:line="240" w:lineRule="auto" w:before="3"/>
        <w:rPr>
          <w:rFonts w:ascii="宋体" w:hAnsi="宋体" w:cs="宋体" w:eastAsia="宋体" w:hint="default"/>
          <w:sz w:val="20"/>
          <w:szCs w:val="20"/>
        </w:rPr>
      </w:pPr>
    </w:p>
    <w:p>
      <w:pPr>
        <w:pStyle w:val="BodyText"/>
        <w:tabs>
          <w:tab w:pos="597" w:val="left" w:leader="none"/>
        </w:tabs>
        <w:spacing w:line="286" w:lineRule="exact"/>
        <w:ind w:left="607" w:right="230" w:hanging="488"/>
        <w:jc w:val="left"/>
      </w:pPr>
      <w:r>
        <w:rPr>
          <w:rFonts w:ascii="Arial" w:hAnsi="Arial" w:cs="Arial" w:eastAsia="Arial" w:hint="default"/>
        </w:rPr>
        <w:t>(a)</w:t>
        <w:tab/>
      </w:r>
      <w:r>
        <w:rPr/>
        <w:t>经营租入固定资产改良主要指本集团采用经营租赁方式租入办公或经营用房等发生的装修等</w:t>
      </w:r>
      <w:r>
        <w:rPr>
          <w:spacing w:val="-73"/>
        </w:rPr>
        <w:t> </w:t>
      </w:r>
      <w:r>
        <w:rPr>
          <w:spacing w:val="-73"/>
        </w:rPr>
      </w:r>
      <w:r>
        <w:rPr/>
        <w:t>改良支出，按租期与预期受益期限孰短（租期一般为</w:t>
      </w:r>
      <w:r>
        <w:rPr>
          <w:spacing w:val="-55"/>
        </w:rPr>
        <w:t> </w:t>
      </w:r>
      <w:r>
        <w:rPr>
          <w:rFonts w:ascii="Arial" w:hAnsi="Arial" w:cs="Arial" w:eastAsia="Arial" w:hint="default"/>
        </w:rPr>
        <w:t>5</w:t>
      </w:r>
      <w:r>
        <w:rPr>
          <w:rFonts w:ascii="Arial" w:hAnsi="Arial" w:cs="Arial" w:eastAsia="Arial" w:hint="default"/>
          <w:spacing w:val="-8"/>
        </w:rPr>
        <w:t> </w:t>
      </w:r>
      <w:r>
        <w:rPr/>
        <w:t>年至</w:t>
      </w:r>
      <w:r>
        <w:rPr>
          <w:spacing w:val="-56"/>
        </w:rPr>
        <w:t> </w:t>
      </w:r>
      <w:r>
        <w:rPr>
          <w:rFonts w:ascii="Arial" w:hAnsi="Arial" w:cs="Arial" w:eastAsia="Arial" w:hint="default"/>
        </w:rPr>
        <w:t>10</w:t>
      </w:r>
      <w:r>
        <w:rPr>
          <w:rFonts w:ascii="Arial" w:hAnsi="Arial" w:cs="Arial" w:eastAsia="Arial" w:hint="default"/>
          <w:spacing w:val="-10"/>
        </w:rPr>
        <w:t> </w:t>
      </w:r>
      <w:r>
        <w:rPr/>
        <w:t>年）以直线法平均摊销；</w:t>
      </w:r>
    </w:p>
    <w:p>
      <w:pPr>
        <w:spacing w:line="240" w:lineRule="auto" w:before="3"/>
        <w:rPr>
          <w:rFonts w:ascii="宋体" w:hAnsi="宋体" w:cs="宋体" w:eastAsia="宋体" w:hint="default"/>
          <w:sz w:val="19"/>
          <w:szCs w:val="19"/>
        </w:rPr>
      </w:pPr>
    </w:p>
    <w:p>
      <w:pPr>
        <w:pStyle w:val="BodyText"/>
        <w:tabs>
          <w:tab w:pos="609" w:val="left" w:leader="none"/>
        </w:tabs>
        <w:spacing w:line="286" w:lineRule="exact"/>
        <w:ind w:left="607" w:right="225" w:hanging="488"/>
        <w:jc w:val="left"/>
      </w:pPr>
      <w:r>
        <w:rPr>
          <w:rFonts w:ascii="Arial" w:hAnsi="Arial" w:cs="Arial" w:eastAsia="Arial" w:hint="default"/>
        </w:rPr>
        <w:t>(b)</w:t>
        <w:tab/>
        <w:tab/>
      </w:r>
      <w:r>
        <w:rPr>
          <w:spacing w:val="2"/>
        </w:rPr>
        <w:t>长期预付租金指按经营租赁方式租赁的基础通信设施及营业场所等所预付的超过 </w:t>
      </w:r>
      <w:r>
        <w:rPr>
          <w:rFonts w:ascii="Arial" w:hAnsi="Arial" w:cs="Arial" w:eastAsia="Arial" w:hint="default"/>
        </w:rPr>
        <w:t>1 </w:t>
      </w:r>
      <w:r>
        <w:rPr>
          <w:rFonts w:ascii="Arial" w:hAnsi="Arial" w:cs="Arial" w:eastAsia="Arial" w:hint="default"/>
          <w:spacing w:val="29"/>
        </w:rPr>
        <w:t> </w:t>
      </w:r>
      <w:r>
        <w:rPr/>
        <w:t>年的租</w:t>
      </w:r>
      <w:r>
        <w:rPr>
          <w:w w:val="100"/>
        </w:rPr>
        <w:t> </w:t>
      </w:r>
      <w:r>
        <w:rPr/>
        <w:t>金，以直线法于租赁期内（一般为</w:t>
      </w:r>
      <w:r>
        <w:rPr>
          <w:spacing w:val="-55"/>
        </w:rPr>
        <w:t> </w:t>
      </w:r>
      <w:r>
        <w:rPr>
          <w:rFonts w:ascii="Arial" w:hAnsi="Arial" w:cs="Arial" w:eastAsia="Arial" w:hint="default"/>
        </w:rPr>
        <w:t>3</w:t>
      </w:r>
      <w:r>
        <w:rPr>
          <w:rFonts w:ascii="Arial" w:hAnsi="Arial" w:cs="Arial" w:eastAsia="Arial" w:hint="default"/>
          <w:spacing w:val="-9"/>
        </w:rPr>
        <w:t> </w:t>
      </w:r>
      <w:r>
        <w:rPr/>
        <w:t>年至</w:t>
      </w:r>
      <w:r>
        <w:rPr>
          <w:spacing w:val="-55"/>
        </w:rPr>
        <w:t> </w:t>
      </w:r>
      <w:r>
        <w:rPr>
          <w:rFonts w:ascii="Arial" w:hAnsi="Arial" w:cs="Arial" w:eastAsia="Arial" w:hint="default"/>
        </w:rPr>
        <w:t>10</w:t>
      </w:r>
      <w:r>
        <w:rPr>
          <w:rFonts w:ascii="Arial" w:hAnsi="Arial" w:cs="Arial" w:eastAsia="Arial" w:hint="default"/>
          <w:spacing w:val="-9"/>
        </w:rPr>
        <w:t> </w:t>
      </w:r>
      <w:r>
        <w:rPr/>
        <w:t>年）平均摊销；</w:t>
      </w:r>
    </w:p>
    <w:p>
      <w:pPr>
        <w:spacing w:line="240" w:lineRule="auto" w:before="3"/>
        <w:rPr>
          <w:rFonts w:ascii="宋体" w:hAnsi="宋体" w:cs="宋体" w:eastAsia="宋体" w:hint="default"/>
          <w:sz w:val="19"/>
          <w:szCs w:val="19"/>
        </w:rPr>
      </w:pPr>
    </w:p>
    <w:p>
      <w:pPr>
        <w:pStyle w:val="BodyText"/>
        <w:tabs>
          <w:tab w:pos="609" w:val="left" w:leader="none"/>
        </w:tabs>
        <w:spacing w:line="286" w:lineRule="exact"/>
        <w:ind w:left="607" w:right="227" w:hanging="488"/>
        <w:jc w:val="left"/>
      </w:pPr>
      <w:r>
        <w:rPr>
          <w:rFonts w:ascii="Arial" w:hAnsi="Arial" w:cs="Arial" w:eastAsia="Arial" w:hint="default"/>
        </w:rPr>
        <w:t>(c)</w:t>
        <w:tab/>
        <w:tab/>
      </w:r>
      <w:r>
        <w:rPr/>
        <w:t>外市电引入是本集团在网络建设过程中，与地方的供电部门共同建设的电力输送设施（本集</w:t>
      </w:r>
      <w:r>
        <w:rPr>
          <w:spacing w:val="-81"/>
        </w:rPr>
        <w:t> </w:t>
      </w:r>
      <w:r>
        <w:rPr>
          <w:spacing w:val="-81"/>
        </w:rPr>
      </w:r>
      <w:r>
        <w:rPr/>
        <w:t>团对此类资产只拥有使用权），该等设施一般以直线法于</w:t>
      </w:r>
      <w:r>
        <w:rPr>
          <w:spacing w:val="-56"/>
        </w:rPr>
        <w:t> </w:t>
      </w:r>
      <w:r>
        <w:rPr>
          <w:rFonts w:ascii="Arial" w:hAnsi="Arial" w:cs="Arial" w:eastAsia="Arial" w:hint="default"/>
        </w:rPr>
        <w:t>5</w:t>
      </w:r>
      <w:r>
        <w:rPr>
          <w:rFonts w:ascii="Arial" w:hAnsi="Arial" w:cs="Arial" w:eastAsia="Arial" w:hint="default"/>
          <w:spacing w:val="-9"/>
        </w:rPr>
        <w:t> </w:t>
      </w:r>
      <w:r>
        <w:rPr/>
        <w:t>年内平均摊销；</w:t>
      </w:r>
    </w:p>
    <w:p>
      <w:pPr>
        <w:spacing w:line="240" w:lineRule="auto" w:before="3"/>
        <w:rPr>
          <w:rFonts w:ascii="宋体" w:hAnsi="宋体" w:cs="宋体" w:eastAsia="宋体" w:hint="default"/>
          <w:sz w:val="18"/>
          <w:szCs w:val="18"/>
        </w:rPr>
      </w:pPr>
    </w:p>
    <w:p>
      <w:pPr>
        <w:pStyle w:val="BodyText"/>
        <w:tabs>
          <w:tab w:pos="609" w:val="left" w:leader="none"/>
        </w:tabs>
        <w:spacing w:line="225" w:lineRule="auto"/>
        <w:ind w:left="607" w:right="115" w:hanging="488"/>
        <w:jc w:val="left"/>
      </w:pPr>
      <w:r>
        <w:rPr>
          <w:rFonts w:ascii="Arial" w:hAnsi="Arial" w:cs="Arial" w:eastAsia="Arial" w:hint="default"/>
        </w:rPr>
        <w:t>(d)</w:t>
        <w:tab/>
        <w:tab/>
      </w:r>
      <w:r>
        <w:rPr/>
        <w:t>长期预付线路租赁指按经营租赁方式租赁的通信线路所预付的超过</w:t>
      </w:r>
      <w:r>
        <w:rPr>
          <w:spacing w:val="-50"/>
        </w:rPr>
        <w:t> </w:t>
      </w:r>
      <w:r>
        <w:rPr>
          <w:rFonts w:ascii="Arial" w:hAnsi="Arial" w:cs="Arial" w:eastAsia="Arial" w:hint="default"/>
        </w:rPr>
        <w:t>1</w:t>
      </w:r>
      <w:r>
        <w:rPr>
          <w:rFonts w:ascii="Arial" w:hAnsi="Arial" w:cs="Arial" w:eastAsia="Arial" w:hint="default"/>
          <w:spacing w:val="-3"/>
        </w:rPr>
        <w:t> </w:t>
      </w:r>
      <w:r>
        <w:rPr/>
        <w:t>年的租金，以直线法于</w:t>
      </w:r>
      <w:r>
        <w:rPr>
          <w:w w:val="100"/>
        </w:rPr>
        <w:t> </w:t>
      </w:r>
      <w:r>
        <w:rPr/>
        <w:t>租赁期内（一般为</w:t>
      </w:r>
      <w:r>
        <w:rPr>
          <w:spacing w:val="-55"/>
        </w:rPr>
        <w:t> </w:t>
      </w:r>
      <w:r>
        <w:rPr>
          <w:rFonts w:ascii="Arial" w:hAnsi="Arial" w:cs="Arial" w:eastAsia="Arial" w:hint="default"/>
        </w:rPr>
        <w:t>3</w:t>
      </w:r>
      <w:r>
        <w:rPr>
          <w:rFonts w:ascii="Arial" w:hAnsi="Arial" w:cs="Arial" w:eastAsia="Arial" w:hint="default"/>
          <w:spacing w:val="-6"/>
        </w:rPr>
        <w:t> </w:t>
      </w:r>
      <w:r>
        <w:rPr/>
        <w:t>年至</w:t>
      </w:r>
      <w:r>
        <w:rPr>
          <w:spacing w:val="-55"/>
        </w:rPr>
        <w:t> </w:t>
      </w:r>
      <w:r>
        <w:rPr>
          <w:rFonts w:ascii="Arial" w:hAnsi="Arial" w:cs="Arial" w:eastAsia="Arial" w:hint="default"/>
        </w:rPr>
        <w:t>8</w:t>
      </w:r>
      <w:r>
        <w:rPr>
          <w:rFonts w:ascii="Arial" w:hAnsi="Arial" w:cs="Arial" w:eastAsia="Arial" w:hint="default"/>
          <w:spacing w:val="-7"/>
        </w:rPr>
        <w:t> </w:t>
      </w:r>
      <w:r>
        <w:rPr/>
        <w:t>年）平均摊销；预付网络改良是指为优化、改进整体通信网络性</w:t>
      </w:r>
      <w:r>
        <w:rPr>
          <w:w w:val="100"/>
        </w:rPr>
        <w:t> </w:t>
      </w:r>
      <w:r>
        <w:rPr>
          <w:spacing w:val="-2"/>
        </w:rPr>
        <w:t>能提高通信服务质量预付的长期专项改良费用，通常在合同期和用户平均在网受益期（</w:t>
      </w:r>
      <w:r>
        <w:rPr>
          <w:rFonts w:ascii="Arial" w:hAnsi="Arial" w:cs="Arial" w:eastAsia="Arial" w:hint="default"/>
          <w:spacing w:val="-2"/>
        </w:rPr>
        <w:t>3</w:t>
      </w:r>
      <w:r>
        <w:rPr>
          <w:rFonts w:ascii="Arial" w:hAnsi="Arial" w:cs="Arial" w:eastAsia="Arial" w:hint="default"/>
          <w:spacing w:val="22"/>
        </w:rPr>
        <w:t> </w:t>
      </w:r>
      <w:r>
        <w:rPr/>
        <w:t>年）</w:t>
      </w:r>
      <w:r>
        <w:rPr>
          <w:w w:val="100"/>
        </w:rPr>
        <w:t> </w:t>
      </w:r>
      <w:r>
        <w:rPr/>
        <w:t>孰短期限内平均摊销；</w:t>
      </w:r>
    </w:p>
    <w:p>
      <w:pPr>
        <w:spacing w:line="240" w:lineRule="auto" w:before="5"/>
        <w:rPr>
          <w:rFonts w:ascii="宋体" w:hAnsi="宋体" w:cs="宋体" w:eastAsia="宋体" w:hint="default"/>
          <w:sz w:val="21"/>
          <w:szCs w:val="21"/>
        </w:rPr>
      </w:pPr>
    </w:p>
    <w:p>
      <w:pPr>
        <w:pStyle w:val="BodyText"/>
        <w:spacing w:line="286" w:lineRule="exact"/>
        <w:ind w:left="607" w:right="226" w:hanging="488"/>
        <w:jc w:val="both"/>
      </w:pPr>
      <w:r>
        <w:rPr>
          <w:rFonts w:ascii="Arial" w:hAnsi="Arial" w:cs="Arial" w:eastAsia="Arial" w:hint="default"/>
          <w:w w:val="100"/>
        </w:rPr>
        <w:t>(e) </w:t>
      </w:r>
      <w:r>
        <w:rPr>
          <w:spacing w:val="-5"/>
          <w:w w:val="100"/>
        </w:rPr>
        <w:t>装移机成本主要指与固网业务安装服务相关的直接增加的成本，该成本按</w:t>
      </w:r>
      <w:r>
        <w:rPr>
          <w:w w:val="100"/>
        </w:rPr>
        <w:t> </w:t>
      </w:r>
      <w:r>
        <w:rPr>
          <w:rFonts w:ascii="Arial" w:hAnsi="Arial" w:cs="Arial" w:eastAsia="Arial" w:hint="default"/>
          <w:spacing w:val="-1"/>
          <w:w w:val="100"/>
        </w:rPr>
        <w:t>10</w:t>
      </w:r>
      <w:r>
        <w:rPr>
          <w:rFonts w:ascii="Arial" w:hAnsi="Arial" w:cs="Arial" w:eastAsia="Arial" w:hint="default"/>
          <w:spacing w:val="-4"/>
          <w:w w:val="100"/>
        </w:rPr>
        <w:t> </w:t>
      </w:r>
      <w:r>
        <w:rPr>
          <w:spacing w:val="-1"/>
          <w:w w:val="100"/>
        </w:rPr>
        <w:t>年的预计用户服</w:t>
      </w:r>
      <w:r>
        <w:rPr>
          <w:w w:val="100"/>
        </w:rPr>
        <w:t> </w:t>
      </w:r>
      <w:r>
        <w:rPr/>
        <w:t>务期限摊销计入利润表，直接增加成本超出相应装移机费收入的部分，立即在利润表中确认</w:t>
      </w:r>
      <w:r>
        <w:rPr>
          <w:w w:val="100"/>
        </w:rPr>
        <w:t> </w:t>
      </w:r>
      <w:r>
        <w:rPr/>
        <w:t>为费用。预计为客户提供服务的期间根据预计较稳定的用户离网率来估计。</w:t>
      </w:r>
    </w:p>
    <w:p>
      <w:pPr>
        <w:spacing w:line="240" w:lineRule="auto" w:before="3"/>
        <w:rPr>
          <w:rFonts w:ascii="宋体" w:hAnsi="宋体" w:cs="宋体" w:eastAsia="宋体" w:hint="default"/>
          <w:sz w:val="19"/>
          <w:szCs w:val="19"/>
        </w:rPr>
      </w:pPr>
    </w:p>
    <w:p>
      <w:pPr>
        <w:pStyle w:val="BodyText"/>
        <w:tabs>
          <w:tab w:pos="609" w:val="left" w:leader="none"/>
        </w:tabs>
        <w:spacing w:line="286" w:lineRule="exact"/>
        <w:ind w:left="607" w:right="227" w:hanging="488"/>
        <w:jc w:val="left"/>
      </w:pPr>
      <w:r>
        <w:rPr>
          <w:rFonts w:ascii="Arial" w:hAnsi="Arial" w:cs="Arial" w:eastAsia="Arial" w:hint="default"/>
        </w:rPr>
        <w:t>(f)</w:t>
        <w:tab/>
        <w:tab/>
      </w:r>
      <w:r>
        <w:rPr/>
        <w:t>合同履行成本主要指为提供宽带服务，在宽带合约用户家中安装的宽带终端成本，在合约期</w:t>
      </w:r>
      <w:r>
        <w:rPr>
          <w:spacing w:val="-81"/>
        </w:rPr>
        <w:t> </w:t>
      </w:r>
      <w:r>
        <w:rPr>
          <w:spacing w:val="-81"/>
        </w:rPr>
      </w:r>
      <w:r>
        <w:rPr/>
        <w:t>内进行摊销。</w:t>
      </w:r>
    </w:p>
    <w:p>
      <w:pPr>
        <w:pStyle w:val="BodyText"/>
        <w:spacing w:line="240" w:lineRule="auto" w:before="187"/>
        <w:ind w:left="120" w:right="115"/>
        <w:jc w:val="left"/>
      </w:pPr>
      <w:r>
        <w:rPr>
          <w:rFonts w:ascii="Arial" w:hAnsi="Arial" w:cs="Arial" w:eastAsia="Arial" w:hint="default"/>
        </w:rPr>
        <w:t>17</w:t>
      </w:r>
      <w:r>
        <w:rPr/>
        <w:t>、长期资产减值</w:t>
      </w:r>
    </w:p>
    <w:p>
      <w:pPr>
        <w:spacing w:line="240" w:lineRule="auto" w:before="9"/>
        <w:rPr>
          <w:rFonts w:ascii="宋体" w:hAnsi="宋体" w:cs="宋体" w:eastAsia="宋体" w:hint="default"/>
          <w:sz w:val="17"/>
          <w:szCs w:val="17"/>
        </w:rPr>
      </w:pPr>
    </w:p>
    <w:p>
      <w:pPr>
        <w:pStyle w:val="BodyText"/>
        <w:spacing w:line="286" w:lineRule="exact"/>
        <w:ind w:left="588" w:right="235"/>
        <w:jc w:val="both"/>
      </w:pPr>
      <w:r>
        <w:rPr/>
        <w:t>固定资产、在建工程（含工程物资）、使用寿命有限的无形资产、长期待摊费用及长期股权</w:t>
      </w:r>
      <w:r>
        <w:rPr>
          <w:spacing w:val="-70"/>
        </w:rPr>
        <w:t> </w:t>
      </w:r>
      <w:r>
        <w:rPr>
          <w:spacing w:val="-70"/>
        </w:rPr>
      </w:r>
      <w:r>
        <w:rPr/>
        <w:t>投资等，于资产负债表日存在减值迹象的，进行减值测试。减值测试结果表明资产的可收回</w:t>
      </w:r>
      <w:r>
        <w:rPr>
          <w:spacing w:val="-70"/>
        </w:rPr>
        <w:t> </w:t>
      </w:r>
      <w:r>
        <w:rPr>
          <w:spacing w:val="-70"/>
        </w:rPr>
      </w:r>
      <w:r>
        <w:rPr/>
        <w:t>金额低于其账面价值的，按其差额计提减值准备并计入减值损失。可收回金额为资产的公允</w:t>
      </w:r>
      <w:r>
        <w:rPr>
          <w:spacing w:val="-70"/>
        </w:rPr>
        <w:t> </w:t>
      </w:r>
      <w:r>
        <w:rPr>
          <w:spacing w:val="-70"/>
        </w:rPr>
      </w:r>
      <w:r>
        <w:rPr/>
        <w:t>价值减去处置费用后的净额与资产预计未来现金流量的现值两者之间的较高者。资产减值准</w:t>
      </w:r>
      <w:r>
        <w:rPr>
          <w:spacing w:val="-70"/>
        </w:rPr>
        <w:t> </w:t>
      </w:r>
      <w:r>
        <w:rPr>
          <w:spacing w:val="-70"/>
        </w:rPr>
      </w:r>
      <w:r>
        <w:rPr/>
        <w:t>备按单项资产为基础计算并确认，如果难以对单项资产的可收回金额进行估计的，以该资产</w:t>
      </w:r>
      <w:r>
        <w:rPr>
          <w:spacing w:val="-70"/>
        </w:rPr>
        <w:t> </w:t>
      </w:r>
      <w:r>
        <w:rPr>
          <w:spacing w:val="-70"/>
        </w:rPr>
      </w:r>
      <w:r>
        <w:rPr>
          <w:spacing w:val="-1"/>
        </w:rPr>
        <w:t>所属的资产组确定资产组的可收回金额。资产组是能够独立产生现金流入的最小资产组合。</w:t>
      </w:r>
    </w:p>
    <w:p>
      <w:pPr>
        <w:spacing w:line="240" w:lineRule="auto" w:before="2"/>
        <w:rPr>
          <w:rFonts w:ascii="宋体" w:hAnsi="宋体" w:cs="宋体" w:eastAsia="宋体" w:hint="default"/>
          <w:sz w:val="16"/>
          <w:szCs w:val="16"/>
        </w:rPr>
      </w:pPr>
    </w:p>
    <w:p>
      <w:pPr>
        <w:pStyle w:val="BodyText"/>
        <w:spacing w:line="240" w:lineRule="auto"/>
        <w:ind w:left="588" w:right="0"/>
        <w:jc w:val="both"/>
      </w:pPr>
      <w:r>
        <w:rPr/>
        <w:t>上述资产减值损失一经确认，以后期间不予转回价值得以恢复的部分。</w:t>
      </w:r>
    </w:p>
    <w:p>
      <w:pPr>
        <w:spacing w:line="240" w:lineRule="auto" w:before="4"/>
        <w:rPr>
          <w:rFonts w:ascii="宋体" w:hAnsi="宋体" w:cs="宋体" w:eastAsia="宋体" w:hint="default"/>
          <w:sz w:val="16"/>
          <w:szCs w:val="16"/>
        </w:rPr>
      </w:pPr>
    </w:p>
    <w:p>
      <w:pPr>
        <w:pStyle w:val="BodyText"/>
        <w:spacing w:line="240" w:lineRule="auto"/>
        <w:ind w:left="120" w:right="115"/>
        <w:jc w:val="left"/>
      </w:pPr>
      <w:r>
        <w:rPr>
          <w:rFonts w:ascii="Arial" w:hAnsi="Arial" w:cs="Arial" w:eastAsia="Arial" w:hint="default"/>
        </w:rPr>
        <w:t>18</w:t>
      </w:r>
      <w:r>
        <w:rPr/>
        <w:t>、预收账款</w:t>
      </w:r>
    </w:p>
    <w:p>
      <w:pPr>
        <w:spacing w:line="240" w:lineRule="auto" w:before="8"/>
        <w:rPr>
          <w:rFonts w:ascii="宋体" w:hAnsi="宋体" w:cs="宋体" w:eastAsia="宋体" w:hint="default"/>
          <w:sz w:val="18"/>
          <w:szCs w:val="18"/>
        </w:rPr>
      </w:pPr>
    </w:p>
    <w:p>
      <w:pPr>
        <w:pStyle w:val="BodyText"/>
        <w:spacing w:line="286" w:lineRule="exact"/>
        <w:ind w:left="607" w:right="234"/>
        <w:jc w:val="both"/>
      </w:pPr>
      <w:r>
        <w:rPr>
          <w:spacing w:val="-1"/>
        </w:rPr>
        <w:t>预收账款主要指预收的电信业务服务费，是根据于合同生效日期开始已收取的服务费减去于</w:t>
      </w:r>
      <w:r>
        <w:rPr>
          <w:spacing w:val="-47"/>
        </w:rPr>
        <w:t> </w:t>
      </w:r>
      <w:r>
        <w:rPr>
          <w:spacing w:val="-47"/>
        </w:rPr>
      </w:r>
      <w:r>
        <w:rPr/>
        <w:t>各期间已在利润表中确认的收入后的净额列示。</w:t>
      </w:r>
    </w:p>
    <w:p>
      <w:pPr>
        <w:spacing w:after="0" w:line="286" w:lineRule="exact"/>
        <w:jc w:val="both"/>
        <w:sectPr>
          <w:headerReference w:type="default" r:id="rId53"/>
          <w:pgSz w:w="11910" w:h="16840"/>
          <w:pgMar w:header="965" w:footer="769" w:top="2820" w:bottom="960" w:left="1440" w:right="800"/>
        </w:sectPr>
      </w:pPr>
    </w:p>
    <w:p>
      <w:pPr>
        <w:spacing w:line="240" w:lineRule="auto" w:before="0"/>
        <w:rPr>
          <w:rFonts w:ascii="宋体" w:hAnsi="宋体" w:cs="宋体" w:eastAsia="宋体" w:hint="default"/>
          <w:sz w:val="18"/>
          <w:szCs w:val="18"/>
        </w:rPr>
      </w:pPr>
    </w:p>
    <w:p>
      <w:pPr>
        <w:pStyle w:val="BodyText"/>
        <w:spacing w:line="240" w:lineRule="auto" w:before="32"/>
        <w:ind w:left="120" w:right="0"/>
        <w:jc w:val="left"/>
      </w:pPr>
      <w:r>
        <w:rPr>
          <w:rFonts w:ascii="Arial" w:hAnsi="Arial" w:cs="Arial" w:eastAsia="Arial" w:hint="default"/>
        </w:rPr>
        <w:t>19</w:t>
      </w:r>
      <w:r>
        <w:rPr/>
        <w:t>、职工薪酬</w:t>
      </w:r>
    </w:p>
    <w:p>
      <w:pPr>
        <w:spacing w:line="240" w:lineRule="auto" w:before="1"/>
        <w:rPr>
          <w:rFonts w:ascii="宋体" w:hAnsi="宋体" w:cs="宋体" w:eastAsia="宋体" w:hint="default"/>
          <w:sz w:val="18"/>
          <w:szCs w:val="18"/>
        </w:rPr>
      </w:pPr>
    </w:p>
    <w:p>
      <w:pPr>
        <w:pStyle w:val="BodyText"/>
        <w:spacing w:line="240" w:lineRule="auto"/>
        <w:ind w:left="559" w:right="0"/>
        <w:jc w:val="both"/>
      </w:pPr>
      <w:r>
        <w:rPr>
          <w:rFonts w:ascii="Arial" w:hAnsi="Arial" w:cs="Arial" w:eastAsia="Arial" w:hint="default"/>
        </w:rPr>
        <w:t>(a) </w:t>
      </w:r>
      <w:r>
        <w:rPr>
          <w:rFonts w:ascii="Arial" w:hAnsi="Arial" w:cs="Arial" w:eastAsia="Arial" w:hint="default"/>
          <w:spacing w:val="12"/>
        </w:rPr>
        <w:t> </w:t>
      </w:r>
      <w:r>
        <w:rPr/>
        <w:t>短期薪酬</w:t>
      </w:r>
    </w:p>
    <w:p>
      <w:pPr>
        <w:spacing w:line="240" w:lineRule="auto" w:before="4"/>
        <w:rPr>
          <w:rFonts w:ascii="宋体" w:hAnsi="宋体" w:cs="宋体" w:eastAsia="宋体" w:hint="default"/>
          <w:sz w:val="18"/>
          <w:szCs w:val="18"/>
        </w:rPr>
      </w:pPr>
    </w:p>
    <w:p>
      <w:pPr>
        <w:pStyle w:val="BodyText"/>
        <w:spacing w:line="235" w:lineRule="auto"/>
        <w:ind w:left="607" w:right="212"/>
        <w:jc w:val="both"/>
      </w:pPr>
      <w:r>
        <w:rPr>
          <w:spacing w:val="-1"/>
        </w:rPr>
        <w:t>本集团在职工提供服务的会计期间，将实际发生的职工工资、奖金、本集团按规定的基准和</w:t>
      </w:r>
      <w:r>
        <w:rPr>
          <w:spacing w:val="-47"/>
        </w:rPr>
        <w:t> </w:t>
      </w:r>
      <w:r>
        <w:rPr>
          <w:spacing w:val="-47"/>
        </w:rPr>
      </w:r>
      <w:r>
        <w:rPr>
          <w:spacing w:val="-1"/>
        </w:rPr>
        <w:t>比例为职工缴纳的医疗保险费、工伤保险费和生育保险费等社会保险费和住房公积金，以及</w:t>
      </w:r>
      <w:r>
        <w:rPr>
          <w:spacing w:val="-47"/>
        </w:rPr>
        <w:t> </w:t>
      </w:r>
      <w:r>
        <w:rPr>
          <w:spacing w:val="-47"/>
        </w:rPr>
      </w:r>
      <w:r>
        <w:rPr>
          <w:spacing w:val="-2"/>
        </w:rPr>
        <w:t>下述</w:t>
      </w:r>
      <w:r>
        <w:rPr>
          <w:rFonts w:ascii="Arial" w:hAnsi="Arial" w:cs="Arial" w:eastAsia="Arial" w:hint="default"/>
          <w:spacing w:val="-2"/>
        </w:rPr>
        <w:t>(b)</w:t>
      </w:r>
      <w:r>
        <w:rPr>
          <w:spacing w:val="-2"/>
        </w:rPr>
        <w:t>计算缴存的退休福利，确认为负债，并计入当期损益或相关资产成本。如果该负债预</w:t>
      </w:r>
      <w:r>
        <w:rPr>
          <w:spacing w:val="-58"/>
        </w:rPr>
        <w:t> </w:t>
      </w:r>
      <w:r>
        <w:rPr>
          <w:spacing w:val="-58"/>
        </w:rPr>
      </w:r>
      <w:r>
        <w:rPr>
          <w:spacing w:val="-1"/>
        </w:rPr>
        <w:t>期在职工提供相关服务的年度报告期结束后十二个月内不能完全支付，且财务影响重大的，</w:t>
      </w:r>
      <w:r>
        <w:rPr>
          <w:spacing w:val="-48"/>
        </w:rPr>
        <w:t> </w:t>
      </w:r>
      <w:r>
        <w:rPr>
          <w:spacing w:val="-48"/>
        </w:rPr>
      </w:r>
      <w:r>
        <w:rPr/>
        <w:t>则该负债将以折现后的金额计量。</w:t>
      </w:r>
    </w:p>
    <w:p>
      <w:pPr>
        <w:spacing w:line="240" w:lineRule="auto" w:before="4"/>
        <w:rPr>
          <w:rFonts w:ascii="宋体" w:hAnsi="宋体" w:cs="宋体" w:eastAsia="宋体" w:hint="default"/>
          <w:sz w:val="19"/>
          <w:szCs w:val="19"/>
        </w:rPr>
      </w:pPr>
    </w:p>
    <w:p>
      <w:pPr>
        <w:pStyle w:val="BodyText"/>
        <w:spacing w:line="240" w:lineRule="auto"/>
        <w:ind w:left="559" w:right="0"/>
        <w:jc w:val="both"/>
      </w:pPr>
      <w:r>
        <w:rPr>
          <w:rFonts w:ascii="Arial" w:hAnsi="Arial" w:cs="Arial" w:eastAsia="Arial" w:hint="default"/>
        </w:rPr>
        <w:t>(b) </w:t>
      </w:r>
      <w:r>
        <w:rPr>
          <w:rFonts w:ascii="Arial" w:hAnsi="Arial" w:cs="Arial" w:eastAsia="Arial" w:hint="default"/>
          <w:spacing w:val="7"/>
        </w:rPr>
        <w:t> </w:t>
      </w:r>
      <w:r>
        <w:rPr/>
        <w:t>离职后福利</w:t>
      </w:r>
      <w:r>
        <w:rPr>
          <w:rFonts w:ascii="Arial" w:hAnsi="Arial" w:cs="Arial" w:eastAsia="Arial" w:hint="default"/>
        </w:rPr>
        <w:t>——</w:t>
      </w:r>
      <w:r>
        <w:rPr/>
        <w:t>设定提存计划</w:t>
      </w:r>
    </w:p>
    <w:p>
      <w:pPr>
        <w:spacing w:line="240" w:lineRule="auto" w:before="9"/>
        <w:rPr>
          <w:rFonts w:ascii="宋体" w:hAnsi="宋体" w:cs="宋体" w:eastAsia="宋体" w:hint="default"/>
          <w:sz w:val="18"/>
          <w:szCs w:val="18"/>
        </w:rPr>
      </w:pPr>
    </w:p>
    <w:p>
      <w:pPr>
        <w:pStyle w:val="BodyText"/>
        <w:spacing w:line="230" w:lineRule="auto"/>
        <w:ind w:left="607" w:right="0"/>
        <w:jc w:val="left"/>
      </w:pPr>
      <w:r>
        <w:rPr/>
        <w:t>按照中国有关法规要求，本集团职工参加了由政府机构设立管理的社会保障体系中的基本养</w:t>
      </w:r>
      <w:r>
        <w:rPr>
          <w:spacing w:val="-87"/>
        </w:rPr>
        <w:t> </w:t>
      </w:r>
      <w:r>
        <w:rPr>
          <w:spacing w:val="-87"/>
        </w:rPr>
      </w:r>
      <w:r>
        <w:rPr/>
        <w:t>老保险。基本养老保险的缴费金额按职工工资的一定比例计算。除此之外，自</w:t>
      </w:r>
      <w:r>
        <w:rPr>
          <w:rFonts w:ascii="Arial" w:hAnsi="Arial" w:cs="Arial" w:eastAsia="Arial" w:hint="default"/>
        </w:rPr>
        <w:t>2013</w:t>
      </w:r>
      <w:r>
        <w:rPr/>
        <w:t>年起，本</w:t>
      </w:r>
      <w:r>
        <w:rPr>
          <w:w w:val="100"/>
        </w:rPr>
        <w:t> </w:t>
      </w:r>
      <w:r>
        <w:rPr>
          <w:spacing w:val="-2"/>
        </w:rPr>
        <w:t>集团依据国家企业年金制度的相关政策及相关部门的批复建立企业年金计划（</w:t>
      </w:r>
      <w:r>
        <w:rPr>
          <w:rFonts w:ascii="Arial" w:hAnsi="Arial" w:cs="Arial" w:eastAsia="Arial" w:hint="default"/>
          <w:spacing w:val="-2"/>
        </w:rPr>
        <w:t>“</w:t>
      </w:r>
      <w:r>
        <w:rPr>
          <w:spacing w:val="-2"/>
        </w:rPr>
        <w:t>年金计划</w:t>
      </w:r>
      <w:r>
        <w:rPr>
          <w:rFonts w:ascii="Arial" w:hAnsi="Arial" w:cs="Arial" w:eastAsia="Arial" w:hint="default"/>
          <w:spacing w:val="-2"/>
        </w:rPr>
        <w:t>”</w:t>
      </w:r>
      <w:r>
        <w:rPr>
          <w:spacing w:val="-2"/>
        </w:rPr>
        <w:t>），</w:t>
      </w:r>
      <w:r>
        <w:rPr>
          <w:spacing w:val="-55"/>
        </w:rPr>
        <w:t> </w:t>
      </w:r>
      <w:r>
        <w:rPr/>
        <w:t>按照相关职工工资总额一定的比例计提企业年金。本集团在按照国家规定的标准及企业年金</w:t>
      </w:r>
      <w:r>
        <w:rPr>
          <w:spacing w:val="-87"/>
        </w:rPr>
        <w:t> </w:t>
      </w:r>
      <w:r>
        <w:rPr>
          <w:spacing w:val="-87"/>
        </w:rPr>
      </w:r>
      <w:r>
        <w:rPr/>
        <w:t>计划定期缴付上述款项后，不再有其他的支付义务。</w:t>
      </w:r>
    </w:p>
    <w:p>
      <w:pPr>
        <w:spacing w:line="240" w:lineRule="auto" w:before="5"/>
        <w:rPr>
          <w:rFonts w:ascii="宋体" w:hAnsi="宋体" w:cs="宋体" w:eastAsia="宋体" w:hint="default"/>
          <w:sz w:val="19"/>
          <w:szCs w:val="19"/>
        </w:rPr>
      </w:pPr>
    </w:p>
    <w:p>
      <w:pPr>
        <w:pStyle w:val="BodyText"/>
        <w:spacing w:line="240" w:lineRule="auto"/>
        <w:ind w:left="559" w:right="0"/>
        <w:jc w:val="both"/>
      </w:pPr>
      <w:r>
        <w:rPr>
          <w:rFonts w:ascii="Arial" w:hAnsi="Arial" w:cs="Arial" w:eastAsia="Arial" w:hint="default"/>
        </w:rPr>
        <w:t>(c) </w:t>
      </w:r>
      <w:r>
        <w:rPr>
          <w:rFonts w:ascii="Arial" w:hAnsi="Arial" w:cs="Arial" w:eastAsia="Arial" w:hint="default"/>
          <w:spacing w:val="19"/>
        </w:rPr>
        <w:t> </w:t>
      </w:r>
      <w:r>
        <w:rPr/>
        <w:t>离职后福利</w:t>
      </w:r>
      <w:r>
        <w:rPr>
          <w:rFonts w:ascii="Arial" w:hAnsi="Arial" w:cs="Arial" w:eastAsia="Arial" w:hint="default"/>
        </w:rPr>
        <w:t>——</w:t>
      </w:r>
      <w:r>
        <w:rPr/>
        <w:t>设定受益计划</w:t>
      </w:r>
    </w:p>
    <w:p>
      <w:pPr>
        <w:spacing w:line="240" w:lineRule="auto" w:before="0"/>
        <w:rPr>
          <w:rFonts w:ascii="宋体" w:hAnsi="宋体" w:cs="宋体" w:eastAsia="宋体" w:hint="default"/>
          <w:sz w:val="20"/>
          <w:szCs w:val="20"/>
        </w:rPr>
      </w:pPr>
    </w:p>
    <w:p>
      <w:pPr>
        <w:pStyle w:val="BodyText"/>
        <w:spacing w:line="286" w:lineRule="exact"/>
        <w:ind w:left="607" w:right="214"/>
        <w:jc w:val="both"/>
      </w:pPr>
      <w:r>
        <w:rPr>
          <w:spacing w:val="-1"/>
        </w:rPr>
        <w:t>本集团所属个别子公司亦向其职工提供其他离退休后补充福利，主要包括补充退休金津贴，</w:t>
      </w:r>
      <w:r>
        <w:rPr>
          <w:spacing w:val="-47"/>
        </w:rPr>
        <w:t> </w:t>
      </w:r>
      <w:r>
        <w:rPr>
          <w:spacing w:val="-47"/>
        </w:rPr>
      </w:r>
      <w:r>
        <w:rPr>
          <w:spacing w:val="-1"/>
        </w:rPr>
        <w:t>医药费用报销及补充医疗保险，该等离退休后补充福利被视为设定受益计划，按其于资产负</w:t>
      </w:r>
      <w:r>
        <w:rPr>
          <w:spacing w:val="-47"/>
        </w:rPr>
        <w:t> </w:t>
      </w:r>
      <w:r>
        <w:rPr>
          <w:spacing w:val="-47"/>
        </w:rPr>
      </w:r>
      <w:r>
        <w:rPr/>
        <w:t>债表日的现值被确认为负债，列示于资产负债表长期应付职工薪酬及应付职工薪酬项下。</w:t>
      </w:r>
    </w:p>
    <w:p>
      <w:pPr>
        <w:spacing w:line="240" w:lineRule="auto" w:before="3"/>
        <w:rPr>
          <w:rFonts w:ascii="宋体" w:hAnsi="宋体" w:cs="宋体" w:eastAsia="宋体" w:hint="default"/>
          <w:sz w:val="19"/>
          <w:szCs w:val="19"/>
        </w:rPr>
      </w:pPr>
    </w:p>
    <w:p>
      <w:pPr>
        <w:pStyle w:val="BodyText"/>
        <w:spacing w:line="286" w:lineRule="exact"/>
        <w:ind w:left="607" w:right="214"/>
        <w:jc w:val="both"/>
      </w:pPr>
      <w:r>
        <w:rPr>
          <w:spacing w:val="-1"/>
        </w:rPr>
        <w:t>本集团将设定受益计划产生的福利义务归属于职工提供服务的期间，对属于服务成本和设定</w:t>
      </w:r>
      <w:r>
        <w:rPr>
          <w:spacing w:val="-47"/>
        </w:rPr>
        <w:t> </w:t>
      </w:r>
      <w:r>
        <w:rPr>
          <w:spacing w:val="-47"/>
        </w:rPr>
      </w:r>
      <w:r>
        <w:rPr>
          <w:spacing w:val="-1"/>
        </w:rPr>
        <w:t>受益计划负债的利息费用计入当期损益或相关资产成本，对属于重新计量设定受益计划负债</w:t>
      </w:r>
      <w:r>
        <w:rPr>
          <w:spacing w:val="-47"/>
        </w:rPr>
        <w:t> </w:t>
      </w:r>
      <w:r>
        <w:rPr>
          <w:spacing w:val="-47"/>
        </w:rPr>
      </w:r>
      <w:r>
        <w:rPr/>
        <w:t>所产生的变动计入其他综合收益。</w:t>
      </w:r>
    </w:p>
    <w:p>
      <w:pPr>
        <w:spacing w:line="240" w:lineRule="auto" w:before="2"/>
        <w:rPr>
          <w:rFonts w:ascii="宋体" w:hAnsi="宋体" w:cs="宋体" w:eastAsia="宋体" w:hint="default"/>
          <w:sz w:val="17"/>
          <w:szCs w:val="17"/>
        </w:rPr>
      </w:pPr>
    </w:p>
    <w:p>
      <w:pPr>
        <w:pStyle w:val="BodyText"/>
        <w:spacing w:line="240" w:lineRule="auto"/>
        <w:ind w:left="559" w:right="0"/>
        <w:jc w:val="both"/>
      </w:pPr>
      <w:r>
        <w:rPr>
          <w:rFonts w:ascii="Arial" w:hAnsi="Arial" w:cs="Arial" w:eastAsia="Arial" w:hint="default"/>
        </w:rPr>
        <w:t>(d) </w:t>
      </w:r>
      <w:r>
        <w:rPr>
          <w:rFonts w:ascii="Arial" w:hAnsi="Arial" w:cs="Arial" w:eastAsia="Arial" w:hint="default"/>
          <w:spacing w:val="10"/>
        </w:rPr>
        <w:t> </w:t>
      </w:r>
      <w:r>
        <w:rPr/>
        <w:t>辞退福利及内退福利</w:t>
      </w:r>
    </w:p>
    <w:p>
      <w:pPr>
        <w:spacing w:line="240" w:lineRule="auto" w:before="0"/>
        <w:rPr>
          <w:rFonts w:ascii="宋体" w:hAnsi="宋体" w:cs="宋体" w:eastAsia="宋体" w:hint="default"/>
          <w:sz w:val="20"/>
          <w:szCs w:val="20"/>
        </w:rPr>
      </w:pPr>
    </w:p>
    <w:p>
      <w:pPr>
        <w:pStyle w:val="BodyText"/>
        <w:spacing w:line="286" w:lineRule="exact"/>
        <w:ind w:left="607" w:right="214"/>
        <w:jc w:val="both"/>
      </w:pPr>
      <w:r>
        <w:rPr>
          <w:spacing w:val="-1"/>
        </w:rPr>
        <w:t>本集团在职工劳动合同到期之前解除与职工的劳动关系、或者为鼓励职工自愿接受裁减而提</w:t>
      </w:r>
      <w:r>
        <w:rPr>
          <w:spacing w:val="-47"/>
        </w:rPr>
        <w:t> </w:t>
      </w:r>
      <w:r>
        <w:rPr>
          <w:spacing w:val="-47"/>
        </w:rPr>
      </w:r>
      <w:r>
        <w:rPr/>
        <w:t>出给予补偿的建议，在下列两者孰早日，确认辞退福利产生的负债，同时计入当期费用：</w:t>
      </w:r>
    </w:p>
    <w:p>
      <w:pPr>
        <w:spacing w:line="240" w:lineRule="auto" w:before="3"/>
        <w:rPr>
          <w:rFonts w:ascii="宋体" w:hAnsi="宋体" w:cs="宋体" w:eastAsia="宋体" w:hint="default"/>
          <w:sz w:val="17"/>
          <w:szCs w:val="17"/>
        </w:rPr>
      </w:pPr>
    </w:p>
    <w:p>
      <w:pPr>
        <w:pStyle w:val="BodyText"/>
        <w:spacing w:line="294" w:lineRule="exact"/>
        <w:ind w:left="638" w:right="0"/>
        <w:jc w:val="both"/>
      </w:pPr>
      <w:r>
        <w:rPr>
          <w:rFonts w:ascii="Symbol" w:hAnsi="Symbol" w:cs="Symbol" w:eastAsia="Symbol" w:hint="default"/>
        </w:rPr>
        <w:t></w:t>
      </w:r>
      <w:r>
        <w:rPr>
          <w:rFonts w:ascii="Symbol" w:hAnsi="Symbol" w:cs="Symbol" w:eastAsia="Symbol" w:hint="default"/>
          <w:spacing w:val="46"/>
        </w:rPr>
        <w:t></w:t>
      </w:r>
      <w:r>
        <w:rPr>
          <w:rFonts w:ascii="Times New Roman" w:hAnsi="Times New Roman" w:cs="Times New Roman" w:eastAsia="Times New Roman" w:hint="default"/>
          <w:spacing w:val="46"/>
        </w:rPr>
      </w:r>
      <w:r>
        <w:rPr/>
        <w:t>本集团不能单方面撤回因解除劳动关系计划或裁减建议所提供的辞退福利时；</w:t>
      </w:r>
    </w:p>
    <w:p>
      <w:pPr>
        <w:pStyle w:val="BodyText"/>
        <w:spacing w:line="286" w:lineRule="exact" w:before="17"/>
        <w:ind w:left="1198" w:right="212" w:hanging="560"/>
        <w:jc w:val="both"/>
      </w:pPr>
      <w:r>
        <w:rPr>
          <w:rFonts w:ascii="Symbol" w:hAnsi="Symbol" w:cs="Symbol" w:eastAsia="Symbol" w:hint="default"/>
        </w:rPr>
        <w:t></w:t>
      </w:r>
      <w:r>
        <w:rPr>
          <w:rFonts w:ascii="Symbol" w:hAnsi="Symbol" w:cs="Symbol" w:eastAsia="Symbol" w:hint="default"/>
          <w:spacing w:val="38"/>
        </w:rPr>
        <w:t></w:t>
      </w:r>
      <w:r>
        <w:rPr>
          <w:rFonts w:ascii="Times New Roman" w:hAnsi="Times New Roman" w:cs="Times New Roman" w:eastAsia="Times New Roman" w:hint="default"/>
          <w:spacing w:val="38"/>
        </w:rPr>
      </w:r>
      <w:r>
        <w:rPr>
          <w:spacing w:val="-4"/>
        </w:rPr>
        <w:t>本集团有详细、正式的涉及支付辞退福利的重组计划；并且，该重组计划已开始实施，或</w:t>
      </w:r>
      <w:r>
        <w:rPr>
          <w:spacing w:val="-108"/>
        </w:rPr>
        <w:t> </w:t>
      </w:r>
      <w:r>
        <w:rPr>
          <w:spacing w:val="-108"/>
        </w:rPr>
      </w:r>
      <w:r>
        <w:rPr/>
        <w:t>已向受其影响的各方通告了该计划的主要内容，从而使各方形成了对本集团将实施重</w:t>
      </w:r>
      <w:r>
        <w:rPr>
          <w:w w:val="100"/>
        </w:rPr>
        <w:t> </w:t>
      </w:r>
      <w:r>
        <w:rPr/>
        <w:t>组的合理预期时。</w:t>
      </w:r>
    </w:p>
    <w:p>
      <w:pPr>
        <w:spacing w:line="240" w:lineRule="auto" w:before="6"/>
        <w:rPr>
          <w:rFonts w:ascii="宋体" w:hAnsi="宋体" w:cs="宋体" w:eastAsia="宋体" w:hint="default"/>
          <w:sz w:val="17"/>
          <w:szCs w:val="17"/>
        </w:rPr>
      </w:pPr>
    </w:p>
    <w:p>
      <w:pPr>
        <w:pStyle w:val="BodyText"/>
        <w:spacing w:line="237" w:lineRule="auto"/>
        <w:ind w:left="607" w:right="0"/>
        <w:jc w:val="left"/>
      </w:pPr>
      <w:r>
        <w:rPr/>
        <w:t>本集团向接受内部退休安排的职工提供内退福利。内退福利是指，向未达到国家规定的退休</w:t>
      </w:r>
      <w:r>
        <w:rPr>
          <w:spacing w:val="-87"/>
        </w:rPr>
        <w:t> </w:t>
      </w:r>
      <w:r>
        <w:rPr>
          <w:spacing w:val="-87"/>
        </w:rPr>
      </w:r>
      <w:r>
        <w:rPr>
          <w:spacing w:val="-3"/>
        </w:rPr>
        <w:t>年龄、经本集团管理层批准自愿退出工作岗位的职工支付的工资及为其缴纳的社会保险费等。</w:t>
      </w:r>
      <w:r>
        <w:rPr>
          <w:spacing w:val="-78"/>
        </w:rPr>
        <w:t> </w:t>
      </w:r>
      <w:r>
        <w:rPr>
          <w:spacing w:val="-78"/>
        </w:rPr>
      </w:r>
      <w:r>
        <w:rPr/>
        <w:t>对于内退福利，本集团按照辞退福利进行会计处理。</w:t>
      </w:r>
    </w:p>
    <w:p>
      <w:pPr>
        <w:spacing w:after="0" w:line="237" w:lineRule="auto"/>
        <w:jc w:val="left"/>
        <w:sectPr>
          <w:headerReference w:type="default" r:id="rId54"/>
          <w:pgSz w:w="11910" w:h="16840"/>
          <w:pgMar w:header="965" w:footer="769" w:top="2820" w:bottom="960" w:left="1440" w:right="820"/>
        </w:sectPr>
      </w:pPr>
    </w:p>
    <w:p>
      <w:pPr>
        <w:spacing w:line="240" w:lineRule="auto" w:before="0"/>
        <w:rPr>
          <w:rFonts w:ascii="宋体" w:hAnsi="宋体" w:cs="宋体" w:eastAsia="宋体" w:hint="default"/>
          <w:sz w:val="18"/>
          <w:szCs w:val="18"/>
        </w:rPr>
      </w:pPr>
    </w:p>
    <w:p>
      <w:pPr>
        <w:pStyle w:val="BodyText"/>
        <w:spacing w:line="240" w:lineRule="auto" w:before="32"/>
        <w:ind w:left="120" w:right="2130"/>
        <w:jc w:val="left"/>
      </w:pPr>
      <w:r>
        <w:rPr>
          <w:rFonts w:ascii="Arial" w:hAnsi="Arial" w:cs="Arial" w:eastAsia="Arial" w:hint="default"/>
        </w:rPr>
        <w:t>20</w:t>
      </w:r>
      <w:r>
        <w:rPr/>
        <w:t>、股份支付</w:t>
      </w:r>
    </w:p>
    <w:p>
      <w:pPr>
        <w:spacing w:line="240" w:lineRule="auto" w:before="3"/>
        <w:rPr>
          <w:rFonts w:ascii="宋体" w:hAnsi="宋体" w:cs="宋体" w:eastAsia="宋体" w:hint="default"/>
          <w:sz w:val="18"/>
          <w:szCs w:val="18"/>
        </w:rPr>
      </w:pPr>
    </w:p>
    <w:p>
      <w:pPr>
        <w:pStyle w:val="BodyText"/>
        <w:spacing w:line="237" w:lineRule="auto"/>
        <w:ind w:left="588" w:right="112"/>
        <w:jc w:val="both"/>
      </w:pPr>
      <w:r>
        <w:rPr/>
        <w:t>本集团的股份支付是联通红筹公司为了获取员工的服务而授予的以权益结算的股份支付，以</w:t>
      </w:r>
      <w:r>
        <w:rPr>
          <w:spacing w:val="-70"/>
        </w:rPr>
        <w:t> </w:t>
      </w:r>
      <w:r>
        <w:rPr>
          <w:spacing w:val="-70"/>
        </w:rPr>
      </w:r>
      <w:r>
        <w:rPr/>
        <w:t>授予日的公允价值计量。在等待期内的每个资产负债表日，以对可行权权益工具数量的最佳</w:t>
      </w:r>
      <w:r>
        <w:rPr>
          <w:spacing w:val="-69"/>
        </w:rPr>
        <w:t> </w:t>
      </w:r>
      <w:r>
        <w:rPr>
          <w:spacing w:val="-69"/>
        </w:rPr>
      </w:r>
      <w:r>
        <w:rPr/>
        <w:t>估计为基础，按照权益工具授予日的公允价值，将当期取得的服务计入相关成本或费用，相</w:t>
      </w:r>
      <w:r>
        <w:rPr>
          <w:spacing w:val="-70"/>
        </w:rPr>
        <w:t> </w:t>
      </w:r>
      <w:r>
        <w:rPr>
          <w:spacing w:val="-70"/>
        </w:rPr>
      </w:r>
      <w:r>
        <w:rPr/>
        <w:t>应增加资本公积。于行权日，本集团根据员工实际行权的权益工具数量，将所收取的款项扣</w:t>
      </w:r>
      <w:r>
        <w:rPr>
          <w:spacing w:val="-70"/>
        </w:rPr>
        <w:t> </w:t>
      </w:r>
      <w:r>
        <w:rPr>
          <w:spacing w:val="-70"/>
        </w:rPr>
      </w:r>
      <w:r>
        <w:rPr>
          <w:spacing w:val="-6"/>
        </w:rPr>
        <w:t>除交易费用后，确认联通红筹公司的股本和股本溢价，同时结转等待期内确认的资本公积（其</w:t>
      </w:r>
      <w:r>
        <w:rPr>
          <w:spacing w:val="-48"/>
        </w:rPr>
        <w:t> </w:t>
      </w:r>
      <w:r>
        <w:rPr>
          <w:spacing w:val="-48"/>
        </w:rPr>
      </w:r>
      <w:r>
        <w:rPr/>
        <w:t>他资本公积）。</w:t>
      </w:r>
    </w:p>
    <w:p>
      <w:pPr>
        <w:spacing w:line="240" w:lineRule="auto" w:before="1"/>
        <w:rPr>
          <w:rFonts w:ascii="宋体" w:hAnsi="宋体" w:cs="宋体" w:eastAsia="宋体" w:hint="default"/>
          <w:sz w:val="17"/>
          <w:szCs w:val="17"/>
        </w:rPr>
      </w:pPr>
    </w:p>
    <w:p>
      <w:pPr>
        <w:pStyle w:val="BodyText"/>
        <w:spacing w:line="240" w:lineRule="auto"/>
        <w:ind w:left="120" w:right="2130"/>
        <w:jc w:val="left"/>
      </w:pPr>
      <w:r>
        <w:rPr>
          <w:rFonts w:ascii="Arial" w:hAnsi="Arial" w:cs="Arial" w:eastAsia="Arial" w:hint="default"/>
        </w:rPr>
        <w:t>21</w:t>
      </w:r>
      <w:r>
        <w:rPr/>
        <w:t>、股利分配</w:t>
      </w:r>
    </w:p>
    <w:p>
      <w:pPr>
        <w:spacing w:line="240" w:lineRule="auto" w:before="8"/>
        <w:rPr>
          <w:rFonts w:ascii="宋体" w:hAnsi="宋体" w:cs="宋体" w:eastAsia="宋体" w:hint="default"/>
          <w:sz w:val="16"/>
          <w:szCs w:val="16"/>
        </w:rPr>
      </w:pPr>
    </w:p>
    <w:p>
      <w:pPr>
        <w:pStyle w:val="BodyText"/>
        <w:spacing w:line="240" w:lineRule="auto"/>
        <w:ind w:left="588" w:right="0"/>
        <w:jc w:val="both"/>
      </w:pPr>
      <w:r>
        <w:rPr/>
        <w:t>现金股利于股东大会批准的当期，确认为负债。</w:t>
      </w:r>
    </w:p>
    <w:p>
      <w:pPr>
        <w:spacing w:line="240" w:lineRule="auto" w:before="1"/>
        <w:rPr>
          <w:rFonts w:ascii="宋体" w:hAnsi="宋体" w:cs="宋体" w:eastAsia="宋体" w:hint="default"/>
          <w:sz w:val="17"/>
          <w:szCs w:val="17"/>
        </w:rPr>
      </w:pPr>
    </w:p>
    <w:p>
      <w:pPr>
        <w:pStyle w:val="BodyText"/>
        <w:spacing w:line="240" w:lineRule="auto"/>
        <w:ind w:left="120" w:right="2130"/>
        <w:jc w:val="left"/>
      </w:pPr>
      <w:r>
        <w:rPr>
          <w:rFonts w:ascii="Arial" w:hAnsi="Arial" w:cs="Arial" w:eastAsia="Arial" w:hint="default"/>
        </w:rPr>
        <w:t>22</w:t>
      </w:r>
      <w:r>
        <w:rPr/>
        <w:t>、公允价值的计量</w:t>
      </w:r>
    </w:p>
    <w:p>
      <w:pPr>
        <w:spacing w:line="240" w:lineRule="auto" w:before="7"/>
        <w:rPr>
          <w:rFonts w:ascii="宋体" w:hAnsi="宋体" w:cs="宋体" w:eastAsia="宋体" w:hint="default"/>
          <w:sz w:val="18"/>
          <w:szCs w:val="18"/>
        </w:rPr>
      </w:pPr>
    </w:p>
    <w:p>
      <w:pPr>
        <w:pStyle w:val="BodyText"/>
        <w:spacing w:line="286" w:lineRule="exact"/>
        <w:ind w:left="569" w:right="110" w:firstLine="26"/>
        <w:jc w:val="both"/>
      </w:pPr>
      <w:r>
        <w:rPr/>
        <w:t>公允价值是指市场参与者在计量日发生的有序交易中，出售一项资产所能收到或者转移一项</w:t>
      </w:r>
      <w:r>
        <w:rPr>
          <w:spacing w:val="-99"/>
        </w:rPr>
        <w:t> </w:t>
      </w:r>
      <w:r>
        <w:rPr>
          <w:spacing w:val="-99"/>
        </w:rPr>
      </w:r>
      <w:r>
        <w:rPr/>
        <w:t>负债所需支付的价格。</w:t>
      </w:r>
    </w:p>
    <w:p>
      <w:pPr>
        <w:spacing w:line="240" w:lineRule="auto" w:before="4"/>
        <w:rPr>
          <w:rFonts w:ascii="宋体" w:hAnsi="宋体" w:cs="宋体" w:eastAsia="宋体" w:hint="default"/>
          <w:sz w:val="17"/>
          <w:szCs w:val="17"/>
        </w:rPr>
      </w:pPr>
    </w:p>
    <w:p>
      <w:pPr>
        <w:pStyle w:val="BodyText"/>
        <w:spacing w:line="286" w:lineRule="exact"/>
        <w:ind w:left="569" w:right="0"/>
        <w:jc w:val="both"/>
      </w:pPr>
      <w:r>
        <w:rPr/>
        <w:t>本集团估计公允价值时，考虑市场参与者在计量日对相关资产或负债进行定价时考虑的特征</w:t>
      </w:r>
    </w:p>
    <w:p>
      <w:pPr>
        <w:pStyle w:val="BodyText"/>
        <w:spacing w:line="286" w:lineRule="exact" w:before="26"/>
        <w:ind w:left="569" w:right="112"/>
        <w:jc w:val="both"/>
      </w:pPr>
      <w:r>
        <w:rPr/>
        <w:t>（包括资产状况及所在位置、对资产出售或者使用的限制等），并采用在当前情况下适用并</w:t>
      </w:r>
      <w:r>
        <w:rPr>
          <w:spacing w:val="-49"/>
        </w:rPr>
        <w:t> </w:t>
      </w:r>
      <w:r>
        <w:rPr>
          <w:spacing w:val="-49"/>
        </w:rPr>
      </w:r>
      <w:r>
        <w:rPr/>
        <w:t>且有足够可利用数据和其他信息支持的估值技术。使用的估值技术主要包括市场法、收益法</w:t>
      </w:r>
      <w:r>
        <w:rPr>
          <w:spacing w:val="-49"/>
        </w:rPr>
        <w:t> </w:t>
      </w:r>
      <w:r>
        <w:rPr>
          <w:spacing w:val="-49"/>
        </w:rPr>
      </w:r>
      <w:r>
        <w:rPr/>
        <w:t>和成本法。</w:t>
      </w:r>
    </w:p>
    <w:p>
      <w:pPr>
        <w:pStyle w:val="BodyText"/>
        <w:spacing w:line="240" w:lineRule="auto" w:before="197"/>
        <w:ind w:left="120" w:right="2130"/>
        <w:jc w:val="left"/>
      </w:pPr>
      <w:r>
        <w:rPr>
          <w:rFonts w:ascii="Arial" w:hAnsi="Arial" w:cs="Arial" w:eastAsia="Arial" w:hint="default"/>
        </w:rPr>
        <w:t>23</w:t>
      </w:r>
      <w:r>
        <w:rPr/>
        <w:t>、预计负债</w:t>
      </w:r>
    </w:p>
    <w:p>
      <w:pPr>
        <w:spacing w:line="240" w:lineRule="auto" w:before="10"/>
        <w:rPr>
          <w:rFonts w:ascii="宋体" w:hAnsi="宋体" w:cs="宋体" w:eastAsia="宋体" w:hint="default"/>
          <w:sz w:val="18"/>
          <w:szCs w:val="18"/>
        </w:rPr>
      </w:pPr>
    </w:p>
    <w:p>
      <w:pPr>
        <w:pStyle w:val="BodyText"/>
        <w:spacing w:line="286" w:lineRule="exact"/>
        <w:ind w:left="588" w:right="115"/>
        <w:jc w:val="both"/>
      </w:pPr>
      <w:r>
        <w:rPr/>
        <w:t>因产品质量保证、亏损合同等形成的现时义务，当履行该义务很可能导致经济利益的流出，</w:t>
      </w:r>
      <w:r>
        <w:rPr>
          <w:spacing w:val="-70"/>
        </w:rPr>
        <w:t> </w:t>
      </w:r>
      <w:r>
        <w:rPr>
          <w:spacing w:val="-70"/>
        </w:rPr>
      </w:r>
      <w:r>
        <w:rPr/>
        <w:t>且其金额能够可靠计量时，确认为预计负债。</w:t>
      </w:r>
    </w:p>
    <w:p>
      <w:pPr>
        <w:spacing w:line="240" w:lineRule="auto" w:before="4"/>
        <w:rPr>
          <w:rFonts w:ascii="宋体" w:hAnsi="宋体" w:cs="宋体" w:eastAsia="宋体" w:hint="default"/>
          <w:sz w:val="19"/>
          <w:szCs w:val="19"/>
        </w:rPr>
      </w:pPr>
    </w:p>
    <w:p>
      <w:pPr>
        <w:pStyle w:val="BodyText"/>
        <w:spacing w:line="286" w:lineRule="exact"/>
        <w:ind w:left="588" w:right="113"/>
        <w:jc w:val="both"/>
      </w:pPr>
      <w:r>
        <w:rPr/>
        <w:t>预计负债按照履行相关现时义务所需支出的最佳估计数进行初始计量，并综合考虑与或有事</w:t>
      </w:r>
      <w:r>
        <w:rPr>
          <w:spacing w:val="-70"/>
        </w:rPr>
        <w:t> </w:t>
      </w:r>
      <w:r>
        <w:rPr>
          <w:spacing w:val="-70"/>
        </w:rPr>
      </w:r>
      <w:r>
        <w:rPr/>
        <w:t>项有关的风险、不确定性和货币时间价值等因素。货币时间价值影响重大的，通过对相关未</w:t>
      </w:r>
      <w:r>
        <w:rPr>
          <w:spacing w:val="-69"/>
        </w:rPr>
        <w:t> </w:t>
      </w:r>
      <w:r>
        <w:rPr>
          <w:spacing w:val="-69"/>
        </w:rPr>
      </w:r>
      <w:r>
        <w:rPr/>
        <w:t>来现金流出进行折现后确定最佳估计数；因随着时间推移所进行的折现还原而导致的预计负</w:t>
      </w:r>
      <w:r>
        <w:rPr>
          <w:spacing w:val="-70"/>
        </w:rPr>
        <w:t> </w:t>
      </w:r>
      <w:r>
        <w:rPr>
          <w:spacing w:val="-70"/>
        </w:rPr>
      </w:r>
      <w:r>
        <w:rPr/>
        <w:t>债账面价值的增加金额，确认为利息费用。</w:t>
      </w:r>
    </w:p>
    <w:p>
      <w:pPr>
        <w:spacing w:after="0" w:line="286" w:lineRule="exact"/>
        <w:jc w:val="both"/>
        <w:sectPr>
          <w:headerReference w:type="default" r:id="rId55"/>
          <w:pgSz w:w="11910" w:h="16840"/>
          <w:pgMar w:header="965" w:footer="769" w:top="2820" w:bottom="960" w:left="1440" w:right="920"/>
        </w:sectPr>
      </w:pPr>
    </w:p>
    <w:p>
      <w:pPr>
        <w:spacing w:line="240" w:lineRule="auto" w:before="0"/>
        <w:rPr>
          <w:rFonts w:ascii="宋体" w:hAnsi="宋体" w:cs="宋体" w:eastAsia="宋体" w:hint="default"/>
          <w:sz w:val="18"/>
          <w:szCs w:val="18"/>
        </w:rPr>
      </w:pPr>
    </w:p>
    <w:p>
      <w:pPr>
        <w:pStyle w:val="BodyText"/>
        <w:spacing w:line="240" w:lineRule="auto" w:before="32"/>
        <w:ind w:left="120" w:right="0"/>
        <w:jc w:val="left"/>
      </w:pPr>
      <w:r>
        <w:rPr>
          <w:rFonts w:ascii="Arial" w:hAnsi="Arial" w:cs="Arial" w:eastAsia="Arial" w:hint="default"/>
        </w:rPr>
        <w:t>23</w:t>
      </w:r>
      <w:r>
        <w:rPr/>
        <w:t>、预计负债（续）</w:t>
      </w:r>
    </w:p>
    <w:p>
      <w:pPr>
        <w:spacing w:line="240" w:lineRule="auto" w:before="3"/>
        <w:rPr>
          <w:rFonts w:ascii="宋体" w:hAnsi="宋体" w:cs="宋体" w:eastAsia="宋体" w:hint="default"/>
          <w:sz w:val="18"/>
          <w:szCs w:val="18"/>
        </w:rPr>
      </w:pPr>
    </w:p>
    <w:p>
      <w:pPr>
        <w:pStyle w:val="BodyText"/>
        <w:spacing w:line="237" w:lineRule="auto"/>
        <w:ind w:left="588" w:right="215"/>
        <w:jc w:val="both"/>
      </w:pPr>
      <w:r>
        <w:rPr/>
        <w:t>在确定最佳估计数时，本集团综合考虑了与或有事项有关的风险、不确定性和货币时间价值</w:t>
      </w:r>
      <w:r>
        <w:rPr>
          <w:spacing w:val="-70"/>
        </w:rPr>
        <w:t> </w:t>
      </w:r>
      <w:r>
        <w:rPr>
          <w:spacing w:val="-70"/>
        </w:rPr>
      </w:r>
      <w:r>
        <w:rPr/>
        <w:t>等因素。所需支出存在一个连续范围，且该范围内各种结果发生的可能性相同的，最佳估计</w:t>
      </w:r>
      <w:r>
        <w:rPr>
          <w:spacing w:val="-70"/>
        </w:rPr>
        <w:t> </w:t>
      </w:r>
      <w:r>
        <w:rPr>
          <w:spacing w:val="-70"/>
        </w:rPr>
      </w:r>
      <w:r>
        <w:rPr/>
        <w:t>数按照该范围内的中间值确定；在其他情况下，最佳估计数分别下列情况处理：</w:t>
      </w:r>
    </w:p>
    <w:p>
      <w:pPr>
        <w:spacing w:line="240" w:lineRule="auto" w:before="4"/>
        <w:rPr>
          <w:rFonts w:ascii="宋体" w:hAnsi="宋体" w:cs="宋体" w:eastAsia="宋体" w:hint="default"/>
          <w:sz w:val="19"/>
          <w:szCs w:val="19"/>
        </w:rPr>
      </w:pPr>
    </w:p>
    <w:p>
      <w:pPr>
        <w:pStyle w:val="BodyText"/>
        <w:spacing w:line="240" w:lineRule="auto"/>
        <w:ind w:left="588" w:right="0"/>
        <w:jc w:val="both"/>
      </w:pPr>
      <w:r>
        <w:rPr>
          <w:rFonts w:ascii="Arial" w:hAnsi="Arial" w:cs="Arial" w:eastAsia="Arial" w:hint="default"/>
        </w:rPr>
        <w:t>——</w:t>
      </w:r>
      <w:r>
        <w:rPr/>
        <w:t>或有事项涉及单个项目的，按照最可能发生金额确定。</w:t>
      </w:r>
    </w:p>
    <w:p>
      <w:pPr>
        <w:spacing w:line="240" w:lineRule="auto" w:before="12"/>
        <w:rPr>
          <w:rFonts w:ascii="宋体" w:hAnsi="宋体" w:cs="宋体" w:eastAsia="宋体" w:hint="default"/>
          <w:sz w:val="17"/>
          <w:szCs w:val="17"/>
        </w:rPr>
      </w:pPr>
    </w:p>
    <w:p>
      <w:pPr>
        <w:pStyle w:val="BodyText"/>
        <w:spacing w:line="424" w:lineRule="auto"/>
        <w:ind w:left="588" w:right="0"/>
        <w:jc w:val="left"/>
      </w:pPr>
      <w:r>
        <w:rPr>
          <w:rFonts w:ascii="Arial" w:hAnsi="Arial" w:cs="Arial" w:eastAsia="Arial" w:hint="default"/>
        </w:rPr>
        <w:t>——</w:t>
      </w:r>
      <w:r>
        <w:rPr/>
        <w:t>或有事项涉及多个项目的，按照各种可能结果及相关概率计算确定。</w:t>
      </w:r>
      <w:r>
        <w:rPr>
          <w:w w:val="100"/>
        </w:rPr>
        <w:t> </w:t>
      </w:r>
      <w:r>
        <w:rPr>
          <w:spacing w:val="-3"/>
        </w:rPr>
        <w:t>于资产负债表日，对预计负债的账面价值进行复核并作适当调整，以反映当前的最佳估计数。</w:t>
      </w:r>
    </w:p>
    <w:p>
      <w:pPr>
        <w:pStyle w:val="BodyText"/>
        <w:spacing w:line="240" w:lineRule="auto" w:before="54"/>
        <w:ind w:left="120" w:right="0"/>
        <w:jc w:val="left"/>
      </w:pPr>
      <w:r>
        <w:rPr>
          <w:rFonts w:ascii="Arial" w:hAnsi="Arial" w:cs="Arial" w:eastAsia="Arial" w:hint="default"/>
        </w:rPr>
        <w:t>24</w:t>
      </w:r>
      <w:r>
        <w:rPr/>
        <w:t>、收入确认</w:t>
      </w:r>
    </w:p>
    <w:p>
      <w:pPr>
        <w:spacing w:line="240" w:lineRule="auto" w:before="10"/>
        <w:rPr>
          <w:rFonts w:ascii="宋体" w:hAnsi="宋体" w:cs="宋体" w:eastAsia="宋体" w:hint="default"/>
          <w:sz w:val="18"/>
          <w:szCs w:val="18"/>
        </w:rPr>
      </w:pPr>
    </w:p>
    <w:p>
      <w:pPr>
        <w:pStyle w:val="BodyText"/>
        <w:spacing w:line="286" w:lineRule="exact"/>
        <w:ind w:left="598" w:right="212"/>
        <w:jc w:val="both"/>
      </w:pPr>
      <w:r>
        <w:rPr/>
        <w:t>收入的金额按照本集团在日常经营活动中提供电信服务、其他劳务或销售通信产品时，已收</w:t>
      </w:r>
      <w:r>
        <w:rPr>
          <w:spacing w:val="-76"/>
        </w:rPr>
        <w:t> </w:t>
      </w:r>
      <w:r>
        <w:rPr>
          <w:spacing w:val="-76"/>
        </w:rPr>
      </w:r>
      <w:r>
        <w:rPr/>
        <w:t>或应收合同或协议价款的公允价值确定。收入按扣除销售折让及销售退回的净额列示。</w:t>
      </w:r>
    </w:p>
    <w:p>
      <w:pPr>
        <w:spacing w:line="240" w:lineRule="auto" w:before="3"/>
        <w:rPr>
          <w:rFonts w:ascii="宋体" w:hAnsi="宋体" w:cs="宋体" w:eastAsia="宋体" w:hint="default"/>
          <w:sz w:val="19"/>
          <w:szCs w:val="19"/>
        </w:rPr>
      </w:pPr>
    </w:p>
    <w:p>
      <w:pPr>
        <w:pStyle w:val="BodyText"/>
        <w:spacing w:line="286" w:lineRule="exact"/>
        <w:ind w:left="598" w:right="212"/>
        <w:jc w:val="both"/>
      </w:pPr>
      <w:r>
        <w:rPr/>
        <w:t>与交易相关的经济利益能够流入本集团，相关的收入和成本能够可靠计量且满足下列各项经</w:t>
      </w:r>
      <w:r>
        <w:rPr>
          <w:spacing w:val="-76"/>
        </w:rPr>
        <w:t> </w:t>
      </w:r>
      <w:r>
        <w:rPr>
          <w:spacing w:val="-76"/>
        </w:rPr>
      </w:r>
      <w:r>
        <w:rPr/>
        <w:t>营活动的特定收入确认标准时，确认相关的收入：</w:t>
      </w:r>
    </w:p>
    <w:p>
      <w:pPr>
        <w:spacing w:line="240" w:lineRule="auto" w:before="1"/>
        <w:rPr>
          <w:rFonts w:ascii="宋体" w:hAnsi="宋体" w:cs="宋体" w:eastAsia="宋体" w:hint="default"/>
          <w:sz w:val="17"/>
          <w:szCs w:val="17"/>
        </w:rPr>
      </w:pPr>
    </w:p>
    <w:p>
      <w:pPr>
        <w:pStyle w:val="BodyText"/>
        <w:spacing w:line="240" w:lineRule="auto"/>
        <w:ind w:left="163" w:right="0"/>
        <w:jc w:val="left"/>
      </w:pPr>
      <w:r>
        <w:rPr>
          <w:rFonts w:ascii="Arial" w:hAnsi="Arial" w:cs="Arial" w:eastAsia="Arial" w:hint="default"/>
        </w:rPr>
        <w:t>(a) </w:t>
      </w:r>
      <w:r>
        <w:rPr>
          <w:rFonts w:ascii="Arial" w:hAnsi="Arial" w:cs="Arial" w:eastAsia="Arial" w:hint="default"/>
          <w:spacing w:val="51"/>
        </w:rPr>
        <w:t> </w:t>
      </w:r>
      <w:r>
        <w:rPr/>
        <w:t>通话费和月租费在提供服务时确认；</w:t>
      </w:r>
    </w:p>
    <w:p>
      <w:pPr>
        <w:spacing w:line="240" w:lineRule="auto" w:before="1"/>
        <w:rPr>
          <w:rFonts w:ascii="宋体" w:hAnsi="宋体" w:cs="宋体" w:eastAsia="宋体" w:hint="default"/>
          <w:sz w:val="18"/>
          <w:szCs w:val="18"/>
        </w:rPr>
      </w:pPr>
    </w:p>
    <w:p>
      <w:pPr>
        <w:pStyle w:val="BodyText"/>
        <w:spacing w:line="240" w:lineRule="auto"/>
        <w:ind w:left="161" w:right="0"/>
        <w:jc w:val="left"/>
      </w:pPr>
      <w:r>
        <w:rPr>
          <w:rFonts w:ascii="Arial" w:hAnsi="Arial" w:cs="Arial" w:eastAsia="Arial" w:hint="default"/>
        </w:rPr>
        <w:t>(b) </w:t>
      </w:r>
      <w:r>
        <w:rPr>
          <w:rFonts w:ascii="Arial" w:hAnsi="Arial" w:cs="Arial" w:eastAsia="Arial" w:hint="default"/>
          <w:spacing w:val="50"/>
        </w:rPr>
        <w:t> </w:t>
      </w:r>
      <w:r>
        <w:rPr/>
        <w:t>提供宽带、数据及其他互联网相关服务的收入在提供服务时予以确认；</w:t>
      </w:r>
    </w:p>
    <w:p>
      <w:pPr>
        <w:spacing w:line="240" w:lineRule="auto" w:before="9"/>
        <w:rPr>
          <w:rFonts w:ascii="宋体" w:hAnsi="宋体" w:cs="宋体" w:eastAsia="宋体" w:hint="default"/>
          <w:sz w:val="18"/>
          <w:szCs w:val="18"/>
        </w:rPr>
      </w:pPr>
    </w:p>
    <w:p>
      <w:pPr>
        <w:pStyle w:val="BodyText"/>
        <w:spacing w:line="230" w:lineRule="auto"/>
        <w:ind w:left="614" w:right="209" w:hanging="454"/>
        <w:jc w:val="both"/>
      </w:pPr>
      <w:r>
        <w:rPr>
          <w:rFonts w:ascii="Arial" w:hAnsi="Arial" w:cs="Arial" w:eastAsia="Arial" w:hint="default"/>
        </w:rPr>
        <w:t>(c)</w:t>
      </w:r>
      <w:r>
        <w:rPr>
          <w:rFonts w:ascii="Arial" w:hAnsi="Arial" w:cs="Arial" w:eastAsia="Arial" w:hint="default"/>
          <w:spacing w:val="29"/>
        </w:rPr>
        <w:t> </w:t>
      </w:r>
      <w:r>
        <w:rPr/>
        <w:t>对于信息与通信技术服务收入，若提供劳务交易的结果能够可靠估计，采用完工百分比法确</w:t>
      </w:r>
      <w:r>
        <w:rPr>
          <w:w w:val="100"/>
        </w:rPr>
        <w:t> </w:t>
      </w:r>
      <w:r>
        <w:rPr>
          <w:spacing w:val="-1"/>
        </w:rPr>
        <w:t>认收入；若提供劳务交易的结果不能可靠估计，则不能按照完工百分比法确认而应区别下列</w:t>
      </w:r>
      <w:r>
        <w:rPr>
          <w:w w:val="100"/>
        </w:rPr>
        <w:t> </w:t>
      </w:r>
      <w:r>
        <w:rPr>
          <w:spacing w:val="-2"/>
        </w:rPr>
        <w:t>情况处理：</w:t>
      </w:r>
      <w:r>
        <w:rPr>
          <w:rFonts w:ascii="Arial" w:hAnsi="Arial" w:cs="Arial" w:eastAsia="Arial" w:hint="default"/>
          <w:spacing w:val="-2"/>
        </w:rPr>
        <w:t>(1)</w:t>
      </w:r>
      <w:r>
        <w:rPr>
          <w:spacing w:val="-2"/>
        </w:rPr>
        <w:t>已经发生的劳务成本预计全部能够得到补偿的，应按已收或预计能够收回的金</w:t>
      </w:r>
      <w:r>
        <w:rPr>
          <w:w w:val="100"/>
        </w:rPr>
        <w:t> </w:t>
      </w:r>
      <w:r>
        <w:rPr>
          <w:spacing w:val="-2"/>
        </w:rPr>
        <w:t>额确认提供劳务收入，并结转已经发生的劳务成本；</w:t>
      </w:r>
      <w:r>
        <w:rPr>
          <w:rFonts w:ascii="Arial" w:hAnsi="Arial" w:cs="Arial" w:eastAsia="Arial" w:hint="default"/>
          <w:spacing w:val="-2"/>
        </w:rPr>
        <w:t>(2)</w:t>
      </w:r>
      <w:r>
        <w:rPr>
          <w:spacing w:val="-2"/>
        </w:rPr>
        <w:t>已经发生的劳务成本预计部分能够得</w:t>
      </w:r>
      <w:r>
        <w:rPr>
          <w:w w:val="100"/>
        </w:rPr>
        <w:t> </w:t>
      </w:r>
      <w:r>
        <w:rPr>
          <w:spacing w:val="-1"/>
        </w:rPr>
        <w:t>到补偿的，应按能够得到补偿的劳务成本金额确认提供劳务收入，并结转已经发生的劳务成</w:t>
      </w:r>
      <w:r>
        <w:rPr>
          <w:w w:val="100"/>
        </w:rPr>
        <w:t> </w:t>
      </w:r>
      <w:r>
        <w:rPr>
          <w:spacing w:val="-2"/>
        </w:rPr>
        <w:t>本；及</w:t>
      </w:r>
      <w:r>
        <w:rPr>
          <w:rFonts w:ascii="Arial" w:hAnsi="Arial" w:cs="Arial" w:eastAsia="Arial" w:hint="default"/>
          <w:spacing w:val="-2"/>
        </w:rPr>
        <w:t>(3)</w:t>
      </w:r>
      <w:r>
        <w:rPr>
          <w:spacing w:val="-2"/>
        </w:rPr>
        <w:t>已经发生的劳务成本预计全部不能得到补偿的，应将已经发生的劳务成本计入当期</w:t>
      </w:r>
      <w:r>
        <w:rPr>
          <w:w w:val="100"/>
        </w:rPr>
        <w:t> </w:t>
      </w:r>
      <w:r>
        <w:rPr/>
        <w:t>损益；不确认提供劳务收入；</w:t>
      </w:r>
    </w:p>
    <w:p>
      <w:pPr>
        <w:spacing w:line="240" w:lineRule="auto" w:before="4"/>
        <w:rPr>
          <w:rFonts w:ascii="宋体" w:hAnsi="宋体" w:cs="宋体" w:eastAsia="宋体" w:hint="default"/>
          <w:sz w:val="21"/>
          <w:szCs w:val="21"/>
        </w:rPr>
      </w:pPr>
    </w:p>
    <w:p>
      <w:pPr>
        <w:pStyle w:val="BodyText"/>
        <w:spacing w:line="286" w:lineRule="exact"/>
        <w:ind w:left="614" w:right="0" w:hanging="454"/>
        <w:jc w:val="left"/>
      </w:pPr>
      <w:r>
        <w:rPr>
          <w:rFonts w:ascii="Arial" w:hAnsi="Arial" w:cs="Arial" w:eastAsia="Arial" w:hint="default"/>
        </w:rPr>
        <w:t>(d)</w:t>
      </w:r>
      <w:r>
        <w:rPr>
          <w:rFonts w:ascii="Arial" w:hAnsi="Arial" w:cs="Arial" w:eastAsia="Arial" w:hint="default"/>
          <w:spacing w:val="16"/>
        </w:rPr>
        <w:t> </w:t>
      </w:r>
      <w:r>
        <w:rPr/>
        <w:t>网间结算收入指本集团与国内外其他电信运营商网络间通信而获得的收入，于发生时确认；</w:t>
      </w:r>
      <w:r>
        <w:rPr>
          <w:w w:val="100"/>
        </w:rPr>
        <w:t> </w:t>
      </w:r>
      <w:r>
        <w:rPr>
          <w:spacing w:val="-1"/>
        </w:rPr>
        <w:t>网间结算支出指本集团与国内外其他电信运营商网络间通信所产生的支出，于发生时确认；</w:t>
      </w:r>
    </w:p>
    <w:p>
      <w:pPr>
        <w:spacing w:line="240" w:lineRule="auto" w:before="7"/>
        <w:rPr>
          <w:rFonts w:ascii="宋体" w:hAnsi="宋体" w:cs="宋体" w:eastAsia="宋体" w:hint="default"/>
          <w:sz w:val="19"/>
          <w:szCs w:val="19"/>
        </w:rPr>
      </w:pPr>
    </w:p>
    <w:p>
      <w:pPr>
        <w:pStyle w:val="BodyText"/>
        <w:spacing w:line="284" w:lineRule="exact"/>
        <w:ind w:left="614" w:right="0" w:hanging="454"/>
        <w:jc w:val="left"/>
      </w:pPr>
      <w:r>
        <w:rPr>
          <w:rFonts w:ascii="Arial" w:hAnsi="Arial" w:cs="Arial" w:eastAsia="Arial" w:hint="default"/>
        </w:rPr>
        <w:t>(e)</w:t>
      </w:r>
      <w:r>
        <w:rPr>
          <w:rFonts w:ascii="Arial" w:hAnsi="Arial" w:cs="Arial" w:eastAsia="Arial" w:hint="default"/>
          <w:spacing w:val="16"/>
        </w:rPr>
        <w:t> </w:t>
      </w:r>
      <w:r>
        <w:rPr/>
        <w:t>增值服务收入是指向用户提供如短信、炫铃、个性化彩铃、无线数据服务、来电显示以及秘</w:t>
      </w:r>
      <w:r>
        <w:rPr>
          <w:w w:val="100"/>
        </w:rPr>
        <w:t> </w:t>
      </w:r>
      <w:r>
        <w:rPr/>
        <w:t>书服务等，并在服务提供时确认；</w:t>
      </w:r>
    </w:p>
    <w:p>
      <w:pPr>
        <w:spacing w:line="240" w:lineRule="auto" w:before="6"/>
        <w:rPr>
          <w:rFonts w:ascii="宋体" w:hAnsi="宋体" w:cs="宋体" w:eastAsia="宋体" w:hint="default"/>
          <w:sz w:val="19"/>
          <w:szCs w:val="19"/>
        </w:rPr>
      </w:pPr>
    </w:p>
    <w:p>
      <w:pPr>
        <w:pStyle w:val="BodyText"/>
        <w:tabs>
          <w:tab w:pos="609" w:val="left" w:leader="none"/>
        </w:tabs>
        <w:spacing w:line="286" w:lineRule="exact"/>
        <w:ind w:left="614" w:right="213" w:hanging="454"/>
        <w:jc w:val="left"/>
      </w:pPr>
      <w:r>
        <w:rPr>
          <w:rFonts w:ascii="Arial" w:hAnsi="Arial" w:cs="Arial" w:eastAsia="Arial" w:hint="default"/>
        </w:rPr>
        <w:t>(f)</w:t>
        <w:tab/>
      </w:r>
      <w:r>
        <w:rPr>
          <w:spacing w:val="-1"/>
        </w:rPr>
        <w:t>提供劳务收入是指对外提供通信信息工程和建筑工程的咨询、勘察、设计、监理、客服等劳</w:t>
      </w:r>
      <w:r>
        <w:rPr>
          <w:spacing w:val="-47"/>
        </w:rPr>
        <w:t> </w:t>
      </w:r>
      <w:r>
        <w:rPr>
          <w:spacing w:val="-47"/>
        </w:rPr>
      </w:r>
      <w:r>
        <w:rPr/>
        <w:t>务，当合同已经签订且相关服务已提供完毕时确认相关的收入；</w:t>
      </w:r>
    </w:p>
    <w:p>
      <w:pPr>
        <w:spacing w:line="240" w:lineRule="auto" w:before="3"/>
        <w:rPr>
          <w:rFonts w:ascii="宋体" w:hAnsi="宋体" w:cs="宋体" w:eastAsia="宋体" w:hint="default"/>
          <w:sz w:val="19"/>
          <w:szCs w:val="19"/>
        </w:rPr>
      </w:pPr>
    </w:p>
    <w:p>
      <w:pPr>
        <w:pStyle w:val="BodyText"/>
        <w:spacing w:line="286" w:lineRule="exact"/>
        <w:ind w:left="614" w:right="0" w:hanging="454"/>
        <w:jc w:val="left"/>
      </w:pPr>
      <w:r>
        <w:rPr>
          <w:rFonts w:ascii="Arial" w:hAnsi="Arial" w:cs="Arial" w:eastAsia="Arial" w:hint="default"/>
        </w:rPr>
        <w:t>(g)</w:t>
      </w:r>
      <w:r>
        <w:rPr>
          <w:rFonts w:ascii="Arial" w:hAnsi="Arial" w:cs="Arial" w:eastAsia="Arial" w:hint="default"/>
          <w:spacing w:val="16"/>
        </w:rPr>
        <w:t> </w:t>
      </w:r>
      <w:r>
        <w:rPr/>
        <w:t>销售通信产品收入指销售手机、通信设备等通信产品而产生的收入，在产品所有权上的风险</w:t>
      </w:r>
      <w:r>
        <w:rPr>
          <w:w w:val="100"/>
        </w:rPr>
        <w:t> </w:t>
      </w:r>
      <w:r>
        <w:rPr/>
        <w:t>和报酬转移给买方时确认；</w:t>
      </w:r>
    </w:p>
    <w:p>
      <w:pPr>
        <w:spacing w:line="240" w:lineRule="auto" w:before="1"/>
        <w:rPr>
          <w:rFonts w:ascii="宋体" w:hAnsi="宋体" w:cs="宋体" w:eastAsia="宋体" w:hint="default"/>
          <w:sz w:val="17"/>
          <w:szCs w:val="17"/>
        </w:rPr>
      </w:pPr>
    </w:p>
    <w:p>
      <w:pPr>
        <w:pStyle w:val="BodyText"/>
        <w:spacing w:line="240" w:lineRule="auto"/>
        <w:ind w:left="161" w:right="0"/>
        <w:jc w:val="left"/>
      </w:pPr>
      <w:r>
        <w:rPr>
          <w:rFonts w:ascii="Arial" w:hAnsi="Arial" w:cs="Arial" w:eastAsia="Arial" w:hint="default"/>
        </w:rPr>
        <w:t>(h) </w:t>
      </w:r>
      <w:r>
        <w:rPr>
          <w:rFonts w:ascii="Arial" w:hAnsi="Arial" w:cs="Arial" w:eastAsia="Arial" w:hint="default"/>
          <w:spacing w:val="48"/>
        </w:rPr>
        <w:t> </w:t>
      </w:r>
      <w:r>
        <w:rPr/>
        <w:t>向固网业务用户收取的市话装移机费被予以递延，并在预计客户服务期内分期确认收入；</w:t>
      </w:r>
    </w:p>
    <w:p>
      <w:pPr>
        <w:spacing w:after="0" w:line="240" w:lineRule="auto"/>
        <w:jc w:val="left"/>
        <w:sectPr>
          <w:headerReference w:type="default" r:id="rId56"/>
          <w:pgSz w:w="11910" w:h="16840"/>
          <w:pgMar w:header="965" w:footer="769" w:top="2820" w:bottom="960" w:left="1440" w:right="820"/>
        </w:sectPr>
      </w:pPr>
    </w:p>
    <w:p>
      <w:pPr>
        <w:spacing w:line="240" w:lineRule="auto" w:before="0"/>
        <w:rPr>
          <w:rFonts w:ascii="宋体" w:hAnsi="宋体" w:cs="宋体" w:eastAsia="宋体" w:hint="default"/>
          <w:sz w:val="18"/>
          <w:szCs w:val="18"/>
        </w:rPr>
      </w:pPr>
    </w:p>
    <w:p>
      <w:pPr>
        <w:pStyle w:val="BodyText"/>
        <w:spacing w:line="240" w:lineRule="auto" w:before="32"/>
        <w:ind w:left="120" w:right="0"/>
        <w:jc w:val="left"/>
      </w:pPr>
      <w:r>
        <w:rPr>
          <w:rFonts w:ascii="Arial" w:hAnsi="Arial" w:cs="Arial" w:eastAsia="Arial" w:hint="default"/>
        </w:rPr>
        <w:t>24</w:t>
      </w:r>
      <w:r>
        <w:rPr/>
        <w:t>、收入确认（续）</w:t>
      </w:r>
    </w:p>
    <w:p>
      <w:pPr>
        <w:spacing w:line="240" w:lineRule="auto" w:before="1"/>
        <w:rPr>
          <w:rFonts w:ascii="宋体" w:hAnsi="宋体" w:cs="宋体" w:eastAsia="宋体" w:hint="default"/>
          <w:sz w:val="18"/>
          <w:szCs w:val="18"/>
        </w:rPr>
      </w:pPr>
    </w:p>
    <w:p>
      <w:pPr>
        <w:pStyle w:val="BodyText"/>
        <w:tabs>
          <w:tab w:pos="609" w:val="left" w:leader="none"/>
        </w:tabs>
        <w:spacing w:line="240" w:lineRule="auto"/>
        <w:ind w:left="161" w:right="0"/>
        <w:jc w:val="left"/>
      </w:pPr>
      <w:r>
        <w:rPr>
          <w:rFonts w:ascii="Arial" w:hAnsi="Arial" w:cs="Arial" w:eastAsia="Arial" w:hint="default"/>
          <w:spacing w:val="-1"/>
        </w:rPr>
        <w:t>(i)</w:t>
        <w:tab/>
      </w:r>
      <w:r>
        <w:rPr>
          <w:spacing w:val="-1"/>
        </w:rPr>
        <w:t>经营租赁收入在租赁期限内按合同约定确认；</w:t>
      </w:r>
    </w:p>
    <w:p>
      <w:pPr>
        <w:spacing w:line="240" w:lineRule="auto" w:before="12"/>
        <w:rPr>
          <w:rFonts w:ascii="宋体" w:hAnsi="宋体" w:cs="宋体" w:eastAsia="宋体" w:hint="default"/>
          <w:sz w:val="17"/>
          <w:szCs w:val="17"/>
        </w:rPr>
      </w:pPr>
    </w:p>
    <w:p>
      <w:pPr>
        <w:pStyle w:val="BodyText"/>
        <w:tabs>
          <w:tab w:pos="609" w:val="left" w:leader="none"/>
        </w:tabs>
        <w:spacing w:line="240" w:lineRule="auto"/>
        <w:ind w:left="161" w:right="0"/>
        <w:jc w:val="left"/>
      </w:pPr>
      <w:r>
        <w:rPr>
          <w:rFonts w:ascii="Arial" w:hAnsi="Arial" w:cs="Arial" w:eastAsia="Arial" w:hint="default"/>
          <w:w w:val="100"/>
        </w:rPr>
        <w:t>(</w:t>
      </w:r>
      <w:r>
        <w:rPr>
          <w:rFonts w:ascii="Arial" w:hAnsi="Arial" w:cs="Arial" w:eastAsia="Arial" w:hint="default"/>
          <w:spacing w:val="-2"/>
          <w:w w:val="100"/>
        </w:rPr>
        <w:t>j</w:t>
      </w:r>
      <w:r>
        <w:rPr>
          <w:rFonts w:ascii="Arial" w:hAnsi="Arial" w:cs="Arial" w:eastAsia="Arial" w:hint="default"/>
          <w:w w:val="100"/>
        </w:rPr>
        <w:t>)</w:t>
      </w:r>
      <w:r>
        <w:rPr>
          <w:rFonts w:ascii="Arial" w:hAnsi="Arial" w:cs="Arial" w:eastAsia="Arial" w:hint="default"/>
        </w:rPr>
        <w:tab/>
      </w:r>
      <w:r>
        <w:rPr>
          <w:w w:val="100"/>
        </w:rPr>
        <w:t>存放于</w:t>
      </w:r>
      <w:r>
        <w:rPr>
          <w:spacing w:val="-3"/>
          <w:w w:val="100"/>
        </w:rPr>
        <w:t>银</w:t>
      </w:r>
      <w:r>
        <w:rPr>
          <w:w w:val="100"/>
        </w:rPr>
        <w:t>行或</w:t>
      </w:r>
      <w:r>
        <w:rPr>
          <w:spacing w:val="-3"/>
          <w:w w:val="100"/>
        </w:rPr>
        <w:t>其</w:t>
      </w:r>
      <w:r>
        <w:rPr>
          <w:w w:val="100"/>
        </w:rPr>
        <w:t>他金</w:t>
      </w:r>
      <w:r>
        <w:rPr>
          <w:spacing w:val="-3"/>
          <w:w w:val="100"/>
        </w:rPr>
        <w:t>融机</w:t>
      </w:r>
      <w:r>
        <w:rPr>
          <w:w w:val="100"/>
        </w:rPr>
        <w:t>构的存</w:t>
      </w:r>
      <w:r>
        <w:rPr>
          <w:spacing w:val="-3"/>
          <w:w w:val="100"/>
        </w:rPr>
        <w:t>款</w:t>
      </w:r>
      <w:r>
        <w:rPr>
          <w:w w:val="100"/>
        </w:rPr>
        <w:t>利息</w:t>
      </w:r>
      <w:r>
        <w:rPr>
          <w:spacing w:val="-3"/>
          <w:w w:val="100"/>
        </w:rPr>
        <w:t>收</w:t>
      </w:r>
      <w:r>
        <w:rPr>
          <w:w w:val="100"/>
        </w:rPr>
        <w:t>入按</w:t>
      </w:r>
      <w:r>
        <w:rPr>
          <w:spacing w:val="-3"/>
          <w:w w:val="100"/>
        </w:rPr>
        <w:t>借出</w:t>
      </w:r>
      <w:r>
        <w:rPr>
          <w:w w:val="100"/>
        </w:rPr>
        <w:t>货</w:t>
      </w:r>
      <w:r>
        <w:rPr>
          <w:spacing w:val="1"/>
          <w:w w:val="100"/>
        </w:rPr>
        <w:t>币</w:t>
      </w:r>
      <w:r>
        <w:rPr>
          <w:w w:val="100"/>
        </w:rPr>
        <w:t>资</w:t>
      </w:r>
      <w:r>
        <w:rPr>
          <w:spacing w:val="-3"/>
          <w:w w:val="100"/>
        </w:rPr>
        <w:t>金</w:t>
      </w:r>
      <w:r>
        <w:rPr>
          <w:w w:val="100"/>
        </w:rPr>
        <w:t>的时间</w:t>
      </w:r>
      <w:r>
        <w:rPr>
          <w:spacing w:val="-92"/>
          <w:w w:val="100"/>
        </w:rPr>
        <w:t>，</w:t>
      </w:r>
      <w:r>
        <w:rPr>
          <w:w w:val="100"/>
        </w:rPr>
        <w:t>采用</w:t>
      </w:r>
      <w:r>
        <w:rPr>
          <w:spacing w:val="-3"/>
          <w:w w:val="100"/>
        </w:rPr>
        <w:t>实</w:t>
      </w:r>
      <w:r>
        <w:rPr>
          <w:w w:val="100"/>
        </w:rPr>
        <w:t>际利率</w:t>
      </w:r>
      <w:r>
        <w:rPr>
          <w:spacing w:val="-3"/>
          <w:w w:val="100"/>
        </w:rPr>
        <w:t>计</w:t>
      </w:r>
      <w:r>
        <w:rPr>
          <w:w w:val="100"/>
        </w:rPr>
        <w:t>算确定；</w:t>
      </w:r>
    </w:p>
    <w:p>
      <w:pPr>
        <w:spacing w:line="240" w:lineRule="auto" w:before="12"/>
        <w:rPr>
          <w:rFonts w:ascii="宋体" w:hAnsi="宋体" w:cs="宋体" w:eastAsia="宋体" w:hint="default"/>
          <w:sz w:val="17"/>
          <w:szCs w:val="17"/>
        </w:rPr>
      </w:pPr>
    </w:p>
    <w:p>
      <w:pPr>
        <w:pStyle w:val="BodyText"/>
        <w:spacing w:line="240" w:lineRule="auto"/>
        <w:ind w:left="161" w:right="0"/>
        <w:jc w:val="left"/>
      </w:pPr>
      <w:r>
        <w:rPr>
          <w:rFonts w:ascii="Arial" w:hAnsi="Arial" w:cs="Arial" w:eastAsia="Arial" w:hint="default"/>
        </w:rPr>
        <w:t>(k)  </w:t>
      </w:r>
      <w:r>
        <w:rPr>
          <w:rFonts w:ascii="Arial" w:hAnsi="Arial" w:cs="Arial" w:eastAsia="Arial" w:hint="default"/>
          <w:spacing w:val="5"/>
        </w:rPr>
        <w:t> </w:t>
      </w:r>
      <w:r>
        <w:rPr/>
        <w:t>积分兑换收入的确认请参见附注三</w:t>
      </w:r>
      <w:r>
        <w:rPr>
          <w:rFonts w:ascii="Arial" w:hAnsi="Arial" w:cs="Arial" w:eastAsia="Arial" w:hint="default"/>
        </w:rPr>
        <w:t>(25)</w:t>
      </w:r>
      <w:r>
        <w:rPr/>
        <w:t>；</w:t>
      </w:r>
    </w:p>
    <w:p>
      <w:pPr>
        <w:spacing w:line="240" w:lineRule="auto" w:before="0"/>
        <w:rPr>
          <w:rFonts w:ascii="宋体" w:hAnsi="宋体" w:cs="宋体" w:eastAsia="宋体" w:hint="default"/>
          <w:sz w:val="20"/>
          <w:szCs w:val="20"/>
        </w:rPr>
      </w:pPr>
    </w:p>
    <w:p>
      <w:pPr>
        <w:pStyle w:val="BodyText"/>
        <w:spacing w:line="286" w:lineRule="exact"/>
        <w:ind w:left="614" w:right="208" w:hanging="454"/>
        <w:jc w:val="both"/>
      </w:pPr>
      <w:r>
        <w:rPr>
          <w:rFonts w:ascii="Arial" w:hAnsi="Arial" w:cs="Arial" w:eastAsia="Arial" w:hint="default"/>
        </w:rPr>
        <w:t>(l)</w:t>
      </w:r>
      <w:r>
        <w:rPr>
          <w:rFonts w:ascii="Arial" w:hAnsi="Arial" w:cs="Arial" w:eastAsia="Arial" w:hint="default"/>
          <w:spacing w:val="28"/>
        </w:rPr>
        <w:t> </w:t>
      </w:r>
      <w:r>
        <w:rPr/>
        <w:t>本集团向顾客提供捆绑通信终端及通信服务的优惠套餐。该优惠套餐的合同总金额按照通信</w:t>
      </w:r>
      <w:r>
        <w:rPr>
          <w:w w:val="100"/>
        </w:rPr>
        <w:t> </w:t>
      </w:r>
      <w:r>
        <w:rPr>
          <w:spacing w:val="-1"/>
        </w:rPr>
        <w:t>终端和通信服务的公允价值在两者之间进行分配。通信终端销售收入于该通信终端的所有权</w:t>
      </w:r>
      <w:r>
        <w:rPr>
          <w:w w:val="100"/>
        </w:rPr>
        <w:t> </w:t>
      </w:r>
      <w:r>
        <w:rPr>
          <w:spacing w:val="-1"/>
        </w:rPr>
        <w:t>转移至最终用户时予以确认。通信服务收入按用户的移动通信服务实际用量予以确认。销售</w:t>
      </w:r>
      <w:r>
        <w:rPr>
          <w:w w:val="100"/>
        </w:rPr>
        <w:t> </w:t>
      </w:r>
      <w:r>
        <w:rPr/>
        <w:t>通信终端的成本于通信终端销售收入确认时于利润表内立刻确认为营业成本。</w:t>
      </w:r>
    </w:p>
    <w:p>
      <w:pPr>
        <w:spacing w:line="240" w:lineRule="auto" w:before="1"/>
        <w:rPr>
          <w:rFonts w:ascii="宋体" w:hAnsi="宋体" w:cs="宋体" w:eastAsia="宋体" w:hint="default"/>
          <w:sz w:val="17"/>
          <w:szCs w:val="17"/>
        </w:rPr>
      </w:pPr>
    </w:p>
    <w:p>
      <w:pPr>
        <w:pStyle w:val="BodyText"/>
        <w:spacing w:line="240" w:lineRule="auto"/>
        <w:ind w:left="120" w:right="0"/>
        <w:jc w:val="left"/>
      </w:pPr>
      <w:r>
        <w:rPr>
          <w:rFonts w:ascii="Arial" w:hAnsi="Arial" w:cs="Arial" w:eastAsia="Arial" w:hint="default"/>
        </w:rPr>
        <w:t>25</w:t>
      </w:r>
      <w:r>
        <w:rPr/>
        <w:t>、积分奖励计划</w:t>
      </w:r>
    </w:p>
    <w:p>
      <w:pPr>
        <w:spacing w:line="240" w:lineRule="auto" w:before="3"/>
        <w:rPr>
          <w:rFonts w:ascii="宋体" w:hAnsi="宋体" w:cs="宋体" w:eastAsia="宋体" w:hint="default"/>
          <w:sz w:val="18"/>
          <w:szCs w:val="18"/>
        </w:rPr>
      </w:pPr>
    </w:p>
    <w:p>
      <w:pPr>
        <w:pStyle w:val="BodyText"/>
        <w:spacing w:line="237" w:lineRule="auto"/>
        <w:ind w:left="598" w:right="211"/>
        <w:jc w:val="both"/>
      </w:pPr>
      <w:r>
        <w:rPr/>
        <w:t>本集团向用户提供了积分奖励计划。该积分奖励计划根据用户的消费额、忠诚度及缴费记录</w:t>
      </w:r>
      <w:r>
        <w:rPr>
          <w:spacing w:val="-76"/>
        </w:rPr>
        <w:t> </w:t>
      </w:r>
      <w:r>
        <w:rPr>
          <w:spacing w:val="-76"/>
        </w:rPr>
      </w:r>
      <w:r>
        <w:rPr/>
        <w:t>对其进行奖励。对于授予用户的积分奖励，在向其提供通信服务的同时，将取得通信服务收</w:t>
      </w:r>
      <w:r>
        <w:rPr>
          <w:spacing w:val="-76"/>
        </w:rPr>
        <w:t> </w:t>
      </w:r>
      <w:r>
        <w:rPr>
          <w:spacing w:val="-76"/>
        </w:rPr>
      </w:r>
      <w:r>
        <w:rPr/>
        <w:t>入的款项或应收款在本次提供的通信服务收入与积分奖励的公允价值之间进行分配。将取得</w:t>
      </w:r>
      <w:r>
        <w:rPr>
          <w:spacing w:val="-76"/>
        </w:rPr>
        <w:t> </w:t>
      </w:r>
      <w:r>
        <w:rPr>
          <w:spacing w:val="-76"/>
        </w:rPr>
      </w:r>
      <w:r>
        <w:rPr/>
        <w:t>的通信服务收入的款项或应收款扣除积分奖励公允价值的部分确认为收入，积分奖励的公允</w:t>
      </w:r>
      <w:r>
        <w:rPr>
          <w:spacing w:val="-76"/>
        </w:rPr>
        <w:t> </w:t>
      </w:r>
      <w:r>
        <w:rPr>
          <w:spacing w:val="-76"/>
        </w:rPr>
      </w:r>
      <w:r>
        <w:rPr/>
        <w:t>价值确认为递延收益。</w:t>
      </w:r>
    </w:p>
    <w:p>
      <w:pPr>
        <w:spacing w:line="240" w:lineRule="auto" w:before="3"/>
        <w:rPr>
          <w:rFonts w:ascii="宋体" w:hAnsi="宋体" w:cs="宋体" w:eastAsia="宋体" w:hint="default"/>
          <w:sz w:val="21"/>
          <w:szCs w:val="21"/>
        </w:rPr>
      </w:pPr>
    </w:p>
    <w:p>
      <w:pPr>
        <w:pStyle w:val="BodyText"/>
        <w:spacing w:line="286" w:lineRule="exact"/>
        <w:ind w:left="598" w:right="211"/>
        <w:jc w:val="both"/>
      </w:pPr>
      <w:r>
        <w:rPr/>
        <w:t>获得积分奖励的用户在满足条件时兑换本集团提供的商品或服务时，本集团将原计入递延收</w:t>
      </w:r>
      <w:r>
        <w:rPr>
          <w:spacing w:val="-76"/>
        </w:rPr>
        <w:t> </w:t>
      </w:r>
      <w:r>
        <w:rPr>
          <w:spacing w:val="-76"/>
        </w:rPr>
      </w:r>
      <w:r>
        <w:rPr/>
        <w:t>益的与所兑换积分相关的部分确认为收入；获得积分奖励的用户在满足条件时有权兑换第三</w:t>
      </w:r>
      <w:r>
        <w:rPr>
          <w:spacing w:val="-76"/>
        </w:rPr>
        <w:t> </w:t>
      </w:r>
      <w:r>
        <w:rPr>
          <w:spacing w:val="-76"/>
        </w:rPr>
      </w:r>
      <w:r>
        <w:rPr/>
        <w:t>方提供的商品或服务时，如果由本集团代表第三方收取对价，则本集团将被兑换积分原计入</w:t>
      </w:r>
      <w:r>
        <w:rPr>
          <w:spacing w:val="-76"/>
        </w:rPr>
        <w:t> </w:t>
      </w:r>
      <w:r>
        <w:rPr>
          <w:spacing w:val="-76"/>
        </w:rPr>
      </w:r>
      <w:r>
        <w:rPr/>
        <w:t>递延收益的金额与应支付给第三方对价的差额确认收入，如果本集团自身收取对价，本集团</w:t>
      </w:r>
      <w:r>
        <w:rPr>
          <w:spacing w:val="-76"/>
        </w:rPr>
        <w:t> </w:t>
      </w:r>
      <w:r>
        <w:rPr>
          <w:spacing w:val="-76"/>
        </w:rPr>
      </w:r>
      <w:r>
        <w:rPr/>
        <w:t>则将被兑换积分原计入递延收益的金额确认收入。</w:t>
      </w:r>
    </w:p>
    <w:p>
      <w:pPr>
        <w:pStyle w:val="BodyText"/>
        <w:spacing w:line="240" w:lineRule="auto" w:before="197"/>
        <w:ind w:left="120" w:right="0"/>
        <w:jc w:val="left"/>
      </w:pPr>
      <w:r>
        <w:rPr>
          <w:rFonts w:ascii="Arial" w:hAnsi="Arial" w:cs="Arial" w:eastAsia="Arial" w:hint="default"/>
        </w:rPr>
        <w:t>26</w:t>
      </w:r>
      <w:r>
        <w:rPr/>
        <w:t>、政府补助</w:t>
      </w:r>
    </w:p>
    <w:p>
      <w:pPr>
        <w:spacing w:line="240" w:lineRule="auto" w:before="10"/>
        <w:rPr>
          <w:rFonts w:ascii="宋体" w:hAnsi="宋体" w:cs="宋体" w:eastAsia="宋体" w:hint="default"/>
          <w:sz w:val="18"/>
          <w:szCs w:val="18"/>
        </w:rPr>
      </w:pPr>
    </w:p>
    <w:p>
      <w:pPr>
        <w:pStyle w:val="BodyText"/>
        <w:spacing w:line="286" w:lineRule="exact"/>
        <w:ind w:left="598" w:right="212"/>
        <w:jc w:val="both"/>
      </w:pPr>
      <w:r>
        <w:rPr/>
        <w:t>政府补助为本集团从政府无偿取得的货币性资产或非货币性资产，包括税费返还、财政补贴</w:t>
      </w:r>
      <w:r>
        <w:rPr>
          <w:spacing w:val="-76"/>
        </w:rPr>
        <w:t> </w:t>
      </w:r>
      <w:r>
        <w:rPr>
          <w:spacing w:val="-76"/>
        </w:rPr>
      </w:r>
      <w:r>
        <w:rPr/>
        <w:t>等。</w:t>
      </w:r>
    </w:p>
    <w:p>
      <w:pPr>
        <w:spacing w:line="240" w:lineRule="auto" w:before="3"/>
        <w:rPr>
          <w:rFonts w:ascii="宋体" w:hAnsi="宋体" w:cs="宋体" w:eastAsia="宋体" w:hint="default"/>
          <w:sz w:val="19"/>
          <w:szCs w:val="19"/>
        </w:rPr>
      </w:pPr>
    </w:p>
    <w:p>
      <w:pPr>
        <w:pStyle w:val="BodyText"/>
        <w:spacing w:line="286" w:lineRule="exact"/>
        <w:ind w:left="598" w:right="103"/>
        <w:jc w:val="both"/>
      </w:pPr>
      <w:r>
        <w:rPr/>
        <w:t>政府补助在本集团能够满足其所附的条件并能够收到时，予以确认。政府补助为货币性资产</w:t>
      </w:r>
      <w:r>
        <w:rPr>
          <w:spacing w:val="-76"/>
        </w:rPr>
        <w:t> </w:t>
      </w:r>
      <w:r>
        <w:rPr>
          <w:spacing w:val="-76"/>
        </w:rPr>
      </w:r>
      <w:r>
        <w:rPr/>
        <w:t>的，按照收到或应收的金额计量。政府补助为非货币性资产的，按照公允价值计量；公允价</w:t>
      </w:r>
      <w:r>
        <w:rPr>
          <w:spacing w:val="-76"/>
        </w:rPr>
        <w:t> </w:t>
      </w:r>
      <w:r>
        <w:rPr>
          <w:spacing w:val="-76"/>
        </w:rPr>
      </w:r>
      <w:r>
        <w:rPr/>
        <w:t>值不能可靠取得的，按照名义金额计量。</w:t>
      </w:r>
    </w:p>
    <w:p>
      <w:pPr>
        <w:spacing w:line="240" w:lineRule="auto" w:before="4"/>
        <w:rPr>
          <w:rFonts w:ascii="宋体" w:hAnsi="宋体" w:cs="宋体" w:eastAsia="宋体" w:hint="default"/>
          <w:sz w:val="17"/>
          <w:szCs w:val="17"/>
        </w:rPr>
      </w:pPr>
    </w:p>
    <w:p>
      <w:pPr>
        <w:pStyle w:val="BodyText"/>
        <w:spacing w:line="237" w:lineRule="auto"/>
        <w:ind w:left="598" w:right="0"/>
        <w:jc w:val="left"/>
      </w:pPr>
      <w:r>
        <w:rPr>
          <w:spacing w:val="-3"/>
        </w:rPr>
        <w:t>本集团取得的、用于购建或以其他方式形成长期资产的政府补助作为与资产相关的政府补助。</w:t>
      </w:r>
      <w:r>
        <w:rPr>
          <w:spacing w:val="-69"/>
        </w:rPr>
        <w:t> </w:t>
      </w:r>
      <w:r>
        <w:rPr>
          <w:spacing w:val="-69"/>
        </w:rPr>
      </w:r>
      <w:r>
        <w:rPr/>
        <w:t>本集团取得的与资产相关之外的其他政府补助作为与收益相关的政府补助。与资产相关的政</w:t>
      </w:r>
      <w:r>
        <w:rPr>
          <w:spacing w:val="-76"/>
        </w:rPr>
        <w:t> </w:t>
      </w:r>
      <w:r>
        <w:rPr>
          <w:spacing w:val="-76"/>
        </w:rPr>
      </w:r>
      <w:r>
        <w:rPr/>
        <w:t>府补助，确认为递延收益，并在相关资产使用期限内平均分配，计入当期损益。按照名义金</w:t>
      </w:r>
      <w:r>
        <w:rPr>
          <w:spacing w:val="-76"/>
        </w:rPr>
        <w:t> </w:t>
      </w:r>
      <w:r>
        <w:rPr>
          <w:spacing w:val="-76"/>
        </w:rPr>
      </w:r>
      <w:r>
        <w:rPr/>
        <w:t>额计量的政府补助，直接计入当期损益。</w:t>
      </w:r>
    </w:p>
    <w:p>
      <w:pPr>
        <w:spacing w:line="240" w:lineRule="auto" w:before="3"/>
        <w:rPr>
          <w:rFonts w:ascii="宋体" w:hAnsi="宋体" w:cs="宋体" w:eastAsia="宋体" w:hint="default"/>
          <w:sz w:val="21"/>
          <w:szCs w:val="21"/>
        </w:rPr>
      </w:pPr>
    </w:p>
    <w:p>
      <w:pPr>
        <w:pStyle w:val="BodyText"/>
        <w:spacing w:line="286" w:lineRule="exact"/>
        <w:ind w:left="598" w:right="211"/>
        <w:jc w:val="both"/>
      </w:pPr>
      <w:r>
        <w:rPr/>
        <w:t>与收益相关的政府补助，用于补偿以后期间的相关费用或损失的，确认为递延收益，并在确</w:t>
      </w:r>
      <w:r>
        <w:rPr>
          <w:spacing w:val="-76"/>
        </w:rPr>
        <w:t> </w:t>
      </w:r>
      <w:r>
        <w:rPr>
          <w:spacing w:val="-76"/>
        </w:rPr>
      </w:r>
      <w:r>
        <w:rPr/>
        <w:t>认相关费用的期间，计入当期损益；用于补偿已发生的相关费用或损失的，直接计入当期损</w:t>
      </w:r>
      <w:r>
        <w:rPr>
          <w:spacing w:val="-76"/>
        </w:rPr>
        <w:t> </w:t>
      </w:r>
      <w:r>
        <w:rPr>
          <w:spacing w:val="-76"/>
        </w:rPr>
      </w:r>
      <w:r>
        <w:rPr/>
        <w:t>益。</w:t>
      </w:r>
    </w:p>
    <w:p>
      <w:pPr>
        <w:spacing w:after="0" w:line="286" w:lineRule="exact"/>
        <w:jc w:val="both"/>
        <w:sectPr>
          <w:headerReference w:type="default" r:id="rId57"/>
          <w:pgSz w:w="11910" w:h="16840"/>
          <w:pgMar w:header="965" w:footer="769" w:top="2820" w:bottom="960" w:left="1440" w:right="820"/>
        </w:sectPr>
      </w:pPr>
    </w:p>
    <w:p>
      <w:pPr>
        <w:spacing w:line="240" w:lineRule="auto" w:before="0"/>
        <w:rPr>
          <w:rFonts w:ascii="宋体" w:hAnsi="宋体" w:cs="宋体" w:eastAsia="宋体" w:hint="default"/>
          <w:sz w:val="18"/>
          <w:szCs w:val="18"/>
        </w:rPr>
      </w:pPr>
    </w:p>
    <w:p>
      <w:pPr>
        <w:pStyle w:val="BodyText"/>
        <w:spacing w:line="240" w:lineRule="auto" w:before="32"/>
        <w:ind w:left="120" w:right="0"/>
        <w:jc w:val="left"/>
      </w:pPr>
      <w:r>
        <w:rPr>
          <w:rFonts w:ascii="Arial" w:hAnsi="Arial" w:cs="Arial" w:eastAsia="Arial" w:hint="default"/>
        </w:rPr>
        <w:t>27</w:t>
      </w:r>
      <w:r>
        <w:rPr/>
        <w:t>、递延所得税资产和递延所得税负债</w:t>
      </w:r>
    </w:p>
    <w:p>
      <w:pPr>
        <w:spacing w:line="240" w:lineRule="auto" w:before="3"/>
        <w:rPr>
          <w:rFonts w:ascii="宋体" w:hAnsi="宋体" w:cs="宋体" w:eastAsia="宋体" w:hint="default"/>
          <w:sz w:val="18"/>
          <w:szCs w:val="18"/>
        </w:rPr>
      </w:pPr>
    </w:p>
    <w:p>
      <w:pPr>
        <w:pStyle w:val="BodyText"/>
        <w:spacing w:line="237" w:lineRule="auto"/>
        <w:ind w:left="598" w:right="212"/>
        <w:jc w:val="both"/>
      </w:pPr>
      <w:r>
        <w:rPr/>
        <w:t>递延所得税资产和递延所得税负债根据资产和负债的计税基础与其账面价值的差额（暂时性</w:t>
      </w:r>
      <w:r>
        <w:rPr>
          <w:spacing w:val="-76"/>
        </w:rPr>
        <w:t> </w:t>
      </w:r>
      <w:r>
        <w:rPr>
          <w:spacing w:val="-76"/>
        </w:rPr>
      </w:r>
      <w:r>
        <w:rPr/>
        <w:t>差异）计算确认。对于按照税法规定能够于以后年度抵减应纳税所得额的可抵扣亏损，确认</w:t>
      </w:r>
      <w:r>
        <w:rPr>
          <w:spacing w:val="-76"/>
        </w:rPr>
        <w:t> </w:t>
      </w:r>
      <w:r>
        <w:rPr>
          <w:spacing w:val="-76"/>
        </w:rPr>
      </w:r>
      <w:r>
        <w:rPr/>
        <w:t>相应的递延所得税资产。对于既不影响会计利润也不影响应纳税所得额（或可抵扣亏损）的</w:t>
      </w:r>
      <w:r>
        <w:rPr>
          <w:spacing w:val="-76"/>
        </w:rPr>
        <w:t> </w:t>
      </w:r>
      <w:r>
        <w:rPr>
          <w:spacing w:val="-76"/>
        </w:rPr>
      </w:r>
      <w:r>
        <w:rPr/>
        <w:t>非企业合并的交易中产生的资产或负债的初始确认形成的暂时性差异，不确认相应的递延所</w:t>
      </w:r>
      <w:r>
        <w:rPr>
          <w:spacing w:val="-76"/>
        </w:rPr>
        <w:t> </w:t>
      </w:r>
      <w:r>
        <w:rPr>
          <w:spacing w:val="-76"/>
        </w:rPr>
      </w:r>
      <w:r>
        <w:rPr/>
        <w:t>得税资产和递延所得税负债。于资产负债表日，递延所得税资产和递延所得税负债，按照预</w:t>
      </w:r>
      <w:r>
        <w:rPr>
          <w:spacing w:val="-76"/>
        </w:rPr>
        <w:t> </w:t>
      </w:r>
      <w:r>
        <w:rPr>
          <w:spacing w:val="-76"/>
        </w:rPr>
      </w:r>
      <w:r>
        <w:rPr/>
        <w:t>期收回该资产或清偿该负债期间的适用税率计量。</w:t>
      </w:r>
    </w:p>
    <w:p>
      <w:pPr>
        <w:spacing w:line="240" w:lineRule="auto" w:before="3"/>
        <w:rPr>
          <w:rFonts w:ascii="宋体" w:hAnsi="宋体" w:cs="宋体" w:eastAsia="宋体" w:hint="default"/>
          <w:sz w:val="21"/>
          <w:szCs w:val="21"/>
        </w:rPr>
      </w:pPr>
    </w:p>
    <w:p>
      <w:pPr>
        <w:pStyle w:val="BodyText"/>
        <w:spacing w:line="286" w:lineRule="exact"/>
        <w:ind w:left="607" w:right="0"/>
        <w:jc w:val="left"/>
      </w:pPr>
      <w:r>
        <w:rPr/>
        <w:t>资产负债表日，本集团对递延所得税资产的账面价值进行复核。递延所得税资产的确认以本</w:t>
      </w:r>
      <w:r>
        <w:rPr>
          <w:spacing w:val="-87"/>
        </w:rPr>
        <w:t> </w:t>
      </w:r>
      <w:r>
        <w:rPr>
          <w:spacing w:val="-87"/>
        </w:rPr>
      </w:r>
      <w:r>
        <w:rPr>
          <w:spacing w:val="-3"/>
        </w:rPr>
        <w:t>集团很可能取得用来抵扣的可抵扣暂时性差异、可抵扣亏损和税款抵减的应纳税所得额为限。</w:t>
      </w:r>
    </w:p>
    <w:p>
      <w:pPr>
        <w:spacing w:line="240" w:lineRule="auto" w:before="4"/>
        <w:rPr>
          <w:rFonts w:ascii="宋体" w:hAnsi="宋体" w:cs="宋体" w:eastAsia="宋体" w:hint="default"/>
          <w:sz w:val="17"/>
          <w:szCs w:val="17"/>
        </w:rPr>
      </w:pPr>
    </w:p>
    <w:p>
      <w:pPr>
        <w:pStyle w:val="BodyText"/>
        <w:spacing w:line="237" w:lineRule="auto"/>
        <w:ind w:left="607" w:right="212"/>
        <w:jc w:val="both"/>
      </w:pPr>
      <w:r>
        <w:rPr>
          <w:spacing w:val="-1"/>
        </w:rPr>
        <w:t>对与子公司、联营企业及合营企业投资相关的应纳税暂时性差异，确认递延所得税负债，除</w:t>
      </w:r>
      <w:r>
        <w:rPr>
          <w:spacing w:val="-47"/>
        </w:rPr>
        <w:t> </w:t>
      </w:r>
      <w:r>
        <w:rPr>
          <w:spacing w:val="-47"/>
        </w:rPr>
      </w:r>
      <w:r>
        <w:rPr>
          <w:spacing w:val="3"/>
        </w:rPr>
        <w:t>非本集团能够控制该暂时性差异转回的时间且该暂时性差异在可预见的未来很可能不会转</w:t>
      </w:r>
      <w:r>
        <w:rPr>
          <w:spacing w:val="-6"/>
        </w:rPr>
        <w:t> </w:t>
      </w:r>
      <w:r>
        <w:rPr>
          <w:spacing w:val="-6"/>
        </w:rPr>
      </w:r>
      <w:r>
        <w:rPr>
          <w:spacing w:val="-1"/>
        </w:rPr>
        <w:t>回。对与子公司、联营企业及合营企业投资相关的可抵扣暂时性差异，当该暂时性差异在可</w:t>
      </w:r>
      <w:r>
        <w:rPr>
          <w:spacing w:val="-47"/>
        </w:rPr>
        <w:t> </w:t>
      </w:r>
      <w:r>
        <w:rPr>
          <w:spacing w:val="-47"/>
        </w:rPr>
      </w:r>
      <w:r>
        <w:rPr>
          <w:spacing w:val="-1"/>
        </w:rPr>
        <w:t>预见的未来很可能转回且未来很可能获得用来抵扣可抵扣暂时性差异的应纳税所得额时，确</w:t>
      </w:r>
      <w:r>
        <w:rPr>
          <w:spacing w:val="-46"/>
        </w:rPr>
        <w:t> </w:t>
      </w:r>
      <w:r>
        <w:rPr>
          <w:spacing w:val="-46"/>
        </w:rPr>
      </w:r>
      <w:r>
        <w:rPr/>
        <w:t>认递延所得税资产。</w:t>
      </w:r>
    </w:p>
    <w:p>
      <w:pPr>
        <w:spacing w:line="240" w:lineRule="auto" w:before="1"/>
        <w:rPr>
          <w:rFonts w:ascii="宋体" w:hAnsi="宋体" w:cs="宋体" w:eastAsia="宋体" w:hint="default"/>
          <w:sz w:val="19"/>
          <w:szCs w:val="19"/>
        </w:rPr>
      </w:pPr>
    </w:p>
    <w:p>
      <w:pPr>
        <w:pStyle w:val="BodyText"/>
        <w:spacing w:line="240" w:lineRule="auto"/>
        <w:ind w:left="607" w:right="0"/>
        <w:jc w:val="both"/>
      </w:pPr>
      <w:r>
        <w:rPr/>
        <w:t>同时满足下列条件的递延所得税资产和递延所得税负债以抵销后的净额列示：</w:t>
      </w:r>
    </w:p>
    <w:p>
      <w:pPr>
        <w:spacing w:line="240" w:lineRule="auto" w:before="7"/>
        <w:rPr>
          <w:rFonts w:ascii="宋体" w:hAnsi="宋体" w:cs="宋体" w:eastAsia="宋体" w:hint="default"/>
          <w:sz w:val="21"/>
          <w:szCs w:val="21"/>
        </w:rPr>
      </w:pPr>
    </w:p>
    <w:p>
      <w:pPr>
        <w:pStyle w:val="BodyText"/>
        <w:tabs>
          <w:tab w:pos="1029" w:val="left" w:leader="none"/>
        </w:tabs>
        <w:spacing w:line="284" w:lineRule="exact"/>
        <w:ind w:left="1030" w:right="213" w:hanging="392"/>
        <w:jc w:val="left"/>
      </w:pPr>
      <w:r>
        <w:rPr>
          <w:rFonts w:ascii="Symbol" w:hAnsi="Symbol" w:cs="Symbol" w:eastAsia="Symbol" w:hint="default"/>
        </w:rPr>
        <w:t></w:t>
      </w:r>
      <w:r>
        <w:rPr>
          <w:rFonts w:ascii="Times New Roman" w:hAnsi="Times New Roman" w:cs="Times New Roman" w:eastAsia="Times New Roman" w:hint="default"/>
        </w:rPr>
        <w:tab/>
      </w:r>
      <w:r>
        <w:rPr/>
        <w:t>递延所得税资产和递延所得税负债与同一税收征管部门对本集团内同一纳税主体征收的</w:t>
      </w:r>
      <w:r>
        <w:rPr>
          <w:spacing w:val="-68"/>
        </w:rPr>
        <w:t> </w:t>
      </w:r>
      <w:r>
        <w:rPr>
          <w:spacing w:val="-68"/>
        </w:rPr>
      </w:r>
      <w:r>
        <w:rPr/>
        <w:t>所得税相关；</w:t>
      </w:r>
    </w:p>
    <w:p>
      <w:pPr>
        <w:spacing w:line="240" w:lineRule="auto" w:before="4"/>
        <w:rPr>
          <w:rFonts w:ascii="宋体" w:hAnsi="宋体" w:cs="宋体" w:eastAsia="宋体" w:hint="default"/>
          <w:sz w:val="17"/>
          <w:szCs w:val="17"/>
        </w:rPr>
      </w:pPr>
    </w:p>
    <w:p>
      <w:pPr>
        <w:pStyle w:val="BodyText"/>
        <w:spacing w:line="240" w:lineRule="auto"/>
        <w:ind w:left="638" w:right="0"/>
        <w:jc w:val="both"/>
      </w:pPr>
      <w:r>
        <w:rPr>
          <w:rFonts w:ascii="Symbol" w:hAnsi="Symbol" w:cs="Symbol" w:eastAsia="Symbol" w:hint="default"/>
        </w:rPr>
        <w:t></w:t>
      </w:r>
      <w:r>
        <w:rPr>
          <w:rFonts w:ascii="Symbol" w:hAnsi="Symbol" w:cs="Symbol" w:eastAsia="Symbol" w:hint="default"/>
          <w:spacing w:val="8"/>
        </w:rPr>
        <w:t></w:t>
      </w:r>
      <w:r>
        <w:rPr>
          <w:rFonts w:ascii="Times New Roman" w:hAnsi="Times New Roman" w:cs="Times New Roman" w:eastAsia="Times New Roman" w:hint="default"/>
          <w:spacing w:val="8"/>
        </w:rPr>
      </w:r>
      <w:r>
        <w:rPr/>
        <w:t>本集团内该纳税主体拥有以净额结算当期所得税资产及当期所得税负债的法定权利。</w:t>
      </w:r>
    </w:p>
    <w:p>
      <w:pPr>
        <w:spacing w:line="240" w:lineRule="auto" w:before="10"/>
        <w:rPr>
          <w:rFonts w:ascii="宋体" w:hAnsi="宋体" w:cs="宋体" w:eastAsia="宋体" w:hint="default"/>
          <w:sz w:val="15"/>
          <w:szCs w:val="15"/>
        </w:rPr>
      </w:pPr>
    </w:p>
    <w:p>
      <w:pPr>
        <w:pStyle w:val="BodyText"/>
        <w:spacing w:line="240" w:lineRule="auto"/>
        <w:ind w:left="120" w:right="0"/>
        <w:jc w:val="left"/>
      </w:pPr>
      <w:r>
        <w:rPr>
          <w:rFonts w:ascii="Arial" w:hAnsi="Arial" w:cs="Arial" w:eastAsia="Arial" w:hint="default"/>
        </w:rPr>
        <w:t>28</w:t>
      </w:r>
      <w:r>
        <w:rPr/>
        <w:t>、租赁</w:t>
      </w:r>
    </w:p>
    <w:p>
      <w:pPr>
        <w:spacing w:line="240" w:lineRule="auto" w:before="5"/>
        <w:rPr>
          <w:rFonts w:ascii="宋体" w:hAnsi="宋体" w:cs="宋体" w:eastAsia="宋体" w:hint="default"/>
          <w:sz w:val="16"/>
          <w:szCs w:val="16"/>
        </w:rPr>
      </w:pPr>
    </w:p>
    <w:p>
      <w:pPr>
        <w:pStyle w:val="BodyText"/>
        <w:spacing w:line="240" w:lineRule="auto"/>
        <w:ind w:left="607" w:right="214"/>
        <w:jc w:val="both"/>
      </w:pPr>
      <w:r>
        <w:rPr>
          <w:spacing w:val="-1"/>
        </w:rPr>
        <w:t>实质上转移了与资产所有权有关的全部风险和报酬的租赁为融资租赁。其他的租赁为经营租</w:t>
      </w:r>
      <w:r>
        <w:rPr>
          <w:spacing w:val="-47"/>
        </w:rPr>
        <w:t> </w:t>
      </w:r>
      <w:r>
        <w:rPr>
          <w:spacing w:val="-47"/>
        </w:rPr>
      </w:r>
      <w:r>
        <w:rPr/>
        <w:t>赁。</w:t>
      </w:r>
    </w:p>
    <w:p>
      <w:pPr>
        <w:spacing w:line="240" w:lineRule="auto" w:before="3"/>
        <w:rPr>
          <w:rFonts w:ascii="宋体" w:hAnsi="宋体" w:cs="宋体" w:eastAsia="宋体" w:hint="default"/>
          <w:sz w:val="19"/>
          <w:szCs w:val="19"/>
        </w:rPr>
      </w:pPr>
    </w:p>
    <w:p>
      <w:pPr>
        <w:pStyle w:val="BodyText"/>
        <w:tabs>
          <w:tab w:pos="609" w:val="left" w:leader="none"/>
        </w:tabs>
        <w:spacing w:line="240" w:lineRule="auto"/>
        <w:ind w:left="120" w:right="0"/>
        <w:jc w:val="left"/>
      </w:pPr>
      <w:r>
        <w:rPr>
          <w:rFonts w:ascii="Arial" w:hAnsi="Arial" w:cs="Arial" w:eastAsia="Arial" w:hint="default"/>
        </w:rPr>
        <w:t>(a)</w:t>
        <w:tab/>
      </w:r>
      <w:r>
        <w:rPr/>
        <w:t>融资租赁</w:t>
      </w:r>
    </w:p>
    <w:p>
      <w:pPr>
        <w:spacing w:line="240" w:lineRule="auto" w:before="6"/>
        <w:rPr>
          <w:rFonts w:ascii="宋体" w:hAnsi="宋体" w:cs="宋体" w:eastAsia="宋体" w:hint="default"/>
          <w:sz w:val="18"/>
          <w:szCs w:val="18"/>
        </w:rPr>
      </w:pPr>
    </w:p>
    <w:p>
      <w:pPr>
        <w:pStyle w:val="BodyText"/>
        <w:spacing w:line="232" w:lineRule="auto"/>
        <w:ind w:left="607" w:right="211"/>
        <w:jc w:val="both"/>
      </w:pPr>
      <w:r>
        <w:rPr>
          <w:spacing w:val="-1"/>
        </w:rPr>
        <w:t>以租赁资产的公允价值与最低租赁付款额的现值两者中较低者作为租入资产的入账价值。租</w:t>
      </w:r>
      <w:r>
        <w:rPr>
          <w:spacing w:val="-47"/>
        </w:rPr>
        <w:t> </w:t>
      </w:r>
      <w:r>
        <w:rPr>
          <w:spacing w:val="-47"/>
        </w:rPr>
      </w:r>
      <w:r>
        <w:rPr>
          <w:spacing w:val="-1"/>
        </w:rPr>
        <w:t>入资产的入账价值与最低租赁付款额之间的差额作为未确认融资费用，在租赁期内按实际利</w:t>
      </w:r>
      <w:r>
        <w:rPr>
          <w:spacing w:val="-46"/>
        </w:rPr>
        <w:t> </w:t>
      </w:r>
      <w:r>
        <w:rPr>
          <w:spacing w:val="-46"/>
        </w:rPr>
      </w:r>
      <w:r>
        <w:rPr>
          <w:spacing w:val="-1"/>
        </w:rPr>
        <w:t>率法摊销。最低租赁付款额扣除未确认融资费用后的余额作为长期应付款及一年内到期的非</w:t>
      </w:r>
      <w:r>
        <w:rPr>
          <w:spacing w:val="-47"/>
        </w:rPr>
        <w:t> </w:t>
      </w:r>
      <w:r>
        <w:rPr>
          <w:spacing w:val="-47"/>
        </w:rPr>
      </w:r>
      <w:r>
        <w:rPr/>
        <w:t>流动负债（一年内到期部分）列示。融资租赁租入资产按附注三</w:t>
      </w:r>
      <w:r>
        <w:rPr>
          <w:rFonts w:ascii="Arial" w:hAnsi="Arial" w:cs="Arial" w:eastAsia="Arial" w:hint="default"/>
        </w:rPr>
        <w:t>(12)</w:t>
      </w:r>
      <w:r>
        <w:rPr/>
        <w:t>所述的折旧政策计提折</w:t>
      </w:r>
      <w:r>
        <w:rPr>
          <w:spacing w:val="-40"/>
        </w:rPr>
        <w:t> </w:t>
      </w:r>
      <w:r>
        <w:rPr>
          <w:spacing w:val="-40"/>
        </w:rPr>
      </w:r>
      <w:r>
        <w:rPr/>
        <w:t>旧，按附注三</w:t>
      </w:r>
      <w:r>
        <w:rPr>
          <w:rFonts w:ascii="Arial" w:hAnsi="Arial" w:cs="Arial" w:eastAsia="Arial" w:hint="default"/>
        </w:rPr>
        <w:t>(17)</w:t>
      </w:r>
      <w:r>
        <w:rPr/>
        <w:t>所述的会计政策计提减值准备。对能够合理确定租赁期届满时取得租入资</w:t>
      </w:r>
      <w:r>
        <w:rPr>
          <w:spacing w:val="-45"/>
        </w:rPr>
        <w:t> </w:t>
      </w:r>
      <w:r>
        <w:rPr>
          <w:spacing w:val="-45"/>
        </w:rPr>
      </w:r>
      <w:r>
        <w:rPr>
          <w:spacing w:val="-1"/>
        </w:rPr>
        <w:t>产所有权的，租入资产在使用寿命内计提折旧。否则，租赁资产在租赁期与租赁资产使用寿</w:t>
      </w:r>
      <w:r>
        <w:rPr>
          <w:spacing w:val="-47"/>
        </w:rPr>
        <w:t> </w:t>
      </w:r>
      <w:r>
        <w:rPr>
          <w:spacing w:val="-47"/>
        </w:rPr>
      </w:r>
      <w:r>
        <w:rPr/>
        <w:t>命两者中较短的期间内计提折旧。</w:t>
      </w:r>
    </w:p>
    <w:p>
      <w:pPr>
        <w:spacing w:line="240" w:lineRule="auto" w:before="4"/>
        <w:rPr>
          <w:rFonts w:ascii="宋体" w:hAnsi="宋体" w:cs="宋体" w:eastAsia="宋体" w:hint="default"/>
          <w:sz w:val="21"/>
          <w:szCs w:val="21"/>
        </w:rPr>
      </w:pPr>
    </w:p>
    <w:p>
      <w:pPr>
        <w:pStyle w:val="BodyText"/>
        <w:spacing w:line="286" w:lineRule="exact"/>
        <w:ind w:left="607" w:right="214"/>
        <w:jc w:val="both"/>
      </w:pPr>
      <w:r>
        <w:rPr>
          <w:spacing w:val="-1"/>
        </w:rPr>
        <w:t>本集团对未确认融资费用采用实际利率法在租赁期内各个期间进行分摊，并按照借款费用的</w:t>
      </w:r>
      <w:r>
        <w:rPr>
          <w:spacing w:val="-47"/>
        </w:rPr>
        <w:t> </w:t>
      </w:r>
      <w:r>
        <w:rPr>
          <w:spacing w:val="-47"/>
        </w:rPr>
      </w:r>
      <w:r>
        <w:rPr/>
        <w:t>原则处理。</w:t>
      </w:r>
    </w:p>
    <w:p>
      <w:pPr>
        <w:spacing w:line="240" w:lineRule="auto" w:before="3"/>
        <w:rPr>
          <w:rFonts w:ascii="宋体" w:hAnsi="宋体" w:cs="宋体" w:eastAsia="宋体" w:hint="default"/>
          <w:sz w:val="17"/>
          <w:szCs w:val="17"/>
        </w:rPr>
      </w:pPr>
    </w:p>
    <w:p>
      <w:pPr>
        <w:pStyle w:val="BodyText"/>
        <w:tabs>
          <w:tab w:pos="609" w:val="left" w:leader="none"/>
        </w:tabs>
        <w:spacing w:line="240" w:lineRule="auto"/>
        <w:ind w:left="120" w:right="0"/>
        <w:jc w:val="left"/>
      </w:pPr>
      <w:r>
        <w:rPr>
          <w:rFonts w:ascii="Arial" w:hAnsi="Arial" w:cs="Arial" w:eastAsia="Arial" w:hint="default"/>
        </w:rPr>
        <w:t>(b)</w:t>
        <w:tab/>
      </w:r>
      <w:r>
        <w:rPr/>
        <w:t>经营租赁</w:t>
      </w:r>
    </w:p>
    <w:p>
      <w:pPr>
        <w:spacing w:line="240" w:lineRule="auto" w:before="12"/>
        <w:rPr>
          <w:rFonts w:ascii="宋体" w:hAnsi="宋体" w:cs="宋体" w:eastAsia="宋体" w:hint="default"/>
          <w:sz w:val="17"/>
          <w:szCs w:val="17"/>
        </w:rPr>
      </w:pPr>
    </w:p>
    <w:p>
      <w:pPr>
        <w:pStyle w:val="BodyText"/>
        <w:spacing w:line="240" w:lineRule="auto"/>
        <w:ind w:left="607" w:right="0"/>
        <w:jc w:val="both"/>
      </w:pPr>
      <w:r>
        <w:rPr/>
        <w:t>经营租赁的租金支出在租赁期内按照直线法计入相关资产成本或当期损益。</w:t>
      </w:r>
    </w:p>
    <w:p>
      <w:pPr>
        <w:spacing w:after="0" w:line="240" w:lineRule="auto"/>
        <w:jc w:val="both"/>
        <w:sectPr>
          <w:headerReference w:type="default" r:id="rId58"/>
          <w:pgSz w:w="11910" w:h="16840"/>
          <w:pgMar w:header="965" w:footer="769" w:top="2820" w:bottom="960" w:left="1440" w:right="820"/>
        </w:sectPr>
      </w:pPr>
    </w:p>
    <w:p>
      <w:pPr>
        <w:spacing w:line="240" w:lineRule="auto" w:before="0"/>
        <w:rPr>
          <w:rFonts w:ascii="宋体" w:hAnsi="宋体" w:cs="宋体" w:eastAsia="宋体" w:hint="default"/>
          <w:sz w:val="18"/>
          <w:szCs w:val="18"/>
        </w:rPr>
      </w:pPr>
    </w:p>
    <w:p>
      <w:pPr>
        <w:pStyle w:val="BodyText"/>
        <w:spacing w:line="240" w:lineRule="auto" w:before="32"/>
        <w:ind w:left="120" w:right="2130"/>
        <w:jc w:val="left"/>
      </w:pPr>
      <w:r>
        <w:rPr>
          <w:rFonts w:ascii="Arial" w:hAnsi="Arial" w:cs="Arial" w:eastAsia="Arial" w:hint="default"/>
        </w:rPr>
        <w:t>29</w:t>
      </w:r>
      <w:r>
        <w:rPr/>
        <w:t>、分部信息</w:t>
      </w:r>
    </w:p>
    <w:p>
      <w:pPr>
        <w:spacing w:line="240" w:lineRule="auto" w:before="4"/>
        <w:rPr>
          <w:rFonts w:ascii="宋体" w:hAnsi="宋体" w:cs="宋体" w:eastAsia="宋体" w:hint="default"/>
          <w:sz w:val="20"/>
          <w:szCs w:val="20"/>
        </w:rPr>
      </w:pPr>
    </w:p>
    <w:p>
      <w:pPr>
        <w:pStyle w:val="BodyText"/>
        <w:spacing w:line="284" w:lineRule="exact"/>
        <w:ind w:left="607" w:right="113"/>
        <w:jc w:val="both"/>
      </w:pPr>
      <w:r>
        <w:rPr>
          <w:spacing w:val="-1"/>
        </w:rPr>
        <w:t>本集团以内部组织结构、管理要求、内部报告制度为依据确定经营分部，以经营分部为基础</w:t>
      </w:r>
      <w:r>
        <w:rPr>
          <w:spacing w:val="-47"/>
        </w:rPr>
        <w:t> </w:t>
      </w:r>
      <w:r>
        <w:rPr>
          <w:spacing w:val="-47"/>
        </w:rPr>
      </w:r>
      <w:r>
        <w:rPr/>
        <w:t>确定报告分部并披露分部信息。</w:t>
      </w:r>
    </w:p>
    <w:p>
      <w:pPr>
        <w:spacing w:line="240" w:lineRule="auto" w:before="4"/>
        <w:rPr>
          <w:rFonts w:ascii="宋体" w:hAnsi="宋体" w:cs="宋体" w:eastAsia="宋体" w:hint="default"/>
          <w:sz w:val="18"/>
          <w:szCs w:val="18"/>
        </w:rPr>
      </w:pPr>
    </w:p>
    <w:p>
      <w:pPr>
        <w:pStyle w:val="BodyText"/>
        <w:spacing w:line="228" w:lineRule="auto"/>
        <w:ind w:left="607" w:right="111"/>
        <w:jc w:val="both"/>
      </w:pPr>
      <w:r>
        <w:rPr>
          <w:spacing w:val="-2"/>
        </w:rPr>
        <w:t>经营分部是指本集团内同时满足下列条件的组成部分：</w:t>
      </w:r>
      <w:r>
        <w:rPr>
          <w:rFonts w:ascii="Arial" w:hAnsi="Arial" w:cs="Arial" w:eastAsia="Arial" w:hint="default"/>
          <w:spacing w:val="-2"/>
        </w:rPr>
        <w:t>(1)</w:t>
      </w:r>
      <w:r>
        <w:rPr>
          <w:spacing w:val="-2"/>
        </w:rPr>
        <w:t>该组成部分能够在日常活动中产生</w:t>
      </w:r>
      <w:r>
        <w:rPr>
          <w:spacing w:val="-58"/>
        </w:rPr>
        <w:t> </w:t>
      </w:r>
      <w:r>
        <w:rPr>
          <w:spacing w:val="-58"/>
        </w:rPr>
      </w:r>
      <w:r>
        <w:rPr>
          <w:spacing w:val="-2"/>
        </w:rPr>
        <w:t>收入、发生费用；</w:t>
      </w:r>
      <w:r>
        <w:rPr>
          <w:rFonts w:ascii="Arial" w:hAnsi="Arial" w:cs="Arial" w:eastAsia="Arial" w:hint="default"/>
          <w:spacing w:val="-2"/>
        </w:rPr>
        <w:t>(2)</w:t>
      </w:r>
      <w:r>
        <w:rPr>
          <w:spacing w:val="-2"/>
        </w:rPr>
        <w:t>本集团管理层能够定期评价该组成部分的经营成果，以决定向其配置资</w:t>
      </w:r>
      <w:r>
        <w:rPr>
          <w:spacing w:val="-58"/>
        </w:rPr>
        <w:t> </w:t>
      </w:r>
      <w:r>
        <w:rPr>
          <w:spacing w:val="-58"/>
        </w:rPr>
      </w:r>
      <w:r>
        <w:rPr>
          <w:spacing w:val="-2"/>
        </w:rPr>
        <w:t>源、评价其业绩；</w:t>
      </w:r>
      <w:r>
        <w:rPr>
          <w:rFonts w:ascii="Arial" w:hAnsi="Arial" w:cs="Arial" w:eastAsia="Arial" w:hint="default"/>
          <w:spacing w:val="-2"/>
        </w:rPr>
        <w:t>(3)</w:t>
      </w:r>
      <w:r>
        <w:rPr>
          <w:spacing w:val="-2"/>
        </w:rPr>
        <w:t>本集团能够取得该组成部分的财务状况、经营成果和现金流量等有关会</w:t>
      </w:r>
      <w:r>
        <w:rPr>
          <w:spacing w:val="-59"/>
        </w:rPr>
        <w:t> </w:t>
      </w:r>
      <w:r>
        <w:rPr>
          <w:spacing w:val="-59"/>
        </w:rPr>
      </w:r>
      <w:r>
        <w:rPr>
          <w:spacing w:val="-1"/>
        </w:rPr>
        <w:t>计信息。如果两个或多个经营分部具有相似的经济特征，并且满足一定条件的，则可合并为</w:t>
      </w:r>
      <w:r>
        <w:rPr>
          <w:spacing w:val="-46"/>
        </w:rPr>
        <w:t> </w:t>
      </w:r>
      <w:r>
        <w:rPr>
          <w:spacing w:val="-46"/>
        </w:rPr>
      </w:r>
      <w:r>
        <w:rPr/>
        <w:t>一个经营分部。</w:t>
      </w:r>
    </w:p>
    <w:p>
      <w:pPr>
        <w:spacing w:line="240" w:lineRule="auto" w:before="5"/>
        <w:rPr>
          <w:rFonts w:ascii="宋体" w:hAnsi="宋体" w:cs="宋体" w:eastAsia="宋体" w:hint="default"/>
          <w:sz w:val="17"/>
          <w:szCs w:val="17"/>
        </w:rPr>
      </w:pPr>
    </w:p>
    <w:p>
      <w:pPr>
        <w:pStyle w:val="BodyText"/>
        <w:spacing w:line="240" w:lineRule="auto"/>
        <w:ind w:left="120" w:right="2130"/>
        <w:jc w:val="left"/>
      </w:pPr>
      <w:r>
        <w:rPr>
          <w:rFonts w:ascii="Arial" w:hAnsi="Arial" w:cs="Arial" w:eastAsia="Arial" w:hint="default"/>
        </w:rPr>
        <w:t>30</w:t>
      </w:r>
      <w:r>
        <w:rPr/>
        <w:t>、非货币性资产交换</w:t>
      </w:r>
    </w:p>
    <w:p>
      <w:pPr>
        <w:spacing w:line="240" w:lineRule="auto" w:before="12"/>
        <w:rPr>
          <w:rFonts w:ascii="宋体" w:hAnsi="宋体" w:cs="宋体" w:eastAsia="宋体" w:hint="default"/>
          <w:sz w:val="15"/>
          <w:szCs w:val="15"/>
        </w:rPr>
      </w:pPr>
    </w:p>
    <w:p>
      <w:pPr>
        <w:pStyle w:val="BodyText"/>
        <w:spacing w:line="235" w:lineRule="auto"/>
        <w:ind w:left="588" w:right="114"/>
        <w:jc w:val="both"/>
      </w:pPr>
      <w:r>
        <w:rPr/>
        <w:t>本集团在与第三方通过存货、固定资产等非货币性资产进行交换时，不涉及或仅涉及少量货</w:t>
      </w:r>
      <w:r>
        <w:rPr>
          <w:spacing w:val="-70"/>
        </w:rPr>
        <w:t> </w:t>
      </w:r>
      <w:r>
        <w:rPr>
          <w:spacing w:val="-70"/>
        </w:rPr>
      </w:r>
      <w:r>
        <w:rPr/>
        <w:t>币性资产（即补价）时，对该等交易按照非货币性资产交换进行处理。非货币性资产交换同</w:t>
      </w:r>
      <w:r>
        <w:rPr>
          <w:spacing w:val="-70"/>
        </w:rPr>
        <w:t> </w:t>
      </w:r>
      <w:r>
        <w:rPr>
          <w:spacing w:val="-70"/>
        </w:rPr>
      </w:r>
      <w:r>
        <w:rPr>
          <w:spacing w:val="-3"/>
        </w:rPr>
        <w:t>时满足</w:t>
      </w:r>
      <w:r>
        <w:rPr>
          <w:rFonts w:ascii="Arial" w:hAnsi="Arial" w:cs="Arial" w:eastAsia="Arial" w:hint="default"/>
          <w:spacing w:val="-3"/>
        </w:rPr>
        <w:t>(1)</w:t>
      </w:r>
      <w:r>
        <w:rPr>
          <w:spacing w:val="-3"/>
        </w:rPr>
        <w:t>该项交换具有商业实质，及</w:t>
      </w:r>
      <w:r>
        <w:rPr>
          <w:rFonts w:ascii="Arial" w:hAnsi="Arial" w:cs="Arial" w:eastAsia="Arial" w:hint="default"/>
          <w:spacing w:val="-3"/>
        </w:rPr>
        <w:t>(2)</w:t>
      </w:r>
      <w:r>
        <w:rPr>
          <w:spacing w:val="-3"/>
        </w:rPr>
        <w:t>换入资产或换出资产的公允价值能够可靠地计量这两</w:t>
      </w:r>
      <w:r>
        <w:rPr>
          <w:spacing w:val="-41"/>
        </w:rPr>
        <w:t> </w:t>
      </w:r>
      <w:r>
        <w:rPr>
          <w:spacing w:val="-41"/>
        </w:rPr>
      </w:r>
      <w:r>
        <w:rPr/>
        <w:t>项条件的，以换出资产公允价值和应支付的相关税费作为换入资产的成本，公允价值与换出</w:t>
      </w:r>
      <w:r>
        <w:rPr>
          <w:spacing w:val="-70"/>
        </w:rPr>
        <w:t> </w:t>
      </w:r>
      <w:r>
        <w:rPr>
          <w:spacing w:val="-70"/>
        </w:rPr>
      </w:r>
      <w:r>
        <w:rPr/>
        <w:t>资产账面价值的差额计入当期损益；未同时满足上述两项条件的非货币性资产交换，以换出</w:t>
      </w:r>
      <w:r>
        <w:rPr>
          <w:spacing w:val="-70"/>
        </w:rPr>
        <w:t> </w:t>
      </w:r>
      <w:r>
        <w:rPr>
          <w:spacing w:val="-70"/>
        </w:rPr>
      </w:r>
      <w:r>
        <w:rPr/>
        <w:t>资产的账面价值和应支付的相关税费作为换入资产的成本，不确认损益。</w:t>
      </w:r>
    </w:p>
    <w:p>
      <w:pPr>
        <w:spacing w:line="240" w:lineRule="auto" w:before="3"/>
        <w:rPr>
          <w:rFonts w:ascii="宋体" w:hAnsi="宋体" w:cs="宋体" w:eastAsia="宋体" w:hint="default"/>
          <w:sz w:val="16"/>
          <w:szCs w:val="16"/>
        </w:rPr>
      </w:pPr>
    </w:p>
    <w:p>
      <w:pPr>
        <w:pStyle w:val="BodyText"/>
        <w:spacing w:line="240" w:lineRule="auto"/>
        <w:ind w:left="120" w:right="2130"/>
        <w:jc w:val="left"/>
      </w:pPr>
      <w:r>
        <w:rPr>
          <w:rFonts w:ascii="Arial" w:hAnsi="Arial" w:cs="Arial" w:eastAsia="Arial" w:hint="default"/>
        </w:rPr>
        <w:t>31</w:t>
      </w:r>
      <w:r>
        <w:rPr/>
        <w:t>、与少数股东之间的交易</w:t>
      </w:r>
    </w:p>
    <w:p>
      <w:pPr>
        <w:spacing w:line="240" w:lineRule="auto" w:before="7"/>
        <w:rPr>
          <w:rFonts w:ascii="宋体" w:hAnsi="宋体" w:cs="宋体" w:eastAsia="宋体" w:hint="default"/>
          <w:sz w:val="18"/>
          <w:szCs w:val="18"/>
        </w:rPr>
      </w:pPr>
    </w:p>
    <w:p>
      <w:pPr>
        <w:pStyle w:val="BodyText"/>
        <w:spacing w:line="286" w:lineRule="exact"/>
        <w:ind w:left="588" w:right="115"/>
        <w:jc w:val="both"/>
      </w:pPr>
      <w:r>
        <w:rPr/>
        <w:t>在不影响控制权的情况下，导致本公司对子公司持股比例发生变化的交易属于与少数股东之</w:t>
      </w:r>
      <w:r>
        <w:rPr>
          <w:spacing w:val="-70"/>
        </w:rPr>
        <w:t> </w:t>
      </w:r>
      <w:r>
        <w:rPr>
          <w:spacing w:val="-70"/>
        </w:rPr>
      </w:r>
      <w:r>
        <w:rPr/>
        <w:t>间的交易。对于与少数股东之间的交易，在合并财务报表中，子公司的资产、负债以购买日</w:t>
      </w:r>
      <w:r>
        <w:rPr>
          <w:spacing w:val="-70"/>
        </w:rPr>
        <w:t> </w:t>
      </w:r>
      <w:r>
        <w:rPr>
          <w:spacing w:val="-70"/>
        </w:rPr>
      </w:r>
      <w:r>
        <w:rPr/>
        <w:t>或合并日开始持续计算的金额反映，增加或减少的长期股权投资与按照本公司新的持股比例</w:t>
      </w:r>
      <w:r>
        <w:rPr>
          <w:spacing w:val="-70"/>
        </w:rPr>
        <w:t> </w:t>
      </w:r>
      <w:r>
        <w:rPr>
          <w:spacing w:val="-70"/>
        </w:rPr>
      </w:r>
      <w:r>
        <w:rPr/>
        <w:t>计算应享有子公司自购买日或合并日开始持续计算的净资产份额之间的差额调整资本公积，</w:t>
      </w:r>
      <w:r>
        <w:rPr>
          <w:spacing w:val="-70"/>
        </w:rPr>
        <w:t> </w:t>
      </w:r>
      <w:r>
        <w:rPr>
          <w:spacing w:val="-70"/>
        </w:rPr>
      </w:r>
      <w:r>
        <w:rPr/>
        <w:t>资本公积的金额不足冲减的，调整留存收益。</w:t>
      </w:r>
    </w:p>
    <w:p>
      <w:pPr>
        <w:pStyle w:val="BodyText"/>
        <w:spacing w:line="240" w:lineRule="auto" w:before="197"/>
        <w:ind w:left="120" w:right="2130"/>
        <w:jc w:val="left"/>
      </w:pPr>
      <w:r>
        <w:rPr>
          <w:rFonts w:ascii="Arial" w:hAnsi="Arial" w:cs="Arial" w:eastAsia="Arial" w:hint="default"/>
        </w:rPr>
        <w:t>32</w:t>
      </w:r>
      <w:r>
        <w:rPr/>
        <w:t>、关联方</w:t>
      </w:r>
    </w:p>
    <w:p>
      <w:pPr>
        <w:spacing w:line="240" w:lineRule="auto" w:before="6"/>
        <w:rPr>
          <w:rFonts w:ascii="宋体" w:hAnsi="宋体" w:cs="宋体" w:eastAsia="宋体" w:hint="default"/>
          <w:sz w:val="18"/>
          <w:szCs w:val="18"/>
        </w:rPr>
      </w:pPr>
    </w:p>
    <w:p>
      <w:pPr>
        <w:pStyle w:val="BodyText"/>
        <w:spacing w:line="240" w:lineRule="exact"/>
        <w:ind w:left="540" w:right="111"/>
        <w:jc w:val="both"/>
      </w:pPr>
      <w:r>
        <w:rPr/>
        <w:t>一方控制、共同控制另一方或对另一方施加重大影响，以及两方或两方以上同受一方控制、</w:t>
      </w:r>
      <w:r>
        <w:rPr>
          <w:spacing w:val="-21"/>
        </w:rPr>
        <w:t> </w:t>
      </w:r>
      <w:r>
        <w:rPr>
          <w:spacing w:val="-21"/>
        </w:rPr>
      </w:r>
      <w:r>
        <w:rPr/>
        <w:t>共同控制的，构成关联方。关联方可为个人或企业。仅仅同受国家控制而不存在其他关联方</w:t>
      </w:r>
      <w:r>
        <w:rPr>
          <w:spacing w:val="-21"/>
        </w:rPr>
        <w:t> </w:t>
      </w:r>
      <w:r>
        <w:rPr>
          <w:spacing w:val="-21"/>
        </w:rPr>
      </w:r>
      <w:r>
        <w:rPr/>
        <w:t>关系的企业，不构成本集团的关联方。</w:t>
      </w:r>
    </w:p>
    <w:p>
      <w:pPr>
        <w:pStyle w:val="BodyText"/>
        <w:spacing w:line="280" w:lineRule="exact" w:before="189"/>
        <w:ind w:left="540" w:right="0"/>
        <w:jc w:val="both"/>
      </w:pPr>
      <w:r>
        <w:rPr/>
        <w:t>除上述按照企业会计准则的有关要求被确定为本集团或本公司的关联方以外，证监会颁布的</w:t>
      </w:r>
    </w:p>
    <w:p>
      <w:pPr>
        <w:pStyle w:val="BodyText"/>
        <w:spacing w:line="280" w:lineRule="exact"/>
        <w:ind w:left="540" w:right="0"/>
        <w:jc w:val="both"/>
      </w:pPr>
      <w:r>
        <w:rPr/>
        <w:t>《上市公司信息披露管理办法》中要求的企业或个人也属于本集团或本公司的关联方。</w:t>
      </w:r>
    </w:p>
    <w:p>
      <w:pPr>
        <w:spacing w:line="240" w:lineRule="auto" w:before="1"/>
        <w:rPr>
          <w:rFonts w:ascii="宋体" w:hAnsi="宋体" w:cs="宋体" w:eastAsia="宋体" w:hint="default"/>
          <w:sz w:val="17"/>
          <w:szCs w:val="17"/>
        </w:rPr>
      </w:pPr>
    </w:p>
    <w:p>
      <w:pPr>
        <w:pStyle w:val="BodyText"/>
        <w:spacing w:line="240" w:lineRule="auto"/>
        <w:ind w:left="120" w:right="2130"/>
        <w:jc w:val="left"/>
      </w:pPr>
      <w:r>
        <w:rPr>
          <w:rFonts w:ascii="Arial" w:hAnsi="Arial" w:cs="Arial" w:eastAsia="Arial" w:hint="default"/>
        </w:rPr>
        <w:t>33</w:t>
      </w:r>
      <w:r>
        <w:rPr/>
        <w:t>、重要会计估计和判断</w:t>
      </w:r>
    </w:p>
    <w:p>
      <w:pPr>
        <w:spacing w:line="240" w:lineRule="auto" w:before="11"/>
        <w:rPr>
          <w:rFonts w:ascii="宋体" w:hAnsi="宋体" w:cs="宋体" w:eastAsia="宋体" w:hint="default"/>
          <w:sz w:val="18"/>
          <w:szCs w:val="18"/>
        </w:rPr>
      </w:pPr>
    </w:p>
    <w:p>
      <w:pPr>
        <w:pStyle w:val="BodyText"/>
        <w:spacing w:line="272" w:lineRule="exact"/>
        <w:ind w:left="588" w:right="115"/>
        <w:jc w:val="both"/>
      </w:pPr>
      <w:r>
        <w:rPr/>
        <w:t>本集团根据历史经验和其他因素，包括对未来事项的合理预期，对所采用的重要会计估计和</w:t>
      </w:r>
      <w:r>
        <w:rPr>
          <w:spacing w:val="-70"/>
        </w:rPr>
        <w:t> </w:t>
      </w:r>
      <w:r>
        <w:rPr>
          <w:spacing w:val="-70"/>
        </w:rPr>
      </w:r>
      <w:r>
        <w:rPr/>
        <w:t>关键判断进行持续的评价。</w:t>
      </w:r>
    </w:p>
    <w:p>
      <w:pPr>
        <w:spacing w:after="0" w:line="272" w:lineRule="exact"/>
        <w:jc w:val="both"/>
        <w:sectPr>
          <w:headerReference w:type="default" r:id="rId59"/>
          <w:pgSz w:w="11910" w:h="16840"/>
          <w:pgMar w:header="965" w:footer="769" w:top="2820" w:bottom="960" w:left="1440" w:right="920"/>
        </w:sectPr>
      </w:pPr>
    </w:p>
    <w:p>
      <w:pPr>
        <w:spacing w:line="240" w:lineRule="auto" w:before="8"/>
        <w:rPr>
          <w:rFonts w:ascii="宋体" w:hAnsi="宋体" w:cs="宋体" w:eastAsia="宋体" w:hint="default"/>
          <w:sz w:val="10"/>
          <w:szCs w:val="10"/>
        </w:rPr>
      </w:pPr>
    </w:p>
    <w:p>
      <w:pPr>
        <w:pStyle w:val="BodyText"/>
        <w:spacing w:line="240" w:lineRule="auto" w:before="32"/>
        <w:ind w:left="134" w:right="2130"/>
        <w:jc w:val="left"/>
      </w:pPr>
      <w:r>
        <w:rPr>
          <w:rFonts w:ascii="Arial" w:hAnsi="Arial" w:cs="Arial" w:eastAsia="Arial" w:hint="default"/>
        </w:rPr>
        <w:t>(a) </w:t>
      </w:r>
      <w:r>
        <w:rPr>
          <w:rFonts w:ascii="Arial" w:hAnsi="Arial" w:cs="Arial" w:eastAsia="Arial" w:hint="default"/>
          <w:spacing w:val="58"/>
        </w:rPr>
        <w:t> </w:t>
      </w:r>
      <w:r>
        <w:rPr/>
        <w:t>重要会计估计及其关键假设</w:t>
      </w:r>
    </w:p>
    <w:p>
      <w:pPr>
        <w:spacing w:line="240" w:lineRule="auto" w:before="7"/>
        <w:rPr>
          <w:rFonts w:ascii="宋体" w:hAnsi="宋体" w:cs="宋体" w:eastAsia="宋体" w:hint="default"/>
          <w:sz w:val="15"/>
          <w:szCs w:val="15"/>
        </w:rPr>
      </w:pPr>
    </w:p>
    <w:p>
      <w:pPr>
        <w:pStyle w:val="BodyText"/>
        <w:spacing w:line="272" w:lineRule="exact"/>
        <w:ind w:left="588" w:right="114"/>
        <w:jc w:val="both"/>
      </w:pPr>
      <w:r>
        <w:rPr/>
        <w:t>下列重大会计估计及关键假设存在会导致下一会计年度资产和负债的账面价值出现重大调整</w:t>
      </w:r>
      <w:r>
        <w:rPr>
          <w:spacing w:val="-69"/>
        </w:rPr>
        <w:t> </w:t>
      </w:r>
      <w:r>
        <w:rPr>
          <w:spacing w:val="-69"/>
        </w:rPr>
      </w:r>
      <w:r>
        <w:rPr/>
        <w:t>的主要风险：</w:t>
      </w:r>
    </w:p>
    <w:p>
      <w:pPr>
        <w:pStyle w:val="BodyText"/>
        <w:spacing w:line="240" w:lineRule="auto" w:before="169"/>
        <w:ind w:left="149" w:right="2130"/>
        <w:jc w:val="left"/>
      </w:pPr>
      <w:r>
        <w:rPr>
          <w:rFonts w:ascii="Arial" w:hAnsi="Arial" w:cs="Arial" w:eastAsia="Arial" w:hint="default"/>
        </w:rPr>
        <w:t>(1) </w:t>
      </w:r>
      <w:r>
        <w:rPr>
          <w:rFonts w:ascii="Arial" w:hAnsi="Arial" w:cs="Arial" w:eastAsia="Arial" w:hint="default"/>
          <w:spacing w:val="48"/>
        </w:rPr>
        <w:t> </w:t>
      </w:r>
      <w:r>
        <w:rPr/>
        <w:t>应收款项减值</w:t>
      </w:r>
    </w:p>
    <w:p>
      <w:pPr>
        <w:pStyle w:val="BodyText"/>
        <w:spacing w:line="235" w:lineRule="auto" w:before="184"/>
        <w:ind w:left="588" w:right="114"/>
        <w:jc w:val="both"/>
      </w:pPr>
      <w:r>
        <w:rPr>
          <w:spacing w:val="-2"/>
        </w:rPr>
        <w:t>本集团按照附注三</w:t>
      </w:r>
      <w:r>
        <w:rPr>
          <w:rFonts w:ascii="Arial" w:hAnsi="Arial" w:cs="Arial" w:eastAsia="Arial" w:hint="default"/>
          <w:spacing w:val="-2"/>
        </w:rPr>
        <w:t>(9)</w:t>
      </w:r>
      <w:r>
        <w:rPr>
          <w:spacing w:val="-2"/>
        </w:rPr>
        <w:t>所述在资产负债表日审阅按摊余成本计量的应收款项，以评估是否出现</w:t>
      </w:r>
      <w:r>
        <w:rPr>
          <w:spacing w:val="-40"/>
        </w:rPr>
        <w:t> </w:t>
      </w:r>
      <w:r>
        <w:rPr>
          <w:spacing w:val="-40"/>
        </w:rPr>
      </w:r>
      <w:r>
        <w:rPr/>
        <w:t>减值情况，并在出现减值情况时评估减值损失的具体金额。减值的客观证据包括显示个别或</w:t>
      </w:r>
      <w:r>
        <w:rPr>
          <w:spacing w:val="-70"/>
        </w:rPr>
        <w:t> </w:t>
      </w:r>
      <w:r>
        <w:rPr>
          <w:spacing w:val="-70"/>
        </w:rPr>
      </w:r>
      <w:r>
        <w:rPr/>
        <w:t>组合应收款项预计未来现金流量出现大幅下降的可观察数据、显示个别或组合应收款项中债</w:t>
      </w:r>
      <w:r>
        <w:rPr>
          <w:spacing w:val="-70"/>
        </w:rPr>
        <w:t> </w:t>
      </w:r>
      <w:r>
        <w:rPr>
          <w:spacing w:val="-70"/>
        </w:rPr>
      </w:r>
      <w:r>
        <w:rPr/>
        <w:t>务人的财务状况出现重大负面变动的可观察数据等事项。如果有证据表明该应收款项价值已</w:t>
      </w:r>
      <w:r>
        <w:rPr>
          <w:spacing w:val="-70"/>
        </w:rPr>
        <w:t> </w:t>
      </w:r>
      <w:r>
        <w:rPr>
          <w:spacing w:val="-70"/>
        </w:rPr>
      </w:r>
      <w:r>
        <w:rPr/>
        <w:t>恢复，且客观上与确认该损失后发生的事项有关，则将原确认的减值损失予以转回。</w:t>
      </w:r>
    </w:p>
    <w:p>
      <w:pPr>
        <w:spacing w:line="240" w:lineRule="auto" w:before="8"/>
        <w:rPr>
          <w:rFonts w:ascii="宋体" w:hAnsi="宋体" w:cs="宋体" w:eastAsia="宋体" w:hint="default"/>
          <w:sz w:val="15"/>
          <w:szCs w:val="15"/>
        </w:rPr>
      </w:pPr>
    </w:p>
    <w:p>
      <w:pPr>
        <w:pStyle w:val="BodyText"/>
        <w:spacing w:line="240" w:lineRule="auto"/>
        <w:ind w:left="149" w:right="2130"/>
        <w:jc w:val="left"/>
      </w:pPr>
      <w:r>
        <w:rPr>
          <w:rFonts w:ascii="Arial" w:hAnsi="Arial" w:cs="Arial" w:eastAsia="Arial" w:hint="default"/>
        </w:rPr>
        <w:t>(2) </w:t>
      </w:r>
      <w:r>
        <w:rPr>
          <w:rFonts w:ascii="Arial" w:hAnsi="Arial" w:cs="Arial" w:eastAsia="Arial" w:hint="default"/>
          <w:spacing w:val="48"/>
        </w:rPr>
        <w:t> </w:t>
      </w:r>
      <w:r>
        <w:rPr/>
        <w:t>存货跌价准备</w:t>
      </w:r>
    </w:p>
    <w:p>
      <w:pPr>
        <w:pStyle w:val="BodyText"/>
        <w:spacing w:line="235" w:lineRule="auto" w:before="193"/>
        <w:ind w:left="588" w:right="113"/>
        <w:jc w:val="both"/>
      </w:pPr>
      <w:r>
        <w:rPr/>
        <w:t>本集团按照附注三</w:t>
      </w:r>
      <w:r>
        <w:rPr>
          <w:rFonts w:ascii="Arial" w:hAnsi="Arial" w:cs="Arial" w:eastAsia="Arial" w:hint="default"/>
        </w:rPr>
        <w:t>(10)</w:t>
      </w:r>
      <w:r>
        <w:rPr/>
        <w:t>所述定期估计存货的可变现净值，并对存货成本高于可变现净值的差</w:t>
      </w:r>
      <w:r>
        <w:rPr>
          <w:spacing w:val="-24"/>
        </w:rPr>
        <w:t> </w:t>
      </w:r>
      <w:r>
        <w:rPr>
          <w:spacing w:val="-24"/>
        </w:rPr>
      </w:r>
      <w:r>
        <w:rPr/>
        <w:t>额确认存货跌价损失。本集团在估计存货的可变现净值时，考虑持有存货的目的，并以可得</w:t>
      </w:r>
      <w:r>
        <w:rPr>
          <w:spacing w:val="-70"/>
        </w:rPr>
        <w:t> </w:t>
      </w:r>
      <w:r>
        <w:rPr>
          <w:spacing w:val="-70"/>
        </w:rPr>
      </w:r>
      <w:r>
        <w:rPr/>
        <w:t>到的资料作为估计的基础，其中包括存货的市场价格及本集团过往的营运成本。存货的实际</w:t>
      </w:r>
      <w:r>
        <w:rPr>
          <w:spacing w:val="-70"/>
        </w:rPr>
        <w:t> </w:t>
      </w:r>
      <w:r>
        <w:rPr>
          <w:spacing w:val="-70"/>
        </w:rPr>
      </w:r>
      <w:r>
        <w:rPr/>
        <w:t>售价、完工成本及销售费用和税金可能随市场销售状况、生产技术工艺或存货的实际用途等</w:t>
      </w:r>
      <w:r>
        <w:rPr>
          <w:spacing w:val="-70"/>
        </w:rPr>
        <w:t> </w:t>
      </w:r>
      <w:r>
        <w:rPr>
          <w:spacing w:val="-70"/>
        </w:rPr>
      </w:r>
      <w:r>
        <w:rPr/>
        <w:t>的改变而发生变化，因此存货跌价准备的金额可能会随上述原因而发生变化。对存货跌价准</w:t>
      </w:r>
      <w:r>
        <w:rPr>
          <w:spacing w:val="-70"/>
        </w:rPr>
        <w:t> </w:t>
      </w:r>
      <w:r>
        <w:rPr>
          <w:spacing w:val="-70"/>
        </w:rPr>
      </w:r>
      <w:r>
        <w:rPr/>
        <w:t>备的调整将影响估计变更当期的损益。</w:t>
      </w:r>
    </w:p>
    <w:p>
      <w:pPr>
        <w:pStyle w:val="BodyText"/>
        <w:spacing w:line="240" w:lineRule="auto" w:before="192"/>
        <w:ind w:left="149" w:right="2130"/>
        <w:jc w:val="left"/>
      </w:pPr>
      <w:r>
        <w:rPr>
          <w:rFonts w:ascii="Arial" w:hAnsi="Arial" w:cs="Arial" w:eastAsia="Arial" w:hint="default"/>
        </w:rPr>
        <w:t>(3) </w:t>
      </w:r>
      <w:r>
        <w:rPr>
          <w:rFonts w:ascii="Arial" w:hAnsi="Arial" w:cs="Arial" w:eastAsia="Arial" w:hint="default"/>
          <w:spacing w:val="48"/>
        </w:rPr>
        <w:t> </w:t>
      </w:r>
      <w:r>
        <w:rPr/>
        <w:t>固定资产折旧</w:t>
      </w:r>
    </w:p>
    <w:p>
      <w:pPr>
        <w:spacing w:line="240" w:lineRule="auto" w:before="4"/>
        <w:rPr>
          <w:rFonts w:ascii="宋体" w:hAnsi="宋体" w:cs="宋体" w:eastAsia="宋体" w:hint="default"/>
          <w:sz w:val="16"/>
          <w:szCs w:val="16"/>
        </w:rPr>
      </w:pPr>
    </w:p>
    <w:p>
      <w:pPr>
        <w:pStyle w:val="BodyText"/>
        <w:spacing w:line="272" w:lineRule="exact"/>
        <w:ind w:left="588" w:right="112"/>
        <w:jc w:val="both"/>
      </w:pPr>
      <w:r>
        <w:rPr/>
        <w:t>本集团固定资产的折旧在预计使用寿命内以资产的入账价值减去预计净残值后的金额按直线</w:t>
      </w:r>
      <w:r>
        <w:rPr>
          <w:spacing w:val="-68"/>
        </w:rPr>
        <w:t> </w:t>
      </w:r>
      <w:r>
        <w:rPr>
          <w:spacing w:val="-68"/>
        </w:rPr>
      </w:r>
      <w:r>
        <w:rPr/>
        <w:t>法计提。本集团定期对预计使用寿命和预计净残值进行评估，以确保折旧方法及折旧率与固</w:t>
      </w:r>
      <w:r>
        <w:rPr>
          <w:spacing w:val="-70"/>
        </w:rPr>
        <w:t> </w:t>
      </w:r>
      <w:r>
        <w:rPr>
          <w:spacing w:val="-70"/>
        </w:rPr>
      </w:r>
      <w:r>
        <w:rPr/>
        <w:t>定资产的预计经济利益实现模式一致。</w:t>
      </w:r>
    </w:p>
    <w:p>
      <w:pPr>
        <w:spacing w:line="240" w:lineRule="auto" w:before="10"/>
        <w:rPr>
          <w:rFonts w:ascii="宋体" w:hAnsi="宋体" w:cs="宋体" w:eastAsia="宋体" w:hint="default"/>
          <w:sz w:val="15"/>
          <w:szCs w:val="15"/>
        </w:rPr>
      </w:pPr>
    </w:p>
    <w:p>
      <w:pPr>
        <w:pStyle w:val="BodyText"/>
        <w:spacing w:line="272" w:lineRule="exact"/>
        <w:ind w:left="588" w:right="115"/>
        <w:jc w:val="both"/>
      </w:pPr>
      <w:r>
        <w:rPr/>
        <w:t>本集团对固定资产预计使用寿命及净残值的估计是基于历史经验并考虑预期的技术更新而作</w:t>
      </w:r>
      <w:r>
        <w:rPr>
          <w:spacing w:val="-70"/>
        </w:rPr>
        <w:t> </w:t>
      </w:r>
      <w:r>
        <w:rPr>
          <w:spacing w:val="-70"/>
        </w:rPr>
      </w:r>
      <w:r>
        <w:rPr/>
        <w:t>出的。当预计使用寿命及预计净残值发生重大变化时，可能需要相应调整折旧费用。</w:t>
      </w:r>
    </w:p>
    <w:p>
      <w:pPr>
        <w:pStyle w:val="BodyText"/>
        <w:spacing w:line="240" w:lineRule="auto" w:before="156"/>
        <w:ind w:left="149" w:right="2130"/>
        <w:jc w:val="left"/>
      </w:pPr>
      <w:r>
        <w:rPr>
          <w:rFonts w:ascii="Arial" w:hAnsi="Arial" w:cs="Arial" w:eastAsia="Arial" w:hint="default"/>
        </w:rPr>
        <w:t>(4) </w:t>
      </w:r>
      <w:r>
        <w:rPr>
          <w:rFonts w:ascii="Arial" w:hAnsi="Arial" w:cs="Arial" w:eastAsia="Arial" w:hint="default"/>
          <w:spacing w:val="47"/>
        </w:rPr>
        <w:t> </w:t>
      </w:r>
      <w:r>
        <w:rPr/>
        <w:t>用户积分奖励计划</w:t>
      </w:r>
    </w:p>
    <w:p>
      <w:pPr>
        <w:pStyle w:val="BodyText"/>
        <w:spacing w:line="218" w:lineRule="auto" w:before="187"/>
        <w:ind w:left="588" w:right="113"/>
        <w:jc w:val="both"/>
      </w:pPr>
      <w:r>
        <w:rPr/>
        <w:t>本集团按照附注三</w:t>
      </w:r>
      <w:r>
        <w:rPr>
          <w:rFonts w:ascii="Arial" w:hAnsi="Arial" w:cs="Arial" w:eastAsia="Arial" w:hint="default"/>
        </w:rPr>
        <w:t>(25)</w:t>
      </w:r>
      <w:r>
        <w:rPr/>
        <w:t>所述向用户提供积分奖励计划。对于积分奖励计划产生的递延收益公</w:t>
      </w:r>
      <w:r>
        <w:rPr>
          <w:spacing w:val="-24"/>
        </w:rPr>
        <w:t> </w:t>
      </w:r>
      <w:r>
        <w:rPr>
          <w:spacing w:val="-24"/>
        </w:rPr>
      </w:r>
      <w:r>
        <w:rPr/>
        <w:t>允价值的估计是基于</w:t>
      </w:r>
      <w:r>
        <w:rPr>
          <w:rFonts w:ascii="Arial" w:hAnsi="Arial" w:cs="Arial" w:eastAsia="Arial" w:hint="default"/>
        </w:rPr>
        <w:t>(i)</w:t>
      </w:r>
      <w:r>
        <w:rPr/>
        <w:t>用户积分奖励的单位价值；</w:t>
      </w:r>
      <w:r>
        <w:rPr>
          <w:rFonts w:ascii="Arial" w:hAnsi="Arial" w:cs="Arial" w:eastAsia="Arial" w:hint="default"/>
        </w:rPr>
        <w:t>(ii)</w:t>
      </w:r>
      <w:r>
        <w:rPr/>
        <w:t>在每一资产负债表日，有资格或预期有</w:t>
      </w:r>
      <w:r>
        <w:rPr>
          <w:spacing w:val="-72"/>
        </w:rPr>
        <w:t> </w:t>
      </w:r>
      <w:r>
        <w:rPr>
          <w:spacing w:val="-72"/>
        </w:rPr>
      </w:r>
      <w:r>
        <w:rPr>
          <w:spacing w:val="-2"/>
        </w:rPr>
        <w:t>资格行使兑换权利之用户的积分奖励数量；及</w:t>
      </w:r>
      <w:r>
        <w:rPr>
          <w:rFonts w:ascii="Arial" w:hAnsi="Arial" w:cs="Arial" w:eastAsia="Arial" w:hint="default"/>
          <w:spacing w:val="-2"/>
        </w:rPr>
        <w:t>(iii)</w:t>
      </w:r>
      <w:r>
        <w:rPr>
          <w:spacing w:val="-2"/>
        </w:rPr>
        <w:t>预计用户积分兑换率。管理层对未兑换的用</w:t>
      </w:r>
      <w:r>
        <w:rPr>
          <w:spacing w:val="-61"/>
        </w:rPr>
        <w:t> </w:t>
      </w:r>
      <w:r>
        <w:rPr>
          <w:spacing w:val="-61"/>
        </w:rPr>
      </w:r>
      <w:r>
        <w:rPr/>
        <w:t>户获赠积分的公允价值进行定期审阅。当有资格或预期有资格行使兑换权利之用户的积分奖</w:t>
      </w:r>
      <w:r>
        <w:rPr>
          <w:spacing w:val="-70"/>
        </w:rPr>
        <w:t> </w:t>
      </w:r>
      <w:r>
        <w:rPr>
          <w:spacing w:val="-70"/>
        </w:rPr>
      </w:r>
      <w:r>
        <w:rPr/>
        <w:t>励数量及预计用户积分兑换率发生重大变化时，可能需要相应调整递延收益及相关的通信服</w:t>
      </w:r>
      <w:r>
        <w:rPr>
          <w:spacing w:val="-70"/>
        </w:rPr>
        <w:t> </w:t>
      </w:r>
      <w:r>
        <w:rPr>
          <w:spacing w:val="-70"/>
        </w:rPr>
      </w:r>
      <w:r>
        <w:rPr/>
        <w:t>务收入。</w:t>
      </w:r>
    </w:p>
    <w:p>
      <w:pPr>
        <w:pStyle w:val="BodyText"/>
        <w:spacing w:line="240" w:lineRule="auto" w:before="183"/>
        <w:ind w:left="149" w:right="2130"/>
        <w:jc w:val="left"/>
      </w:pPr>
      <w:r>
        <w:rPr>
          <w:rFonts w:ascii="Arial" w:hAnsi="Arial" w:cs="Arial" w:eastAsia="Arial" w:hint="default"/>
        </w:rPr>
        <w:t>(5)  </w:t>
      </w:r>
      <w:r>
        <w:rPr>
          <w:rFonts w:ascii="Arial" w:hAnsi="Arial" w:cs="Arial" w:eastAsia="Arial" w:hint="default"/>
          <w:spacing w:val="8"/>
        </w:rPr>
        <w:t> </w:t>
      </w:r>
      <w:r>
        <w:rPr/>
        <w:t>长期资产减值</w:t>
      </w:r>
    </w:p>
    <w:p>
      <w:pPr>
        <w:spacing w:line="240" w:lineRule="auto" w:before="7"/>
        <w:rPr>
          <w:rFonts w:ascii="宋体" w:hAnsi="宋体" w:cs="宋体" w:eastAsia="宋体" w:hint="default"/>
          <w:sz w:val="15"/>
          <w:szCs w:val="15"/>
        </w:rPr>
      </w:pPr>
    </w:p>
    <w:p>
      <w:pPr>
        <w:pStyle w:val="BodyText"/>
        <w:spacing w:line="272" w:lineRule="exact"/>
        <w:ind w:left="588" w:right="113"/>
        <w:jc w:val="both"/>
      </w:pPr>
      <w:r>
        <w:rPr/>
        <w:t>本集团按照附注三</w:t>
      </w:r>
      <w:r>
        <w:rPr>
          <w:rFonts w:ascii="Arial" w:hAnsi="Arial" w:cs="Arial" w:eastAsia="Arial" w:hint="default"/>
        </w:rPr>
        <w:t>(17)</w:t>
      </w:r>
      <w:r>
        <w:rPr/>
        <w:t>所述会计政策评估长期资产是否存在减值。一项资产的可收回金额是</w:t>
      </w:r>
      <w:r>
        <w:rPr>
          <w:spacing w:val="-24"/>
        </w:rPr>
        <w:t> </w:t>
      </w:r>
      <w:r>
        <w:rPr>
          <w:spacing w:val="-24"/>
        </w:rPr>
      </w:r>
      <w:r>
        <w:rPr/>
        <w:t>指资产公允价值减去处置费用后的净额与资产预计未来现金流量的现值两者之间的较高者。</w:t>
      </w:r>
      <w:r>
        <w:rPr>
          <w:spacing w:val="-70"/>
        </w:rPr>
        <w:t> </w:t>
      </w:r>
      <w:r>
        <w:rPr>
          <w:spacing w:val="-70"/>
        </w:rPr>
      </w:r>
      <w:r>
        <w:rPr/>
        <w:t>管理层估计的资产预计未来现金流量的现值是根据能够独立产生现金流入的最小资产组合的</w:t>
      </w:r>
      <w:r>
        <w:rPr>
          <w:spacing w:val="-70"/>
        </w:rPr>
        <w:t> </w:t>
      </w:r>
      <w:r>
        <w:rPr>
          <w:spacing w:val="-70"/>
        </w:rPr>
      </w:r>
      <w:r>
        <w:rPr/>
        <w:t>预期未来税前现金流量折现确定。当管理层的假设和长期资产的预期可收回金额发生重大变</w:t>
      </w:r>
      <w:r>
        <w:rPr>
          <w:spacing w:val="-69"/>
        </w:rPr>
        <w:t> </w:t>
      </w:r>
      <w:r>
        <w:rPr>
          <w:spacing w:val="-69"/>
        </w:rPr>
      </w:r>
      <w:r>
        <w:rPr/>
        <w:t>化时，本集团的未来经营成果将受到影响。</w:t>
      </w:r>
    </w:p>
    <w:p>
      <w:pPr>
        <w:spacing w:after="0" w:line="272" w:lineRule="exact"/>
        <w:jc w:val="both"/>
        <w:sectPr>
          <w:headerReference w:type="default" r:id="rId60"/>
          <w:pgSz w:w="11910" w:h="16840"/>
          <w:pgMar w:header="965" w:footer="769" w:top="3380" w:bottom="960" w:left="1440" w:right="920"/>
        </w:sectPr>
      </w:pPr>
    </w:p>
    <w:p>
      <w:pPr>
        <w:spacing w:line="240" w:lineRule="auto" w:before="12"/>
        <w:rPr>
          <w:rFonts w:ascii="宋体" w:hAnsi="宋体" w:cs="宋体" w:eastAsia="宋体" w:hint="default"/>
          <w:sz w:val="13"/>
          <w:szCs w:val="13"/>
        </w:rPr>
      </w:pPr>
    </w:p>
    <w:p>
      <w:pPr>
        <w:pStyle w:val="BodyText"/>
        <w:spacing w:line="240" w:lineRule="auto" w:before="32"/>
        <w:ind w:left="134" w:right="2130"/>
        <w:jc w:val="left"/>
      </w:pPr>
      <w:r>
        <w:rPr>
          <w:rFonts w:ascii="Arial" w:hAnsi="Arial" w:cs="Arial" w:eastAsia="Arial" w:hint="default"/>
        </w:rPr>
        <w:t>(a) </w:t>
      </w:r>
      <w:r>
        <w:rPr>
          <w:rFonts w:ascii="Arial" w:hAnsi="Arial" w:cs="Arial" w:eastAsia="Arial" w:hint="default"/>
          <w:spacing w:val="61"/>
        </w:rPr>
        <w:t> </w:t>
      </w:r>
      <w:r>
        <w:rPr/>
        <w:t>重要会计估计及其关键假设（续）</w:t>
      </w:r>
    </w:p>
    <w:p>
      <w:pPr>
        <w:spacing w:line="240" w:lineRule="auto" w:before="10"/>
        <w:rPr>
          <w:rFonts w:ascii="宋体" w:hAnsi="宋体" w:cs="宋体" w:eastAsia="宋体" w:hint="default"/>
          <w:sz w:val="16"/>
          <w:szCs w:val="16"/>
        </w:rPr>
      </w:pPr>
    </w:p>
    <w:p>
      <w:pPr>
        <w:pStyle w:val="BodyText"/>
        <w:spacing w:line="240" w:lineRule="auto"/>
        <w:ind w:left="149" w:right="2130"/>
        <w:jc w:val="left"/>
      </w:pPr>
      <w:r>
        <w:rPr>
          <w:rFonts w:ascii="Arial" w:hAnsi="Arial" w:cs="Arial" w:eastAsia="Arial" w:hint="default"/>
        </w:rPr>
        <w:t>(6)  </w:t>
      </w:r>
      <w:r>
        <w:rPr>
          <w:rFonts w:ascii="Arial" w:hAnsi="Arial" w:cs="Arial" w:eastAsia="Arial" w:hint="default"/>
          <w:spacing w:val="9"/>
        </w:rPr>
        <w:t> </w:t>
      </w:r>
      <w:r>
        <w:rPr/>
        <w:t>所得税</w:t>
      </w:r>
    </w:p>
    <w:p>
      <w:pPr>
        <w:spacing w:line="240" w:lineRule="auto" w:before="2"/>
        <w:rPr>
          <w:rFonts w:ascii="宋体" w:hAnsi="宋体" w:cs="宋体" w:eastAsia="宋体" w:hint="default"/>
          <w:sz w:val="18"/>
          <w:szCs w:val="18"/>
        </w:rPr>
      </w:pPr>
    </w:p>
    <w:p>
      <w:pPr>
        <w:pStyle w:val="BodyText"/>
        <w:spacing w:line="237" w:lineRule="auto"/>
        <w:ind w:left="598" w:right="112"/>
        <w:jc w:val="both"/>
      </w:pPr>
      <w:r>
        <w:rPr/>
        <w:t>本集团按照现行税收法规计算企业所得税，并考虑了适用的所得税的相关规定及税收优惠。</w:t>
      </w:r>
      <w:r>
        <w:rPr>
          <w:spacing w:val="-76"/>
        </w:rPr>
        <w:t> </w:t>
      </w:r>
      <w:r>
        <w:rPr>
          <w:spacing w:val="-76"/>
        </w:rPr>
      </w:r>
      <w:r>
        <w:rPr/>
        <w:t>本集团在多个地区缴纳企业所得税，在正常的经营活动中，很多交易和事项的最终税务处理</w:t>
      </w:r>
      <w:r>
        <w:rPr>
          <w:spacing w:val="-76"/>
        </w:rPr>
        <w:t> </w:t>
      </w:r>
      <w:r>
        <w:rPr>
          <w:spacing w:val="-76"/>
        </w:rPr>
      </w:r>
      <w:r>
        <w:rPr/>
        <w:t>都存在不确定性，在计提各个地区的所得税费用时本集团需要作出重大判断。本集团还就未</w:t>
      </w:r>
      <w:r>
        <w:rPr>
          <w:spacing w:val="-76"/>
        </w:rPr>
        <w:t> </w:t>
      </w:r>
      <w:r>
        <w:rPr>
          <w:spacing w:val="-76"/>
        </w:rPr>
      </w:r>
      <w:r>
        <w:rPr/>
        <w:t>来最终税务申报过程中可能存在判断差异的纳税项目预计是否需要缴纳额外税款，并根据估</w:t>
      </w:r>
      <w:r>
        <w:rPr>
          <w:spacing w:val="-76"/>
        </w:rPr>
        <w:t> </w:t>
      </w:r>
      <w:r>
        <w:rPr>
          <w:spacing w:val="-76"/>
        </w:rPr>
      </w:r>
      <w:r>
        <w:rPr/>
        <w:t>计的结果判断是否需要确认相应的所得税负债。如果这些税务事项的最终认定结果与最初入</w:t>
      </w:r>
      <w:r>
        <w:rPr>
          <w:spacing w:val="-76"/>
        </w:rPr>
        <w:t> </w:t>
      </w:r>
      <w:r>
        <w:rPr>
          <w:spacing w:val="-76"/>
        </w:rPr>
      </w:r>
      <w:r>
        <w:rPr/>
        <w:t>账的金额存在差异，该差异将对作出上述最终认定期间的所得税费用和递延所得税的金额产</w:t>
      </w:r>
      <w:r>
        <w:rPr>
          <w:spacing w:val="-76"/>
        </w:rPr>
        <w:t> </w:t>
      </w:r>
      <w:r>
        <w:rPr>
          <w:spacing w:val="-76"/>
        </w:rPr>
      </w:r>
      <w:r>
        <w:rPr/>
        <w:t>生影响。</w:t>
      </w:r>
    </w:p>
    <w:p>
      <w:pPr>
        <w:spacing w:line="240" w:lineRule="auto" w:before="6"/>
        <w:rPr>
          <w:rFonts w:ascii="宋体" w:hAnsi="宋体" w:cs="宋体" w:eastAsia="宋体" w:hint="default"/>
          <w:sz w:val="19"/>
          <w:szCs w:val="19"/>
        </w:rPr>
      </w:pPr>
    </w:p>
    <w:p>
      <w:pPr>
        <w:pStyle w:val="BodyText"/>
        <w:spacing w:line="237" w:lineRule="auto"/>
        <w:ind w:left="598" w:right="111"/>
        <w:jc w:val="both"/>
      </w:pPr>
      <w:r>
        <w:rPr/>
        <w:t>在确认递延所得税资产时，本集团也考虑了递延所得税资产得以实现的可能性。可抵扣暂时</w:t>
      </w:r>
      <w:r>
        <w:rPr>
          <w:spacing w:val="-76"/>
        </w:rPr>
        <w:t> </w:t>
      </w:r>
      <w:r>
        <w:rPr>
          <w:spacing w:val="-76"/>
        </w:rPr>
      </w:r>
      <w:r>
        <w:rPr/>
        <w:t>性差异主要包括坏账准备、尚未获准税前抵扣的预提费用以及可供出售金融资产的公允价值</w:t>
      </w:r>
      <w:r>
        <w:rPr>
          <w:spacing w:val="-75"/>
        </w:rPr>
        <w:t> </w:t>
      </w:r>
      <w:r>
        <w:rPr>
          <w:spacing w:val="-75"/>
        </w:rPr>
      </w:r>
      <w:r>
        <w:rPr/>
        <w:t>变动损失的影响。递延所得税资产的确认是基于本集团预计该递延所得税资产于可预见的将</w:t>
      </w:r>
      <w:r>
        <w:rPr>
          <w:spacing w:val="-76"/>
        </w:rPr>
        <w:t> </w:t>
      </w:r>
      <w:r>
        <w:rPr>
          <w:spacing w:val="-76"/>
        </w:rPr>
      </w:r>
      <w:r>
        <w:rPr/>
        <w:t>来能够通过持续经营产生足够的应纳税所得额而转回。</w:t>
      </w:r>
    </w:p>
    <w:p>
      <w:pPr>
        <w:spacing w:line="240" w:lineRule="auto" w:before="10"/>
        <w:rPr>
          <w:rFonts w:ascii="宋体" w:hAnsi="宋体" w:cs="宋体" w:eastAsia="宋体" w:hint="default"/>
          <w:sz w:val="15"/>
          <w:szCs w:val="15"/>
        </w:rPr>
      </w:pPr>
    </w:p>
    <w:p>
      <w:pPr>
        <w:pStyle w:val="BodyText"/>
        <w:spacing w:line="286" w:lineRule="exact"/>
        <w:ind w:left="598" w:right="111"/>
        <w:jc w:val="both"/>
      </w:pPr>
      <w:r>
        <w:rPr/>
        <w:t>本集团已基于现行的税法规定及当前最佳的估计及假设计提了当期所得税及递延所得税项。</w:t>
      </w:r>
      <w:r>
        <w:rPr>
          <w:spacing w:val="-75"/>
        </w:rPr>
        <w:t> </w:t>
      </w:r>
      <w:r>
        <w:rPr>
          <w:spacing w:val="-75"/>
        </w:rPr>
      </w:r>
      <w:r>
        <w:rPr>
          <w:spacing w:val="4"/>
        </w:rPr>
        <w:t>未来可能因税法规定或相关情况的改变而需要对当期所得税及递延所得税项作出相应的调</w:t>
      </w:r>
      <w:r>
        <w:rPr>
          <w:spacing w:val="-27"/>
        </w:rPr>
        <w:t> </w:t>
      </w:r>
      <w:r>
        <w:rPr>
          <w:spacing w:val="-27"/>
        </w:rPr>
      </w:r>
      <w:r>
        <w:rPr/>
        <w:t>整。</w:t>
      </w:r>
    </w:p>
    <w:p>
      <w:pPr>
        <w:spacing w:line="240" w:lineRule="auto" w:before="1"/>
        <w:rPr>
          <w:rFonts w:ascii="宋体" w:hAnsi="宋体" w:cs="宋体" w:eastAsia="宋体" w:hint="default"/>
          <w:sz w:val="17"/>
          <w:szCs w:val="17"/>
        </w:rPr>
      </w:pPr>
    </w:p>
    <w:p>
      <w:pPr>
        <w:pStyle w:val="BodyText"/>
        <w:tabs>
          <w:tab w:pos="609" w:val="left" w:leader="none"/>
        </w:tabs>
        <w:spacing w:line="424" w:lineRule="auto"/>
        <w:ind w:left="607" w:right="6299" w:hanging="488"/>
        <w:jc w:val="left"/>
      </w:pPr>
      <w:r>
        <w:rPr>
          <w:rFonts w:ascii="Arial" w:hAnsi="Arial" w:cs="Arial" w:eastAsia="Arial" w:hint="default"/>
        </w:rPr>
        <w:t>(b)</w:t>
        <w:tab/>
        <w:tab/>
      </w:r>
      <w:r>
        <w:rPr/>
        <w:t>采取会计政策的关键判断</w:t>
      </w:r>
      <w:r>
        <w:rPr>
          <w:w w:val="100"/>
        </w:rPr>
        <w:t> </w:t>
      </w:r>
      <w:r>
        <w:rPr>
          <w:spacing w:val="-1"/>
        </w:rPr>
        <w:t>可供出售金融资产减值评估</w:t>
      </w:r>
    </w:p>
    <w:p>
      <w:pPr>
        <w:pStyle w:val="BodyText"/>
        <w:spacing w:line="228" w:lineRule="auto" w:before="95"/>
        <w:ind w:left="598" w:right="105"/>
        <w:jc w:val="both"/>
      </w:pPr>
      <w:r>
        <w:rPr>
          <w:spacing w:val="-2"/>
        </w:rPr>
        <w:t>如附注五</w:t>
      </w:r>
      <w:r>
        <w:rPr>
          <w:rFonts w:ascii="Arial" w:hAnsi="Arial" w:cs="Arial" w:eastAsia="Arial" w:hint="default"/>
          <w:spacing w:val="-2"/>
        </w:rPr>
        <w:t>(8)</w:t>
      </w:r>
      <w:r>
        <w:rPr>
          <w:spacing w:val="-2"/>
        </w:rPr>
        <w:t>所述，本公司的子公司联通红筹公司持有的对西班牙电信的股票投资是本集团持</w:t>
      </w:r>
      <w:r>
        <w:rPr>
          <w:spacing w:val="-47"/>
        </w:rPr>
        <w:t> </w:t>
      </w:r>
      <w:r>
        <w:rPr>
          <w:spacing w:val="-47"/>
        </w:rPr>
      </w:r>
      <w:r>
        <w:rPr/>
        <w:t>有的以战略合作为主要目的、不因股价临时变动而做出售决定的投资，本集团作为可供出售</w:t>
      </w:r>
      <w:r>
        <w:rPr>
          <w:spacing w:val="-76"/>
        </w:rPr>
        <w:t> </w:t>
      </w:r>
      <w:r>
        <w:rPr>
          <w:spacing w:val="-76"/>
        </w:rPr>
      </w:r>
      <w:r>
        <w:rPr>
          <w:spacing w:val="-1"/>
        </w:rPr>
        <w:t>金融资产入账。该投资的成本为人民币</w:t>
      </w:r>
      <w:r>
        <w:rPr>
          <w:rFonts w:ascii="Arial" w:hAnsi="Arial" w:cs="Arial" w:eastAsia="Arial" w:hint="default"/>
          <w:spacing w:val="-1"/>
        </w:rPr>
        <w:t>114</w:t>
      </w:r>
      <w:r>
        <w:rPr>
          <w:spacing w:val="-1"/>
        </w:rPr>
        <w:t>亿元，截至</w:t>
      </w:r>
      <w:r>
        <w:rPr>
          <w:rFonts w:ascii="Arial" w:hAnsi="Arial" w:cs="Arial" w:eastAsia="Arial" w:hint="default"/>
          <w:spacing w:val="-1"/>
        </w:rPr>
        <w:t>2014</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日累计计入其他综合收</w:t>
      </w:r>
      <w:r>
        <w:rPr>
          <w:spacing w:val="-62"/>
        </w:rPr>
        <w:t> </w:t>
      </w:r>
      <w:r>
        <w:rPr>
          <w:spacing w:val="-62"/>
        </w:rPr>
      </w:r>
      <w:r>
        <w:rPr/>
        <w:t>益的公允价值变动为人民币</w:t>
      </w:r>
      <w:r>
        <w:rPr>
          <w:rFonts w:ascii="Arial" w:hAnsi="Arial" w:cs="Arial" w:eastAsia="Arial" w:hint="default"/>
        </w:rPr>
        <w:t>57</w:t>
      </w:r>
      <w:r>
        <w:rPr/>
        <w:t>亿元，于</w:t>
      </w:r>
      <w:r>
        <w:rPr>
          <w:rFonts w:ascii="Arial" w:hAnsi="Arial" w:cs="Arial" w:eastAsia="Arial" w:hint="default"/>
        </w:rPr>
        <w:t>2014</w:t>
      </w:r>
      <w:r>
        <w:rPr/>
        <w:t>年</w:t>
      </w:r>
      <w:r>
        <w:rPr>
          <w:rFonts w:ascii="Arial" w:hAnsi="Arial" w:cs="Arial" w:eastAsia="Arial" w:hint="default"/>
        </w:rPr>
        <w:t>12</w:t>
      </w:r>
      <w:r>
        <w:rPr/>
        <w:t>月</w:t>
      </w:r>
      <w:r>
        <w:rPr>
          <w:rFonts w:ascii="Arial" w:hAnsi="Arial" w:cs="Arial" w:eastAsia="Arial" w:hint="default"/>
        </w:rPr>
        <w:t>31</w:t>
      </w:r>
      <w:r>
        <w:rPr/>
        <w:t>日的公允价值为人民币</w:t>
      </w:r>
      <w:r>
        <w:rPr>
          <w:rFonts w:ascii="Arial" w:hAnsi="Arial" w:cs="Arial" w:eastAsia="Arial" w:hint="default"/>
        </w:rPr>
        <w:t>57</w:t>
      </w:r>
      <w:r>
        <w:rPr/>
        <w:t>亿元，较成</w:t>
      </w:r>
      <w:r>
        <w:rPr>
          <w:spacing w:val="-14"/>
        </w:rPr>
        <w:t> </w:t>
      </w:r>
      <w:r>
        <w:rPr/>
        <w:t>本下跌</w:t>
      </w:r>
      <w:r>
        <w:rPr>
          <w:rFonts w:ascii="Arial" w:hAnsi="Arial" w:cs="Arial" w:eastAsia="Arial" w:hint="default"/>
        </w:rPr>
        <w:t>50%</w:t>
      </w:r>
      <w:r>
        <w:rPr/>
        <w:t>。</w:t>
      </w:r>
    </w:p>
    <w:p>
      <w:pPr>
        <w:spacing w:line="240" w:lineRule="auto" w:before="3"/>
        <w:rPr>
          <w:rFonts w:ascii="宋体" w:hAnsi="宋体" w:cs="宋体" w:eastAsia="宋体" w:hint="default"/>
          <w:sz w:val="19"/>
          <w:szCs w:val="19"/>
        </w:rPr>
      </w:pPr>
    </w:p>
    <w:p>
      <w:pPr>
        <w:pStyle w:val="BodyText"/>
        <w:spacing w:line="228" w:lineRule="auto"/>
        <w:ind w:left="598" w:right="108"/>
        <w:jc w:val="both"/>
      </w:pPr>
      <w:r>
        <w:rPr/>
        <w:t>本集团在评估此项可供出售金融资产于资产负债表日是否存在客观证据表明其发生减值时，</w:t>
      </w:r>
      <w:r>
        <w:rPr>
          <w:spacing w:val="-76"/>
        </w:rPr>
        <w:t> </w:t>
      </w:r>
      <w:r>
        <w:rPr>
          <w:spacing w:val="-76"/>
        </w:rPr>
      </w:r>
      <w:r>
        <w:rPr>
          <w:spacing w:val="-3"/>
        </w:rPr>
        <w:t>主要对被投资单位基本运营情况进行分析：于</w:t>
      </w:r>
      <w:r>
        <w:rPr>
          <w:rFonts w:ascii="Arial" w:hAnsi="Arial" w:cs="Arial" w:eastAsia="Arial" w:hint="default"/>
          <w:spacing w:val="-3"/>
        </w:rPr>
        <w:t>2014</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日，西班牙电信以欧元计价的股</w:t>
      </w:r>
      <w:r>
        <w:rPr>
          <w:spacing w:val="-50"/>
        </w:rPr>
        <w:t> </w:t>
      </w:r>
      <w:r>
        <w:rPr>
          <w:spacing w:val="-50"/>
        </w:rPr>
      </w:r>
      <w:r>
        <w:rPr/>
        <w:t>价较</w:t>
      </w:r>
      <w:r>
        <w:rPr>
          <w:rFonts w:ascii="Arial" w:hAnsi="Arial" w:cs="Arial" w:eastAsia="Arial" w:hint="default"/>
        </w:rPr>
        <w:t>2013</w:t>
      </w:r>
      <w:r>
        <w:rPr/>
        <w:t>年</w:t>
      </w:r>
      <w:r>
        <w:rPr>
          <w:rFonts w:ascii="Arial" w:hAnsi="Arial" w:cs="Arial" w:eastAsia="Arial" w:hint="default"/>
        </w:rPr>
        <w:t>12</w:t>
      </w:r>
      <w:r>
        <w:rPr/>
        <w:t>月</w:t>
      </w:r>
      <w:r>
        <w:rPr>
          <w:rFonts w:ascii="Arial" w:hAnsi="Arial" w:cs="Arial" w:eastAsia="Arial" w:hint="default"/>
        </w:rPr>
        <w:t>31</w:t>
      </w:r>
      <w:r>
        <w:rPr/>
        <w:t>日上涨</w:t>
      </w:r>
      <w:r>
        <w:rPr>
          <w:rFonts w:ascii="Arial" w:hAnsi="Arial" w:cs="Arial" w:eastAsia="Arial" w:hint="default"/>
        </w:rPr>
        <w:t>0.7%</w:t>
      </w:r>
      <w:r>
        <w:rPr/>
        <w:t>。</w:t>
      </w:r>
      <w:r>
        <w:rPr>
          <w:rFonts w:ascii="Arial" w:hAnsi="Arial" w:cs="Arial" w:eastAsia="Arial" w:hint="default"/>
        </w:rPr>
        <w:t>2014</w:t>
      </w:r>
      <w:r>
        <w:rPr/>
        <w:t>年，西班牙电信经营运作稳定，用户数进一步增加。</w:t>
      </w:r>
      <w:r>
        <w:rPr>
          <w:spacing w:val="-72"/>
        </w:rPr>
        <w:t> </w:t>
      </w:r>
      <w:r>
        <w:rPr>
          <w:spacing w:val="-72"/>
        </w:rPr>
      </w:r>
      <w:r>
        <w:rPr>
          <w:spacing w:val="-2"/>
        </w:rPr>
        <w:t>虽然受汇率影响，营业收入以及息税折旧摊销前盈余较</w:t>
      </w:r>
      <w:r>
        <w:rPr>
          <w:rFonts w:ascii="Arial" w:hAnsi="Arial" w:cs="Arial" w:eastAsia="Arial" w:hint="default"/>
          <w:spacing w:val="-2"/>
        </w:rPr>
        <w:t>2013</w:t>
      </w:r>
      <w:r>
        <w:rPr>
          <w:spacing w:val="-2"/>
        </w:rPr>
        <w:t>年出现一定幅度下降，但其经营</w:t>
      </w:r>
      <w:r>
        <w:rPr>
          <w:spacing w:val="-51"/>
        </w:rPr>
        <w:t> </w:t>
      </w:r>
      <w:r>
        <w:rPr>
          <w:spacing w:val="-51"/>
        </w:rPr>
      </w:r>
      <w:r>
        <w:rPr/>
        <w:t>业绩和业务规模未发生重大不利变化。根据附注三</w:t>
      </w:r>
      <w:r>
        <w:rPr>
          <w:rFonts w:ascii="Arial" w:hAnsi="Arial" w:cs="Arial" w:eastAsia="Arial" w:hint="default"/>
        </w:rPr>
        <w:t>(8)(a)(3)</w:t>
      </w:r>
      <w:r>
        <w:rPr/>
        <w:t>的会计政策，西班牙电信未出现</w:t>
      </w:r>
      <w:r>
        <w:rPr>
          <w:spacing w:val="-16"/>
        </w:rPr>
        <w:t> </w:t>
      </w:r>
      <w:r>
        <w:rPr>
          <w:spacing w:val="-16"/>
        </w:rPr>
      </w:r>
      <w:r>
        <w:rPr/>
        <w:t>营业收入连续三年减少</w:t>
      </w:r>
      <w:r>
        <w:rPr>
          <w:rFonts w:ascii="Arial" w:hAnsi="Arial" w:cs="Arial" w:eastAsia="Arial" w:hint="default"/>
        </w:rPr>
        <w:t>10%</w:t>
      </w:r>
      <w:r>
        <w:rPr/>
        <w:t>以上或息税折旧摊销前盈余连续三年减少</w:t>
      </w:r>
      <w:r>
        <w:rPr>
          <w:rFonts w:ascii="Arial" w:hAnsi="Arial" w:cs="Arial" w:eastAsia="Arial" w:hint="default"/>
        </w:rPr>
        <w:t>20%</w:t>
      </w:r>
      <w:r>
        <w:rPr/>
        <w:t>以上的情况。综合</w:t>
      </w:r>
      <w:r>
        <w:rPr>
          <w:spacing w:val="-78"/>
        </w:rPr>
        <w:t> </w:t>
      </w:r>
      <w:r>
        <w:rPr/>
        <w:t>考虑各相关因素后，管理层基于已制订的可供出售金融资产减值判断的量化标准认为，此项</w:t>
      </w:r>
      <w:r>
        <w:rPr>
          <w:spacing w:val="-76"/>
        </w:rPr>
        <w:t> </w:t>
      </w:r>
      <w:r>
        <w:rPr>
          <w:spacing w:val="-76"/>
        </w:rPr>
      </w:r>
      <w:r>
        <w:rPr/>
        <w:t>可供出售金融资产于</w:t>
      </w:r>
      <w:r>
        <w:rPr>
          <w:rFonts w:ascii="Arial" w:hAnsi="Arial" w:cs="Arial" w:eastAsia="Arial" w:hint="default"/>
        </w:rPr>
        <w:t>2014</w:t>
      </w:r>
      <w:r>
        <w:rPr/>
        <w:t>年</w:t>
      </w:r>
      <w:r>
        <w:rPr>
          <w:rFonts w:ascii="Arial" w:hAnsi="Arial" w:cs="Arial" w:eastAsia="Arial" w:hint="default"/>
        </w:rPr>
        <w:t>12</w:t>
      </w:r>
      <w:r>
        <w:rPr/>
        <w:t>月</w:t>
      </w:r>
      <w:r>
        <w:rPr>
          <w:rFonts w:ascii="Arial" w:hAnsi="Arial" w:cs="Arial" w:eastAsia="Arial" w:hint="default"/>
        </w:rPr>
        <w:t>31</w:t>
      </w:r>
      <w:r>
        <w:rPr/>
        <w:t>日尚无需进行减值的会计处理。</w:t>
      </w:r>
    </w:p>
    <w:p>
      <w:pPr>
        <w:spacing w:after="0" w:line="228" w:lineRule="auto"/>
        <w:jc w:val="both"/>
        <w:sectPr>
          <w:headerReference w:type="default" r:id="rId61"/>
          <w:pgSz w:w="11910" w:h="16840"/>
          <w:pgMar w:header="965" w:footer="769" w:top="3380" w:bottom="960" w:left="1440" w:right="920"/>
        </w:sectPr>
      </w:pPr>
    </w:p>
    <w:p>
      <w:pPr>
        <w:spacing w:line="240" w:lineRule="auto" w:before="0"/>
        <w:rPr>
          <w:rFonts w:ascii="宋体" w:hAnsi="宋体" w:cs="宋体" w:eastAsia="宋体" w:hint="default"/>
          <w:sz w:val="18"/>
          <w:szCs w:val="18"/>
        </w:rPr>
      </w:pPr>
    </w:p>
    <w:p>
      <w:pPr>
        <w:pStyle w:val="BodyText"/>
        <w:spacing w:line="240" w:lineRule="auto" w:before="32"/>
        <w:ind w:left="120" w:right="2130"/>
        <w:jc w:val="left"/>
      </w:pPr>
      <w:r>
        <w:rPr>
          <w:rFonts w:ascii="Arial" w:hAnsi="Arial" w:cs="Arial" w:eastAsia="Arial" w:hint="default"/>
        </w:rPr>
        <w:t>34</w:t>
      </w:r>
      <w:r>
        <w:rPr/>
        <w:t>、会计政策变更</w:t>
      </w:r>
    </w:p>
    <w:p>
      <w:pPr>
        <w:spacing w:line="240" w:lineRule="auto" w:before="1"/>
        <w:rPr>
          <w:rFonts w:ascii="宋体" w:hAnsi="宋体" w:cs="宋体" w:eastAsia="宋体" w:hint="default"/>
          <w:sz w:val="18"/>
          <w:szCs w:val="18"/>
        </w:rPr>
      </w:pPr>
    </w:p>
    <w:p>
      <w:pPr>
        <w:pStyle w:val="BodyText"/>
        <w:spacing w:line="240" w:lineRule="auto"/>
        <w:ind w:left="120" w:right="2130"/>
        <w:jc w:val="left"/>
      </w:pPr>
      <w:r>
        <w:rPr>
          <w:rFonts w:ascii="Arial" w:hAnsi="Arial" w:cs="Arial" w:eastAsia="Arial" w:hint="default"/>
        </w:rPr>
        <w:t>(a)  </w:t>
      </w:r>
      <w:r>
        <w:rPr>
          <w:rFonts w:ascii="Arial" w:hAnsi="Arial" w:cs="Arial" w:eastAsia="Arial" w:hint="default"/>
          <w:spacing w:val="15"/>
        </w:rPr>
        <w:t> </w:t>
      </w:r>
      <w:r>
        <w:rPr/>
        <w:t>变更的内容及原因</w:t>
      </w:r>
    </w:p>
    <w:p>
      <w:pPr>
        <w:spacing w:line="240" w:lineRule="auto" w:before="12"/>
        <w:rPr>
          <w:rFonts w:ascii="宋体" w:hAnsi="宋体" w:cs="宋体" w:eastAsia="宋体" w:hint="default"/>
          <w:sz w:val="17"/>
          <w:szCs w:val="17"/>
        </w:rPr>
      </w:pPr>
    </w:p>
    <w:p>
      <w:pPr>
        <w:pStyle w:val="BodyText"/>
        <w:spacing w:line="240" w:lineRule="auto"/>
        <w:ind w:left="564" w:right="0"/>
        <w:jc w:val="both"/>
      </w:pPr>
      <w:r>
        <w:rPr/>
        <w:t>本集团于</w:t>
      </w:r>
      <w:r>
        <w:rPr>
          <w:spacing w:val="-56"/>
        </w:rPr>
        <w:t> </w:t>
      </w:r>
      <w:r>
        <w:rPr>
          <w:rFonts w:ascii="Arial" w:hAnsi="Arial" w:cs="Arial" w:eastAsia="Arial" w:hint="default"/>
        </w:rPr>
        <w:t>2014</w:t>
      </w:r>
      <w:r>
        <w:rPr>
          <w:rFonts w:ascii="Arial" w:hAnsi="Arial" w:cs="Arial" w:eastAsia="Arial" w:hint="default"/>
          <w:spacing w:val="-8"/>
        </w:rPr>
        <w:t> </w:t>
      </w:r>
      <w:r>
        <w:rPr/>
        <w:t>年</w:t>
      </w:r>
      <w:r>
        <w:rPr>
          <w:spacing w:val="-56"/>
        </w:rPr>
        <w:t> </w:t>
      </w:r>
      <w:r>
        <w:rPr>
          <w:rFonts w:ascii="Arial" w:hAnsi="Arial" w:cs="Arial" w:eastAsia="Arial" w:hint="default"/>
        </w:rPr>
        <w:t>1</w:t>
      </w:r>
      <w:r>
        <w:rPr>
          <w:rFonts w:ascii="Arial" w:hAnsi="Arial" w:cs="Arial" w:eastAsia="Arial" w:hint="default"/>
          <w:spacing w:val="-8"/>
        </w:rPr>
        <w:t> </w:t>
      </w:r>
      <w:r>
        <w:rPr/>
        <w:t>月</w:t>
      </w:r>
      <w:r>
        <w:rPr>
          <w:spacing w:val="-58"/>
        </w:rPr>
        <w:t> </w:t>
      </w:r>
      <w:r>
        <w:rPr>
          <w:rFonts w:ascii="Arial" w:hAnsi="Arial" w:cs="Arial" w:eastAsia="Arial" w:hint="default"/>
        </w:rPr>
        <w:t>1</w:t>
      </w:r>
      <w:r>
        <w:rPr>
          <w:rFonts w:ascii="Arial" w:hAnsi="Arial" w:cs="Arial" w:eastAsia="Arial" w:hint="default"/>
          <w:spacing w:val="-10"/>
        </w:rPr>
        <w:t> </w:t>
      </w:r>
      <w:r>
        <w:rPr/>
        <w:t>日起执行下述财政部新颁布</w:t>
      </w:r>
      <w:r>
        <w:rPr>
          <w:rFonts w:ascii="Arial" w:hAnsi="Arial" w:cs="Arial" w:eastAsia="Arial" w:hint="default"/>
        </w:rPr>
        <w:t>/</w:t>
      </w:r>
      <w:r>
        <w:rPr/>
        <w:t>修订的企业会计准则：</w:t>
      </w:r>
    </w:p>
    <w:p>
      <w:pPr>
        <w:spacing w:line="240" w:lineRule="auto" w:before="12"/>
        <w:rPr>
          <w:rFonts w:ascii="宋体" w:hAnsi="宋体" w:cs="宋体" w:eastAsia="宋体" w:hint="default"/>
          <w:sz w:val="17"/>
          <w:szCs w:val="17"/>
        </w:rPr>
      </w:pPr>
    </w:p>
    <w:p>
      <w:pPr>
        <w:pStyle w:val="BodyText"/>
        <w:spacing w:line="295" w:lineRule="exact"/>
        <w:ind w:left="638" w:right="0"/>
        <w:jc w:val="both"/>
      </w:pPr>
      <w:r>
        <w:rPr>
          <w:rFonts w:ascii="Symbol" w:hAnsi="Symbol" w:cs="Symbol" w:eastAsia="Symbol" w:hint="default"/>
        </w:rPr>
        <w:t></w:t>
      </w:r>
      <w:r>
        <w:rPr>
          <w:rFonts w:ascii="Symbol" w:hAnsi="Symbol" w:cs="Symbol" w:eastAsia="Symbol" w:hint="default"/>
          <w:spacing w:val="47"/>
        </w:rPr>
        <w:t></w:t>
      </w:r>
      <w:r>
        <w:rPr>
          <w:rFonts w:ascii="Times New Roman" w:hAnsi="Times New Roman" w:cs="Times New Roman" w:eastAsia="Times New Roman" w:hint="default"/>
          <w:spacing w:val="47"/>
        </w:rPr>
      </w:r>
      <w:r>
        <w:rPr/>
        <w:t>《企业会计准则第</w:t>
      </w:r>
      <w:r>
        <w:rPr>
          <w:rFonts w:ascii="Arial" w:hAnsi="Arial" w:cs="Arial" w:eastAsia="Arial" w:hint="default"/>
        </w:rPr>
        <w:t>2</w:t>
      </w:r>
      <w:r>
        <w:rPr/>
        <w:t>号</w:t>
      </w:r>
      <w:r>
        <w:rPr>
          <w:rFonts w:ascii="Arial" w:hAnsi="Arial" w:cs="Arial" w:eastAsia="Arial" w:hint="default"/>
        </w:rPr>
        <w:t>——</w:t>
      </w:r>
      <w:r>
        <w:rPr/>
        <w:t>长期股权投资》（以下简称</w:t>
      </w:r>
      <w:r>
        <w:rPr>
          <w:rFonts w:ascii="Arial" w:hAnsi="Arial" w:cs="Arial" w:eastAsia="Arial" w:hint="default"/>
        </w:rPr>
        <w:t>“</w:t>
      </w:r>
      <w:r>
        <w:rPr/>
        <w:t>准则</w:t>
      </w:r>
      <w:r>
        <w:rPr>
          <w:rFonts w:ascii="Arial" w:hAnsi="Arial" w:cs="Arial" w:eastAsia="Arial" w:hint="default"/>
        </w:rPr>
        <w:t>2</w:t>
      </w:r>
      <w:r>
        <w:rPr/>
        <w:t>号</w:t>
      </w:r>
      <w:r>
        <w:rPr>
          <w:rFonts w:ascii="Arial" w:hAnsi="Arial" w:cs="Arial" w:eastAsia="Arial" w:hint="default"/>
        </w:rPr>
        <w:t>(2014)”</w:t>
      </w:r>
      <w:r>
        <w:rPr/>
        <w:t>）</w:t>
      </w:r>
    </w:p>
    <w:p>
      <w:pPr>
        <w:pStyle w:val="BodyText"/>
        <w:spacing w:line="295" w:lineRule="exact"/>
        <w:ind w:left="638" w:right="0"/>
        <w:jc w:val="both"/>
      </w:pPr>
      <w:r>
        <w:rPr>
          <w:rFonts w:ascii="Symbol" w:hAnsi="Symbol" w:cs="Symbol" w:eastAsia="Symbol" w:hint="default"/>
        </w:rPr>
        <w:t></w:t>
      </w:r>
      <w:r>
        <w:rPr>
          <w:rFonts w:ascii="Symbol" w:hAnsi="Symbol" w:cs="Symbol" w:eastAsia="Symbol" w:hint="default"/>
          <w:spacing w:val="51"/>
        </w:rPr>
        <w:t></w:t>
      </w:r>
      <w:r>
        <w:rPr>
          <w:rFonts w:ascii="Times New Roman" w:hAnsi="Times New Roman" w:cs="Times New Roman" w:eastAsia="Times New Roman" w:hint="default"/>
          <w:spacing w:val="51"/>
        </w:rPr>
      </w:r>
      <w:r>
        <w:rPr/>
        <w:t>《企业会计准则第</w:t>
      </w:r>
      <w:r>
        <w:rPr>
          <w:rFonts w:ascii="Arial" w:hAnsi="Arial" w:cs="Arial" w:eastAsia="Arial" w:hint="default"/>
        </w:rPr>
        <w:t>41</w:t>
      </w:r>
      <w:r>
        <w:rPr/>
        <w:t>号</w:t>
      </w:r>
      <w:r>
        <w:rPr>
          <w:rFonts w:ascii="Arial" w:hAnsi="Arial" w:cs="Arial" w:eastAsia="Arial" w:hint="default"/>
        </w:rPr>
        <w:t>——</w:t>
      </w:r>
      <w:r>
        <w:rPr/>
        <w:t>在其他主体中权益的披露》（以下简称</w:t>
      </w:r>
      <w:r>
        <w:rPr>
          <w:rFonts w:ascii="Arial" w:hAnsi="Arial" w:cs="Arial" w:eastAsia="Arial" w:hint="default"/>
        </w:rPr>
        <w:t>“</w:t>
      </w:r>
      <w:r>
        <w:rPr/>
        <w:t>准则</w:t>
      </w:r>
      <w:r>
        <w:rPr>
          <w:rFonts w:ascii="Arial" w:hAnsi="Arial" w:cs="Arial" w:eastAsia="Arial" w:hint="default"/>
        </w:rPr>
        <w:t>41</w:t>
      </w:r>
      <w:r>
        <w:rPr/>
        <w:t>号</w:t>
      </w:r>
      <w:r>
        <w:rPr>
          <w:rFonts w:ascii="Arial" w:hAnsi="Arial" w:cs="Arial" w:eastAsia="Arial" w:hint="default"/>
        </w:rPr>
        <w:t>”</w:t>
      </w:r>
      <w:r>
        <w:rPr/>
        <w:t>）</w:t>
      </w:r>
    </w:p>
    <w:p>
      <w:pPr>
        <w:spacing w:line="240" w:lineRule="auto" w:before="12"/>
        <w:rPr>
          <w:rFonts w:ascii="宋体" w:hAnsi="宋体" w:cs="宋体" w:eastAsia="宋体" w:hint="default"/>
          <w:sz w:val="19"/>
          <w:szCs w:val="19"/>
        </w:rPr>
      </w:pPr>
    </w:p>
    <w:p>
      <w:pPr>
        <w:pStyle w:val="BodyText"/>
        <w:spacing w:line="286" w:lineRule="exact"/>
        <w:ind w:left="564" w:right="108"/>
        <w:jc w:val="both"/>
      </w:pPr>
      <w:r>
        <w:rPr/>
        <w:t>同时，本集团于</w:t>
      </w:r>
      <w:r>
        <w:rPr>
          <w:spacing w:val="-59"/>
        </w:rPr>
        <w:t> </w:t>
      </w:r>
      <w:r>
        <w:rPr>
          <w:rFonts w:ascii="Arial" w:hAnsi="Arial" w:cs="Arial" w:eastAsia="Arial" w:hint="default"/>
        </w:rPr>
        <w:t>2014</w:t>
      </w:r>
      <w:r>
        <w:rPr>
          <w:rFonts w:ascii="Arial" w:hAnsi="Arial" w:cs="Arial" w:eastAsia="Arial" w:hint="default"/>
          <w:spacing w:val="-10"/>
        </w:rPr>
        <w:t> </w:t>
      </w:r>
      <w:r>
        <w:rPr/>
        <w:t>年</w:t>
      </w:r>
      <w:r>
        <w:rPr>
          <w:spacing w:val="-62"/>
        </w:rPr>
        <w:t> </w:t>
      </w:r>
      <w:r>
        <w:rPr>
          <w:rFonts w:ascii="Arial" w:hAnsi="Arial" w:cs="Arial" w:eastAsia="Arial" w:hint="default"/>
        </w:rPr>
        <w:t>3</w:t>
      </w:r>
      <w:r>
        <w:rPr>
          <w:rFonts w:ascii="Arial" w:hAnsi="Arial" w:cs="Arial" w:eastAsia="Arial" w:hint="default"/>
          <w:spacing w:val="-11"/>
        </w:rPr>
        <w:t> </w:t>
      </w:r>
      <w:r>
        <w:rPr/>
        <w:t>月</w:t>
      </w:r>
      <w:r>
        <w:rPr>
          <w:spacing w:val="-59"/>
        </w:rPr>
        <w:t> </w:t>
      </w:r>
      <w:r>
        <w:rPr>
          <w:rFonts w:ascii="Arial" w:hAnsi="Arial" w:cs="Arial" w:eastAsia="Arial" w:hint="default"/>
        </w:rPr>
        <w:t>17</w:t>
      </w:r>
      <w:r>
        <w:rPr>
          <w:rFonts w:ascii="Arial" w:hAnsi="Arial" w:cs="Arial" w:eastAsia="Arial" w:hint="default"/>
          <w:spacing w:val="-11"/>
        </w:rPr>
        <w:t> </w:t>
      </w:r>
      <w:r>
        <w:rPr/>
        <w:t>日开始执行财政部颁布的《金融负债与权益工具的区分及相</w:t>
      </w:r>
      <w:r>
        <w:rPr>
          <w:w w:val="100"/>
        </w:rPr>
        <w:t> </w:t>
      </w:r>
      <w:r>
        <w:rPr>
          <w:spacing w:val="-3"/>
        </w:rPr>
        <w:t>关会计处理规定》（</w:t>
      </w:r>
      <w:r>
        <w:rPr>
          <w:rFonts w:ascii="Arial" w:hAnsi="Arial" w:cs="Arial" w:eastAsia="Arial" w:hint="default"/>
          <w:spacing w:val="-3"/>
        </w:rPr>
        <w:t>“</w:t>
      </w:r>
      <w:r>
        <w:rPr>
          <w:spacing w:val="-3"/>
        </w:rPr>
        <w:t>财会</w:t>
      </w:r>
      <w:r>
        <w:rPr>
          <w:rFonts w:ascii="Arial" w:hAnsi="Arial" w:cs="Arial" w:eastAsia="Arial" w:hint="default"/>
          <w:spacing w:val="-3"/>
        </w:rPr>
        <w:t>[2014]13</w:t>
      </w:r>
      <w:r>
        <w:rPr>
          <w:rFonts w:ascii="Arial" w:hAnsi="Arial" w:cs="Arial" w:eastAsia="Arial" w:hint="default"/>
          <w:spacing w:val="-1"/>
        </w:rPr>
        <w:t> </w:t>
      </w:r>
      <w:r>
        <w:rPr>
          <w:spacing w:val="-4"/>
        </w:rPr>
        <w:t>号文</w:t>
      </w:r>
      <w:r>
        <w:rPr>
          <w:rFonts w:ascii="Arial" w:hAnsi="Arial" w:cs="Arial" w:eastAsia="Arial" w:hint="default"/>
          <w:spacing w:val="-4"/>
        </w:rPr>
        <w:t>”</w:t>
      </w:r>
      <w:r>
        <w:rPr>
          <w:spacing w:val="-4"/>
        </w:rPr>
        <w:t>）以及在</w:t>
      </w:r>
      <w:r>
        <w:rPr>
          <w:spacing w:val="-49"/>
        </w:rPr>
        <w:t> </w:t>
      </w:r>
      <w:r>
        <w:rPr>
          <w:rFonts w:ascii="Arial" w:hAnsi="Arial" w:cs="Arial" w:eastAsia="Arial" w:hint="default"/>
        </w:rPr>
        <w:t>2014</w:t>
      </w:r>
      <w:r>
        <w:rPr>
          <w:rFonts w:ascii="Arial" w:hAnsi="Arial" w:cs="Arial" w:eastAsia="Arial" w:hint="default"/>
          <w:spacing w:val="-1"/>
        </w:rPr>
        <w:t> </w:t>
      </w:r>
      <w:r>
        <w:rPr/>
        <w:t>年度财务报告中开始执行财政部修订</w:t>
      </w:r>
      <w:r>
        <w:rPr>
          <w:spacing w:val="-107"/>
        </w:rPr>
        <w:t> </w:t>
      </w:r>
      <w:r>
        <w:rPr>
          <w:spacing w:val="-107"/>
        </w:rPr>
      </w:r>
      <w:r>
        <w:rPr/>
        <w:t>的《企业会计准则第</w:t>
      </w:r>
      <w:r>
        <w:rPr>
          <w:spacing w:val="-57"/>
        </w:rPr>
        <w:t> </w:t>
      </w:r>
      <w:r>
        <w:rPr>
          <w:rFonts w:ascii="Arial" w:hAnsi="Arial" w:cs="Arial" w:eastAsia="Arial" w:hint="default"/>
        </w:rPr>
        <w:t>37</w:t>
      </w:r>
      <w:r>
        <w:rPr>
          <w:rFonts w:ascii="Arial" w:hAnsi="Arial" w:cs="Arial" w:eastAsia="Arial" w:hint="default"/>
          <w:spacing w:val="-11"/>
        </w:rPr>
        <w:t> </w:t>
      </w:r>
      <w:r>
        <w:rPr/>
        <w:t>号</w:t>
      </w:r>
      <w:r>
        <w:rPr>
          <w:rFonts w:ascii="Arial" w:hAnsi="Arial" w:cs="Arial" w:eastAsia="Arial" w:hint="default"/>
        </w:rPr>
        <w:t>——</w:t>
      </w:r>
      <w:r>
        <w:rPr/>
        <w:t>金融工具列报》（以下简称</w:t>
      </w:r>
      <w:r>
        <w:rPr>
          <w:rFonts w:ascii="Arial" w:hAnsi="Arial" w:cs="Arial" w:eastAsia="Arial" w:hint="default"/>
        </w:rPr>
        <w:t>“</w:t>
      </w:r>
      <w:r>
        <w:rPr/>
        <w:t>准则</w:t>
      </w:r>
      <w:r>
        <w:rPr>
          <w:spacing w:val="-57"/>
        </w:rPr>
        <w:t> </w:t>
      </w:r>
      <w:r>
        <w:rPr>
          <w:rFonts w:ascii="Arial" w:hAnsi="Arial" w:cs="Arial" w:eastAsia="Arial" w:hint="default"/>
        </w:rPr>
        <w:t>37</w:t>
      </w:r>
      <w:r>
        <w:rPr>
          <w:rFonts w:ascii="Arial" w:hAnsi="Arial" w:cs="Arial" w:eastAsia="Arial" w:hint="default"/>
          <w:spacing w:val="-9"/>
        </w:rPr>
        <w:t> </w:t>
      </w:r>
      <w:r>
        <w:rPr/>
        <w:t>号</w:t>
      </w:r>
      <w:r>
        <w:rPr>
          <w:rFonts w:ascii="Arial" w:hAnsi="Arial" w:cs="Arial" w:eastAsia="Arial" w:hint="default"/>
        </w:rPr>
        <w:t>(2014)”</w:t>
      </w:r>
      <w:r>
        <w:rPr/>
        <w:t>）。</w:t>
      </w:r>
    </w:p>
    <w:p>
      <w:pPr>
        <w:spacing w:line="240" w:lineRule="auto" w:before="3"/>
        <w:rPr>
          <w:rFonts w:ascii="宋体" w:hAnsi="宋体" w:cs="宋体" w:eastAsia="宋体" w:hint="default"/>
          <w:sz w:val="19"/>
          <w:szCs w:val="19"/>
        </w:rPr>
      </w:pPr>
    </w:p>
    <w:p>
      <w:pPr>
        <w:pStyle w:val="BodyText"/>
        <w:spacing w:line="286" w:lineRule="exact"/>
        <w:ind w:left="571" w:right="0" w:hanging="8"/>
        <w:jc w:val="left"/>
      </w:pPr>
      <w:r>
        <w:rPr/>
        <w:t>采用上述企业会计准则后的主要会计政策已在附注三中列示。编制合并财务报表时，子公司</w:t>
      </w:r>
      <w:r>
        <w:rPr>
          <w:spacing w:val="-49"/>
        </w:rPr>
        <w:t> </w:t>
      </w:r>
      <w:r>
        <w:rPr>
          <w:spacing w:val="-49"/>
        </w:rPr>
      </w:r>
      <w:r>
        <w:rPr/>
        <w:t>采用的会计政策与本公司一致。</w:t>
      </w:r>
    </w:p>
    <w:p>
      <w:pPr>
        <w:spacing w:line="240" w:lineRule="auto" w:before="4"/>
        <w:rPr>
          <w:rFonts w:ascii="宋体" w:hAnsi="宋体" w:cs="宋体" w:eastAsia="宋体" w:hint="default"/>
          <w:sz w:val="17"/>
          <w:szCs w:val="17"/>
        </w:rPr>
      </w:pPr>
    </w:p>
    <w:p>
      <w:pPr>
        <w:pStyle w:val="BodyText"/>
        <w:spacing w:line="240" w:lineRule="auto"/>
        <w:ind w:left="564" w:right="0"/>
        <w:jc w:val="both"/>
      </w:pPr>
      <w:r>
        <w:rPr/>
        <w:t>本集团采用上述企业会计准则的主要影响如下：</w:t>
      </w:r>
    </w:p>
    <w:p>
      <w:pPr>
        <w:spacing w:line="240" w:lineRule="auto" w:before="1"/>
        <w:rPr>
          <w:rFonts w:ascii="宋体" w:hAnsi="宋体" w:cs="宋体" w:eastAsia="宋体" w:hint="default"/>
          <w:sz w:val="19"/>
          <w:szCs w:val="19"/>
        </w:rPr>
      </w:pPr>
    </w:p>
    <w:p>
      <w:pPr>
        <w:pStyle w:val="BodyText"/>
        <w:spacing w:line="240" w:lineRule="auto"/>
        <w:ind w:left="564" w:right="0"/>
        <w:jc w:val="both"/>
      </w:pPr>
      <w:r>
        <w:rPr>
          <w:rFonts w:ascii="Arial" w:hAnsi="Arial" w:cs="Arial" w:eastAsia="Arial" w:hint="default"/>
        </w:rPr>
        <w:t>(i)  </w:t>
      </w:r>
      <w:r>
        <w:rPr>
          <w:rFonts w:ascii="Arial" w:hAnsi="Arial" w:cs="Arial" w:eastAsia="Arial" w:hint="default"/>
          <w:spacing w:val="29"/>
        </w:rPr>
        <w:t> </w:t>
      </w:r>
      <w:r>
        <w:rPr/>
        <w:t>长期股权投资</w:t>
      </w:r>
    </w:p>
    <w:p>
      <w:pPr>
        <w:spacing w:line="240" w:lineRule="auto" w:before="4"/>
        <w:rPr>
          <w:rFonts w:ascii="宋体" w:hAnsi="宋体" w:cs="宋体" w:eastAsia="宋体" w:hint="default"/>
          <w:sz w:val="17"/>
          <w:szCs w:val="17"/>
        </w:rPr>
      </w:pPr>
    </w:p>
    <w:p>
      <w:pPr>
        <w:pStyle w:val="BodyText"/>
        <w:spacing w:line="286" w:lineRule="exact"/>
        <w:ind w:left="972" w:right="104"/>
        <w:jc w:val="both"/>
      </w:pPr>
      <w:r>
        <w:rPr/>
        <w:t>采用准则</w:t>
      </w:r>
      <w:r>
        <w:rPr>
          <w:spacing w:val="-36"/>
        </w:rPr>
        <w:t> </w:t>
      </w:r>
      <w:r>
        <w:rPr>
          <w:rFonts w:ascii="Arial" w:hAnsi="Arial" w:cs="Arial" w:eastAsia="Arial" w:hint="default"/>
        </w:rPr>
        <w:t>2</w:t>
      </w:r>
      <w:r>
        <w:rPr>
          <w:rFonts w:ascii="Arial" w:hAnsi="Arial" w:cs="Arial" w:eastAsia="Arial" w:hint="default"/>
          <w:spacing w:val="9"/>
        </w:rPr>
        <w:t> </w:t>
      </w:r>
      <w:r>
        <w:rPr>
          <w:spacing w:val="-4"/>
        </w:rPr>
        <w:t>号</w:t>
      </w:r>
      <w:r>
        <w:rPr>
          <w:rFonts w:ascii="Arial" w:hAnsi="Arial" w:cs="Arial" w:eastAsia="Arial" w:hint="default"/>
          <w:spacing w:val="-4"/>
        </w:rPr>
        <w:t>(2014)</w:t>
      </w:r>
      <w:r>
        <w:rPr>
          <w:spacing w:val="-4"/>
        </w:rPr>
        <w:t>之前，本集团将持有的对被投资单位不具有控制、共同控制或重大影</w:t>
      </w:r>
      <w:r>
        <w:rPr>
          <w:spacing w:val="-106"/>
        </w:rPr>
        <w:t> </w:t>
      </w:r>
      <w:r>
        <w:rPr>
          <w:spacing w:val="-106"/>
        </w:rPr>
      </w:r>
      <w:r>
        <w:rPr/>
        <w:t>响，并且在活跃市场中没有报价、公允价值不能可靠计量的权益性投资作为其他长期股</w:t>
      </w:r>
      <w:r>
        <w:rPr>
          <w:spacing w:val="-15"/>
        </w:rPr>
        <w:t> </w:t>
      </w:r>
      <w:r>
        <w:rPr>
          <w:spacing w:val="-15"/>
        </w:rPr>
      </w:r>
      <w:r>
        <w:rPr>
          <w:spacing w:val="-5"/>
        </w:rPr>
        <w:t>权投资，按成本法进行后续计量。采用准则</w:t>
      </w:r>
      <w:r>
        <w:rPr>
          <w:spacing w:val="-33"/>
        </w:rPr>
        <w:t> </w:t>
      </w:r>
      <w:r>
        <w:rPr>
          <w:rFonts w:ascii="Arial" w:hAnsi="Arial" w:cs="Arial" w:eastAsia="Arial" w:hint="default"/>
        </w:rPr>
        <w:t>2</w:t>
      </w:r>
      <w:r>
        <w:rPr>
          <w:rFonts w:ascii="Arial" w:hAnsi="Arial" w:cs="Arial" w:eastAsia="Arial" w:hint="default"/>
          <w:spacing w:val="16"/>
        </w:rPr>
        <w:t> </w:t>
      </w:r>
      <w:r>
        <w:rPr>
          <w:spacing w:val="-3"/>
        </w:rPr>
        <w:t>号</w:t>
      </w:r>
      <w:r>
        <w:rPr>
          <w:rFonts w:ascii="Arial" w:hAnsi="Arial" w:cs="Arial" w:eastAsia="Arial" w:hint="default"/>
          <w:spacing w:val="-3"/>
        </w:rPr>
        <w:t>(2014)</w:t>
      </w:r>
      <w:r>
        <w:rPr>
          <w:spacing w:val="-3"/>
        </w:rPr>
        <w:t>之后，本集团将这类投资改按金融</w:t>
      </w:r>
      <w:r>
        <w:rPr>
          <w:spacing w:val="-104"/>
        </w:rPr>
        <w:t> </w:t>
      </w:r>
      <w:r>
        <w:rPr>
          <w:spacing w:val="-104"/>
        </w:rPr>
      </w:r>
      <w:r>
        <w:rPr/>
        <w:t>工具的相关政策核算（参见附注三</w:t>
      </w:r>
      <w:r>
        <w:rPr>
          <w:rFonts w:ascii="Arial" w:hAnsi="Arial" w:cs="Arial" w:eastAsia="Arial" w:hint="default"/>
        </w:rPr>
        <w:t>(8)</w:t>
      </w:r>
      <w:r>
        <w:rPr/>
        <w:t>）。</w:t>
      </w:r>
    </w:p>
    <w:p>
      <w:pPr>
        <w:spacing w:line="240" w:lineRule="auto" w:before="3"/>
        <w:rPr>
          <w:rFonts w:ascii="宋体" w:hAnsi="宋体" w:cs="宋体" w:eastAsia="宋体" w:hint="default"/>
          <w:sz w:val="19"/>
          <w:szCs w:val="19"/>
        </w:rPr>
      </w:pPr>
    </w:p>
    <w:p>
      <w:pPr>
        <w:pStyle w:val="BodyText"/>
        <w:spacing w:line="286" w:lineRule="exact"/>
        <w:ind w:left="972" w:right="106"/>
        <w:jc w:val="both"/>
      </w:pPr>
      <w:r>
        <w:rPr>
          <w:spacing w:val="-7"/>
        </w:rPr>
        <w:t>除上述变更外，准则</w:t>
      </w:r>
      <w:r>
        <w:rPr>
          <w:spacing w:val="-46"/>
        </w:rPr>
        <w:t> </w:t>
      </w:r>
      <w:r>
        <w:rPr>
          <w:rFonts w:ascii="Arial" w:hAnsi="Arial" w:cs="Arial" w:eastAsia="Arial" w:hint="default"/>
        </w:rPr>
        <w:t>2</w:t>
      </w:r>
      <w:r>
        <w:rPr>
          <w:rFonts w:ascii="Arial" w:hAnsi="Arial" w:cs="Arial" w:eastAsia="Arial" w:hint="default"/>
          <w:spacing w:val="-1"/>
        </w:rPr>
        <w:t> </w:t>
      </w:r>
      <w:r>
        <w:rPr/>
        <w:t>号</w:t>
      </w:r>
      <w:r>
        <w:rPr>
          <w:spacing w:val="16"/>
        </w:rPr>
        <w:t> </w:t>
      </w:r>
      <w:r>
        <w:rPr>
          <w:rFonts w:ascii="Arial" w:hAnsi="Arial" w:cs="Arial" w:eastAsia="Arial" w:hint="default"/>
        </w:rPr>
        <w:t>(2014)</w:t>
      </w:r>
      <w:r>
        <w:rPr>
          <w:rFonts w:ascii="Arial" w:hAnsi="Arial" w:cs="Arial" w:eastAsia="Arial" w:hint="default"/>
          <w:spacing w:val="4"/>
        </w:rPr>
        <w:t> </w:t>
      </w:r>
      <w:r>
        <w:rPr>
          <w:spacing w:val="-4"/>
        </w:rPr>
        <w:t>还对权益法核算等进行了修订，本集团已根据这些修订</w:t>
      </w:r>
      <w:r>
        <w:rPr>
          <w:spacing w:val="-108"/>
        </w:rPr>
        <w:t> </w:t>
      </w:r>
      <w:r>
        <w:rPr>
          <w:spacing w:val="-108"/>
        </w:rPr>
      </w:r>
      <w:r>
        <w:rPr/>
        <w:t>内容修改了相关的会计政策（参见附注三</w:t>
      </w:r>
      <w:r>
        <w:rPr>
          <w:rFonts w:ascii="Arial" w:hAnsi="Arial" w:cs="Arial" w:eastAsia="Arial" w:hint="default"/>
        </w:rPr>
        <w:t>(11)</w:t>
      </w:r>
      <w:r>
        <w:rPr/>
        <w:t>）。</w:t>
      </w:r>
    </w:p>
    <w:p>
      <w:pPr>
        <w:spacing w:line="240" w:lineRule="auto" w:before="2"/>
        <w:rPr>
          <w:rFonts w:ascii="宋体" w:hAnsi="宋体" w:cs="宋体" w:eastAsia="宋体" w:hint="default"/>
          <w:sz w:val="17"/>
          <w:szCs w:val="17"/>
        </w:rPr>
      </w:pPr>
    </w:p>
    <w:p>
      <w:pPr>
        <w:pStyle w:val="BodyText"/>
        <w:spacing w:line="240" w:lineRule="auto"/>
        <w:ind w:left="564" w:right="0"/>
        <w:jc w:val="both"/>
      </w:pPr>
      <w:r>
        <w:rPr>
          <w:rFonts w:ascii="Arial" w:hAnsi="Arial" w:cs="Arial" w:eastAsia="Arial" w:hint="default"/>
        </w:rPr>
        <w:t>(ii) </w:t>
      </w:r>
      <w:r>
        <w:rPr>
          <w:rFonts w:ascii="Arial" w:hAnsi="Arial" w:cs="Arial" w:eastAsia="Arial" w:hint="default"/>
          <w:spacing w:val="38"/>
        </w:rPr>
        <w:t> </w:t>
      </w:r>
      <w:r>
        <w:rPr/>
        <w:t>在其他主体中权益的披露</w:t>
      </w:r>
    </w:p>
    <w:p>
      <w:pPr>
        <w:spacing w:line="240" w:lineRule="auto" w:before="11"/>
        <w:rPr>
          <w:rFonts w:ascii="宋体" w:hAnsi="宋体" w:cs="宋体" w:eastAsia="宋体" w:hint="default"/>
          <w:sz w:val="18"/>
          <w:szCs w:val="18"/>
        </w:rPr>
      </w:pPr>
    </w:p>
    <w:p>
      <w:pPr>
        <w:pStyle w:val="BodyText"/>
        <w:spacing w:line="230" w:lineRule="auto"/>
        <w:ind w:left="974" w:right="104"/>
        <w:jc w:val="both"/>
      </w:pPr>
      <w:r>
        <w:rPr/>
        <w:t>准则</w:t>
      </w:r>
      <w:r>
        <w:rPr>
          <w:spacing w:val="-72"/>
        </w:rPr>
        <w:t> </w:t>
      </w:r>
      <w:r>
        <w:rPr>
          <w:rFonts w:ascii="Arial" w:hAnsi="Arial" w:cs="Arial" w:eastAsia="Arial" w:hint="default"/>
        </w:rPr>
        <w:t>41</w:t>
      </w:r>
      <w:r>
        <w:rPr>
          <w:rFonts w:ascii="Arial" w:hAnsi="Arial" w:cs="Arial" w:eastAsia="Arial" w:hint="default"/>
          <w:spacing w:val="-23"/>
        </w:rPr>
        <w:t> </w:t>
      </w:r>
      <w:r>
        <w:rPr/>
        <w:t>号规范并修改了企业对子公司、合营安排、联营企业以及未纳入合并范围的结构</w:t>
      </w:r>
      <w:r>
        <w:rPr>
          <w:w w:val="100"/>
        </w:rPr>
        <w:t> </w:t>
      </w:r>
      <w:r>
        <w:rPr/>
        <w:t>化主体中所享有的权益的相关披露要求。本集团已根据该准则修改了相关披露，详见相</w:t>
      </w:r>
      <w:r>
        <w:rPr>
          <w:spacing w:val="-22"/>
        </w:rPr>
        <w:t> </w:t>
      </w:r>
      <w:r>
        <w:rPr>
          <w:spacing w:val="-22"/>
        </w:rPr>
      </w:r>
      <w:r>
        <w:rPr/>
        <w:t>关附注。</w:t>
      </w:r>
    </w:p>
    <w:p>
      <w:pPr>
        <w:spacing w:line="240" w:lineRule="auto" w:before="5"/>
        <w:rPr>
          <w:rFonts w:ascii="宋体" w:hAnsi="宋体" w:cs="宋体" w:eastAsia="宋体" w:hint="default"/>
          <w:sz w:val="19"/>
          <w:szCs w:val="19"/>
        </w:rPr>
      </w:pPr>
    </w:p>
    <w:p>
      <w:pPr>
        <w:pStyle w:val="BodyText"/>
        <w:spacing w:line="240" w:lineRule="auto"/>
        <w:ind w:left="564" w:right="0"/>
        <w:jc w:val="both"/>
      </w:pPr>
      <w:r>
        <w:rPr>
          <w:rFonts w:ascii="Arial" w:hAnsi="Arial" w:cs="Arial" w:eastAsia="Arial" w:hint="default"/>
        </w:rPr>
        <w:t>(iii)</w:t>
      </w:r>
      <w:r>
        <w:rPr>
          <w:rFonts w:ascii="Arial" w:hAnsi="Arial" w:cs="Arial" w:eastAsia="Arial" w:hint="default"/>
          <w:spacing w:val="45"/>
        </w:rPr>
        <w:t> </w:t>
      </w:r>
      <w:r>
        <w:rPr/>
        <w:t>金融负债与权益工具的区分以及金融工具的列报和披露</w:t>
      </w:r>
    </w:p>
    <w:p>
      <w:pPr>
        <w:spacing w:line="240" w:lineRule="auto" w:before="0"/>
        <w:rPr>
          <w:rFonts w:ascii="宋体" w:hAnsi="宋体" w:cs="宋体" w:eastAsia="宋体" w:hint="default"/>
          <w:sz w:val="20"/>
          <w:szCs w:val="20"/>
        </w:rPr>
      </w:pPr>
    </w:p>
    <w:p>
      <w:pPr>
        <w:pStyle w:val="BodyText"/>
        <w:spacing w:line="286" w:lineRule="exact"/>
        <w:ind w:left="974" w:right="104"/>
        <w:jc w:val="both"/>
      </w:pPr>
      <w:r>
        <w:rPr/>
        <w:t>财会</w:t>
      </w:r>
      <w:r>
        <w:rPr>
          <w:rFonts w:ascii="Arial" w:hAnsi="Arial" w:cs="Arial" w:eastAsia="Arial" w:hint="default"/>
        </w:rPr>
        <w:t>[2014]13</w:t>
      </w:r>
      <w:r>
        <w:rPr>
          <w:rFonts w:ascii="Arial" w:hAnsi="Arial" w:cs="Arial" w:eastAsia="Arial" w:hint="default"/>
          <w:spacing w:val="1"/>
        </w:rPr>
        <w:t> </w:t>
      </w:r>
      <w:r>
        <w:rPr/>
        <w:t>号文明确了发行方对于所发行的金融工具分类为金融负债或权益工具的具</w:t>
      </w:r>
      <w:r>
        <w:rPr>
          <w:w w:val="100"/>
        </w:rPr>
        <w:t> </w:t>
      </w:r>
      <w:r>
        <w:rPr/>
        <w:t>体指引。</w:t>
      </w:r>
    </w:p>
    <w:p>
      <w:pPr>
        <w:spacing w:line="240" w:lineRule="auto" w:before="3"/>
        <w:rPr>
          <w:rFonts w:ascii="宋体" w:hAnsi="宋体" w:cs="宋体" w:eastAsia="宋体" w:hint="default"/>
          <w:sz w:val="19"/>
          <w:szCs w:val="19"/>
        </w:rPr>
      </w:pPr>
    </w:p>
    <w:p>
      <w:pPr>
        <w:pStyle w:val="BodyText"/>
        <w:spacing w:line="286" w:lineRule="exact"/>
        <w:ind w:left="974" w:right="104"/>
        <w:jc w:val="both"/>
      </w:pPr>
      <w:r>
        <w:rPr/>
        <w:t>准则</w:t>
      </w:r>
      <w:r>
        <w:rPr>
          <w:spacing w:val="-61"/>
        </w:rPr>
        <w:t> </w:t>
      </w:r>
      <w:r>
        <w:rPr>
          <w:rFonts w:ascii="Arial" w:hAnsi="Arial" w:cs="Arial" w:eastAsia="Arial" w:hint="default"/>
        </w:rPr>
        <w:t>37</w:t>
      </w:r>
      <w:r>
        <w:rPr>
          <w:rFonts w:ascii="Arial" w:hAnsi="Arial" w:cs="Arial" w:eastAsia="Arial" w:hint="default"/>
          <w:spacing w:val="-13"/>
        </w:rPr>
        <w:t> </w:t>
      </w:r>
      <w:r>
        <w:rPr/>
        <w:t>号</w:t>
      </w:r>
      <w:r>
        <w:rPr>
          <w:rFonts w:ascii="Arial" w:hAnsi="Arial" w:cs="Arial" w:eastAsia="Arial" w:hint="default"/>
        </w:rPr>
        <w:t>(2014)</w:t>
      </w:r>
      <w:r>
        <w:rPr/>
        <w:t>对金融资产和金融负债的抵销规定，增加了进一步指引，并修订了金融</w:t>
      </w:r>
      <w:r>
        <w:rPr>
          <w:w w:val="100"/>
        </w:rPr>
        <w:t> </w:t>
      </w:r>
      <w:r>
        <w:rPr/>
        <w:t>工具的披露要求。此外，本集团已根据该准则修改了相关披露要求，详见相关附注。</w:t>
      </w:r>
    </w:p>
    <w:p>
      <w:pPr>
        <w:spacing w:line="240" w:lineRule="auto" w:before="1"/>
        <w:rPr>
          <w:rFonts w:ascii="宋体" w:hAnsi="宋体" w:cs="宋体" w:eastAsia="宋体" w:hint="default"/>
          <w:sz w:val="17"/>
          <w:szCs w:val="17"/>
        </w:rPr>
      </w:pPr>
    </w:p>
    <w:p>
      <w:pPr>
        <w:pStyle w:val="BodyText"/>
        <w:spacing w:line="240" w:lineRule="auto"/>
        <w:ind w:left="120" w:right="2130"/>
        <w:jc w:val="left"/>
      </w:pPr>
      <w:r>
        <w:rPr>
          <w:rFonts w:ascii="Arial" w:hAnsi="Arial" w:cs="Arial" w:eastAsia="Arial" w:hint="default"/>
        </w:rPr>
        <w:t>(b) </w:t>
      </w:r>
      <w:r>
        <w:rPr>
          <w:rFonts w:ascii="Arial" w:hAnsi="Arial" w:cs="Arial" w:eastAsia="Arial" w:hint="default"/>
          <w:spacing w:val="29"/>
        </w:rPr>
        <w:t> </w:t>
      </w:r>
      <w:r>
        <w:rPr/>
        <w:t>变更对财务报表的影响</w:t>
      </w:r>
    </w:p>
    <w:p>
      <w:pPr>
        <w:spacing w:line="240" w:lineRule="auto" w:before="1"/>
        <w:rPr>
          <w:rFonts w:ascii="宋体" w:hAnsi="宋体" w:cs="宋体" w:eastAsia="宋体" w:hint="default"/>
          <w:sz w:val="18"/>
          <w:szCs w:val="18"/>
        </w:rPr>
      </w:pPr>
    </w:p>
    <w:p>
      <w:pPr>
        <w:pStyle w:val="BodyText"/>
        <w:spacing w:line="293" w:lineRule="exact"/>
        <w:ind w:left="564" w:right="0"/>
        <w:jc w:val="both"/>
      </w:pPr>
      <w:r>
        <w:rPr/>
        <w:t>上述会计政策变更对本集团及本公司</w:t>
      </w:r>
      <w:r>
        <w:rPr>
          <w:spacing w:val="-52"/>
        </w:rPr>
        <w:t> </w:t>
      </w:r>
      <w:r>
        <w:rPr>
          <w:rFonts w:ascii="Arial" w:hAnsi="Arial" w:cs="Arial" w:eastAsia="Arial" w:hint="default"/>
        </w:rPr>
        <w:t>2014</w:t>
      </w:r>
      <w:r>
        <w:rPr>
          <w:rFonts w:ascii="Arial" w:hAnsi="Arial" w:cs="Arial" w:eastAsia="Arial" w:hint="default"/>
          <w:spacing w:val="-4"/>
        </w:rPr>
        <w:t> </w:t>
      </w:r>
      <w:r>
        <w:rPr/>
        <w:t>年财务报表及</w:t>
      </w:r>
      <w:r>
        <w:rPr>
          <w:spacing w:val="-52"/>
        </w:rPr>
        <w:t> </w:t>
      </w:r>
      <w:r>
        <w:rPr>
          <w:rFonts w:ascii="Arial" w:hAnsi="Arial" w:cs="Arial" w:eastAsia="Arial" w:hint="default"/>
        </w:rPr>
        <w:t>2013</w:t>
      </w:r>
      <w:r>
        <w:rPr>
          <w:rFonts w:ascii="Arial" w:hAnsi="Arial" w:cs="Arial" w:eastAsia="Arial" w:hint="default"/>
          <w:spacing w:val="-6"/>
        </w:rPr>
        <w:t> </w:t>
      </w:r>
      <w:r>
        <w:rPr>
          <w:spacing w:val="-4"/>
        </w:rPr>
        <w:t>年财务报表无重大影响。但由</w:t>
      </w:r>
    </w:p>
    <w:p>
      <w:pPr>
        <w:pStyle w:val="BodyText"/>
        <w:spacing w:line="293" w:lineRule="exact"/>
        <w:ind w:left="571" w:right="0"/>
        <w:jc w:val="both"/>
      </w:pPr>
      <w:r>
        <w:rPr/>
        <w:t>于部分科目列报改变，本公司也对</w:t>
      </w:r>
      <w:r>
        <w:rPr>
          <w:spacing w:val="-59"/>
        </w:rPr>
        <w:t> </w:t>
      </w:r>
      <w:r>
        <w:rPr>
          <w:rFonts w:ascii="Arial" w:hAnsi="Arial" w:cs="Arial" w:eastAsia="Arial" w:hint="default"/>
        </w:rPr>
        <w:t>2013</w:t>
      </w:r>
      <w:r>
        <w:rPr>
          <w:rFonts w:ascii="Arial" w:hAnsi="Arial" w:cs="Arial" w:eastAsia="Arial" w:hint="default"/>
          <w:spacing w:val="-11"/>
        </w:rPr>
        <w:t> </w:t>
      </w:r>
      <w:r>
        <w:rPr/>
        <w:t>年度财务报表中的相应科目进行了重新分类。</w:t>
      </w:r>
    </w:p>
    <w:p>
      <w:pPr>
        <w:spacing w:after="0" w:line="293" w:lineRule="exact"/>
        <w:jc w:val="both"/>
        <w:sectPr>
          <w:headerReference w:type="default" r:id="rId62"/>
          <w:pgSz w:w="11910" w:h="16840"/>
          <w:pgMar w:header="965" w:footer="769" w:top="2820" w:bottom="960" w:left="1440" w:right="920"/>
        </w:sectPr>
      </w:pPr>
    </w:p>
    <w:p>
      <w:pPr>
        <w:pStyle w:val="BodyText"/>
        <w:spacing w:line="240" w:lineRule="auto" w:before="124"/>
        <w:ind w:left="117" w:right="1639"/>
        <w:jc w:val="left"/>
        <w:rPr>
          <w:rFonts w:ascii="黑体" w:hAnsi="黑体" w:cs="黑体" w:eastAsia="黑体" w:hint="default"/>
        </w:rPr>
      </w:pPr>
      <w:r>
        <w:rPr>
          <w:rFonts w:ascii="黑体" w:hAnsi="黑体" w:cs="黑体" w:eastAsia="黑体" w:hint="default"/>
        </w:rPr>
        <w:t>四</w:t>
      </w:r>
      <w:r>
        <w:rPr>
          <w:rFonts w:ascii="黑体" w:hAnsi="黑体" w:cs="黑体" w:eastAsia="黑体" w:hint="default"/>
          <w:spacing w:val="76"/>
        </w:rPr>
        <w:t> </w:t>
      </w:r>
      <w:r>
        <w:rPr>
          <w:rFonts w:ascii="黑体" w:hAnsi="黑体" w:cs="黑体" w:eastAsia="黑体" w:hint="default"/>
        </w:rPr>
        <w:t>税项</w:t>
      </w:r>
    </w:p>
    <w:p>
      <w:pPr>
        <w:spacing w:line="240" w:lineRule="auto" w:before="1"/>
        <w:rPr>
          <w:rFonts w:ascii="黑体" w:hAnsi="黑体" w:cs="黑体" w:eastAsia="黑体" w:hint="default"/>
          <w:sz w:val="17"/>
          <w:szCs w:val="17"/>
        </w:rPr>
      </w:pPr>
    </w:p>
    <w:p>
      <w:pPr>
        <w:pStyle w:val="BodyText"/>
        <w:spacing w:line="240" w:lineRule="auto"/>
        <w:ind w:left="102" w:right="1639"/>
        <w:jc w:val="left"/>
      </w:pPr>
      <w:r>
        <w:rPr>
          <w:rFonts w:ascii="Arial" w:hAnsi="Arial" w:cs="Arial" w:eastAsia="Arial" w:hint="default"/>
        </w:rPr>
        <w:t>1</w:t>
      </w:r>
      <w:r>
        <w:rPr/>
        <w:t>、</w:t>
      </w:r>
      <w:r>
        <w:rPr>
          <w:spacing w:val="-32"/>
        </w:rPr>
        <w:t> </w:t>
      </w:r>
      <w:r>
        <w:rPr/>
        <w:t>营业税</w:t>
      </w:r>
    </w:p>
    <w:p>
      <w:pPr>
        <w:spacing w:line="240" w:lineRule="auto" w:before="5"/>
        <w:rPr>
          <w:rFonts w:ascii="宋体" w:hAnsi="宋体" w:cs="宋体" w:eastAsia="宋体" w:hint="default"/>
          <w:sz w:val="17"/>
          <w:szCs w:val="17"/>
        </w:rPr>
      </w:pPr>
    </w:p>
    <w:p>
      <w:pPr>
        <w:pStyle w:val="BodyText"/>
        <w:spacing w:line="230" w:lineRule="auto"/>
        <w:ind w:left="525" w:right="211"/>
        <w:jc w:val="both"/>
      </w:pPr>
      <w:r>
        <w:rPr/>
        <w:t>于</w:t>
      </w:r>
      <w:r>
        <w:rPr>
          <w:spacing w:val="-47"/>
        </w:rPr>
        <w:t> </w:t>
      </w:r>
      <w:r>
        <w:rPr>
          <w:rFonts w:ascii="Arial" w:hAnsi="Arial" w:cs="Arial" w:eastAsia="Arial" w:hint="default"/>
        </w:rPr>
        <w:t>2014</w:t>
      </w:r>
      <w:r>
        <w:rPr>
          <w:rFonts w:ascii="Arial" w:hAnsi="Arial" w:cs="Arial" w:eastAsia="Arial" w:hint="default"/>
          <w:spacing w:val="1"/>
        </w:rPr>
        <w:t> </w:t>
      </w:r>
      <w:r>
        <w:rPr/>
        <w:t>年</w:t>
      </w:r>
      <w:r>
        <w:rPr>
          <w:spacing w:val="-47"/>
        </w:rPr>
        <w:t> </w:t>
      </w:r>
      <w:r>
        <w:rPr>
          <w:rFonts w:ascii="Arial" w:hAnsi="Arial" w:cs="Arial" w:eastAsia="Arial" w:hint="default"/>
        </w:rPr>
        <w:t>5</w:t>
      </w:r>
      <w:r>
        <w:rPr>
          <w:rFonts w:ascii="Arial" w:hAnsi="Arial" w:cs="Arial" w:eastAsia="Arial" w:hint="default"/>
          <w:spacing w:val="1"/>
        </w:rPr>
        <w:t> </w:t>
      </w:r>
      <w:r>
        <w:rPr/>
        <w:t>月</w:t>
      </w:r>
      <w:r>
        <w:rPr>
          <w:spacing w:val="-47"/>
        </w:rPr>
        <w:t> </w:t>
      </w:r>
      <w:r>
        <w:rPr>
          <w:rFonts w:ascii="Arial" w:hAnsi="Arial" w:cs="Arial" w:eastAsia="Arial" w:hint="default"/>
        </w:rPr>
        <w:t>31</w:t>
      </w:r>
      <w:r>
        <w:rPr>
          <w:rFonts w:ascii="Arial" w:hAnsi="Arial" w:cs="Arial" w:eastAsia="Arial" w:hint="default"/>
          <w:spacing w:val="1"/>
        </w:rPr>
        <w:t> </w:t>
      </w:r>
      <w:r>
        <w:rPr>
          <w:spacing w:val="-3"/>
        </w:rPr>
        <w:t>日前，根据《中华人民共和国营业税暂行条例》的规定，本公司所属中国境</w:t>
      </w:r>
      <w:r>
        <w:rPr>
          <w:spacing w:val="-108"/>
        </w:rPr>
        <w:t> </w:t>
      </w:r>
      <w:r>
        <w:rPr>
          <w:spacing w:val="-108"/>
        </w:rPr>
      </w:r>
      <w:r>
        <w:rPr>
          <w:spacing w:val="-4"/>
        </w:rPr>
        <w:t>内各个子公司（见附注七），包括联通运营公司、联通新时空通信有限公司（</w:t>
      </w:r>
      <w:r>
        <w:rPr>
          <w:rFonts w:ascii="Arial" w:hAnsi="Arial" w:cs="Arial" w:eastAsia="Arial" w:hint="default"/>
          <w:spacing w:val="-4"/>
        </w:rPr>
        <w:t>“</w:t>
      </w:r>
      <w:r>
        <w:rPr>
          <w:spacing w:val="-4"/>
        </w:rPr>
        <w:t>联通新时空</w:t>
      </w:r>
      <w:r>
        <w:rPr>
          <w:rFonts w:ascii="Arial" w:hAnsi="Arial" w:cs="Arial" w:eastAsia="Arial" w:hint="default"/>
          <w:spacing w:val="-4"/>
        </w:rPr>
        <w:t>”</w:t>
      </w:r>
      <w:r>
        <w:rPr>
          <w:spacing w:val="-4"/>
        </w:rPr>
        <w:t>）等</w:t>
      </w:r>
      <w:r>
        <w:rPr>
          <w:spacing w:val="-58"/>
        </w:rPr>
        <w:t> </w:t>
      </w:r>
      <w:r>
        <w:rPr/>
        <w:t>提供电信服务的收入以及随同电信服务收入一并收取的销售手机等电信产品和电信网络资产租</w:t>
      </w:r>
      <w:r>
        <w:rPr>
          <w:spacing w:val="-67"/>
        </w:rPr>
        <w:t> </w:t>
      </w:r>
      <w:r>
        <w:rPr>
          <w:spacing w:val="-67"/>
        </w:rPr>
      </w:r>
      <w:r>
        <w:rPr/>
        <w:t>赁业务的收入均按</w:t>
      </w:r>
      <w:r>
        <w:rPr>
          <w:spacing w:val="-59"/>
        </w:rPr>
        <w:t> </w:t>
      </w:r>
      <w:r>
        <w:rPr>
          <w:rFonts w:ascii="Arial" w:hAnsi="Arial" w:cs="Arial" w:eastAsia="Arial" w:hint="default"/>
        </w:rPr>
        <w:t>3%</w:t>
      </w:r>
      <w:r>
        <w:rPr/>
        <w:t>的税率缴纳营业税。</w:t>
      </w:r>
    </w:p>
    <w:p>
      <w:pPr>
        <w:spacing w:line="240" w:lineRule="auto" w:before="1"/>
        <w:rPr>
          <w:rFonts w:ascii="宋体" w:hAnsi="宋体" w:cs="宋体" w:eastAsia="宋体" w:hint="default"/>
          <w:sz w:val="18"/>
          <w:szCs w:val="18"/>
        </w:rPr>
      </w:pPr>
    </w:p>
    <w:p>
      <w:pPr>
        <w:pStyle w:val="BodyText"/>
        <w:spacing w:line="427" w:lineRule="auto"/>
        <w:ind w:left="525" w:right="1639"/>
        <w:jc w:val="left"/>
      </w:pPr>
      <w:r>
        <w:rPr/>
        <w:t>对于提供其他非电信服务的劳务或服务收入，均按</w:t>
      </w:r>
      <w:r>
        <w:rPr>
          <w:spacing w:val="-55"/>
        </w:rPr>
        <w:t> </w:t>
      </w:r>
      <w:r>
        <w:rPr>
          <w:rFonts w:ascii="Arial" w:hAnsi="Arial" w:cs="Arial" w:eastAsia="Arial" w:hint="default"/>
        </w:rPr>
        <w:t>5%</w:t>
      </w:r>
      <w:r>
        <w:rPr/>
        <w:t>的税率缴纳营业税。</w:t>
      </w:r>
      <w:r>
        <w:rPr>
          <w:w w:val="100"/>
        </w:rPr>
        <w:t> </w:t>
      </w:r>
      <w:r>
        <w:rPr/>
        <w:t>本公司所属中国境内各个子公司均按缴纳营业税额的</w:t>
      </w:r>
      <w:r>
        <w:rPr>
          <w:spacing w:val="-64"/>
        </w:rPr>
        <w:t> </w:t>
      </w:r>
      <w:r>
        <w:rPr>
          <w:rFonts w:ascii="Arial" w:hAnsi="Arial" w:cs="Arial" w:eastAsia="Arial" w:hint="default"/>
        </w:rPr>
        <w:t>7%</w:t>
      </w:r>
      <w:r>
        <w:rPr/>
        <w:t>缴纳城市维护建设税。</w:t>
      </w:r>
    </w:p>
    <w:p>
      <w:pPr>
        <w:pStyle w:val="BodyText"/>
        <w:spacing w:line="240" w:lineRule="auto" w:before="16"/>
        <w:ind w:left="102" w:right="1639"/>
        <w:jc w:val="left"/>
      </w:pPr>
      <w:r>
        <w:rPr>
          <w:rFonts w:ascii="Arial" w:hAnsi="Arial" w:cs="Arial" w:eastAsia="Arial" w:hint="default"/>
        </w:rPr>
        <w:t>2</w:t>
      </w:r>
      <w:r>
        <w:rPr/>
        <w:t>、</w:t>
      </w:r>
      <w:r>
        <w:rPr>
          <w:spacing w:val="-32"/>
        </w:rPr>
        <w:t> </w:t>
      </w:r>
      <w:r>
        <w:rPr/>
        <w:t>增值税</w:t>
      </w:r>
    </w:p>
    <w:p>
      <w:pPr>
        <w:spacing w:line="240" w:lineRule="auto" w:before="7"/>
        <w:rPr>
          <w:rFonts w:ascii="宋体" w:hAnsi="宋体" w:cs="宋体" w:eastAsia="宋体" w:hint="default"/>
          <w:sz w:val="18"/>
          <w:szCs w:val="18"/>
        </w:rPr>
      </w:pPr>
    </w:p>
    <w:p>
      <w:pPr>
        <w:pStyle w:val="BodyText"/>
        <w:spacing w:line="286" w:lineRule="exact"/>
        <w:ind w:left="525" w:right="213"/>
        <w:jc w:val="both"/>
      </w:pPr>
      <w:r>
        <w:rPr/>
        <w:t>根据《中华人民共和国增值税暂行条例》的规定，本公司所属联通运营公司各子公司在境内销</w:t>
      </w:r>
      <w:r>
        <w:rPr>
          <w:spacing w:val="-66"/>
        </w:rPr>
        <w:t> </w:t>
      </w:r>
      <w:r>
        <w:rPr>
          <w:spacing w:val="-66"/>
        </w:rPr>
      </w:r>
      <w:r>
        <w:rPr/>
        <w:t>售货物、提供修理修配劳务适用增值税，税率为</w:t>
      </w:r>
      <w:r>
        <w:rPr>
          <w:spacing w:val="-57"/>
        </w:rPr>
        <w:t> </w:t>
      </w:r>
      <w:r>
        <w:rPr>
          <w:rFonts w:ascii="Arial" w:hAnsi="Arial" w:cs="Arial" w:eastAsia="Arial" w:hint="default"/>
        </w:rPr>
        <w:t>17%</w:t>
      </w:r>
      <w:r>
        <w:rPr/>
        <w:t>。</w:t>
      </w:r>
    </w:p>
    <w:p>
      <w:pPr>
        <w:spacing w:line="240" w:lineRule="auto" w:before="1"/>
        <w:rPr>
          <w:rFonts w:ascii="宋体" w:hAnsi="宋体" w:cs="宋体" w:eastAsia="宋体" w:hint="default"/>
          <w:sz w:val="18"/>
          <w:szCs w:val="18"/>
        </w:rPr>
      </w:pPr>
    </w:p>
    <w:p>
      <w:pPr>
        <w:pStyle w:val="BodyText"/>
        <w:spacing w:line="230" w:lineRule="auto"/>
        <w:ind w:left="525" w:right="209"/>
        <w:jc w:val="both"/>
      </w:pPr>
      <w:r>
        <w:rPr/>
        <w:t>根据财税</w:t>
      </w:r>
      <w:r>
        <w:rPr>
          <w:rFonts w:ascii="Arial" w:hAnsi="Arial" w:cs="Arial" w:eastAsia="Arial" w:hint="default"/>
        </w:rPr>
        <w:t>[2013]106 </w:t>
      </w:r>
      <w:r>
        <w:rPr/>
        <w:t>号《财政部</w:t>
      </w:r>
      <w:r>
        <w:rPr>
          <w:spacing w:val="-8"/>
        </w:rPr>
        <w:t> </w:t>
      </w:r>
      <w:r>
        <w:rPr/>
        <w:t>国家税务总局关于将铁路运输和邮政业纳入营业税改征增值税</w:t>
      </w:r>
      <w:r>
        <w:rPr>
          <w:w w:val="100"/>
        </w:rPr>
        <w:t> </w:t>
      </w:r>
      <w:r>
        <w:rPr/>
        <w:t>试点的通知》的规定，本公司所属联通运营公司各子公司在境内提供信息技术服务、技术咨询</w:t>
      </w:r>
      <w:r>
        <w:rPr>
          <w:spacing w:val="-67"/>
        </w:rPr>
        <w:t> </w:t>
      </w:r>
      <w:r>
        <w:rPr>
          <w:spacing w:val="-67"/>
        </w:rPr>
      </w:r>
      <w:r>
        <w:rPr/>
        <w:t>服务等部分现代服务业业务适用增值税，税率为</w:t>
      </w:r>
      <w:r>
        <w:rPr>
          <w:spacing w:val="-58"/>
        </w:rPr>
        <w:t> </w:t>
      </w:r>
      <w:r>
        <w:rPr>
          <w:rFonts w:ascii="Arial" w:hAnsi="Arial" w:cs="Arial" w:eastAsia="Arial" w:hint="default"/>
        </w:rPr>
        <w:t>6%</w:t>
      </w:r>
      <w:r>
        <w:rPr/>
        <w:t>。</w:t>
      </w:r>
    </w:p>
    <w:p>
      <w:pPr>
        <w:spacing w:line="240" w:lineRule="auto" w:before="5"/>
        <w:rPr>
          <w:rFonts w:ascii="宋体" w:hAnsi="宋体" w:cs="宋体" w:eastAsia="宋体" w:hint="default"/>
          <w:sz w:val="19"/>
          <w:szCs w:val="19"/>
        </w:rPr>
      </w:pPr>
    </w:p>
    <w:p>
      <w:pPr>
        <w:pStyle w:val="BodyText"/>
        <w:spacing w:line="225" w:lineRule="auto"/>
        <w:ind w:left="525" w:right="110"/>
        <w:jc w:val="left"/>
      </w:pPr>
      <w:r>
        <w:rPr/>
        <w:t>根据财税</w:t>
      </w:r>
      <w:r>
        <w:rPr>
          <w:rFonts w:ascii="Arial" w:hAnsi="Arial" w:cs="Arial" w:eastAsia="Arial" w:hint="default"/>
        </w:rPr>
        <w:t>[2014]43 </w:t>
      </w:r>
      <w:r>
        <w:rPr/>
        <w:t>号《财政部</w:t>
      </w:r>
      <w:r>
        <w:rPr>
          <w:spacing w:val="-14"/>
        </w:rPr>
        <w:t> </w:t>
      </w:r>
      <w:r>
        <w:rPr/>
        <w:t>国家税务总局关于将电信业纳入营业税改征增值税试点的通知》</w:t>
      </w:r>
      <w:r>
        <w:rPr>
          <w:w w:val="100"/>
        </w:rPr>
        <w:t> </w:t>
      </w:r>
      <w:r>
        <w:rPr/>
        <w:t>的规定，自</w:t>
      </w:r>
      <w:r>
        <w:rPr>
          <w:spacing w:val="-42"/>
        </w:rPr>
        <w:t> </w:t>
      </w:r>
      <w:r>
        <w:rPr>
          <w:rFonts w:ascii="Arial" w:hAnsi="Arial" w:cs="Arial" w:eastAsia="Arial" w:hint="default"/>
        </w:rPr>
        <w:t>2014</w:t>
      </w:r>
      <w:r>
        <w:rPr>
          <w:rFonts w:ascii="Arial" w:hAnsi="Arial" w:cs="Arial" w:eastAsia="Arial" w:hint="default"/>
          <w:spacing w:val="4"/>
        </w:rPr>
        <w:t> </w:t>
      </w:r>
      <w:r>
        <w:rPr/>
        <w:t>年</w:t>
      </w:r>
      <w:r>
        <w:rPr>
          <w:spacing w:val="-42"/>
        </w:rPr>
        <w:t> </w:t>
      </w:r>
      <w:r>
        <w:rPr>
          <w:rFonts w:ascii="Arial" w:hAnsi="Arial" w:cs="Arial" w:eastAsia="Arial" w:hint="default"/>
        </w:rPr>
        <w:t>6</w:t>
      </w:r>
      <w:r>
        <w:rPr>
          <w:rFonts w:ascii="Arial" w:hAnsi="Arial" w:cs="Arial" w:eastAsia="Arial" w:hint="default"/>
          <w:spacing w:val="5"/>
        </w:rPr>
        <w:t> </w:t>
      </w:r>
      <w:r>
        <w:rPr/>
        <w:t>月</w:t>
      </w:r>
      <w:r>
        <w:rPr>
          <w:spacing w:val="-42"/>
        </w:rPr>
        <w:t> </w:t>
      </w:r>
      <w:r>
        <w:rPr>
          <w:rFonts w:ascii="Arial" w:hAnsi="Arial" w:cs="Arial" w:eastAsia="Arial" w:hint="default"/>
        </w:rPr>
        <w:t>1</w:t>
      </w:r>
      <w:r>
        <w:rPr>
          <w:rFonts w:ascii="Arial" w:hAnsi="Arial" w:cs="Arial" w:eastAsia="Arial" w:hint="default"/>
          <w:spacing w:val="7"/>
        </w:rPr>
        <w:t> </w:t>
      </w:r>
      <w:r>
        <w:rPr/>
        <w:t>日起，在中华人民共和国境内开展电信业营业税改征增值税（以下</w:t>
      </w:r>
      <w:r>
        <w:rPr>
          <w:w w:val="100"/>
        </w:rPr>
        <w:t> </w:t>
      </w:r>
      <w:r>
        <w:rPr>
          <w:spacing w:val="-1"/>
        </w:rPr>
        <w:t>简称</w:t>
      </w:r>
      <w:r>
        <w:rPr>
          <w:rFonts w:ascii="Arial" w:hAnsi="Arial" w:cs="Arial" w:eastAsia="Arial" w:hint="default"/>
          <w:spacing w:val="-1"/>
        </w:rPr>
        <w:t>“</w:t>
      </w:r>
      <w:r>
        <w:rPr>
          <w:spacing w:val="-1"/>
        </w:rPr>
        <w:t>营改增</w:t>
      </w:r>
      <w:r>
        <w:rPr>
          <w:rFonts w:ascii="Arial" w:hAnsi="Arial" w:cs="Arial" w:eastAsia="Arial" w:hint="default"/>
          <w:spacing w:val="-1"/>
        </w:rPr>
        <w:t>”</w:t>
      </w:r>
      <w:r>
        <w:rPr>
          <w:spacing w:val="-1"/>
        </w:rPr>
        <w:t>）试点。本公司所属联通运营公司及其子公司在境内提供的电信服务适用增值税，</w:t>
      </w:r>
      <w:r>
        <w:rPr>
          <w:spacing w:val="-76"/>
        </w:rPr>
        <w:t> </w:t>
      </w:r>
      <w:r>
        <w:rPr>
          <w:spacing w:val="-76"/>
        </w:rPr>
      </w:r>
      <w:r>
        <w:rPr/>
        <w:t>提供基础电信服务，税率为 </w:t>
      </w:r>
      <w:r>
        <w:rPr>
          <w:rFonts w:ascii="Arial" w:hAnsi="Arial" w:cs="Arial" w:eastAsia="Arial" w:hint="default"/>
        </w:rPr>
        <w:t>11%</w:t>
      </w:r>
      <w:r>
        <w:rPr/>
        <w:t>；提供增值电信服务，税率为</w:t>
      </w:r>
      <w:r>
        <w:rPr>
          <w:spacing w:val="-56"/>
        </w:rPr>
        <w:t> </w:t>
      </w:r>
      <w:r>
        <w:rPr>
          <w:rFonts w:ascii="Arial" w:hAnsi="Arial" w:cs="Arial" w:eastAsia="Arial" w:hint="default"/>
        </w:rPr>
        <w:t>6%</w:t>
      </w:r>
      <w:r>
        <w:rPr/>
        <w:t>；提供电信服务时，附带赠</w:t>
      </w:r>
      <w:r>
        <w:rPr>
          <w:w w:val="100"/>
        </w:rPr>
        <w:t> </w:t>
      </w:r>
      <w:r>
        <w:rPr/>
        <w:t>送的用户识别卡、电信终端等货物，税率为</w:t>
      </w:r>
      <w:r>
        <w:rPr>
          <w:spacing w:val="-60"/>
        </w:rPr>
        <w:t> </w:t>
      </w:r>
      <w:r>
        <w:rPr>
          <w:rFonts w:ascii="Arial" w:hAnsi="Arial" w:cs="Arial" w:eastAsia="Arial" w:hint="default"/>
        </w:rPr>
        <w:t>17%</w:t>
      </w:r>
      <w:r>
        <w:rPr/>
        <w:t>。</w:t>
      </w:r>
    </w:p>
    <w:p>
      <w:pPr>
        <w:spacing w:line="240" w:lineRule="auto" w:before="4"/>
        <w:rPr>
          <w:rFonts w:ascii="宋体" w:hAnsi="宋体" w:cs="宋体" w:eastAsia="宋体" w:hint="default"/>
          <w:sz w:val="18"/>
          <w:szCs w:val="18"/>
        </w:rPr>
      </w:pPr>
    </w:p>
    <w:p>
      <w:pPr>
        <w:pStyle w:val="BodyText"/>
        <w:spacing w:line="237" w:lineRule="auto"/>
        <w:ind w:left="525" w:right="215"/>
        <w:jc w:val="both"/>
      </w:pPr>
      <w:r>
        <w:rPr/>
        <w:t>本公司所属联通运营公司及其子公司购进应税货物或接受应税劳务及服务，取得的增值税进项</w:t>
      </w:r>
      <w:r>
        <w:rPr>
          <w:spacing w:val="-67"/>
        </w:rPr>
        <w:t> </w:t>
      </w:r>
      <w:r>
        <w:rPr>
          <w:spacing w:val="-67"/>
        </w:rPr>
      </w:r>
      <w:r>
        <w:rPr/>
        <w:t>税额可以按相关规定抵扣销项税额。增值税应纳税额为当期销项税额抵减当期可以抵扣的进项</w:t>
      </w:r>
      <w:r>
        <w:rPr>
          <w:spacing w:val="-67"/>
        </w:rPr>
        <w:t> </w:t>
      </w:r>
      <w:r>
        <w:rPr>
          <w:spacing w:val="-67"/>
        </w:rPr>
      </w:r>
      <w:r>
        <w:rPr/>
        <w:t>税额后的余额。当期销项税额小于当期进项税额不足抵扣时，其不足部分可以结转下期继续抵</w:t>
      </w:r>
      <w:r>
        <w:rPr>
          <w:spacing w:val="-67"/>
        </w:rPr>
        <w:t> </w:t>
      </w:r>
      <w:r>
        <w:rPr>
          <w:spacing w:val="-67"/>
        </w:rPr>
      </w:r>
      <w:r>
        <w:rPr/>
        <w:t>扣。</w:t>
      </w:r>
    </w:p>
    <w:p>
      <w:pPr>
        <w:spacing w:line="240" w:lineRule="auto" w:before="1"/>
        <w:rPr>
          <w:rFonts w:ascii="宋体" w:hAnsi="宋体" w:cs="宋体" w:eastAsia="宋体" w:hint="default"/>
          <w:sz w:val="19"/>
          <w:szCs w:val="19"/>
        </w:rPr>
      </w:pPr>
    </w:p>
    <w:p>
      <w:pPr>
        <w:pStyle w:val="BodyText"/>
        <w:spacing w:line="405" w:lineRule="auto"/>
        <w:ind w:left="102" w:right="1417" w:firstLine="422"/>
        <w:jc w:val="left"/>
      </w:pPr>
      <w:r>
        <w:rPr/>
        <w:t>本公司所属中国境内各个子公司主要按缴纳增值税额的</w:t>
      </w:r>
      <w:r>
        <w:rPr>
          <w:spacing w:val="-61"/>
        </w:rPr>
        <w:t> </w:t>
      </w:r>
      <w:r>
        <w:rPr>
          <w:rFonts w:ascii="Arial" w:hAnsi="Arial" w:cs="Arial" w:eastAsia="Arial" w:hint="default"/>
        </w:rPr>
        <w:t>7%</w:t>
      </w:r>
      <w:r>
        <w:rPr/>
        <w:t>缴纳城市维护建设税。</w:t>
      </w:r>
      <w:r>
        <w:rPr>
          <w:w w:val="100"/>
        </w:rPr>
        <w:t> </w:t>
      </w:r>
      <w:r>
        <w:rPr>
          <w:rFonts w:ascii="Arial" w:hAnsi="Arial" w:cs="Arial" w:eastAsia="Arial" w:hint="default"/>
        </w:rPr>
        <w:t>3</w:t>
      </w:r>
      <w:r>
        <w:rPr/>
        <w:t>、</w:t>
      </w:r>
      <w:r>
        <w:rPr>
          <w:spacing w:val="-33"/>
        </w:rPr>
        <w:t> </w:t>
      </w:r>
      <w:r>
        <w:rPr/>
        <w:t>企业所得税</w:t>
      </w:r>
    </w:p>
    <w:p>
      <w:pPr>
        <w:pStyle w:val="BodyText"/>
        <w:spacing w:line="240" w:lineRule="auto" w:before="45"/>
        <w:ind w:left="102" w:right="1639"/>
        <w:jc w:val="left"/>
      </w:pPr>
      <w:r>
        <w:rPr>
          <w:rFonts w:ascii="Arial" w:hAnsi="Arial" w:cs="Arial" w:eastAsia="Arial" w:hint="default"/>
        </w:rPr>
        <w:t>(a) </w:t>
      </w:r>
      <w:r>
        <w:rPr>
          <w:rFonts w:ascii="Arial" w:hAnsi="Arial" w:cs="Arial" w:eastAsia="Arial" w:hint="default"/>
          <w:spacing w:val="28"/>
        </w:rPr>
        <w:t> </w:t>
      </w:r>
      <w:r>
        <w:rPr/>
        <w:t>本公司企业所得税</w:t>
      </w:r>
    </w:p>
    <w:p>
      <w:pPr>
        <w:spacing w:line="240" w:lineRule="auto" w:before="0"/>
        <w:rPr>
          <w:rFonts w:ascii="宋体" w:hAnsi="宋体" w:cs="宋体" w:eastAsia="宋体" w:hint="default"/>
          <w:sz w:val="20"/>
          <w:szCs w:val="20"/>
        </w:rPr>
      </w:pPr>
    </w:p>
    <w:p>
      <w:pPr>
        <w:pStyle w:val="BodyText"/>
        <w:spacing w:line="286" w:lineRule="exact"/>
        <w:ind w:left="525" w:right="205"/>
        <w:jc w:val="both"/>
      </w:pPr>
      <w:r>
        <w:rPr/>
        <w:t>根据《中华人民共和国企业所得税法》（</w:t>
      </w:r>
      <w:r>
        <w:rPr>
          <w:rFonts w:ascii="Arial" w:hAnsi="Arial" w:cs="Arial" w:eastAsia="Arial" w:hint="default"/>
        </w:rPr>
        <w:t>“</w:t>
      </w:r>
      <w:r>
        <w:rPr/>
        <w:t>所得税法</w:t>
      </w:r>
      <w:r>
        <w:rPr>
          <w:rFonts w:ascii="Arial" w:hAnsi="Arial" w:cs="Arial" w:eastAsia="Arial" w:hint="default"/>
        </w:rPr>
        <w:t>”</w:t>
      </w:r>
      <w:r>
        <w:rPr/>
        <w:t>），本公司适用的企业所得税率为</w:t>
      </w:r>
      <w:r>
        <w:rPr>
          <w:spacing w:val="11"/>
        </w:rPr>
        <w:t> </w:t>
      </w:r>
      <w:r>
        <w:rPr>
          <w:rFonts w:ascii="Arial" w:hAnsi="Arial" w:cs="Arial" w:eastAsia="Arial" w:hint="default"/>
        </w:rPr>
        <w:t>25%</w:t>
      </w:r>
      <w:r>
        <w:rPr/>
        <w:t>。</w:t>
      </w:r>
      <w:r>
        <w:rPr>
          <w:w w:val="100"/>
        </w:rPr>
        <w:t> </w:t>
      </w:r>
      <w:r>
        <w:rPr/>
        <w:t>本公司按收入总额减去准予扣除项目后计算应纳税所得额。</w:t>
      </w:r>
    </w:p>
    <w:p>
      <w:pPr>
        <w:spacing w:line="240" w:lineRule="auto" w:before="4"/>
        <w:rPr>
          <w:rFonts w:ascii="宋体" w:hAnsi="宋体" w:cs="宋体" w:eastAsia="宋体" w:hint="default"/>
          <w:sz w:val="17"/>
          <w:szCs w:val="17"/>
        </w:rPr>
      </w:pPr>
    </w:p>
    <w:p>
      <w:pPr>
        <w:pStyle w:val="BodyText"/>
        <w:spacing w:line="240" w:lineRule="auto"/>
        <w:ind w:left="102" w:right="1639"/>
        <w:jc w:val="left"/>
      </w:pPr>
      <w:r>
        <w:rPr>
          <w:rFonts w:ascii="Arial" w:hAnsi="Arial" w:cs="Arial" w:eastAsia="Arial" w:hint="default"/>
        </w:rPr>
        <w:t>(b) </w:t>
      </w:r>
      <w:r>
        <w:rPr>
          <w:rFonts w:ascii="Arial" w:hAnsi="Arial" w:cs="Arial" w:eastAsia="Arial" w:hint="default"/>
          <w:spacing w:val="27"/>
        </w:rPr>
        <w:t> </w:t>
      </w:r>
      <w:r>
        <w:rPr/>
        <w:t>联通运营公司企业所得税</w:t>
      </w:r>
    </w:p>
    <w:p>
      <w:pPr>
        <w:spacing w:line="240" w:lineRule="auto" w:before="12"/>
        <w:rPr>
          <w:rFonts w:ascii="宋体" w:hAnsi="宋体" w:cs="宋体" w:eastAsia="宋体" w:hint="default"/>
          <w:sz w:val="17"/>
          <w:szCs w:val="17"/>
        </w:rPr>
      </w:pPr>
    </w:p>
    <w:p>
      <w:pPr>
        <w:pStyle w:val="BodyText"/>
        <w:spacing w:line="295" w:lineRule="exact"/>
        <w:ind w:left="530" w:right="0"/>
        <w:jc w:val="both"/>
        <w:rPr>
          <w:rFonts w:ascii="Arial" w:hAnsi="Arial" w:cs="Arial" w:eastAsia="Arial" w:hint="default"/>
        </w:rPr>
      </w:pPr>
      <w:r>
        <w:rPr/>
        <w:t>根据财预</w:t>
      </w:r>
      <w:r>
        <w:rPr>
          <w:rFonts w:ascii="Arial" w:hAnsi="Arial" w:cs="Arial" w:eastAsia="Arial" w:hint="default"/>
        </w:rPr>
        <w:t>[2012]40 </w:t>
      </w:r>
      <w:r>
        <w:rPr>
          <w:spacing w:val="-4"/>
        </w:rPr>
        <w:t>号《跨省市总分机构企业所得税分配及预算管理办法》的相关规定，自</w:t>
      </w:r>
      <w:r>
        <w:rPr>
          <w:spacing w:val="-39"/>
        </w:rPr>
        <w:t> </w:t>
      </w:r>
      <w:r>
        <w:rPr>
          <w:rFonts w:ascii="Arial" w:hAnsi="Arial" w:cs="Arial" w:eastAsia="Arial" w:hint="default"/>
        </w:rPr>
        <w:t>2013</w:t>
      </w:r>
    </w:p>
    <w:p>
      <w:pPr>
        <w:pStyle w:val="BodyText"/>
        <w:spacing w:line="230" w:lineRule="auto" w:before="1"/>
        <w:ind w:left="530" w:right="212"/>
        <w:jc w:val="both"/>
      </w:pPr>
      <w:r>
        <w:rPr/>
        <w:t>年</w:t>
      </w:r>
      <w:r>
        <w:rPr>
          <w:spacing w:val="-53"/>
        </w:rPr>
        <w:t> </w:t>
      </w:r>
      <w:r>
        <w:rPr>
          <w:rFonts w:ascii="Arial" w:hAnsi="Arial" w:cs="Arial" w:eastAsia="Arial" w:hint="default"/>
        </w:rPr>
        <w:t>1</w:t>
      </w:r>
      <w:r>
        <w:rPr>
          <w:rFonts w:ascii="Arial" w:hAnsi="Arial" w:cs="Arial" w:eastAsia="Arial" w:hint="default"/>
          <w:spacing w:val="-4"/>
        </w:rPr>
        <w:t> </w:t>
      </w:r>
      <w:r>
        <w:rPr/>
        <w:t>月</w:t>
      </w:r>
      <w:r>
        <w:rPr>
          <w:spacing w:val="-52"/>
        </w:rPr>
        <w:t> </w:t>
      </w:r>
      <w:r>
        <w:rPr>
          <w:rFonts w:ascii="Arial" w:hAnsi="Arial" w:cs="Arial" w:eastAsia="Arial" w:hint="default"/>
        </w:rPr>
        <w:t>1</w:t>
      </w:r>
      <w:r>
        <w:rPr>
          <w:rFonts w:ascii="Arial" w:hAnsi="Arial" w:cs="Arial" w:eastAsia="Arial" w:hint="default"/>
          <w:spacing w:val="-4"/>
        </w:rPr>
        <w:t> </w:t>
      </w:r>
      <w:r>
        <w:rPr/>
        <w:t>日开始，企业总机构汇总计算企业年度应纳所得税额，扣除总机构和各境内分支机构</w:t>
      </w:r>
      <w:r>
        <w:rPr>
          <w:w w:val="100"/>
        </w:rPr>
        <w:t> </w:t>
      </w:r>
      <w:r>
        <w:rPr/>
        <w:t>已预缴的税款，计算出应补退税款，分别由总机构和各分支机构（不包括当年已办理注销税务</w:t>
      </w:r>
      <w:r>
        <w:rPr>
          <w:spacing w:val="-69"/>
        </w:rPr>
        <w:t> </w:t>
      </w:r>
      <w:r>
        <w:rPr>
          <w:spacing w:val="-69"/>
        </w:rPr>
      </w:r>
      <w:r>
        <w:rPr/>
        <w:t>登记的分支机构）于每财年结束后就地办理税款缴库或退库。</w:t>
      </w:r>
    </w:p>
    <w:p>
      <w:pPr>
        <w:spacing w:after="0" w:line="230" w:lineRule="auto"/>
        <w:jc w:val="both"/>
        <w:sectPr>
          <w:headerReference w:type="default" r:id="rId63"/>
          <w:pgSz w:w="11910" w:h="16840"/>
          <w:pgMar w:header="840" w:footer="769" w:top="2280" w:bottom="960" w:left="1280" w:right="820"/>
        </w:sectPr>
      </w:pPr>
    </w:p>
    <w:p>
      <w:pPr>
        <w:spacing w:line="240" w:lineRule="auto" w:before="7"/>
        <w:rPr>
          <w:rFonts w:ascii="宋体" w:hAnsi="宋体" w:cs="宋体" w:eastAsia="宋体" w:hint="default"/>
          <w:sz w:val="16"/>
          <w:szCs w:val="16"/>
        </w:rPr>
      </w:pPr>
    </w:p>
    <w:p>
      <w:pPr>
        <w:pStyle w:val="BodyText"/>
        <w:spacing w:line="240" w:lineRule="auto" w:before="32"/>
        <w:ind w:left="102" w:right="1307"/>
        <w:jc w:val="left"/>
        <w:rPr>
          <w:rFonts w:ascii="黑体" w:hAnsi="黑体" w:cs="黑体" w:eastAsia="黑体" w:hint="default"/>
        </w:rPr>
      </w:pPr>
      <w:r>
        <w:rPr>
          <w:rFonts w:ascii="黑体" w:hAnsi="黑体" w:cs="黑体" w:eastAsia="黑体" w:hint="default"/>
        </w:rPr>
        <w:t>四</w:t>
      </w:r>
      <w:r>
        <w:rPr>
          <w:rFonts w:ascii="黑体" w:hAnsi="黑体" w:cs="黑体" w:eastAsia="黑体" w:hint="default"/>
          <w:spacing w:val="90"/>
        </w:rPr>
        <w:t> </w:t>
      </w:r>
      <w:r>
        <w:rPr>
          <w:rFonts w:ascii="黑体" w:hAnsi="黑体" w:cs="黑体" w:eastAsia="黑体" w:hint="default"/>
        </w:rPr>
        <w:t>税项（续）</w:t>
      </w:r>
    </w:p>
    <w:p>
      <w:pPr>
        <w:spacing w:line="240" w:lineRule="auto" w:before="2"/>
        <w:rPr>
          <w:rFonts w:ascii="黑体" w:hAnsi="黑体" w:cs="黑体" w:eastAsia="黑体" w:hint="default"/>
          <w:sz w:val="16"/>
          <w:szCs w:val="16"/>
        </w:rPr>
      </w:pPr>
    </w:p>
    <w:p>
      <w:pPr>
        <w:pStyle w:val="BodyText"/>
        <w:spacing w:line="240" w:lineRule="auto"/>
        <w:ind w:left="102" w:right="1307"/>
        <w:jc w:val="left"/>
      </w:pPr>
      <w:r>
        <w:rPr>
          <w:rFonts w:ascii="Arial" w:hAnsi="Arial" w:cs="Arial" w:eastAsia="Arial" w:hint="default"/>
        </w:rPr>
        <w:t>3</w:t>
      </w:r>
      <w:r>
        <w:rPr/>
        <w:t>、</w:t>
      </w:r>
      <w:r>
        <w:rPr>
          <w:spacing w:val="-34"/>
        </w:rPr>
        <w:t> </w:t>
      </w:r>
      <w:r>
        <w:rPr/>
        <w:t>企业所得税（续）</w:t>
      </w:r>
    </w:p>
    <w:p>
      <w:pPr>
        <w:spacing w:line="240" w:lineRule="auto" w:before="7"/>
        <w:rPr>
          <w:rFonts w:ascii="宋体" w:hAnsi="宋体" w:cs="宋体" w:eastAsia="宋体" w:hint="default"/>
          <w:sz w:val="15"/>
          <w:szCs w:val="15"/>
        </w:rPr>
      </w:pPr>
    </w:p>
    <w:p>
      <w:pPr>
        <w:pStyle w:val="BodyText"/>
        <w:spacing w:line="369" w:lineRule="auto"/>
        <w:ind w:left="530" w:right="1307" w:hanging="428"/>
        <w:jc w:val="left"/>
      </w:pPr>
      <w:r>
        <w:rPr>
          <w:rFonts w:ascii="Arial" w:hAnsi="Arial" w:cs="Arial" w:eastAsia="Arial" w:hint="default"/>
        </w:rPr>
        <w:t>(b)</w:t>
      </w:r>
      <w:r>
        <w:rPr>
          <w:rFonts w:ascii="Arial" w:hAnsi="Arial" w:cs="Arial" w:eastAsia="Arial" w:hint="default"/>
          <w:spacing w:val="27"/>
        </w:rPr>
        <w:t> </w:t>
      </w:r>
      <w:r>
        <w:rPr/>
        <w:t>联通运营公司企业所得税（续）</w:t>
      </w:r>
      <w:r>
        <w:rPr>
          <w:w w:val="100"/>
        </w:rPr>
        <w:t> </w:t>
      </w:r>
      <w:r>
        <w:rPr>
          <w:spacing w:val="-1"/>
        </w:rPr>
        <w:t>联通运营公司部分分公司于所得税法下的税收优惠政策：</w:t>
      </w:r>
    </w:p>
    <w:p>
      <w:pPr>
        <w:spacing w:line="240" w:lineRule="auto" w:before="1"/>
        <w:rPr>
          <w:rFonts w:ascii="宋体" w:hAnsi="宋体" w:cs="宋体" w:eastAsia="宋体" w:hint="default"/>
          <w:sz w:val="10"/>
          <w:szCs w:val="10"/>
        </w:rPr>
      </w:pPr>
    </w:p>
    <w:tbl>
      <w:tblPr>
        <w:tblW w:w="0" w:type="auto"/>
        <w:jc w:val="left"/>
        <w:tblInd w:w="530" w:type="dxa"/>
        <w:tblLayout w:type="fixed"/>
        <w:tblCellMar>
          <w:top w:w="0" w:type="dxa"/>
          <w:left w:w="0" w:type="dxa"/>
          <w:bottom w:w="0" w:type="dxa"/>
          <w:right w:w="0" w:type="dxa"/>
        </w:tblCellMar>
        <w:tblLook w:val="01E0"/>
      </w:tblPr>
      <w:tblGrid>
        <w:gridCol w:w="1512"/>
        <w:gridCol w:w="1660"/>
        <w:gridCol w:w="1156"/>
        <w:gridCol w:w="1997"/>
        <w:gridCol w:w="2890"/>
      </w:tblGrid>
      <w:tr>
        <w:trPr>
          <w:trHeight w:val="249" w:hRule="exact"/>
        </w:trPr>
        <w:tc>
          <w:tcPr>
            <w:tcW w:w="1512" w:type="dxa"/>
            <w:tcBorders>
              <w:top w:val="nil" w:sz="6" w:space="0" w:color="auto"/>
              <w:left w:val="nil" w:sz="6" w:space="0" w:color="auto"/>
              <w:bottom w:val="single" w:sz="6" w:space="0" w:color="000000"/>
              <w:right w:val="nil" w:sz="6" w:space="0" w:color="auto"/>
            </w:tcBorders>
          </w:tcPr>
          <w:p>
            <w:pPr>
              <w:pStyle w:val="TableParagraph"/>
              <w:spacing w:line="211" w:lineRule="exact"/>
              <w:ind w:left="35" w:right="0"/>
              <w:jc w:val="left"/>
              <w:rPr>
                <w:rFonts w:ascii="宋体" w:hAnsi="宋体" w:cs="宋体" w:eastAsia="宋体" w:hint="default"/>
                <w:sz w:val="21"/>
                <w:szCs w:val="21"/>
              </w:rPr>
            </w:pPr>
            <w:r>
              <w:rPr>
                <w:rFonts w:ascii="宋体" w:hAnsi="宋体" w:cs="宋体" w:eastAsia="宋体" w:hint="default"/>
                <w:sz w:val="21"/>
                <w:szCs w:val="21"/>
              </w:rPr>
              <w:t>分公司名称</w:t>
            </w:r>
          </w:p>
        </w:tc>
        <w:tc>
          <w:tcPr>
            <w:tcW w:w="1660" w:type="dxa"/>
            <w:tcBorders>
              <w:top w:val="nil" w:sz="6" w:space="0" w:color="auto"/>
              <w:left w:val="nil" w:sz="6" w:space="0" w:color="auto"/>
              <w:bottom w:val="single" w:sz="6" w:space="0" w:color="000000"/>
              <w:right w:val="nil" w:sz="6" w:space="0" w:color="auto"/>
            </w:tcBorders>
          </w:tcPr>
          <w:p>
            <w:pPr>
              <w:pStyle w:val="TableParagraph"/>
              <w:spacing w:line="211" w:lineRule="exact"/>
              <w:ind w:right="90"/>
              <w:jc w:val="right"/>
              <w:rPr>
                <w:rFonts w:ascii="宋体" w:hAnsi="宋体" w:cs="宋体" w:eastAsia="宋体" w:hint="default"/>
                <w:sz w:val="21"/>
                <w:szCs w:val="21"/>
              </w:rPr>
            </w:pPr>
            <w:r>
              <w:rPr>
                <w:rFonts w:ascii="宋体" w:hAnsi="宋体" w:cs="宋体" w:eastAsia="宋体" w:hint="default"/>
                <w:sz w:val="21"/>
                <w:szCs w:val="21"/>
              </w:rPr>
              <w:t>税率</w:t>
            </w:r>
          </w:p>
        </w:tc>
        <w:tc>
          <w:tcPr>
            <w:tcW w:w="1156" w:type="dxa"/>
            <w:tcBorders>
              <w:top w:val="nil" w:sz="6" w:space="0" w:color="auto"/>
              <w:left w:val="nil" w:sz="6" w:space="0" w:color="auto"/>
              <w:bottom w:val="single" w:sz="6" w:space="0" w:color="000000"/>
              <w:right w:val="nil" w:sz="6" w:space="0" w:color="auto"/>
            </w:tcBorders>
          </w:tcPr>
          <w:p>
            <w:pPr/>
          </w:p>
        </w:tc>
        <w:tc>
          <w:tcPr>
            <w:tcW w:w="1997" w:type="dxa"/>
            <w:tcBorders>
              <w:top w:val="nil" w:sz="6" w:space="0" w:color="auto"/>
              <w:left w:val="nil" w:sz="6" w:space="0" w:color="auto"/>
              <w:bottom w:val="single" w:sz="6" w:space="0" w:color="000000"/>
              <w:right w:val="nil" w:sz="6" w:space="0" w:color="auto"/>
            </w:tcBorders>
          </w:tcPr>
          <w:p>
            <w:pPr>
              <w:pStyle w:val="TableParagraph"/>
              <w:spacing w:line="211" w:lineRule="exact"/>
              <w:ind w:left="98" w:right="0"/>
              <w:jc w:val="center"/>
              <w:rPr>
                <w:rFonts w:ascii="宋体" w:hAnsi="宋体" w:cs="宋体" w:eastAsia="宋体" w:hint="default"/>
                <w:sz w:val="21"/>
                <w:szCs w:val="21"/>
              </w:rPr>
            </w:pPr>
            <w:r>
              <w:rPr>
                <w:rFonts w:ascii="宋体" w:hAnsi="宋体" w:cs="宋体" w:eastAsia="宋体" w:hint="default"/>
                <w:sz w:val="21"/>
                <w:szCs w:val="21"/>
              </w:rPr>
              <w:t>批准单位</w:t>
            </w:r>
          </w:p>
        </w:tc>
        <w:tc>
          <w:tcPr>
            <w:tcW w:w="2890" w:type="dxa"/>
            <w:tcBorders>
              <w:top w:val="nil" w:sz="6" w:space="0" w:color="auto"/>
              <w:left w:val="nil" w:sz="6" w:space="0" w:color="auto"/>
              <w:bottom w:val="single" w:sz="6" w:space="0" w:color="000000"/>
              <w:right w:val="nil" w:sz="6" w:space="0" w:color="auto"/>
            </w:tcBorders>
          </w:tcPr>
          <w:p>
            <w:pPr>
              <w:pStyle w:val="TableParagraph"/>
              <w:spacing w:line="211" w:lineRule="exact"/>
              <w:ind w:left="11" w:right="0"/>
              <w:jc w:val="center"/>
              <w:rPr>
                <w:rFonts w:ascii="宋体" w:hAnsi="宋体" w:cs="宋体" w:eastAsia="宋体" w:hint="default"/>
                <w:sz w:val="21"/>
                <w:szCs w:val="21"/>
              </w:rPr>
            </w:pPr>
            <w:r>
              <w:rPr>
                <w:rFonts w:ascii="宋体" w:hAnsi="宋体" w:cs="宋体" w:eastAsia="宋体" w:hint="default"/>
                <w:sz w:val="21"/>
                <w:szCs w:val="21"/>
              </w:rPr>
              <w:t>政府文件及适用期限</w:t>
            </w:r>
          </w:p>
        </w:tc>
      </w:tr>
      <w:tr>
        <w:trPr>
          <w:trHeight w:val="288" w:hRule="exact"/>
        </w:trPr>
        <w:tc>
          <w:tcPr>
            <w:tcW w:w="1512" w:type="dxa"/>
            <w:tcBorders>
              <w:top w:val="single" w:sz="6" w:space="0" w:color="000000"/>
              <w:left w:val="nil" w:sz="6" w:space="0" w:color="auto"/>
              <w:bottom w:val="nil" w:sz="6" w:space="0" w:color="auto"/>
              <w:right w:val="nil" w:sz="6" w:space="0" w:color="auto"/>
            </w:tcBorders>
          </w:tcPr>
          <w:p>
            <w:pPr/>
          </w:p>
        </w:tc>
        <w:tc>
          <w:tcPr>
            <w:tcW w:w="1660" w:type="dxa"/>
            <w:tcBorders>
              <w:top w:val="single" w:sz="6" w:space="0" w:color="000000"/>
              <w:left w:val="nil" w:sz="6" w:space="0" w:color="auto"/>
              <w:bottom w:val="single" w:sz="6" w:space="0" w:color="000000"/>
              <w:right w:val="nil" w:sz="6" w:space="0" w:color="auto"/>
            </w:tcBorders>
          </w:tcPr>
          <w:p>
            <w:pPr>
              <w:pStyle w:val="TableParagraph"/>
              <w:spacing w:line="258" w:lineRule="exact"/>
              <w:ind w:left="319"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156" w:type="dxa"/>
            <w:tcBorders>
              <w:top w:val="single" w:sz="6" w:space="0" w:color="000000"/>
              <w:left w:val="nil" w:sz="6" w:space="0" w:color="auto"/>
              <w:bottom w:val="single" w:sz="6" w:space="0" w:color="000000"/>
              <w:right w:val="nil" w:sz="6" w:space="0" w:color="auto"/>
            </w:tcBorders>
          </w:tcPr>
          <w:p>
            <w:pPr>
              <w:pStyle w:val="TableParagraph"/>
              <w:spacing w:line="258" w:lineRule="exact"/>
              <w:ind w:right="236"/>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97" w:type="dxa"/>
            <w:tcBorders>
              <w:top w:val="single" w:sz="6" w:space="0" w:color="000000"/>
              <w:left w:val="nil" w:sz="6" w:space="0" w:color="auto"/>
              <w:bottom w:val="nil" w:sz="6" w:space="0" w:color="auto"/>
              <w:right w:val="nil" w:sz="6" w:space="0" w:color="auto"/>
            </w:tcBorders>
          </w:tcPr>
          <w:p>
            <w:pPr/>
          </w:p>
        </w:tc>
        <w:tc>
          <w:tcPr>
            <w:tcW w:w="2890" w:type="dxa"/>
            <w:tcBorders>
              <w:top w:val="single" w:sz="6" w:space="0" w:color="000000"/>
              <w:left w:val="nil" w:sz="6" w:space="0" w:color="auto"/>
              <w:bottom w:val="nil" w:sz="6" w:space="0" w:color="auto"/>
              <w:right w:val="nil" w:sz="6" w:space="0" w:color="auto"/>
            </w:tcBorders>
          </w:tcPr>
          <w:p>
            <w:pPr/>
          </w:p>
        </w:tc>
      </w:tr>
      <w:tr>
        <w:trPr>
          <w:trHeight w:val="288" w:hRule="exact"/>
        </w:trPr>
        <w:tc>
          <w:tcPr>
            <w:tcW w:w="1512" w:type="dxa"/>
            <w:tcBorders>
              <w:top w:val="nil" w:sz="6" w:space="0" w:color="auto"/>
              <w:left w:val="nil" w:sz="6" w:space="0" w:color="auto"/>
              <w:bottom w:val="single" w:sz="6" w:space="0" w:color="000000"/>
              <w:right w:val="nil" w:sz="6" w:space="0" w:color="auto"/>
            </w:tcBorders>
          </w:tcPr>
          <w:p>
            <w:pPr>
              <w:pStyle w:val="TableParagraph"/>
              <w:spacing w:line="248" w:lineRule="exact"/>
              <w:ind w:left="35" w:right="0"/>
              <w:jc w:val="left"/>
              <w:rPr>
                <w:rFonts w:ascii="宋体" w:hAnsi="宋体" w:cs="宋体" w:eastAsia="宋体" w:hint="default"/>
                <w:sz w:val="21"/>
                <w:szCs w:val="21"/>
              </w:rPr>
            </w:pPr>
            <w:r>
              <w:rPr>
                <w:rFonts w:ascii="宋体" w:hAnsi="宋体" w:cs="宋体" w:eastAsia="宋体" w:hint="default"/>
                <w:spacing w:val="-1"/>
                <w:sz w:val="21"/>
                <w:szCs w:val="21"/>
              </w:rPr>
              <w:t>联通运营公司：</w:t>
            </w:r>
          </w:p>
        </w:tc>
        <w:tc>
          <w:tcPr>
            <w:tcW w:w="1660" w:type="dxa"/>
            <w:tcBorders>
              <w:top w:val="single" w:sz="6" w:space="0" w:color="000000"/>
              <w:left w:val="nil" w:sz="6" w:space="0" w:color="auto"/>
              <w:bottom w:val="nil" w:sz="6" w:space="0" w:color="auto"/>
              <w:right w:val="nil" w:sz="6" w:space="0" w:color="auto"/>
            </w:tcBorders>
          </w:tcPr>
          <w:p>
            <w:pPr/>
          </w:p>
        </w:tc>
        <w:tc>
          <w:tcPr>
            <w:tcW w:w="1156" w:type="dxa"/>
            <w:tcBorders>
              <w:top w:val="single" w:sz="6" w:space="0" w:color="000000"/>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
        </w:tc>
        <w:tc>
          <w:tcPr>
            <w:tcW w:w="2890" w:type="dxa"/>
            <w:tcBorders>
              <w:top w:val="nil" w:sz="6" w:space="0" w:color="auto"/>
              <w:left w:val="nil" w:sz="6" w:space="0" w:color="auto"/>
              <w:bottom w:val="nil" w:sz="6" w:space="0" w:color="auto"/>
              <w:right w:val="nil" w:sz="6" w:space="0" w:color="auto"/>
            </w:tcBorders>
          </w:tcPr>
          <w:p>
            <w:pPr/>
          </w:p>
        </w:tc>
      </w:tr>
      <w:tr>
        <w:trPr>
          <w:trHeight w:val="270" w:hRule="exact"/>
        </w:trPr>
        <w:tc>
          <w:tcPr>
            <w:tcW w:w="1512" w:type="dxa"/>
            <w:tcBorders>
              <w:top w:val="single" w:sz="6" w:space="0" w:color="000000"/>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西藏分公司</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482" w:right="0"/>
              <w:jc w:val="left"/>
              <w:rPr>
                <w:rFonts w:ascii="Arial" w:hAnsi="Arial" w:cs="Arial" w:eastAsia="Arial" w:hint="default"/>
                <w:sz w:val="21"/>
                <w:szCs w:val="21"/>
              </w:rPr>
            </w:pPr>
            <w:r>
              <w:rPr>
                <w:rFonts w:ascii="Arial"/>
                <w:sz w:val="21"/>
              </w:rPr>
              <w:t>15%</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9"/>
              <w:jc w:val="center"/>
              <w:rPr>
                <w:rFonts w:ascii="Arial" w:hAnsi="Arial" w:cs="Arial" w:eastAsia="Arial" w:hint="default"/>
                <w:sz w:val="21"/>
                <w:szCs w:val="21"/>
              </w:rPr>
            </w:pPr>
            <w:r>
              <w:rPr>
                <w:rFonts w:ascii="Arial"/>
                <w:sz w:val="21"/>
              </w:rPr>
              <w:t>15%</w:t>
            </w:r>
          </w:p>
        </w:tc>
        <w:tc>
          <w:tcPr>
            <w:tcW w:w="1997" w:type="dxa"/>
            <w:tcBorders>
              <w:top w:val="nil" w:sz="6" w:space="0" w:color="auto"/>
              <w:left w:val="nil" w:sz="6" w:space="0" w:color="auto"/>
              <w:bottom w:val="nil" w:sz="6" w:space="0" w:color="auto"/>
              <w:right w:val="nil" w:sz="6" w:space="0" w:color="auto"/>
            </w:tcBorders>
          </w:tcPr>
          <w:p>
            <w:pPr>
              <w:pStyle w:val="TableParagraph"/>
              <w:spacing w:line="248" w:lineRule="exact"/>
              <w:ind w:left="45" w:right="0"/>
              <w:jc w:val="center"/>
              <w:rPr>
                <w:rFonts w:ascii="宋体" w:hAnsi="宋体" w:cs="宋体" w:eastAsia="宋体" w:hint="default"/>
                <w:sz w:val="21"/>
                <w:szCs w:val="21"/>
              </w:rPr>
            </w:pPr>
            <w:r>
              <w:rPr>
                <w:rFonts w:ascii="宋体" w:hAnsi="宋体" w:cs="宋体" w:eastAsia="宋体" w:hint="default"/>
                <w:sz w:val="21"/>
                <w:szCs w:val="21"/>
              </w:rPr>
              <w:t>西藏自治区人民政府</w:t>
            </w:r>
          </w:p>
        </w:tc>
        <w:tc>
          <w:tcPr>
            <w:tcW w:w="2890" w:type="dxa"/>
            <w:tcBorders>
              <w:top w:val="nil" w:sz="6" w:space="0" w:color="auto"/>
              <w:left w:val="nil" w:sz="6" w:space="0" w:color="auto"/>
              <w:bottom w:val="nil" w:sz="6" w:space="0" w:color="auto"/>
              <w:right w:val="nil" w:sz="6" w:space="0" w:color="auto"/>
            </w:tcBorders>
          </w:tcPr>
          <w:p>
            <w:pPr>
              <w:pStyle w:val="TableParagraph"/>
              <w:spacing w:line="263" w:lineRule="exact"/>
              <w:ind w:left="28" w:right="0"/>
              <w:jc w:val="center"/>
              <w:rPr>
                <w:rFonts w:ascii="宋体" w:hAnsi="宋体" w:cs="宋体" w:eastAsia="宋体" w:hint="default"/>
                <w:sz w:val="21"/>
                <w:szCs w:val="21"/>
              </w:rPr>
            </w:pPr>
            <w:r>
              <w:rPr>
                <w:rFonts w:ascii="宋体" w:hAnsi="宋体" w:cs="宋体" w:eastAsia="宋体" w:hint="default"/>
                <w:sz w:val="21"/>
                <w:szCs w:val="21"/>
              </w:rPr>
              <w:t>藏政发</w:t>
            </w:r>
            <w:r>
              <w:rPr>
                <w:rFonts w:ascii="Arial" w:hAnsi="Arial" w:cs="Arial" w:eastAsia="Arial" w:hint="default"/>
                <w:sz w:val="21"/>
                <w:szCs w:val="21"/>
              </w:rPr>
              <w:t>[2011]14 </w:t>
            </w:r>
            <w:r>
              <w:rPr>
                <w:rFonts w:ascii="宋体" w:hAnsi="宋体" w:cs="宋体" w:eastAsia="宋体" w:hint="default"/>
                <w:spacing w:val="-21"/>
                <w:sz w:val="21"/>
                <w:szCs w:val="21"/>
              </w:rPr>
              <w:t>号，至 </w:t>
            </w:r>
            <w:r>
              <w:rPr>
                <w:rFonts w:ascii="Arial" w:hAnsi="Arial" w:cs="Arial" w:eastAsia="Arial" w:hint="default"/>
                <w:sz w:val="21"/>
                <w:szCs w:val="21"/>
              </w:rPr>
              <w:t>2020</w:t>
            </w:r>
            <w:r>
              <w:rPr>
                <w:rFonts w:ascii="Arial" w:hAnsi="Arial" w:cs="Arial" w:eastAsia="Arial" w:hint="default"/>
                <w:spacing w:val="-37"/>
                <w:sz w:val="21"/>
                <w:szCs w:val="21"/>
              </w:rPr>
              <w:t> </w:t>
            </w:r>
            <w:r>
              <w:rPr>
                <w:rFonts w:ascii="宋体" w:hAnsi="宋体" w:cs="宋体" w:eastAsia="宋体" w:hint="default"/>
                <w:sz w:val="21"/>
                <w:szCs w:val="21"/>
              </w:rPr>
              <w:t>年</w:t>
            </w:r>
          </w:p>
        </w:tc>
      </w:tr>
    </w:tbl>
    <w:p>
      <w:pPr>
        <w:spacing w:line="240" w:lineRule="auto" w:before="4"/>
        <w:rPr>
          <w:rFonts w:ascii="宋体" w:hAnsi="宋体" w:cs="宋体" w:eastAsia="宋体" w:hint="default"/>
          <w:sz w:val="9"/>
          <w:szCs w:val="9"/>
        </w:rPr>
      </w:pPr>
    </w:p>
    <w:p>
      <w:pPr>
        <w:pStyle w:val="BodyText"/>
        <w:spacing w:line="286" w:lineRule="exact" w:before="61"/>
        <w:ind w:left="530" w:right="157"/>
        <w:jc w:val="left"/>
      </w:pPr>
      <w:r>
        <w:rPr/>
        <w:t>于</w:t>
      </w:r>
      <w:r>
        <w:rPr>
          <w:spacing w:val="-48"/>
        </w:rPr>
        <w:t> </w:t>
      </w:r>
      <w:r>
        <w:rPr>
          <w:rFonts w:ascii="Arial" w:hAnsi="Arial" w:cs="Arial" w:eastAsia="Arial" w:hint="default"/>
        </w:rPr>
        <w:t>2014</w:t>
      </w:r>
      <w:r>
        <w:rPr>
          <w:rFonts w:ascii="Arial" w:hAnsi="Arial" w:cs="Arial" w:eastAsia="Arial" w:hint="default"/>
          <w:spacing w:val="-2"/>
        </w:rPr>
        <w:t> </w:t>
      </w:r>
      <w:r>
        <w:rPr/>
        <w:t>年</w:t>
      </w:r>
      <w:r>
        <w:rPr>
          <w:spacing w:val="-48"/>
        </w:rPr>
        <w:t> </w:t>
      </w:r>
      <w:r>
        <w:rPr>
          <w:rFonts w:ascii="Arial" w:hAnsi="Arial" w:cs="Arial" w:eastAsia="Arial" w:hint="default"/>
        </w:rPr>
        <w:t>12</w:t>
      </w:r>
      <w:r>
        <w:rPr>
          <w:rFonts w:ascii="Arial" w:hAnsi="Arial" w:cs="Arial" w:eastAsia="Arial" w:hint="default"/>
          <w:spacing w:val="-2"/>
        </w:rPr>
        <w:t> </w:t>
      </w:r>
      <w:r>
        <w:rPr/>
        <w:t>月</w:t>
      </w:r>
      <w:r>
        <w:rPr>
          <w:spacing w:val="-48"/>
        </w:rPr>
        <w:t> </w:t>
      </w:r>
      <w:r>
        <w:rPr>
          <w:rFonts w:ascii="Arial" w:hAnsi="Arial" w:cs="Arial" w:eastAsia="Arial" w:hint="default"/>
        </w:rPr>
        <w:t>31</w:t>
      </w:r>
      <w:r>
        <w:rPr>
          <w:rFonts w:ascii="Arial" w:hAnsi="Arial" w:cs="Arial" w:eastAsia="Arial" w:hint="default"/>
          <w:spacing w:val="-2"/>
        </w:rPr>
        <w:t> </w:t>
      </w:r>
      <w:r>
        <w:rPr/>
        <w:t>日，联通运营公司除西藏分公司享受所列的优惠税率外，其他各分公司均</w:t>
      </w:r>
      <w:r>
        <w:rPr>
          <w:w w:val="100"/>
        </w:rPr>
        <w:t> </w:t>
      </w:r>
      <w:r>
        <w:rPr/>
        <w:t>适用</w:t>
      </w:r>
      <w:r>
        <w:rPr>
          <w:spacing w:val="-55"/>
        </w:rPr>
        <w:t> </w:t>
      </w:r>
      <w:r>
        <w:rPr>
          <w:rFonts w:ascii="Arial" w:hAnsi="Arial" w:cs="Arial" w:eastAsia="Arial" w:hint="default"/>
        </w:rPr>
        <w:t>25%</w:t>
      </w:r>
      <w:r>
        <w:rPr/>
        <w:t>的企业所得税税率。</w:t>
      </w:r>
    </w:p>
    <w:p>
      <w:pPr>
        <w:pStyle w:val="BodyText"/>
        <w:spacing w:line="369" w:lineRule="auto" w:before="156"/>
        <w:ind w:left="530" w:right="1307" w:hanging="428"/>
        <w:jc w:val="left"/>
      </w:pPr>
      <w:r>
        <w:rPr>
          <w:rFonts w:ascii="Arial" w:hAnsi="Arial" w:cs="Arial" w:eastAsia="Arial" w:hint="default"/>
        </w:rPr>
        <w:t>(c)</w:t>
      </w:r>
      <w:r>
        <w:rPr>
          <w:rFonts w:ascii="Arial" w:hAnsi="Arial" w:cs="Arial" w:eastAsia="Arial" w:hint="default"/>
          <w:spacing w:val="39"/>
        </w:rPr>
        <w:t> </w:t>
      </w:r>
      <w:r>
        <w:rPr/>
        <w:t>联通运营公司所属子公司之企业所得税</w:t>
      </w:r>
      <w:r>
        <w:rPr>
          <w:w w:val="100"/>
        </w:rPr>
        <w:t> </w:t>
      </w:r>
      <w:r>
        <w:rPr>
          <w:spacing w:val="-1"/>
        </w:rPr>
        <w:t>联通运营公司的部分获得高新技术企业认证的子公司列示如下：</w:t>
      </w:r>
    </w:p>
    <w:p>
      <w:pPr>
        <w:spacing w:after="0" w:line="369" w:lineRule="auto"/>
        <w:jc w:val="left"/>
        <w:sectPr>
          <w:headerReference w:type="default" r:id="rId64"/>
          <w:footerReference w:type="default" r:id="rId65"/>
          <w:pgSz w:w="11910" w:h="16840"/>
          <w:pgMar w:header="840" w:footer="923" w:top="2160" w:bottom="1120" w:left="1280" w:right="780"/>
          <w:pgNumType w:start="88"/>
        </w:sectPr>
      </w:pPr>
    </w:p>
    <w:p>
      <w:pPr>
        <w:spacing w:line="240" w:lineRule="auto" w:before="4"/>
        <w:rPr>
          <w:rFonts w:ascii="宋体" w:hAnsi="宋体" w:cs="宋体" w:eastAsia="宋体" w:hint="default"/>
          <w:sz w:val="21"/>
          <w:szCs w:val="21"/>
        </w:rPr>
      </w:pPr>
    </w:p>
    <w:p>
      <w:pPr>
        <w:spacing w:before="0"/>
        <w:ind w:left="1393" w:right="-19" w:firstLine="0"/>
        <w:jc w:val="left"/>
        <w:rPr>
          <w:rFonts w:ascii="宋体" w:hAnsi="宋体" w:cs="宋体" w:eastAsia="宋体" w:hint="default"/>
          <w:sz w:val="18"/>
          <w:szCs w:val="18"/>
        </w:rPr>
      </w:pPr>
      <w:r>
        <w:rPr>
          <w:rFonts w:ascii="宋体" w:hAnsi="宋体" w:cs="宋体" w:eastAsia="宋体" w:hint="default"/>
          <w:sz w:val="18"/>
          <w:szCs w:val="18"/>
        </w:rPr>
        <w:t>子公司名称</w:t>
      </w:r>
    </w:p>
    <w:p>
      <w:pPr>
        <w:tabs>
          <w:tab w:pos="4048" w:val="left" w:leader="none"/>
        </w:tabs>
        <w:spacing w:line="304" w:lineRule="exact" w:before="93"/>
        <w:ind w:left="1393" w:right="0" w:firstLine="0"/>
        <w:jc w:val="left"/>
        <w:rPr>
          <w:rFonts w:ascii="宋体" w:hAnsi="宋体" w:cs="宋体" w:eastAsia="宋体" w:hint="default"/>
          <w:sz w:val="18"/>
          <w:szCs w:val="18"/>
        </w:rPr>
      </w:pPr>
      <w:r>
        <w:rPr/>
        <w:br w:type="column"/>
      </w:r>
      <w:r>
        <w:rPr>
          <w:rFonts w:ascii="宋体" w:hAnsi="宋体" w:cs="宋体" w:eastAsia="宋体" w:hint="default"/>
          <w:position w:val="7"/>
          <w:sz w:val="18"/>
          <w:szCs w:val="18"/>
        </w:rPr>
        <w:t>税率</w:t>
        <w:tab/>
      </w:r>
      <w:r>
        <w:rPr>
          <w:rFonts w:ascii="宋体" w:hAnsi="宋体" w:cs="宋体" w:eastAsia="宋体" w:hint="default"/>
          <w:sz w:val="18"/>
          <w:szCs w:val="18"/>
        </w:rPr>
        <w:t>高新技术企业证书</w:t>
      </w:r>
    </w:p>
    <w:p>
      <w:pPr>
        <w:spacing w:line="234" w:lineRule="exact" w:before="0"/>
        <w:ind w:left="4048" w:right="0" w:firstLine="0"/>
        <w:jc w:val="left"/>
        <w:rPr>
          <w:rFonts w:ascii="宋体" w:hAnsi="宋体" w:cs="宋体" w:eastAsia="宋体" w:hint="default"/>
          <w:sz w:val="18"/>
          <w:szCs w:val="18"/>
        </w:rPr>
      </w:pPr>
      <w:r>
        <w:rPr/>
        <w:pict>
          <v:group style="position:absolute;margin-left:220.490005pt;margin-top:-.84694pt;width:152.2pt;height:.75pt;mso-position-horizontal-relative:page;mso-position-vertical-relative:paragraph;z-index:-736168" coordorigin="4410,-17" coordsize="3044,15">
            <v:group style="position:absolute;left:4417;top:-10;width:1469;height:2" coordorigin="4417,-10" coordsize="1469,2">
              <v:shape style="position:absolute;left:4417;top:-10;width:1469;height:2" coordorigin="4417,-10" coordsize="1469,0" path="m4417,-10l5886,-10e" filled="false" stroked="true" strokeweight=".72pt" strokecolor="#000000">
                <v:path arrowok="t"/>
              </v:shape>
            </v:group>
            <v:group style="position:absolute;left:5886;top:-10;width:15;height:2" coordorigin="5886,-10" coordsize="15,2">
              <v:shape style="position:absolute;left:5886;top:-10;width:15;height:2" coordorigin="5886,-10" coordsize="15,0" path="m5886,-10l5900,-10e" filled="false" stroked="true" strokeweight=".72pt" strokecolor="#000000">
                <v:path arrowok="t"/>
              </v:shape>
            </v:group>
            <v:group style="position:absolute;left:5900;top:-10;width:128;height:2" coordorigin="5900,-10" coordsize="128,2">
              <v:shape style="position:absolute;left:5900;top:-10;width:128;height:2" coordorigin="5900,-10" coordsize="128,0" path="m5900,-10l6027,-10e" filled="false" stroked="true" strokeweight=".72pt" strokecolor="#000000">
                <v:path arrowok="t"/>
              </v:shape>
            </v:group>
            <v:group style="position:absolute;left:6027;top:-10;width:15;height:2" coordorigin="6027,-10" coordsize="15,2">
              <v:shape style="position:absolute;left:6027;top:-10;width:15;height:2" coordorigin="6027,-10" coordsize="15,0" path="m6027,-10l6042,-10e" filled="false" stroked="true" strokeweight=".72pt" strokecolor="#000000">
                <v:path arrowok="t"/>
              </v:shape>
            </v:group>
            <v:group style="position:absolute;left:6042;top:-10;width:1405;height:2" coordorigin="6042,-10" coordsize="1405,2">
              <v:shape style="position:absolute;left:6042;top:-10;width:1405;height:2" coordorigin="6042,-10" coordsize="1405,0" path="m6042,-10l7446,-10e" filled="false" stroked="true" strokeweight=".72pt" strokecolor="#000000">
                <v:path arrowok="t"/>
              </v:shape>
            </v:group>
            <w10:wrap type="none"/>
          </v:group>
        </w:pict>
      </w:r>
      <w:r>
        <w:rPr/>
        <w:pict>
          <v:shape style="position:absolute;margin-left:96.143997pt;margin-top:7.278685pt;width:432.1pt;height:148.7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03"/>
                    <w:gridCol w:w="1560"/>
                    <w:gridCol w:w="142"/>
                    <w:gridCol w:w="1419"/>
                    <w:gridCol w:w="142"/>
                    <w:gridCol w:w="2976"/>
                  </w:tblGrid>
                  <w:tr>
                    <w:trPr>
                      <w:trHeight w:val="215" w:hRule="exact"/>
                    </w:trPr>
                    <w:tc>
                      <w:tcPr>
                        <w:tcW w:w="2403" w:type="dxa"/>
                        <w:tcBorders>
                          <w:top w:val="nil" w:sz="6" w:space="0" w:color="auto"/>
                          <w:left w:val="nil" w:sz="6" w:space="0" w:color="auto"/>
                          <w:bottom w:val="single" w:sz="6" w:space="0" w:color="000000"/>
                          <w:right w:val="nil" w:sz="6" w:space="0" w:color="auto"/>
                        </w:tcBorders>
                      </w:tcPr>
                      <w:p>
                        <w:pPr/>
                      </w:p>
                    </w:tc>
                    <w:tc>
                      <w:tcPr>
                        <w:tcW w:w="1560" w:type="dxa"/>
                        <w:tcBorders>
                          <w:top w:val="nil" w:sz="6" w:space="0" w:color="auto"/>
                          <w:left w:val="nil" w:sz="6" w:space="0" w:color="auto"/>
                          <w:bottom w:val="single" w:sz="6" w:space="0" w:color="000000"/>
                          <w:right w:val="nil" w:sz="6" w:space="0" w:color="auto"/>
                        </w:tcBorders>
                      </w:tcPr>
                      <w:p>
                        <w:pPr>
                          <w:pStyle w:val="TableParagraph"/>
                          <w:spacing w:line="193" w:lineRule="exact"/>
                          <w:ind w:left="57"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2"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single" w:sz="6" w:space="0" w:color="000000"/>
                          <w:right w:val="nil" w:sz="6" w:space="0" w:color="auto"/>
                        </w:tcBorders>
                      </w:tcPr>
                      <w:p>
                        <w:pPr>
                          <w:pStyle w:val="TableParagraph"/>
                          <w:spacing w:line="193" w:lineRule="exact"/>
                          <w:ind w:right="34"/>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3118" w:type="dxa"/>
                        <w:gridSpan w:val="2"/>
                        <w:vMerge w:val="restart"/>
                        <w:tcBorders>
                          <w:top w:val="nil" w:sz="6" w:space="0" w:color="auto"/>
                          <w:left w:val="nil" w:sz="6" w:space="0" w:color="auto"/>
                          <w:right w:val="nil" w:sz="6" w:space="0" w:color="auto"/>
                        </w:tcBorders>
                      </w:tcPr>
                      <w:p>
                        <w:pPr/>
                      </w:p>
                    </w:tc>
                  </w:tr>
                  <w:tr>
                    <w:trPr>
                      <w:trHeight w:val="502" w:hRule="exact"/>
                    </w:trPr>
                    <w:tc>
                      <w:tcPr>
                        <w:tcW w:w="2403"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联通系统集成有限公司</w:t>
                        </w:r>
                      </w:p>
                    </w:tc>
                    <w:tc>
                      <w:tcPr>
                        <w:tcW w:w="1560" w:type="dxa"/>
                        <w:tcBorders>
                          <w:top w:val="single" w:sz="6"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9" w:type="dxa"/>
                        <w:tcBorders>
                          <w:top w:val="single" w:sz="6" w:space="0" w:color="000000"/>
                          <w:left w:val="nil" w:sz="6" w:space="0" w:color="auto"/>
                          <w:bottom w:val="nil" w:sz="6" w:space="0" w:color="auto"/>
                          <w:right w:val="nil" w:sz="6" w:space="0" w:color="auto"/>
                        </w:tcBorders>
                      </w:tcPr>
                      <w:p>
                        <w:pPr/>
                      </w:p>
                    </w:tc>
                    <w:tc>
                      <w:tcPr>
                        <w:tcW w:w="3118" w:type="dxa"/>
                        <w:gridSpan w:val="2"/>
                        <w:vMerge/>
                        <w:tcBorders>
                          <w:left w:val="nil" w:sz="6" w:space="0" w:color="auto"/>
                          <w:bottom w:val="nil" w:sz="6" w:space="0" w:color="auto"/>
                          <w:right w:val="nil" w:sz="6" w:space="0" w:color="auto"/>
                        </w:tcBorders>
                      </w:tcPr>
                      <w:p>
                        <w:pPr/>
                      </w:p>
                    </w:tc>
                  </w:tr>
                  <w:tr>
                    <w:trPr>
                      <w:trHeight w:val="272"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233" w:lineRule="exact"/>
                          <w:ind w:left="45"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系统集成公司</w:t>
                        </w:r>
                        <w:r>
                          <w:rPr>
                            <w:rFonts w:ascii="Arial" w:hAnsi="Arial" w:cs="Arial" w:eastAsia="Arial" w:hint="default"/>
                            <w:sz w:val="18"/>
                            <w:szCs w:val="18"/>
                          </w:rPr>
                          <w:t>”</w:t>
                        </w:r>
                        <w:r>
                          <w:rPr>
                            <w:rFonts w:ascii="宋体" w:hAnsi="宋体" w:cs="宋体" w:eastAsia="宋体" w:hint="default"/>
                            <w:sz w:val="18"/>
                            <w:szCs w:val="18"/>
                          </w:rPr>
                          <w:t>）</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4" w:right="0"/>
                          <w:jc w:val="center"/>
                          <w:rPr>
                            <w:rFonts w:ascii="Arial" w:hAnsi="Arial" w:cs="Arial" w:eastAsia="Arial" w:hint="default"/>
                            <w:sz w:val="18"/>
                            <w:szCs w:val="18"/>
                          </w:rPr>
                        </w:pPr>
                        <w:r>
                          <w:rPr>
                            <w:rFonts w:ascii="Arial"/>
                            <w:sz w:val="18"/>
                          </w:rPr>
                          <w:t>15%</w:t>
                        </w:r>
                      </w:p>
                    </w:tc>
                    <w:tc>
                      <w:tcPr>
                        <w:tcW w:w="142"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7"/>
                          <w:jc w:val="center"/>
                          <w:rPr>
                            <w:rFonts w:ascii="Arial" w:hAnsi="Arial" w:cs="Arial" w:eastAsia="Arial" w:hint="default"/>
                            <w:sz w:val="18"/>
                            <w:szCs w:val="18"/>
                          </w:rPr>
                        </w:pPr>
                        <w:r>
                          <w:rPr>
                            <w:rFonts w:ascii="Arial"/>
                            <w:sz w:val="18"/>
                          </w:rPr>
                          <w:t>15%</w:t>
                        </w:r>
                      </w:p>
                    </w:tc>
                    <w:tc>
                      <w:tcPr>
                        <w:tcW w:w="142"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2" w:lineRule="exact"/>
                          <w:ind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7"/>
                            <w:sz w:val="18"/>
                            <w:szCs w:val="18"/>
                          </w:rPr>
                          <w:t> </w:t>
                        </w:r>
                        <w:r>
                          <w:rPr>
                            <w:rFonts w:ascii="宋体" w:hAnsi="宋体" w:cs="宋体" w:eastAsia="宋体" w:hint="default"/>
                            <w:sz w:val="18"/>
                            <w:szCs w:val="18"/>
                          </w:rPr>
                          <w:t>年</w:t>
                        </w:r>
                        <w:r>
                          <w:rPr>
                            <w:rFonts w:ascii="Arial" w:hAnsi="Arial" w:cs="Arial" w:eastAsia="Arial" w:hint="default"/>
                            <w:position w:val="9"/>
                            <w:sz w:val="12"/>
                            <w:szCs w:val="12"/>
                          </w:rPr>
                          <w:t>(1)</w:t>
                        </w:r>
                        <w:r>
                          <w:rPr>
                            <w:rFonts w:ascii="宋体" w:hAnsi="宋体" w:cs="宋体" w:eastAsia="宋体" w:hint="default"/>
                            <w:sz w:val="18"/>
                            <w:szCs w:val="18"/>
                          </w:rPr>
                          <w:t>，有效期三年</w:t>
                        </w:r>
                      </w:p>
                    </w:tc>
                  </w:tr>
                  <w:tr>
                    <w:trPr>
                      <w:trHeight w:val="476"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198" w:lineRule="exact"/>
                          <w:ind w:left="45" w:right="0"/>
                          <w:jc w:val="left"/>
                          <w:rPr>
                            <w:rFonts w:ascii="宋体" w:hAnsi="宋体" w:cs="宋体" w:eastAsia="宋体" w:hint="default"/>
                            <w:sz w:val="18"/>
                            <w:szCs w:val="18"/>
                          </w:rPr>
                        </w:pPr>
                        <w:r>
                          <w:rPr>
                            <w:rFonts w:ascii="宋体" w:hAnsi="宋体" w:cs="宋体" w:eastAsia="宋体" w:hint="default"/>
                            <w:sz w:val="18"/>
                            <w:szCs w:val="18"/>
                          </w:rPr>
                          <w:t>联通宽带在线有限公司</w:t>
                        </w:r>
                      </w:p>
                      <w:p>
                        <w:pPr>
                          <w:pStyle w:val="TableParagraph"/>
                          <w:spacing w:line="247" w:lineRule="exact"/>
                          <w:ind w:left="45"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宽带在线</w:t>
                        </w:r>
                        <w:r>
                          <w:rPr>
                            <w:rFonts w:ascii="Arial" w:hAnsi="Arial" w:cs="Arial" w:eastAsia="Arial" w:hint="default"/>
                            <w:sz w:val="18"/>
                            <w:szCs w:val="18"/>
                          </w:rPr>
                          <w:t>”</w:t>
                        </w:r>
                        <w:r>
                          <w:rPr>
                            <w:rFonts w:ascii="宋体" w:hAnsi="宋体" w:cs="宋体" w:eastAsia="宋体" w:hint="default"/>
                            <w:sz w:val="18"/>
                            <w:szCs w:val="18"/>
                          </w:rPr>
                          <w:t>）</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4" w:right="0"/>
                          <w:jc w:val="center"/>
                          <w:rPr>
                            <w:rFonts w:ascii="Arial" w:hAnsi="Arial" w:cs="Arial" w:eastAsia="Arial" w:hint="default"/>
                            <w:sz w:val="18"/>
                            <w:szCs w:val="18"/>
                          </w:rPr>
                        </w:pPr>
                        <w:r>
                          <w:rPr>
                            <w:rFonts w:ascii="Arial"/>
                            <w:sz w:val="18"/>
                          </w:rPr>
                          <w:t>15%</w:t>
                        </w:r>
                      </w:p>
                    </w:tc>
                    <w:tc>
                      <w:tcPr>
                        <w:tcW w:w="142"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7"/>
                          <w:jc w:val="center"/>
                          <w:rPr>
                            <w:rFonts w:ascii="Arial" w:hAnsi="Arial" w:cs="Arial" w:eastAsia="Arial" w:hint="default"/>
                            <w:sz w:val="18"/>
                            <w:szCs w:val="18"/>
                          </w:rPr>
                        </w:pPr>
                        <w:r>
                          <w:rPr>
                            <w:rFonts w:ascii="Arial"/>
                            <w:sz w:val="18"/>
                          </w:rPr>
                          <w:t>15%</w:t>
                        </w:r>
                      </w:p>
                    </w:tc>
                    <w:tc>
                      <w:tcPr>
                        <w:tcW w:w="142"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197"/>
                          <w:ind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7"/>
                            <w:sz w:val="18"/>
                            <w:szCs w:val="18"/>
                          </w:rPr>
                          <w:t> </w:t>
                        </w:r>
                        <w:r>
                          <w:rPr>
                            <w:rFonts w:ascii="宋体" w:hAnsi="宋体" w:cs="宋体" w:eastAsia="宋体" w:hint="default"/>
                            <w:sz w:val="18"/>
                            <w:szCs w:val="18"/>
                          </w:rPr>
                          <w:t>年</w:t>
                        </w:r>
                        <w:r>
                          <w:rPr>
                            <w:rFonts w:ascii="Arial" w:hAnsi="Arial" w:cs="Arial" w:eastAsia="Arial" w:hint="default"/>
                            <w:position w:val="9"/>
                            <w:sz w:val="12"/>
                            <w:szCs w:val="12"/>
                          </w:rPr>
                          <w:t>(1)</w:t>
                        </w:r>
                        <w:r>
                          <w:rPr>
                            <w:rFonts w:ascii="宋体" w:hAnsi="宋体" w:cs="宋体" w:eastAsia="宋体" w:hint="default"/>
                            <w:sz w:val="18"/>
                            <w:szCs w:val="18"/>
                          </w:rPr>
                          <w:t>，有效期三年</w:t>
                        </w:r>
                      </w:p>
                    </w:tc>
                  </w:tr>
                  <w:tr>
                    <w:trPr>
                      <w:trHeight w:val="227"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201" w:lineRule="exact"/>
                          <w:ind w:left="16" w:right="0"/>
                          <w:jc w:val="left"/>
                          <w:rPr>
                            <w:rFonts w:ascii="宋体" w:hAnsi="宋体" w:cs="宋体" w:eastAsia="宋体" w:hint="default"/>
                            <w:sz w:val="18"/>
                            <w:szCs w:val="18"/>
                          </w:rPr>
                        </w:pPr>
                        <w:r>
                          <w:rPr>
                            <w:rFonts w:ascii="宋体" w:hAnsi="宋体" w:cs="宋体" w:eastAsia="宋体" w:hint="default"/>
                            <w:sz w:val="18"/>
                            <w:szCs w:val="18"/>
                          </w:rPr>
                          <w:t>北京电信规划设计院有限公司</w:t>
                        </w:r>
                      </w:p>
                    </w:tc>
                    <w:tc>
                      <w:tcPr>
                        <w:tcW w:w="156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
                    </w:tc>
                  </w:tr>
                  <w:tr>
                    <w:trPr>
                      <w:trHeight w:val="249"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219" w:lineRule="exact"/>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规划设计院</w:t>
                        </w:r>
                        <w:r>
                          <w:rPr>
                            <w:rFonts w:ascii="Arial" w:hAnsi="Arial" w:cs="Arial" w:eastAsia="Arial" w:hint="default"/>
                            <w:sz w:val="18"/>
                            <w:szCs w:val="18"/>
                          </w:rPr>
                          <w:t>”</w:t>
                        </w:r>
                        <w:r>
                          <w:rPr>
                            <w:rFonts w:ascii="宋体" w:hAnsi="宋体" w:cs="宋体" w:eastAsia="宋体" w:hint="default"/>
                            <w:sz w:val="18"/>
                            <w:szCs w:val="18"/>
                          </w:rPr>
                          <w:t>）</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4" w:right="0"/>
                          <w:jc w:val="center"/>
                          <w:rPr>
                            <w:rFonts w:ascii="Arial" w:hAnsi="Arial" w:cs="Arial" w:eastAsia="Arial" w:hint="default"/>
                            <w:sz w:val="18"/>
                            <w:szCs w:val="18"/>
                          </w:rPr>
                        </w:pPr>
                        <w:r>
                          <w:rPr>
                            <w:rFonts w:ascii="Arial"/>
                            <w:sz w:val="18"/>
                          </w:rPr>
                          <w:t>15%</w:t>
                        </w:r>
                      </w:p>
                    </w:tc>
                    <w:tc>
                      <w:tcPr>
                        <w:tcW w:w="142"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7"/>
                          <w:jc w:val="center"/>
                          <w:rPr>
                            <w:rFonts w:ascii="Arial" w:hAnsi="Arial" w:cs="Arial" w:eastAsia="Arial" w:hint="default"/>
                            <w:sz w:val="18"/>
                            <w:szCs w:val="18"/>
                          </w:rPr>
                        </w:pPr>
                        <w:r>
                          <w:rPr>
                            <w:rFonts w:ascii="Arial"/>
                            <w:sz w:val="18"/>
                          </w:rPr>
                          <w:t>15%</w:t>
                        </w:r>
                      </w:p>
                    </w:tc>
                    <w:tc>
                      <w:tcPr>
                        <w:tcW w:w="142"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19" w:lineRule="exact"/>
                          <w:ind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年，有效期三年</w:t>
                        </w:r>
                      </w:p>
                    </w:tc>
                  </w:tr>
                  <w:tr>
                    <w:trPr>
                      <w:trHeight w:val="475"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198" w:lineRule="exact"/>
                          <w:ind w:left="45" w:right="0"/>
                          <w:jc w:val="left"/>
                          <w:rPr>
                            <w:rFonts w:ascii="宋体" w:hAnsi="宋体" w:cs="宋体" w:eastAsia="宋体" w:hint="default"/>
                            <w:sz w:val="18"/>
                            <w:szCs w:val="18"/>
                          </w:rPr>
                        </w:pPr>
                        <w:r>
                          <w:rPr>
                            <w:rFonts w:ascii="宋体" w:hAnsi="宋体" w:cs="宋体" w:eastAsia="宋体" w:hint="default"/>
                            <w:sz w:val="18"/>
                            <w:szCs w:val="18"/>
                          </w:rPr>
                          <w:t>联通兴业通信技术有限公司</w:t>
                        </w:r>
                      </w:p>
                      <w:p>
                        <w:pPr>
                          <w:pStyle w:val="TableParagraph"/>
                          <w:spacing w:line="247" w:lineRule="exact"/>
                          <w:ind w:left="45"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联通兴业</w:t>
                        </w:r>
                        <w:r>
                          <w:rPr>
                            <w:rFonts w:ascii="Arial" w:hAnsi="Arial" w:cs="Arial" w:eastAsia="Arial" w:hint="default"/>
                            <w:sz w:val="18"/>
                            <w:szCs w:val="18"/>
                          </w:rPr>
                          <w:t>”</w:t>
                        </w:r>
                        <w:r>
                          <w:rPr>
                            <w:rFonts w:ascii="宋体" w:hAnsi="宋体" w:cs="宋体" w:eastAsia="宋体" w:hint="default"/>
                            <w:sz w:val="18"/>
                            <w:szCs w:val="18"/>
                          </w:rPr>
                          <w:t>）</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4" w:right="0"/>
                          <w:jc w:val="center"/>
                          <w:rPr>
                            <w:rFonts w:ascii="Arial" w:hAnsi="Arial" w:cs="Arial" w:eastAsia="Arial" w:hint="default"/>
                            <w:sz w:val="18"/>
                            <w:szCs w:val="18"/>
                          </w:rPr>
                        </w:pPr>
                        <w:r>
                          <w:rPr>
                            <w:rFonts w:ascii="Arial"/>
                            <w:sz w:val="18"/>
                          </w:rPr>
                          <w:t>15%</w:t>
                        </w:r>
                      </w:p>
                    </w:tc>
                    <w:tc>
                      <w:tcPr>
                        <w:tcW w:w="142"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7"/>
                          <w:jc w:val="center"/>
                          <w:rPr>
                            <w:rFonts w:ascii="Arial" w:hAnsi="Arial" w:cs="Arial" w:eastAsia="Arial" w:hint="default"/>
                            <w:sz w:val="18"/>
                            <w:szCs w:val="18"/>
                          </w:rPr>
                        </w:pPr>
                        <w:r>
                          <w:rPr>
                            <w:rFonts w:ascii="Arial"/>
                            <w:sz w:val="18"/>
                          </w:rPr>
                          <w:t>15%</w:t>
                        </w:r>
                      </w:p>
                    </w:tc>
                    <w:tc>
                      <w:tcPr>
                        <w:tcW w:w="142"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197"/>
                          <w:ind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7"/>
                            <w:sz w:val="18"/>
                            <w:szCs w:val="18"/>
                          </w:rPr>
                          <w:t> </w:t>
                        </w:r>
                        <w:r>
                          <w:rPr>
                            <w:rFonts w:ascii="宋体" w:hAnsi="宋体" w:cs="宋体" w:eastAsia="宋体" w:hint="default"/>
                            <w:sz w:val="18"/>
                            <w:szCs w:val="18"/>
                          </w:rPr>
                          <w:t>年</w:t>
                        </w:r>
                        <w:r>
                          <w:rPr>
                            <w:rFonts w:ascii="Arial" w:hAnsi="Arial" w:cs="Arial" w:eastAsia="Arial" w:hint="default"/>
                            <w:position w:val="9"/>
                            <w:sz w:val="12"/>
                            <w:szCs w:val="12"/>
                          </w:rPr>
                          <w:t>(1)</w:t>
                        </w:r>
                        <w:r>
                          <w:rPr>
                            <w:rFonts w:ascii="宋体" w:hAnsi="宋体" w:cs="宋体" w:eastAsia="宋体" w:hint="default"/>
                            <w:sz w:val="18"/>
                            <w:szCs w:val="18"/>
                          </w:rPr>
                          <w:t>，有效期三年</w:t>
                        </w:r>
                      </w:p>
                    </w:tc>
                  </w:tr>
                  <w:tr>
                    <w:trPr>
                      <w:trHeight w:val="227"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200" w:lineRule="exact"/>
                          <w:ind w:left="45" w:right="0"/>
                          <w:jc w:val="left"/>
                          <w:rPr>
                            <w:rFonts w:ascii="宋体" w:hAnsi="宋体" w:cs="宋体" w:eastAsia="宋体" w:hint="default"/>
                            <w:sz w:val="18"/>
                            <w:szCs w:val="18"/>
                          </w:rPr>
                        </w:pPr>
                        <w:r>
                          <w:rPr>
                            <w:rFonts w:ascii="宋体" w:hAnsi="宋体" w:cs="宋体" w:eastAsia="宋体" w:hint="default"/>
                            <w:sz w:val="18"/>
                            <w:szCs w:val="18"/>
                          </w:rPr>
                          <w:t>联通信息导航有限公司</w:t>
                        </w:r>
                      </w:p>
                    </w:tc>
                    <w:tc>
                      <w:tcPr>
                        <w:tcW w:w="156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
                    </w:tc>
                  </w:tr>
                  <w:tr>
                    <w:trPr>
                      <w:trHeight w:val="331"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220" w:lineRule="exact"/>
                          <w:ind w:left="45"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联通信息导航</w:t>
                        </w:r>
                        <w:r>
                          <w:rPr>
                            <w:rFonts w:ascii="Arial" w:hAnsi="Arial" w:cs="Arial" w:eastAsia="Arial" w:hint="default"/>
                            <w:sz w:val="18"/>
                            <w:szCs w:val="18"/>
                          </w:rPr>
                          <w:t>”</w:t>
                        </w:r>
                        <w:r>
                          <w:rPr>
                            <w:rFonts w:ascii="宋体" w:hAnsi="宋体" w:cs="宋体" w:eastAsia="宋体" w:hint="default"/>
                            <w:sz w:val="18"/>
                            <w:szCs w:val="18"/>
                          </w:rPr>
                          <w:t>）</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4" w:right="0"/>
                          <w:jc w:val="center"/>
                          <w:rPr>
                            <w:rFonts w:ascii="Arial" w:hAnsi="Arial" w:cs="Arial" w:eastAsia="Arial" w:hint="default"/>
                            <w:sz w:val="18"/>
                            <w:szCs w:val="18"/>
                          </w:rPr>
                        </w:pPr>
                        <w:r>
                          <w:rPr>
                            <w:rFonts w:ascii="Arial"/>
                            <w:sz w:val="18"/>
                          </w:rPr>
                          <w:t>25%</w:t>
                        </w:r>
                      </w:p>
                    </w:tc>
                    <w:tc>
                      <w:tcPr>
                        <w:tcW w:w="142"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
                          <w:jc w:val="center"/>
                          <w:rPr>
                            <w:rFonts w:ascii="Arial" w:hAnsi="Arial" w:cs="Arial" w:eastAsia="Arial" w:hint="default"/>
                            <w:sz w:val="18"/>
                            <w:szCs w:val="18"/>
                          </w:rPr>
                        </w:pPr>
                        <w:r>
                          <w:rPr>
                            <w:rFonts w:ascii="Arial"/>
                            <w:sz w:val="18"/>
                          </w:rPr>
                          <w:t>15%</w:t>
                        </w:r>
                      </w:p>
                    </w:tc>
                    <w:tc>
                      <w:tcPr>
                        <w:tcW w:w="142"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20" w:lineRule="exact"/>
                          <w:ind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5"/>
                            <w:sz w:val="18"/>
                            <w:szCs w:val="18"/>
                          </w:rPr>
                          <w:t> </w:t>
                        </w:r>
                        <w:r>
                          <w:rPr>
                            <w:rFonts w:ascii="宋体" w:hAnsi="宋体" w:cs="宋体" w:eastAsia="宋体" w:hint="default"/>
                            <w:sz w:val="18"/>
                            <w:szCs w:val="18"/>
                          </w:rPr>
                          <w:t>年，有效期三年</w:t>
                        </w:r>
                      </w:p>
                    </w:tc>
                  </w:tr>
                </w:tbl>
                <w:p>
                  <w:pPr/>
                </w:p>
              </w:txbxContent>
            </v:textbox>
            <w10:wrap type="none"/>
          </v:shape>
        </w:pict>
      </w:r>
      <w:r>
        <w:rPr>
          <w:rFonts w:ascii="宋体" w:hAnsi="宋体" w:cs="宋体" w:eastAsia="宋体" w:hint="default"/>
          <w:sz w:val="18"/>
          <w:szCs w:val="18"/>
        </w:rPr>
        <w:t>起始年度及有效期</w:t>
      </w:r>
    </w:p>
    <w:p>
      <w:pPr>
        <w:spacing w:after="0" w:line="234" w:lineRule="exact"/>
        <w:jc w:val="left"/>
        <w:rPr>
          <w:rFonts w:ascii="宋体" w:hAnsi="宋体" w:cs="宋体" w:eastAsia="宋体" w:hint="default"/>
          <w:sz w:val="18"/>
          <w:szCs w:val="18"/>
        </w:rPr>
        <w:sectPr>
          <w:type w:val="continuous"/>
          <w:pgSz w:w="11910" w:h="16840"/>
          <w:pgMar w:top="1580" w:bottom="280" w:left="1280" w:right="780"/>
          <w:cols w:num="2" w:equalWidth="0">
            <w:col w:w="2295" w:space="730"/>
            <w:col w:w="682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40" w:lineRule="auto" w:before="32"/>
        <w:ind w:left="530" w:right="1307"/>
        <w:jc w:val="left"/>
      </w:pPr>
      <w:r>
        <w:rPr/>
        <w:t>注释：</w:t>
      </w:r>
    </w:p>
    <w:p>
      <w:pPr>
        <w:pStyle w:val="BodyText"/>
        <w:spacing w:line="372" w:lineRule="auto" w:before="180"/>
        <w:ind w:left="530" w:right="1307"/>
        <w:jc w:val="left"/>
      </w:pPr>
      <w:r>
        <w:rPr>
          <w:rFonts w:ascii="Arial" w:hAnsi="Arial" w:cs="Arial" w:eastAsia="Arial" w:hint="default"/>
        </w:rPr>
        <w:t>(1) </w:t>
      </w:r>
      <w:r>
        <w:rPr/>
        <w:t>相关子公司原高新技术企业证书到期并于 </w:t>
      </w:r>
      <w:r>
        <w:rPr>
          <w:rFonts w:ascii="Arial" w:hAnsi="Arial" w:cs="Arial" w:eastAsia="Arial" w:hint="default"/>
        </w:rPr>
        <w:t>2014</w:t>
      </w:r>
      <w:r>
        <w:rPr>
          <w:rFonts w:ascii="Arial" w:hAnsi="Arial" w:cs="Arial" w:eastAsia="Arial" w:hint="default"/>
          <w:spacing w:val="-39"/>
        </w:rPr>
        <w:t> </w:t>
      </w:r>
      <w:r>
        <w:rPr/>
        <w:t>年获批新的高新技术企业证书。</w:t>
      </w:r>
      <w:r>
        <w:rPr>
          <w:w w:val="100"/>
        </w:rPr>
        <w:t> </w:t>
      </w:r>
      <w:r>
        <w:rPr/>
        <w:t>联通运营公司所属其余子公司根据所得税法均适用</w:t>
      </w:r>
      <w:r>
        <w:rPr>
          <w:spacing w:val="-61"/>
        </w:rPr>
        <w:t> </w:t>
      </w:r>
      <w:r>
        <w:rPr>
          <w:rFonts w:ascii="Arial" w:hAnsi="Arial" w:cs="Arial" w:eastAsia="Arial" w:hint="default"/>
        </w:rPr>
        <w:t>25%</w:t>
      </w:r>
      <w:r>
        <w:rPr/>
        <w:t>的企业所得税率。</w:t>
      </w:r>
    </w:p>
    <w:p>
      <w:pPr>
        <w:pStyle w:val="BodyText"/>
        <w:spacing w:line="240" w:lineRule="auto" w:before="29"/>
        <w:ind w:left="102" w:right="1307"/>
        <w:jc w:val="left"/>
      </w:pPr>
      <w:r>
        <w:rPr>
          <w:rFonts w:ascii="Arial" w:hAnsi="Arial" w:cs="Arial" w:eastAsia="Arial" w:hint="default"/>
        </w:rPr>
        <w:t>(d) </w:t>
      </w:r>
      <w:r>
        <w:rPr>
          <w:rFonts w:ascii="Arial" w:hAnsi="Arial" w:cs="Arial" w:eastAsia="Arial" w:hint="default"/>
          <w:spacing w:val="26"/>
        </w:rPr>
        <w:t> </w:t>
      </w:r>
      <w:r>
        <w:rPr/>
        <w:t>本集团所属境外子公司所得税</w:t>
      </w:r>
    </w:p>
    <w:p>
      <w:pPr>
        <w:pStyle w:val="BodyText"/>
        <w:spacing w:line="228" w:lineRule="auto" w:before="179"/>
        <w:ind w:left="530" w:right="157"/>
        <w:jc w:val="left"/>
      </w:pPr>
      <w:r>
        <w:rPr/>
        <w:t>根据国务院为所得税法发布的《中华人民共和国企业所得税法实施条例》（</w:t>
      </w:r>
      <w:r>
        <w:rPr>
          <w:rFonts w:ascii="Arial" w:hAnsi="Arial" w:cs="Arial" w:eastAsia="Arial" w:hint="default"/>
        </w:rPr>
        <w:t>“</w:t>
      </w:r>
      <w:r>
        <w:rPr/>
        <w:t>实施条例</w:t>
      </w:r>
      <w:r>
        <w:rPr>
          <w:rFonts w:ascii="Arial" w:hAnsi="Arial" w:cs="Arial" w:eastAsia="Arial" w:hint="default"/>
        </w:rPr>
        <w:t>”</w:t>
      </w:r>
      <w:r>
        <w:rPr/>
        <w:t>）、</w:t>
      </w:r>
      <w:r>
        <w:rPr>
          <w:w w:val="100"/>
        </w:rPr>
        <w:t> </w:t>
      </w:r>
      <w:r>
        <w:rPr/>
        <w:t>财政部及国家税务总局共同发布的《关于企业所得税若干优惠政策的通知》（财税</w:t>
      </w:r>
      <w:r>
        <w:rPr>
          <w:rFonts w:ascii="Arial" w:hAnsi="Arial" w:cs="Arial" w:eastAsia="Arial" w:hint="default"/>
        </w:rPr>
        <w:t>[2008]1</w:t>
      </w:r>
      <w:r>
        <w:rPr>
          <w:rFonts w:ascii="Arial" w:hAnsi="Arial" w:cs="Arial" w:eastAsia="Arial" w:hint="default"/>
          <w:spacing w:val="-14"/>
        </w:rPr>
        <w:t> </w:t>
      </w:r>
      <w:r>
        <w:rPr/>
        <w:t>号）</w:t>
      </w:r>
      <w:r>
        <w:rPr>
          <w:w w:val="100"/>
        </w:rPr>
        <w:t> </w:t>
      </w:r>
      <w:r>
        <w:rPr/>
        <w:t>以及根据国家税务总局</w:t>
      </w:r>
      <w:r>
        <w:rPr>
          <w:spacing w:val="-52"/>
        </w:rPr>
        <w:t> </w:t>
      </w:r>
      <w:r>
        <w:rPr>
          <w:rFonts w:ascii="Arial" w:hAnsi="Arial" w:cs="Arial" w:eastAsia="Arial" w:hint="default"/>
        </w:rPr>
        <w:t>2009</w:t>
      </w:r>
      <w:r>
        <w:rPr>
          <w:rFonts w:ascii="Arial" w:hAnsi="Arial" w:cs="Arial" w:eastAsia="Arial" w:hint="default"/>
          <w:spacing w:val="-4"/>
        </w:rPr>
        <w:t> </w:t>
      </w:r>
      <w:r>
        <w:rPr/>
        <w:t>年</w:t>
      </w:r>
      <w:r>
        <w:rPr>
          <w:spacing w:val="-52"/>
        </w:rPr>
        <w:t> </w:t>
      </w:r>
      <w:r>
        <w:rPr>
          <w:rFonts w:ascii="Arial" w:hAnsi="Arial" w:cs="Arial" w:eastAsia="Arial" w:hint="default"/>
        </w:rPr>
        <w:t>4</w:t>
      </w:r>
      <w:r>
        <w:rPr>
          <w:rFonts w:ascii="Arial" w:hAnsi="Arial" w:cs="Arial" w:eastAsia="Arial" w:hint="default"/>
          <w:spacing w:val="-4"/>
        </w:rPr>
        <w:t> </w:t>
      </w:r>
      <w:r>
        <w:rPr/>
        <w:t>月</w:t>
      </w:r>
      <w:r>
        <w:rPr>
          <w:spacing w:val="-52"/>
        </w:rPr>
        <w:t> </w:t>
      </w:r>
      <w:r>
        <w:rPr>
          <w:rFonts w:ascii="Arial" w:hAnsi="Arial" w:cs="Arial" w:eastAsia="Arial" w:hint="default"/>
        </w:rPr>
        <w:t>22</w:t>
      </w:r>
      <w:r>
        <w:rPr>
          <w:rFonts w:ascii="Arial" w:hAnsi="Arial" w:cs="Arial" w:eastAsia="Arial" w:hint="default"/>
          <w:spacing w:val="-4"/>
        </w:rPr>
        <w:t> </w:t>
      </w:r>
      <w:r>
        <w:rPr>
          <w:spacing w:val="-3"/>
        </w:rPr>
        <w:t>日发布的《关于境外注册中资控股企业依据实际管理机</w:t>
      </w:r>
      <w:r>
        <w:rPr>
          <w:spacing w:val="-105"/>
        </w:rPr>
        <w:t> </w:t>
      </w:r>
      <w:r>
        <w:rPr>
          <w:spacing w:val="-105"/>
        </w:rPr>
      </w:r>
      <w:r>
        <w:rPr/>
        <w:t>构标准认定为居民企业有关问题的通知》等，经主管税务机关批准，本集团的联通红筹公司及</w:t>
      </w:r>
      <w:r>
        <w:rPr>
          <w:spacing w:val="-72"/>
        </w:rPr>
        <w:t> </w:t>
      </w:r>
      <w:r>
        <w:rPr>
          <w:spacing w:val="-72"/>
        </w:rPr>
      </w:r>
      <w:r>
        <w:rPr/>
        <w:t>联通</w:t>
      </w:r>
      <w:r>
        <w:rPr>
          <w:spacing w:val="-56"/>
        </w:rPr>
        <w:t> </w:t>
      </w:r>
      <w:r>
        <w:rPr>
          <w:rFonts w:ascii="Arial" w:hAnsi="Arial" w:cs="Arial" w:eastAsia="Arial" w:hint="default"/>
        </w:rPr>
        <w:t>BVI</w:t>
      </w:r>
      <w:r>
        <w:rPr>
          <w:rFonts w:ascii="Arial" w:hAnsi="Arial" w:cs="Arial" w:eastAsia="Arial" w:hint="default"/>
          <w:spacing w:val="-6"/>
        </w:rPr>
        <w:t> </w:t>
      </w:r>
      <w:r>
        <w:rPr/>
        <w:t>公司从</w:t>
      </w:r>
      <w:r>
        <w:rPr>
          <w:spacing w:val="-56"/>
        </w:rPr>
        <w:t> </w:t>
      </w:r>
      <w:r>
        <w:rPr>
          <w:rFonts w:ascii="Arial" w:hAnsi="Arial" w:cs="Arial" w:eastAsia="Arial" w:hint="default"/>
        </w:rPr>
        <w:t>2008</w:t>
      </w:r>
      <w:r>
        <w:rPr>
          <w:rFonts w:ascii="Arial" w:hAnsi="Arial" w:cs="Arial" w:eastAsia="Arial" w:hint="default"/>
          <w:spacing w:val="-10"/>
        </w:rPr>
        <w:t> </w:t>
      </w:r>
      <w:r>
        <w:rPr/>
        <w:t>年</w:t>
      </w:r>
      <w:r>
        <w:rPr>
          <w:spacing w:val="-58"/>
        </w:rPr>
        <w:t> </w:t>
      </w:r>
      <w:r>
        <w:rPr>
          <w:rFonts w:ascii="Arial" w:hAnsi="Arial" w:cs="Arial" w:eastAsia="Arial" w:hint="default"/>
        </w:rPr>
        <w:t>1</w:t>
      </w:r>
      <w:r>
        <w:rPr>
          <w:rFonts w:ascii="Arial" w:hAnsi="Arial" w:cs="Arial" w:eastAsia="Arial" w:hint="default"/>
          <w:spacing w:val="-8"/>
        </w:rPr>
        <w:t> </w:t>
      </w:r>
      <w:r>
        <w:rPr/>
        <w:t>月</w:t>
      </w:r>
      <w:r>
        <w:rPr>
          <w:spacing w:val="-56"/>
        </w:rPr>
        <w:t> </w:t>
      </w:r>
      <w:r>
        <w:rPr>
          <w:rFonts w:ascii="Arial" w:hAnsi="Arial" w:cs="Arial" w:eastAsia="Arial" w:hint="default"/>
        </w:rPr>
        <w:t>1</w:t>
      </w:r>
      <w:r>
        <w:rPr>
          <w:rFonts w:ascii="Arial" w:hAnsi="Arial" w:cs="Arial" w:eastAsia="Arial" w:hint="default"/>
          <w:spacing w:val="-8"/>
        </w:rPr>
        <w:t> </w:t>
      </w:r>
      <w:r>
        <w:rPr/>
        <w:t>日起被认定为中国居民企业并适用所得税法的相关规定。</w:t>
      </w:r>
    </w:p>
    <w:p>
      <w:pPr>
        <w:spacing w:line="240" w:lineRule="auto" w:before="0"/>
        <w:rPr>
          <w:rFonts w:ascii="宋体" w:hAnsi="宋体" w:cs="宋体" w:eastAsia="宋体" w:hint="default"/>
          <w:sz w:val="19"/>
          <w:szCs w:val="19"/>
        </w:rPr>
      </w:pPr>
    </w:p>
    <w:p>
      <w:pPr>
        <w:pStyle w:val="BodyText"/>
        <w:spacing w:line="230" w:lineRule="auto"/>
        <w:ind w:left="530" w:right="250"/>
        <w:jc w:val="both"/>
      </w:pPr>
      <w:r>
        <w:rPr/>
        <w:t>除联通红筹公司及联通 </w:t>
      </w:r>
      <w:r>
        <w:rPr>
          <w:rFonts w:ascii="Arial" w:hAnsi="Arial" w:cs="Arial" w:eastAsia="Arial" w:hint="default"/>
        </w:rPr>
        <w:t>BVI</w:t>
      </w:r>
      <w:r>
        <w:rPr>
          <w:rFonts w:ascii="Arial" w:hAnsi="Arial" w:cs="Arial" w:eastAsia="Arial" w:hint="default"/>
          <w:spacing w:val="25"/>
        </w:rPr>
        <w:t> </w:t>
      </w:r>
      <w:r>
        <w:rPr/>
        <w:t>公司被认定为居民纳税人企业，亿讯投资有限公司（</w:t>
      </w:r>
      <w:r>
        <w:rPr>
          <w:rFonts w:ascii="Arial" w:hAnsi="Arial" w:cs="Arial" w:eastAsia="Arial" w:hint="default"/>
        </w:rPr>
        <w:t>“</w:t>
      </w:r>
      <w:r>
        <w:rPr/>
        <w:t>亿讯公司</w:t>
      </w:r>
      <w:r>
        <w:rPr>
          <w:rFonts w:ascii="Arial" w:hAnsi="Arial" w:cs="Arial" w:eastAsia="Arial" w:hint="default"/>
        </w:rPr>
        <w:t>”</w:t>
      </w:r>
      <w:r>
        <w:rPr/>
        <w:t>）</w:t>
      </w:r>
      <w:r>
        <w:rPr>
          <w:w w:val="100"/>
        </w:rPr>
        <w:t> </w:t>
      </w:r>
      <w:r>
        <w:rPr/>
        <w:t>在</w:t>
      </w:r>
      <w:r>
        <w:rPr>
          <w:spacing w:val="-50"/>
        </w:rPr>
        <w:t> </w:t>
      </w:r>
      <w:r>
        <w:rPr>
          <w:rFonts w:ascii="Arial" w:hAnsi="Arial" w:cs="Arial" w:eastAsia="Arial" w:hint="default"/>
        </w:rPr>
        <w:t>BVI</w:t>
      </w:r>
      <w:r>
        <w:rPr>
          <w:rFonts w:ascii="Arial" w:hAnsi="Arial" w:cs="Arial" w:eastAsia="Arial" w:hint="default"/>
          <w:spacing w:val="-2"/>
        </w:rPr>
        <w:t> </w:t>
      </w:r>
      <w:r>
        <w:rPr/>
        <w:t>注册并免税外，本集团所属境外子公司（请参见附注七），其企业所得税按其在有关期</w:t>
      </w:r>
      <w:r>
        <w:rPr>
          <w:w w:val="100"/>
        </w:rPr>
        <w:t> </w:t>
      </w:r>
      <w:r>
        <w:rPr>
          <w:spacing w:val="10"/>
        </w:rPr>
        <w:t>间的应纳税所得额以及各公司所在国家或地区的企业所得税率计算，企业所得税率一般在</w:t>
      </w:r>
      <w:r>
        <w:rPr>
          <w:spacing w:val="-17"/>
        </w:rPr>
        <w:t> </w:t>
      </w:r>
      <w:r>
        <w:rPr>
          <w:spacing w:val="-17"/>
        </w:rPr>
      </w:r>
      <w:r>
        <w:rPr>
          <w:rFonts w:ascii="Arial" w:hAnsi="Arial" w:cs="Arial" w:eastAsia="Arial" w:hint="default"/>
        </w:rPr>
        <w:t>16.5%</w:t>
      </w:r>
      <w:r>
        <w:rPr/>
        <w:t>至</w:t>
      </w:r>
      <w:r>
        <w:rPr>
          <w:spacing w:val="-58"/>
        </w:rPr>
        <w:t> </w:t>
      </w:r>
      <w:r>
        <w:rPr>
          <w:rFonts w:ascii="Arial" w:hAnsi="Arial" w:cs="Arial" w:eastAsia="Arial" w:hint="default"/>
        </w:rPr>
        <w:t>34.0%</w:t>
      </w:r>
      <w:r>
        <w:rPr/>
        <w:t>之间。</w:t>
      </w:r>
    </w:p>
    <w:p>
      <w:pPr>
        <w:spacing w:after="0" w:line="230" w:lineRule="auto"/>
        <w:jc w:val="both"/>
        <w:sectPr>
          <w:type w:val="continuous"/>
          <w:pgSz w:w="11910" w:h="16840"/>
          <w:pgMar w:top="1580" w:bottom="280" w:left="1280" w:right="780"/>
        </w:sectPr>
      </w:pPr>
    </w:p>
    <w:p>
      <w:pPr>
        <w:spacing w:line="240" w:lineRule="auto" w:before="7"/>
        <w:rPr>
          <w:rFonts w:ascii="宋体" w:hAnsi="宋体" w:cs="宋体" w:eastAsia="宋体" w:hint="default"/>
          <w:sz w:val="16"/>
          <w:szCs w:val="16"/>
        </w:rPr>
      </w:pPr>
    </w:p>
    <w:p>
      <w:pPr>
        <w:pStyle w:val="BodyText"/>
        <w:spacing w:line="240" w:lineRule="auto" w:before="32"/>
        <w:ind w:left="102"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67"/>
        </w:rPr>
        <w:t> </w:t>
      </w:r>
      <w:r>
        <w:rPr>
          <w:rFonts w:ascii="黑体" w:hAnsi="黑体" w:cs="黑体" w:eastAsia="黑体" w:hint="default"/>
        </w:rPr>
        <w:t>合并财务报表项目附注</w:t>
      </w:r>
    </w:p>
    <w:p>
      <w:pPr>
        <w:spacing w:line="240" w:lineRule="auto" w:before="10"/>
        <w:rPr>
          <w:rFonts w:ascii="黑体" w:hAnsi="黑体" w:cs="黑体" w:eastAsia="黑体" w:hint="default"/>
          <w:sz w:val="16"/>
          <w:szCs w:val="16"/>
        </w:rPr>
      </w:pPr>
    </w:p>
    <w:p>
      <w:pPr>
        <w:pStyle w:val="BodyText"/>
        <w:spacing w:line="240" w:lineRule="auto" w:before="32"/>
        <w:ind w:left="102" w:right="0"/>
        <w:jc w:val="left"/>
      </w:pPr>
      <w:r>
        <w:rPr>
          <w:rFonts w:ascii="Arial" w:hAnsi="Arial" w:cs="Arial" w:eastAsia="Arial" w:hint="default"/>
        </w:rPr>
        <w:t>1</w:t>
      </w:r>
      <w:r>
        <w:rPr/>
        <w:t>、</w:t>
      </w:r>
      <w:r>
        <w:rPr>
          <w:spacing w:val="-31"/>
        </w:rPr>
        <w:t> </w:t>
      </w:r>
      <w:r>
        <w:rPr/>
        <w:t>货币资金</w:t>
      </w:r>
    </w:p>
    <w:p>
      <w:pPr>
        <w:spacing w:line="240" w:lineRule="auto" w:before="10"/>
        <w:rPr>
          <w:rFonts w:ascii="宋体" w:hAnsi="宋体" w:cs="宋体" w:eastAsia="宋体" w:hint="default"/>
          <w:sz w:val="3"/>
          <w:szCs w:val="3"/>
        </w:rPr>
      </w:pPr>
    </w:p>
    <w:tbl>
      <w:tblPr>
        <w:tblW w:w="0" w:type="auto"/>
        <w:jc w:val="left"/>
        <w:tblInd w:w="344" w:type="dxa"/>
        <w:tblLayout w:type="fixed"/>
        <w:tblCellMar>
          <w:top w:w="0" w:type="dxa"/>
          <w:left w:w="0" w:type="dxa"/>
          <w:bottom w:w="0" w:type="dxa"/>
          <w:right w:w="0" w:type="dxa"/>
        </w:tblCellMar>
        <w:tblLook w:val="01E0"/>
      </w:tblPr>
      <w:tblGrid>
        <w:gridCol w:w="4391"/>
        <w:gridCol w:w="2372"/>
        <w:gridCol w:w="101"/>
        <w:gridCol w:w="2391"/>
      </w:tblGrid>
      <w:tr>
        <w:trPr>
          <w:trHeight w:val="262" w:hRule="exact"/>
        </w:trPr>
        <w:tc>
          <w:tcPr>
            <w:tcW w:w="4391"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single" w:sz="6" w:space="0" w:color="000000"/>
              <w:right w:val="nil" w:sz="6" w:space="0" w:color="auto"/>
            </w:tcBorders>
          </w:tcPr>
          <w:p>
            <w:pPr>
              <w:pStyle w:val="TableParagraph"/>
              <w:spacing w:line="236" w:lineRule="exact"/>
              <w:ind w:right="35"/>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01"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single" w:sz="6" w:space="0" w:color="000000"/>
              <w:right w:val="nil" w:sz="6" w:space="0" w:color="auto"/>
            </w:tcBorders>
          </w:tcPr>
          <w:p>
            <w:pPr>
              <w:pStyle w:val="TableParagraph"/>
              <w:spacing w:line="236" w:lineRule="exact"/>
              <w:ind w:right="31"/>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12" w:hRule="exact"/>
        </w:trPr>
        <w:tc>
          <w:tcPr>
            <w:tcW w:w="4391"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6" w:right="0"/>
              <w:jc w:val="left"/>
              <w:rPr>
                <w:rFonts w:ascii="宋体" w:hAnsi="宋体" w:cs="宋体" w:eastAsia="宋体" w:hint="default"/>
                <w:sz w:val="22"/>
                <w:szCs w:val="22"/>
              </w:rPr>
            </w:pPr>
            <w:r>
              <w:rPr>
                <w:rFonts w:ascii="宋体" w:hAnsi="宋体" w:cs="宋体" w:eastAsia="宋体" w:hint="default"/>
                <w:sz w:val="22"/>
                <w:szCs w:val="22"/>
              </w:rPr>
              <w:t>库存现金</w:t>
            </w:r>
          </w:p>
        </w:tc>
        <w:tc>
          <w:tcPr>
            <w:tcW w:w="2372"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4"/>
              <w:jc w:val="right"/>
              <w:rPr>
                <w:rFonts w:ascii="Arial" w:hAnsi="Arial" w:cs="Arial" w:eastAsia="Arial" w:hint="default"/>
                <w:sz w:val="22"/>
                <w:szCs w:val="22"/>
              </w:rPr>
            </w:pPr>
            <w:r>
              <w:rPr>
                <w:rFonts w:ascii="Arial"/>
                <w:sz w:val="22"/>
              </w:rPr>
              <w:t>3,339,741</w:t>
            </w:r>
          </w:p>
        </w:tc>
        <w:tc>
          <w:tcPr>
            <w:tcW w:w="101" w:type="dxa"/>
            <w:tcBorders>
              <w:top w:val="nil" w:sz="6" w:space="0" w:color="auto"/>
              <w:left w:val="nil" w:sz="6" w:space="0" w:color="auto"/>
              <w:bottom w:val="nil" w:sz="6" w:space="0" w:color="auto"/>
              <w:right w:val="nil" w:sz="6" w:space="0" w:color="auto"/>
            </w:tcBorders>
          </w:tcPr>
          <w:p>
            <w:pPr/>
          </w:p>
        </w:tc>
        <w:tc>
          <w:tcPr>
            <w:tcW w:w="2391"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63" w:right="0"/>
              <w:jc w:val="left"/>
              <w:rPr>
                <w:rFonts w:ascii="Arial" w:hAnsi="Arial" w:cs="Arial" w:eastAsia="Arial" w:hint="default"/>
                <w:sz w:val="22"/>
                <w:szCs w:val="22"/>
              </w:rPr>
            </w:pPr>
            <w:r>
              <w:rPr>
                <w:rFonts w:ascii="Arial"/>
                <w:sz w:val="22"/>
              </w:rPr>
              <w:t>3,124,700</w:t>
            </w:r>
          </w:p>
        </w:tc>
      </w:tr>
      <w:tr>
        <w:trPr>
          <w:trHeight w:val="286" w:hRule="exact"/>
        </w:trPr>
        <w:tc>
          <w:tcPr>
            <w:tcW w:w="4391" w:type="dxa"/>
            <w:tcBorders>
              <w:top w:val="nil" w:sz="6" w:space="0" w:color="auto"/>
              <w:left w:val="nil" w:sz="6" w:space="0" w:color="auto"/>
              <w:bottom w:val="nil" w:sz="6" w:space="0" w:color="auto"/>
              <w:right w:val="nil" w:sz="6" w:space="0" w:color="auto"/>
            </w:tcBorders>
          </w:tcPr>
          <w:p>
            <w:pPr>
              <w:pStyle w:val="TableParagraph"/>
              <w:spacing w:line="255" w:lineRule="exact"/>
              <w:ind w:left="216" w:right="0"/>
              <w:jc w:val="left"/>
              <w:rPr>
                <w:rFonts w:ascii="宋体" w:hAnsi="宋体" w:cs="宋体" w:eastAsia="宋体" w:hint="default"/>
                <w:sz w:val="22"/>
                <w:szCs w:val="22"/>
              </w:rPr>
            </w:pPr>
            <w:r>
              <w:rPr>
                <w:rFonts w:ascii="Arial" w:hAnsi="Arial" w:cs="Arial" w:eastAsia="Arial" w:hint="default"/>
                <w:sz w:val="22"/>
                <w:szCs w:val="22"/>
              </w:rPr>
              <w:t>3</w:t>
            </w:r>
            <w:r>
              <w:rPr>
                <w:rFonts w:ascii="Arial" w:hAnsi="Arial" w:cs="Arial" w:eastAsia="Arial" w:hint="default"/>
                <w:spacing w:val="-7"/>
                <w:sz w:val="22"/>
                <w:szCs w:val="22"/>
              </w:rPr>
              <w:t> </w:t>
            </w:r>
            <w:r>
              <w:rPr>
                <w:rFonts w:ascii="宋体" w:hAnsi="宋体" w:cs="宋体" w:eastAsia="宋体" w:hint="default"/>
                <w:sz w:val="22"/>
                <w:szCs w:val="22"/>
              </w:rPr>
              <w:t>个月以下银行存款</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4"/>
              <w:jc w:val="right"/>
              <w:rPr>
                <w:rFonts w:ascii="Arial" w:hAnsi="Arial" w:cs="Arial" w:eastAsia="Arial" w:hint="default"/>
                <w:sz w:val="22"/>
                <w:szCs w:val="22"/>
              </w:rPr>
            </w:pPr>
            <w:r>
              <w:rPr>
                <w:rFonts w:ascii="Arial"/>
                <w:spacing w:val="-1"/>
                <w:sz w:val="22"/>
              </w:rPr>
              <w:t>24,924,513,440</w:t>
            </w:r>
          </w:p>
        </w:tc>
        <w:tc>
          <w:tcPr>
            <w:tcW w:w="101"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15" w:right="0"/>
              <w:jc w:val="left"/>
              <w:rPr>
                <w:rFonts w:ascii="Arial" w:hAnsi="Arial" w:cs="Arial" w:eastAsia="Arial" w:hint="default"/>
                <w:sz w:val="22"/>
                <w:szCs w:val="22"/>
              </w:rPr>
            </w:pPr>
            <w:r>
              <w:rPr>
                <w:rFonts w:ascii="Arial"/>
                <w:sz w:val="22"/>
              </w:rPr>
              <w:t>21,219,217,032</w:t>
            </w:r>
          </w:p>
        </w:tc>
      </w:tr>
      <w:tr>
        <w:trPr>
          <w:trHeight w:val="430" w:hRule="exact"/>
        </w:trPr>
        <w:tc>
          <w:tcPr>
            <w:tcW w:w="4391" w:type="dxa"/>
            <w:tcBorders>
              <w:top w:val="nil" w:sz="6" w:space="0" w:color="auto"/>
              <w:left w:val="nil" w:sz="6" w:space="0" w:color="auto"/>
              <w:bottom w:val="nil" w:sz="6" w:space="0" w:color="auto"/>
              <w:right w:val="nil" w:sz="6" w:space="0" w:color="auto"/>
            </w:tcBorders>
          </w:tcPr>
          <w:p>
            <w:pPr>
              <w:pStyle w:val="TableParagraph"/>
              <w:spacing w:line="239" w:lineRule="exact"/>
              <w:ind w:left="216"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372" w:type="dxa"/>
            <w:tcBorders>
              <w:top w:val="nil" w:sz="6" w:space="0" w:color="auto"/>
              <w:left w:val="nil" w:sz="6" w:space="0" w:color="auto"/>
              <w:bottom w:val="nil" w:sz="6" w:space="0" w:color="auto"/>
              <w:right w:val="nil" w:sz="6" w:space="0" w:color="auto"/>
            </w:tcBorders>
          </w:tcPr>
          <w:p>
            <w:pPr>
              <w:pStyle w:val="TableParagraph"/>
              <w:tabs>
                <w:tab w:pos="1017" w:val="left" w:leader="none"/>
                <w:tab w:pos="2371"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416,260,926</w:t>
              <w:tab/>
            </w:r>
            <w:r>
              <w:rPr>
                <w:rFonts w:ascii="Arial"/>
                <w:spacing w:val="-1"/>
                <w:sz w:val="22"/>
              </w:rPr>
            </w:r>
          </w:p>
        </w:tc>
        <w:tc>
          <w:tcPr>
            <w:tcW w:w="101"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tabs>
                <w:tab w:pos="1020" w:val="left" w:leader="none"/>
                <w:tab w:pos="2390"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312,513,216</w:t>
              <w:tab/>
            </w:r>
            <w:r>
              <w:rPr>
                <w:rFonts w:ascii="Arial"/>
                <w:spacing w:val="-1"/>
                <w:sz w:val="22"/>
              </w:rPr>
            </w:r>
          </w:p>
        </w:tc>
      </w:tr>
      <w:tr>
        <w:trPr>
          <w:trHeight w:val="563" w:hRule="exact"/>
        </w:trPr>
        <w:tc>
          <w:tcPr>
            <w:tcW w:w="439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00" w:right="0"/>
              <w:jc w:val="left"/>
              <w:rPr>
                <w:rFonts w:ascii="宋体" w:hAnsi="宋体" w:cs="宋体" w:eastAsia="宋体" w:hint="default"/>
                <w:sz w:val="22"/>
                <w:szCs w:val="22"/>
              </w:rPr>
            </w:pPr>
            <w:r>
              <w:rPr>
                <w:rFonts w:ascii="宋体" w:hAnsi="宋体" w:cs="宋体" w:eastAsia="宋体" w:hint="default"/>
                <w:sz w:val="22"/>
                <w:szCs w:val="22"/>
              </w:rPr>
              <w:t>现金及现金等价物小计</w:t>
            </w:r>
          </w:p>
        </w:tc>
        <w:tc>
          <w:tcPr>
            <w:tcW w:w="2372" w:type="dxa"/>
            <w:tcBorders>
              <w:top w:val="nil" w:sz="6" w:space="0" w:color="auto"/>
              <w:left w:val="nil" w:sz="6" w:space="0" w:color="auto"/>
              <w:bottom w:val="nil" w:sz="6" w:space="0" w:color="auto"/>
              <w:right w:val="nil" w:sz="6" w:space="0" w:color="auto"/>
            </w:tcBorders>
          </w:tcPr>
          <w:p>
            <w:pPr>
              <w:pStyle w:val="TableParagraph"/>
              <w:tabs>
                <w:tab w:pos="713" w:val="left" w:leader="none"/>
                <w:tab w:pos="2371" w:val="left" w:leader="none"/>
              </w:tabs>
              <w:spacing w:line="240" w:lineRule="auto" w:before="165"/>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25,344,114,107</w:t>
              <w:tab/>
            </w:r>
            <w:r>
              <w:rPr>
                <w:rFonts w:ascii="Arial"/>
                <w:spacing w:val="-1"/>
                <w:sz w:val="22"/>
              </w:rPr>
            </w:r>
          </w:p>
        </w:tc>
        <w:tc>
          <w:tcPr>
            <w:tcW w:w="101"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tabs>
                <w:tab w:pos="715" w:val="left" w:leader="none"/>
                <w:tab w:pos="2390" w:val="left" w:leader="none"/>
              </w:tabs>
              <w:spacing w:line="240" w:lineRule="auto" w:before="165"/>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21,534,854,948</w:t>
              <w:tab/>
            </w:r>
            <w:r>
              <w:rPr>
                <w:rFonts w:ascii="Arial"/>
                <w:spacing w:val="-1"/>
                <w:sz w:val="22"/>
              </w:rPr>
            </w:r>
          </w:p>
        </w:tc>
      </w:tr>
      <w:tr>
        <w:trPr>
          <w:trHeight w:val="547" w:hRule="exact"/>
        </w:trPr>
        <w:tc>
          <w:tcPr>
            <w:tcW w:w="439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16" w:right="0"/>
              <w:jc w:val="left"/>
              <w:rPr>
                <w:rFonts w:ascii="宋体" w:hAnsi="宋体" w:cs="宋体" w:eastAsia="宋体" w:hint="default"/>
                <w:sz w:val="22"/>
                <w:szCs w:val="22"/>
              </w:rPr>
            </w:pPr>
            <w:r>
              <w:rPr>
                <w:rFonts w:ascii="Arial" w:hAnsi="Arial" w:cs="Arial" w:eastAsia="Arial" w:hint="default"/>
                <w:sz w:val="22"/>
                <w:szCs w:val="22"/>
              </w:rPr>
              <w:t>3</w:t>
            </w:r>
            <w:r>
              <w:rPr>
                <w:rFonts w:ascii="Arial" w:hAnsi="Arial" w:cs="Arial" w:eastAsia="Arial" w:hint="default"/>
                <w:spacing w:val="-7"/>
                <w:sz w:val="22"/>
                <w:szCs w:val="22"/>
              </w:rPr>
              <w:t> </w:t>
            </w:r>
            <w:r>
              <w:rPr>
                <w:rFonts w:ascii="宋体" w:hAnsi="宋体" w:cs="宋体" w:eastAsia="宋体" w:hint="default"/>
                <w:sz w:val="22"/>
                <w:szCs w:val="22"/>
              </w:rPr>
              <w:t>个月以上定期存款</w:t>
            </w:r>
          </w:p>
        </w:tc>
        <w:tc>
          <w:tcPr>
            <w:tcW w:w="2372" w:type="dxa"/>
            <w:tcBorders>
              <w:top w:val="nil" w:sz="6" w:space="0" w:color="auto"/>
              <w:left w:val="nil" w:sz="6" w:space="0" w:color="auto"/>
              <w:bottom w:val="nil" w:sz="6" w:space="0" w:color="auto"/>
              <w:right w:val="nil" w:sz="6" w:space="0" w:color="auto"/>
            </w:tcBorders>
          </w:tcPr>
          <w:p>
            <w:pPr>
              <w:pStyle w:val="TableParagraph"/>
              <w:tabs>
                <w:tab w:pos="1140" w:val="left" w:leader="none"/>
                <w:tab w:pos="2371" w:val="left" w:leader="none"/>
              </w:tabs>
              <w:spacing w:line="240" w:lineRule="auto" w:before="149"/>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30,000,076</w:t>
              <w:tab/>
            </w:r>
            <w:r>
              <w:rPr>
                <w:rFonts w:ascii="Arial"/>
                <w:spacing w:val="-1"/>
                <w:sz w:val="22"/>
              </w:rPr>
            </w:r>
          </w:p>
        </w:tc>
        <w:tc>
          <w:tcPr>
            <w:tcW w:w="101"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tabs>
                <w:tab w:pos="1142" w:val="left" w:leader="none"/>
                <w:tab w:pos="2390" w:val="left" w:leader="none"/>
              </w:tabs>
              <w:spacing w:line="240" w:lineRule="auto" w:before="149"/>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30,000,076</w:t>
              <w:tab/>
            </w:r>
            <w:r>
              <w:rPr>
                <w:rFonts w:ascii="Arial"/>
                <w:spacing w:val="-1"/>
                <w:sz w:val="22"/>
              </w:rPr>
            </w:r>
          </w:p>
        </w:tc>
      </w:tr>
      <w:tr>
        <w:trPr>
          <w:trHeight w:val="550" w:hRule="exact"/>
        </w:trPr>
        <w:tc>
          <w:tcPr>
            <w:tcW w:w="439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16" w:right="0"/>
              <w:jc w:val="left"/>
              <w:rPr>
                <w:rFonts w:ascii="宋体" w:hAnsi="宋体" w:cs="宋体" w:eastAsia="宋体" w:hint="default"/>
                <w:sz w:val="22"/>
                <w:szCs w:val="22"/>
              </w:rPr>
            </w:pPr>
            <w:r>
              <w:rPr>
                <w:rFonts w:ascii="宋体" w:hAnsi="宋体" w:cs="宋体" w:eastAsia="宋体" w:hint="default"/>
                <w:sz w:val="22"/>
                <w:szCs w:val="22"/>
              </w:rPr>
              <w:t>受到限制的银行存款</w:t>
            </w:r>
          </w:p>
        </w:tc>
        <w:tc>
          <w:tcPr>
            <w:tcW w:w="2372" w:type="dxa"/>
            <w:tcBorders>
              <w:top w:val="nil" w:sz="6" w:space="0" w:color="auto"/>
              <w:left w:val="nil" w:sz="6" w:space="0" w:color="auto"/>
              <w:bottom w:val="nil" w:sz="6" w:space="0" w:color="auto"/>
              <w:right w:val="nil" w:sz="6" w:space="0" w:color="auto"/>
            </w:tcBorders>
          </w:tcPr>
          <w:p>
            <w:pPr>
              <w:pStyle w:val="TableParagraph"/>
              <w:tabs>
                <w:tab w:pos="1140" w:val="left" w:leader="none"/>
                <w:tab w:pos="2371" w:val="left" w:leader="none"/>
              </w:tabs>
              <w:spacing w:line="240" w:lineRule="auto" w:before="152"/>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25,564,467</w:t>
              <w:tab/>
            </w:r>
            <w:r>
              <w:rPr>
                <w:rFonts w:ascii="Arial"/>
                <w:spacing w:val="-1"/>
                <w:sz w:val="22"/>
              </w:rPr>
            </w:r>
          </w:p>
        </w:tc>
        <w:tc>
          <w:tcPr>
            <w:tcW w:w="101"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tabs>
                <w:tab w:pos="1142" w:val="left" w:leader="none"/>
                <w:tab w:pos="2390" w:val="left" w:leader="none"/>
              </w:tabs>
              <w:spacing w:line="240" w:lineRule="auto" w:before="152"/>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24,205,573</w:t>
              <w:tab/>
            </w:r>
            <w:r>
              <w:rPr>
                <w:rFonts w:ascii="Arial"/>
                <w:spacing w:val="-1"/>
                <w:sz w:val="22"/>
              </w:rPr>
            </w:r>
          </w:p>
        </w:tc>
      </w:tr>
      <w:tr>
        <w:trPr>
          <w:trHeight w:val="558" w:hRule="exact"/>
        </w:trPr>
        <w:tc>
          <w:tcPr>
            <w:tcW w:w="439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1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72" w:type="dxa"/>
            <w:tcBorders>
              <w:top w:val="nil" w:sz="6" w:space="0" w:color="auto"/>
              <w:left w:val="nil" w:sz="6" w:space="0" w:color="auto"/>
              <w:bottom w:val="nil" w:sz="6" w:space="0" w:color="auto"/>
              <w:right w:val="nil" w:sz="6" w:space="0" w:color="auto"/>
            </w:tcBorders>
          </w:tcPr>
          <w:p>
            <w:pPr>
              <w:pStyle w:val="TableParagraph"/>
              <w:tabs>
                <w:tab w:pos="713" w:val="left" w:leader="none"/>
                <w:tab w:pos="2371" w:val="left" w:leader="none"/>
              </w:tabs>
              <w:spacing w:line="240" w:lineRule="auto" w:before="149"/>
              <w:ind w:right="0"/>
              <w:jc w:val="right"/>
              <w:rPr>
                <w:rFonts w:ascii="Arial" w:hAnsi="Arial" w:cs="Arial" w:eastAsia="Arial" w:hint="default"/>
                <w:sz w:val="22"/>
                <w:szCs w:val="22"/>
              </w:rPr>
            </w:pPr>
            <w:r>
              <w:rPr>
                <w:rFonts w:ascii="Arial"/>
                <w:w w:val="100"/>
                <w:sz w:val="22"/>
              </w:rPr>
            </w:r>
            <w:r>
              <w:rPr>
                <w:rFonts w:ascii="Arial"/>
                <w:w w:val="100"/>
                <w:sz w:val="22"/>
                <w:u w:val="thick" w:color="000000"/>
              </w:rPr>
              <w:t> </w:t>
            </w:r>
            <w:r>
              <w:rPr>
                <w:rFonts w:ascii="Arial"/>
                <w:sz w:val="22"/>
                <w:u w:val="thick" w:color="000000"/>
              </w:rPr>
              <w:tab/>
            </w:r>
            <w:r>
              <w:rPr>
                <w:rFonts w:ascii="Arial"/>
                <w:spacing w:val="-1"/>
                <w:sz w:val="22"/>
                <w:u w:val="thick" w:color="000000"/>
              </w:rPr>
              <w:t>25,399,678,650</w:t>
              <w:tab/>
            </w:r>
            <w:r>
              <w:rPr>
                <w:rFonts w:ascii="Arial"/>
                <w:spacing w:val="-1"/>
                <w:sz w:val="22"/>
              </w:rPr>
            </w:r>
          </w:p>
        </w:tc>
        <w:tc>
          <w:tcPr>
            <w:tcW w:w="101"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tabs>
                <w:tab w:pos="715" w:val="left" w:leader="none"/>
                <w:tab w:pos="2390" w:val="left" w:leader="none"/>
              </w:tabs>
              <w:spacing w:line="240" w:lineRule="auto" w:before="149"/>
              <w:ind w:right="0"/>
              <w:jc w:val="right"/>
              <w:rPr>
                <w:rFonts w:ascii="Arial" w:hAnsi="Arial" w:cs="Arial" w:eastAsia="Arial" w:hint="default"/>
                <w:sz w:val="22"/>
                <w:szCs w:val="22"/>
              </w:rPr>
            </w:pPr>
            <w:r>
              <w:rPr>
                <w:rFonts w:ascii="Arial"/>
                <w:w w:val="100"/>
                <w:sz w:val="22"/>
              </w:rPr>
            </w:r>
            <w:r>
              <w:rPr>
                <w:rFonts w:ascii="Arial"/>
                <w:w w:val="100"/>
                <w:sz w:val="22"/>
                <w:u w:val="thick" w:color="000000"/>
              </w:rPr>
              <w:t> </w:t>
            </w:r>
            <w:r>
              <w:rPr>
                <w:rFonts w:ascii="Arial"/>
                <w:sz w:val="22"/>
                <w:u w:val="thick" w:color="000000"/>
              </w:rPr>
              <w:tab/>
            </w:r>
            <w:r>
              <w:rPr>
                <w:rFonts w:ascii="Arial"/>
                <w:spacing w:val="-1"/>
                <w:sz w:val="22"/>
                <w:u w:val="thick" w:color="000000"/>
              </w:rPr>
              <w:t>21,589,060,597</w:t>
              <w:tab/>
            </w:r>
            <w:r>
              <w:rPr>
                <w:rFonts w:ascii="Arial"/>
                <w:spacing w:val="-1"/>
                <w:sz w:val="22"/>
              </w:rPr>
            </w:r>
          </w:p>
        </w:tc>
      </w:tr>
      <w:tr>
        <w:trPr>
          <w:trHeight w:val="409" w:hRule="exact"/>
        </w:trPr>
        <w:tc>
          <w:tcPr>
            <w:tcW w:w="439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16" w:right="0"/>
              <w:jc w:val="left"/>
              <w:rPr>
                <w:rFonts w:ascii="宋体" w:hAnsi="宋体" w:cs="宋体" w:eastAsia="宋体" w:hint="default"/>
                <w:sz w:val="22"/>
                <w:szCs w:val="22"/>
              </w:rPr>
            </w:pPr>
            <w:r>
              <w:rPr>
                <w:rFonts w:ascii="宋体" w:hAnsi="宋体" w:cs="宋体" w:eastAsia="宋体" w:hint="default"/>
                <w:sz w:val="22"/>
                <w:szCs w:val="22"/>
              </w:rPr>
              <w:t>其中：存放在境外的款项总额</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24"/>
              <w:jc w:val="right"/>
              <w:rPr>
                <w:rFonts w:ascii="Arial" w:hAnsi="Arial" w:cs="Arial" w:eastAsia="Arial" w:hint="default"/>
                <w:sz w:val="22"/>
                <w:szCs w:val="22"/>
              </w:rPr>
            </w:pPr>
            <w:r>
              <w:rPr>
                <w:rFonts w:ascii="Arial"/>
                <w:spacing w:val="-1"/>
                <w:sz w:val="22"/>
              </w:rPr>
              <w:t>2,299,657,847</w:t>
            </w:r>
          </w:p>
        </w:tc>
        <w:tc>
          <w:tcPr>
            <w:tcW w:w="101"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837" w:right="0"/>
              <w:jc w:val="left"/>
              <w:rPr>
                <w:rFonts w:ascii="Arial" w:hAnsi="Arial" w:cs="Arial" w:eastAsia="Arial" w:hint="default"/>
                <w:sz w:val="22"/>
                <w:szCs w:val="22"/>
              </w:rPr>
            </w:pPr>
            <w:r>
              <w:rPr>
                <w:rFonts w:ascii="Arial"/>
                <w:sz w:val="22"/>
              </w:rPr>
              <w:t>1,569,526,677</w:t>
            </w:r>
          </w:p>
        </w:tc>
      </w:tr>
    </w:tbl>
    <w:p>
      <w:pPr>
        <w:spacing w:line="240" w:lineRule="auto" w:before="6"/>
        <w:rPr>
          <w:rFonts w:ascii="宋体" w:hAnsi="宋体" w:cs="宋体" w:eastAsia="宋体" w:hint="default"/>
          <w:sz w:val="14"/>
          <w:szCs w:val="14"/>
        </w:rPr>
      </w:pPr>
    </w:p>
    <w:p>
      <w:pPr>
        <w:pStyle w:val="BodyText"/>
        <w:spacing w:line="295" w:lineRule="exact" w:before="32"/>
        <w:ind w:left="551" w:right="0"/>
        <w:jc w:val="left"/>
      </w:pPr>
      <w:r>
        <w:rPr/>
        <w:t>于</w:t>
      </w:r>
      <w:r>
        <w:rPr>
          <w:spacing w:val="-55"/>
        </w:rPr>
        <w:t> </w:t>
      </w:r>
      <w:r>
        <w:rPr>
          <w:rFonts w:ascii="Arial" w:hAnsi="Arial" w:cs="Arial" w:eastAsia="Arial" w:hint="default"/>
        </w:rPr>
        <w:t>2014</w:t>
      </w:r>
      <w:r>
        <w:rPr>
          <w:rFonts w:ascii="Arial" w:hAnsi="Arial" w:cs="Arial" w:eastAsia="Arial" w:hint="default"/>
          <w:spacing w:val="-7"/>
        </w:rPr>
        <w:t> </w:t>
      </w:r>
      <w:r>
        <w:rPr/>
        <w:t>年</w:t>
      </w:r>
      <w:r>
        <w:rPr>
          <w:spacing w:val="-55"/>
        </w:rPr>
        <w:t> </w:t>
      </w:r>
      <w:r>
        <w:rPr>
          <w:rFonts w:ascii="Arial" w:hAnsi="Arial" w:cs="Arial" w:eastAsia="Arial" w:hint="default"/>
        </w:rPr>
        <w:t>12</w:t>
      </w:r>
      <w:r>
        <w:rPr>
          <w:rFonts w:ascii="Arial" w:hAnsi="Arial" w:cs="Arial" w:eastAsia="Arial" w:hint="default"/>
          <w:spacing w:val="-7"/>
        </w:rPr>
        <w:t> </w:t>
      </w:r>
      <w:r>
        <w:rPr/>
        <w:t>月</w:t>
      </w:r>
      <w:r>
        <w:rPr>
          <w:spacing w:val="-55"/>
        </w:rPr>
        <w:t> </w:t>
      </w:r>
      <w:r>
        <w:rPr>
          <w:rFonts w:ascii="Arial" w:hAnsi="Arial" w:cs="Arial" w:eastAsia="Arial" w:hint="default"/>
        </w:rPr>
        <w:t>31</w:t>
      </w:r>
      <w:r>
        <w:rPr>
          <w:rFonts w:ascii="Arial" w:hAnsi="Arial" w:cs="Arial" w:eastAsia="Arial" w:hint="default"/>
          <w:spacing w:val="-7"/>
        </w:rPr>
        <w:t> </w:t>
      </w:r>
      <w:r>
        <w:rPr/>
        <w:t>日，本集团受限制的银行存款约人民币</w:t>
      </w:r>
      <w:r>
        <w:rPr>
          <w:spacing w:val="-54"/>
        </w:rPr>
        <w:t> </w:t>
      </w:r>
      <w:r>
        <w:rPr>
          <w:rFonts w:ascii="Arial" w:hAnsi="Arial" w:cs="Arial" w:eastAsia="Arial" w:hint="default"/>
        </w:rPr>
        <w:t>2,556</w:t>
      </w:r>
      <w:r>
        <w:rPr>
          <w:rFonts w:ascii="Arial" w:hAnsi="Arial" w:cs="Arial" w:eastAsia="Arial" w:hint="default"/>
          <w:spacing w:val="-7"/>
        </w:rPr>
        <w:t> </w:t>
      </w:r>
      <w:r>
        <w:rPr/>
        <w:t>万元是用作物业保证金及工</w:t>
      </w:r>
    </w:p>
    <w:p>
      <w:pPr>
        <w:pStyle w:val="BodyText"/>
        <w:spacing w:line="295" w:lineRule="exact"/>
        <w:ind w:left="551" w:right="0"/>
        <w:jc w:val="left"/>
      </w:pPr>
      <w:r>
        <w:rPr/>
        <w:t>程保证金而受限使用的银行存款（</w:t>
      </w:r>
      <w:r>
        <w:rPr>
          <w:rFonts w:ascii="Arial" w:hAnsi="Arial" w:cs="Arial" w:eastAsia="Arial" w:hint="default"/>
        </w:rPr>
        <w:t>2013</w:t>
      </w:r>
      <w:r>
        <w:rPr>
          <w:rFonts w:ascii="Arial" w:hAnsi="Arial" w:cs="Arial" w:eastAsia="Arial" w:hint="default"/>
          <w:spacing w:val="-10"/>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日：约人民币</w:t>
      </w:r>
      <w:r>
        <w:rPr>
          <w:spacing w:val="-56"/>
        </w:rPr>
        <w:t> </w:t>
      </w:r>
      <w:r>
        <w:rPr>
          <w:rFonts w:ascii="Arial" w:hAnsi="Arial" w:cs="Arial" w:eastAsia="Arial" w:hint="default"/>
        </w:rPr>
        <w:t>2,421</w:t>
      </w:r>
      <w:r>
        <w:rPr>
          <w:rFonts w:ascii="Arial" w:hAnsi="Arial" w:cs="Arial" w:eastAsia="Arial" w:hint="default"/>
          <w:spacing w:val="-8"/>
        </w:rPr>
        <w:t> </w:t>
      </w:r>
      <w:r>
        <w:rPr/>
        <w:t>万元）。</w:t>
      </w:r>
    </w:p>
    <w:p>
      <w:pPr>
        <w:spacing w:line="240" w:lineRule="auto" w:before="12"/>
        <w:rPr>
          <w:rFonts w:ascii="宋体" w:hAnsi="宋体" w:cs="宋体" w:eastAsia="宋体" w:hint="default"/>
          <w:sz w:val="17"/>
          <w:szCs w:val="17"/>
        </w:rPr>
      </w:pPr>
    </w:p>
    <w:p>
      <w:pPr>
        <w:pStyle w:val="BodyText"/>
        <w:spacing w:line="240" w:lineRule="auto"/>
        <w:ind w:left="530" w:right="0"/>
        <w:jc w:val="left"/>
      </w:pPr>
      <w:r>
        <w:rPr/>
        <w:t>于</w:t>
      </w:r>
      <w:r>
        <w:rPr>
          <w:spacing w:val="-56"/>
        </w:rPr>
        <w:t> </w:t>
      </w:r>
      <w:r>
        <w:rPr>
          <w:rFonts w:ascii="Arial" w:hAnsi="Arial" w:cs="Arial" w:eastAsia="Arial" w:hint="default"/>
        </w:rPr>
        <w:t>2014</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日，本集团存放在境外的资金均无汇回限制。</w:t>
      </w:r>
    </w:p>
    <w:p>
      <w:pPr>
        <w:pStyle w:val="BodyText"/>
        <w:spacing w:line="240" w:lineRule="auto" w:before="167"/>
        <w:ind w:left="158" w:right="0"/>
        <w:jc w:val="left"/>
      </w:pPr>
      <w:r>
        <w:rPr>
          <w:rFonts w:ascii="Arial" w:hAnsi="Arial" w:cs="Arial" w:eastAsia="Arial" w:hint="default"/>
        </w:rPr>
        <w:t>2</w:t>
      </w:r>
      <w:r>
        <w:rPr/>
        <w:t>、</w:t>
      </w:r>
      <w:r>
        <w:rPr>
          <w:spacing w:val="-38"/>
        </w:rPr>
        <w:t> </w:t>
      </w:r>
      <w:r>
        <w:rPr/>
        <w:t>应收票据</w:t>
      </w:r>
    </w:p>
    <w:p>
      <w:pPr>
        <w:spacing w:line="240" w:lineRule="auto" w:before="1"/>
        <w:rPr>
          <w:rFonts w:ascii="宋体" w:hAnsi="宋体" w:cs="宋体" w:eastAsia="宋体" w:hint="default"/>
          <w:sz w:val="16"/>
          <w:szCs w:val="16"/>
        </w:rPr>
      </w:pPr>
    </w:p>
    <w:tbl>
      <w:tblPr>
        <w:tblW w:w="0" w:type="auto"/>
        <w:jc w:val="left"/>
        <w:tblInd w:w="344" w:type="dxa"/>
        <w:tblLayout w:type="fixed"/>
        <w:tblCellMar>
          <w:top w:w="0" w:type="dxa"/>
          <w:left w:w="0" w:type="dxa"/>
          <w:bottom w:w="0" w:type="dxa"/>
          <w:right w:w="0" w:type="dxa"/>
        </w:tblCellMar>
        <w:tblLook w:val="01E0"/>
      </w:tblPr>
      <w:tblGrid>
        <w:gridCol w:w="4391"/>
        <w:gridCol w:w="2372"/>
        <w:gridCol w:w="101"/>
        <w:gridCol w:w="2391"/>
      </w:tblGrid>
      <w:tr>
        <w:trPr>
          <w:trHeight w:val="262" w:hRule="exact"/>
        </w:trPr>
        <w:tc>
          <w:tcPr>
            <w:tcW w:w="4391"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single" w:sz="6" w:space="0" w:color="000000"/>
              <w:right w:val="nil" w:sz="6" w:space="0" w:color="auto"/>
            </w:tcBorders>
          </w:tcPr>
          <w:p>
            <w:pPr>
              <w:pStyle w:val="TableParagraph"/>
              <w:spacing w:line="236" w:lineRule="exact"/>
              <w:ind w:right="35"/>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01"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single" w:sz="6" w:space="0" w:color="000000"/>
              <w:right w:val="nil" w:sz="6" w:space="0" w:color="auto"/>
            </w:tcBorders>
          </w:tcPr>
          <w:p>
            <w:pPr>
              <w:pStyle w:val="TableParagraph"/>
              <w:spacing w:line="236" w:lineRule="exact"/>
              <w:ind w:right="31"/>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12" w:hRule="exact"/>
        </w:trPr>
        <w:tc>
          <w:tcPr>
            <w:tcW w:w="4391"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6"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2372"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4"/>
              <w:jc w:val="right"/>
              <w:rPr>
                <w:rFonts w:ascii="Arial" w:hAnsi="Arial" w:cs="Arial" w:eastAsia="Arial" w:hint="default"/>
                <w:sz w:val="22"/>
                <w:szCs w:val="22"/>
              </w:rPr>
            </w:pPr>
            <w:r>
              <w:rPr>
                <w:rFonts w:ascii="Arial"/>
                <w:spacing w:val="-1"/>
                <w:sz w:val="22"/>
              </w:rPr>
              <w:t>38,444,704</w:t>
            </w:r>
          </w:p>
        </w:tc>
        <w:tc>
          <w:tcPr>
            <w:tcW w:w="101" w:type="dxa"/>
            <w:tcBorders>
              <w:top w:val="nil" w:sz="6" w:space="0" w:color="auto"/>
              <w:left w:val="nil" w:sz="6" w:space="0" w:color="auto"/>
              <w:bottom w:val="nil" w:sz="6" w:space="0" w:color="auto"/>
              <w:right w:val="nil" w:sz="6" w:space="0" w:color="auto"/>
            </w:tcBorders>
          </w:tcPr>
          <w:p>
            <w:pPr/>
          </w:p>
        </w:tc>
        <w:tc>
          <w:tcPr>
            <w:tcW w:w="2391"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43" w:right="0"/>
              <w:jc w:val="left"/>
              <w:rPr>
                <w:rFonts w:ascii="Arial" w:hAnsi="Arial" w:cs="Arial" w:eastAsia="Arial" w:hint="default"/>
                <w:sz w:val="22"/>
                <w:szCs w:val="22"/>
              </w:rPr>
            </w:pPr>
            <w:r>
              <w:rPr>
                <w:rFonts w:ascii="Arial"/>
                <w:sz w:val="22"/>
              </w:rPr>
              <w:t>85,306,786</w:t>
            </w:r>
          </w:p>
        </w:tc>
      </w:tr>
      <w:tr>
        <w:trPr>
          <w:trHeight w:val="417" w:hRule="exact"/>
        </w:trPr>
        <w:tc>
          <w:tcPr>
            <w:tcW w:w="439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商业承兑汇票</w:t>
            </w:r>
          </w:p>
        </w:tc>
        <w:tc>
          <w:tcPr>
            <w:tcW w:w="2372" w:type="dxa"/>
            <w:tcBorders>
              <w:top w:val="nil" w:sz="6" w:space="0" w:color="auto"/>
              <w:left w:val="nil" w:sz="6" w:space="0" w:color="auto"/>
              <w:bottom w:val="nil" w:sz="6" w:space="0" w:color="auto"/>
              <w:right w:val="nil" w:sz="6" w:space="0" w:color="auto"/>
            </w:tcBorders>
          </w:tcPr>
          <w:p>
            <w:pPr>
              <w:pStyle w:val="TableParagraph"/>
              <w:tabs>
                <w:tab w:pos="2167" w:val="left" w:leader="none"/>
                <w:tab w:pos="2371"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tab/>
            </w:r>
            <w:r>
              <w:rPr>
                <w:rFonts w:ascii="Arial"/>
                <w:sz w:val="22"/>
              </w:rPr>
            </w:r>
          </w:p>
        </w:tc>
        <w:tc>
          <w:tcPr>
            <w:tcW w:w="101"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tabs>
                <w:tab w:pos="1450" w:val="left" w:leader="none"/>
                <w:tab w:pos="2390"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500,000</w:t>
              <w:tab/>
            </w:r>
            <w:r>
              <w:rPr>
                <w:rFonts w:ascii="Arial"/>
                <w:spacing w:val="-1"/>
                <w:sz w:val="22"/>
              </w:rPr>
            </w:r>
          </w:p>
        </w:tc>
      </w:tr>
      <w:tr>
        <w:trPr>
          <w:trHeight w:val="431" w:hRule="exact"/>
        </w:trPr>
        <w:tc>
          <w:tcPr>
            <w:tcW w:w="439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1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72"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124"/>
              <w:jc w:val="right"/>
              <w:rPr>
                <w:rFonts w:ascii="Arial" w:hAnsi="Arial" w:cs="Arial" w:eastAsia="Arial" w:hint="default"/>
                <w:sz w:val="22"/>
                <w:szCs w:val="22"/>
              </w:rPr>
            </w:pPr>
            <w:r>
              <w:rPr>
                <w:rFonts w:ascii="Arial"/>
                <w:spacing w:val="-1"/>
                <w:sz w:val="22"/>
              </w:rPr>
              <w:t>38,444,704</w:t>
            </w:r>
          </w:p>
        </w:tc>
        <w:tc>
          <w:tcPr>
            <w:tcW w:w="101"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left="1143" w:right="0"/>
              <w:jc w:val="left"/>
              <w:rPr>
                <w:rFonts w:ascii="Arial" w:hAnsi="Arial" w:cs="Arial" w:eastAsia="Arial" w:hint="default"/>
                <w:sz w:val="22"/>
                <w:szCs w:val="22"/>
              </w:rPr>
            </w:pPr>
            <w:r>
              <w:rPr>
                <w:rFonts w:ascii="Arial"/>
                <w:sz w:val="22"/>
              </w:rPr>
              <w:t>85,806,786</w:t>
            </w:r>
          </w:p>
        </w:tc>
      </w:tr>
    </w:tbl>
    <w:p>
      <w:pPr>
        <w:spacing w:line="240" w:lineRule="auto" w:before="9"/>
        <w:rPr>
          <w:rFonts w:ascii="宋体" w:hAnsi="宋体" w:cs="宋体" w:eastAsia="宋体" w:hint="default"/>
          <w:sz w:val="8"/>
          <w:szCs w:val="8"/>
        </w:rPr>
      </w:pPr>
    </w:p>
    <w:p>
      <w:pPr>
        <w:pStyle w:val="BodyText"/>
        <w:spacing w:line="240" w:lineRule="auto" w:before="32"/>
        <w:ind w:left="551" w:right="0"/>
        <w:jc w:val="left"/>
      </w:pPr>
      <w:r>
        <w:rPr/>
        <w:t>上述应收票据均为一年内到期。</w:t>
      </w:r>
    </w:p>
    <w:p>
      <w:pPr>
        <w:spacing w:line="240" w:lineRule="auto" w:before="1"/>
        <w:rPr>
          <w:rFonts w:ascii="宋体" w:hAnsi="宋体" w:cs="宋体" w:eastAsia="宋体" w:hint="default"/>
          <w:sz w:val="19"/>
          <w:szCs w:val="19"/>
        </w:rPr>
      </w:pPr>
    </w:p>
    <w:p>
      <w:pPr>
        <w:pStyle w:val="BodyText"/>
        <w:spacing w:line="240" w:lineRule="auto"/>
        <w:ind w:left="551" w:right="0"/>
        <w:jc w:val="left"/>
      </w:pPr>
      <w:r>
        <w:rPr/>
        <w:t>于</w:t>
      </w:r>
      <w:r>
        <w:rPr>
          <w:spacing w:val="-56"/>
        </w:rPr>
        <w:t> </w:t>
      </w:r>
      <w:r>
        <w:rPr>
          <w:rFonts w:ascii="Arial" w:hAnsi="Arial" w:cs="Arial" w:eastAsia="Arial" w:hint="default"/>
        </w:rPr>
        <w:t>2014</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日，本集团无用于质押或贴现的应收票据。</w:t>
      </w:r>
    </w:p>
    <w:p>
      <w:pPr>
        <w:spacing w:after="0" w:line="240" w:lineRule="auto"/>
        <w:jc w:val="left"/>
        <w:sectPr>
          <w:headerReference w:type="default" r:id="rId66"/>
          <w:pgSz w:w="11910" w:h="16840"/>
          <w:pgMar w:header="1185" w:footer="923" w:top="2500" w:bottom="1120" w:left="1280" w:right="920"/>
        </w:sectPr>
      </w:pPr>
    </w:p>
    <w:p>
      <w:pPr>
        <w:spacing w:line="240" w:lineRule="auto" w:before="10"/>
        <w:rPr>
          <w:rFonts w:ascii="宋体" w:hAnsi="宋体" w:cs="宋体" w:eastAsia="宋体" w:hint="default"/>
          <w:sz w:val="16"/>
          <w:szCs w:val="16"/>
        </w:rPr>
      </w:pPr>
    </w:p>
    <w:p>
      <w:pPr>
        <w:pStyle w:val="BodyText"/>
        <w:spacing w:line="240" w:lineRule="auto" w:before="32"/>
        <w:ind w:left="142" w:right="0"/>
        <w:jc w:val="left"/>
      </w:pPr>
      <w:r>
        <w:rPr>
          <w:rFonts w:ascii="Arial" w:hAnsi="Arial" w:cs="Arial" w:eastAsia="Arial" w:hint="default"/>
        </w:rPr>
        <w:t>3</w:t>
      </w:r>
      <w:r>
        <w:rPr/>
        <w:t>、</w:t>
      </w:r>
      <w:r>
        <w:rPr>
          <w:spacing w:val="-31"/>
        </w:rPr>
        <w:t> </w:t>
      </w:r>
      <w:r>
        <w:rPr/>
        <w:t>应收账款</w:t>
      </w:r>
    </w:p>
    <w:p>
      <w:pPr>
        <w:spacing w:line="240" w:lineRule="auto" w:before="0"/>
        <w:rPr>
          <w:rFonts w:ascii="宋体" w:hAnsi="宋体" w:cs="宋体" w:eastAsia="宋体" w:hint="default"/>
          <w:sz w:val="23"/>
          <w:szCs w:val="23"/>
        </w:rPr>
      </w:pPr>
    </w:p>
    <w:tbl>
      <w:tblPr>
        <w:tblW w:w="0" w:type="auto"/>
        <w:jc w:val="left"/>
        <w:tblInd w:w="374" w:type="dxa"/>
        <w:tblLayout w:type="fixed"/>
        <w:tblCellMar>
          <w:top w:w="0" w:type="dxa"/>
          <w:left w:w="0" w:type="dxa"/>
          <w:bottom w:w="0" w:type="dxa"/>
          <w:right w:w="0" w:type="dxa"/>
        </w:tblCellMar>
        <w:tblLook w:val="01E0"/>
      </w:tblPr>
      <w:tblGrid>
        <w:gridCol w:w="4583"/>
        <w:gridCol w:w="2372"/>
        <w:gridCol w:w="101"/>
        <w:gridCol w:w="2381"/>
      </w:tblGrid>
      <w:tr>
        <w:trPr>
          <w:trHeight w:val="264" w:hRule="exact"/>
        </w:trPr>
        <w:tc>
          <w:tcPr>
            <w:tcW w:w="4583"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single" w:sz="6" w:space="0" w:color="000000"/>
              <w:right w:val="nil" w:sz="6" w:space="0" w:color="auto"/>
            </w:tcBorders>
          </w:tcPr>
          <w:p>
            <w:pPr>
              <w:pStyle w:val="TableParagraph"/>
              <w:spacing w:line="236" w:lineRule="exact"/>
              <w:ind w:left="350"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01" w:type="dxa"/>
            <w:tcBorders>
              <w:top w:val="nil" w:sz="6" w:space="0" w:color="auto"/>
              <w:left w:val="nil" w:sz="6" w:space="0" w:color="auto"/>
              <w:bottom w:val="nil" w:sz="6" w:space="0" w:color="auto"/>
              <w:right w:val="nil" w:sz="6" w:space="0" w:color="auto"/>
            </w:tcBorders>
          </w:tcPr>
          <w:p>
            <w:pPr/>
          </w:p>
        </w:tc>
        <w:tc>
          <w:tcPr>
            <w:tcW w:w="2381" w:type="dxa"/>
            <w:tcBorders>
              <w:top w:val="nil" w:sz="6" w:space="0" w:color="auto"/>
              <w:left w:val="nil" w:sz="6" w:space="0" w:color="auto"/>
              <w:bottom w:val="single" w:sz="6" w:space="0" w:color="000000"/>
              <w:right w:val="nil" w:sz="6" w:space="0" w:color="auto"/>
            </w:tcBorders>
          </w:tcPr>
          <w:p>
            <w:pPr>
              <w:pStyle w:val="TableParagraph"/>
              <w:spacing w:line="236" w:lineRule="exact"/>
              <w:ind w:right="33"/>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7"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2372"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03" w:right="0"/>
              <w:jc w:val="left"/>
              <w:rPr>
                <w:rFonts w:ascii="Arial" w:hAnsi="Arial" w:cs="Arial" w:eastAsia="Arial" w:hint="default"/>
                <w:sz w:val="22"/>
                <w:szCs w:val="22"/>
              </w:rPr>
            </w:pPr>
            <w:r>
              <w:rPr>
                <w:rFonts w:ascii="Arial"/>
                <w:sz w:val="22"/>
              </w:rPr>
              <w:t>21,113,265,187</w:t>
            </w:r>
          </w:p>
        </w:tc>
        <w:tc>
          <w:tcPr>
            <w:tcW w:w="101" w:type="dxa"/>
            <w:tcBorders>
              <w:top w:val="nil" w:sz="6" w:space="0" w:color="auto"/>
              <w:left w:val="nil" w:sz="6" w:space="0" w:color="auto"/>
              <w:bottom w:val="nil" w:sz="6" w:space="0" w:color="auto"/>
              <w:right w:val="nil" w:sz="6" w:space="0" w:color="auto"/>
            </w:tcBorders>
          </w:tcPr>
          <w:p>
            <w:pPr/>
          </w:p>
        </w:tc>
        <w:tc>
          <w:tcPr>
            <w:tcW w:w="2381"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19"/>
              <w:jc w:val="right"/>
              <w:rPr>
                <w:rFonts w:ascii="Arial" w:hAnsi="Arial" w:cs="Arial" w:eastAsia="Arial" w:hint="default"/>
                <w:sz w:val="22"/>
                <w:szCs w:val="22"/>
              </w:rPr>
            </w:pPr>
            <w:r>
              <w:rPr>
                <w:rFonts w:ascii="Arial"/>
                <w:spacing w:val="-1"/>
                <w:sz w:val="22"/>
              </w:rPr>
              <w:t>19,607,909,900</w:t>
            </w:r>
          </w:p>
        </w:tc>
      </w:tr>
      <w:tr>
        <w:trPr>
          <w:trHeight w:val="420"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减：坏账准备</w:t>
            </w:r>
          </w:p>
        </w:tc>
        <w:tc>
          <w:tcPr>
            <w:tcW w:w="2372" w:type="dxa"/>
            <w:tcBorders>
              <w:top w:val="nil" w:sz="6" w:space="0" w:color="auto"/>
              <w:left w:val="nil" w:sz="6" w:space="0" w:color="auto"/>
              <w:bottom w:val="nil" w:sz="6" w:space="0" w:color="auto"/>
              <w:right w:val="nil" w:sz="6" w:space="0" w:color="auto"/>
            </w:tcBorders>
          </w:tcPr>
          <w:p>
            <w:pPr>
              <w:pStyle w:val="TableParagraph"/>
              <w:tabs>
                <w:tab w:pos="751" w:val="left" w:leader="none"/>
                <w:tab w:pos="2371" w:val="left" w:leader="none"/>
              </w:tabs>
              <w:spacing w:line="240" w:lineRule="auto" w:before="20"/>
              <w:ind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(4,481,149,248)</w:t>
              <w:tab/>
            </w:r>
            <w:r>
              <w:rPr>
                <w:rFonts w:ascii="Arial"/>
                <w:sz w:val="22"/>
              </w:rPr>
            </w:r>
          </w:p>
        </w:tc>
        <w:tc>
          <w:tcPr>
            <w:tcW w:w="101" w:type="dxa"/>
            <w:tcBorders>
              <w:top w:val="nil" w:sz="6" w:space="0" w:color="auto"/>
              <w:left w:val="nil" w:sz="6" w:space="0" w:color="auto"/>
              <w:bottom w:val="nil" w:sz="6" w:space="0" w:color="auto"/>
              <w:right w:val="nil" w:sz="6" w:space="0" w:color="auto"/>
            </w:tcBorders>
          </w:tcPr>
          <w:p>
            <w:pPr/>
          </w:p>
        </w:tc>
        <w:tc>
          <w:tcPr>
            <w:tcW w:w="2381" w:type="dxa"/>
            <w:tcBorders>
              <w:top w:val="nil" w:sz="6" w:space="0" w:color="auto"/>
              <w:left w:val="nil" w:sz="6" w:space="0" w:color="auto"/>
              <w:bottom w:val="nil" w:sz="6" w:space="0" w:color="auto"/>
              <w:right w:val="nil" w:sz="6" w:space="0" w:color="auto"/>
            </w:tcBorders>
          </w:tcPr>
          <w:p>
            <w:pPr>
              <w:pStyle w:val="TableParagraph"/>
              <w:tabs>
                <w:tab w:pos="775" w:val="left" w:leader="none"/>
              </w:tabs>
              <w:spacing w:line="240" w:lineRule="auto" w:before="20"/>
              <w:ind w:right="49"/>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(4,295,605,349)</w:t>
            </w:r>
            <w:r>
              <w:rPr>
                <w:rFonts w:ascii="Arial"/>
                <w:spacing w:val="-1"/>
                <w:sz w:val="22"/>
              </w:rPr>
            </w:r>
          </w:p>
        </w:tc>
      </w:tr>
      <w:tr>
        <w:trPr>
          <w:trHeight w:val="433"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应收账款净额合计</w:t>
            </w:r>
          </w:p>
        </w:tc>
        <w:tc>
          <w:tcPr>
            <w:tcW w:w="2372"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left="703" w:right="0"/>
              <w:jc w:val="left"/>
              <w:rPr>
                <w:rFonts w:ascii="Arial" w:hAnsi="Arial" w:cs="Arial" w:eastAsia="Arial" w:hint="default"/>
                <w:sz w:val="22"/>
                <w:szCs w:val="22"/>
              </w:rPr>
            </w:pPr>
            <w:r>
              <w:rPr>
                <w:rFonts w:ascii="Arial"/>
                <w:sz w:val="22"/>
              </w:rPr>
              <w:t>16,632,115,939</w:t>
            </w:r>
          </w:p>
        </w:tc>
        <w:tc>
          <w:tcPr>
            <w:tcW w:w="101" w:type="dxa"/>
            <w:tcBorders>
              <w:top w:val="nil" w:sz="6" w:space="0" w:color="auto"/>
              <w:left w:val="nil" w:sz="6" w:space="0" w:color="auto"/>
              <w:bottom w:val="nil" w:sz="6" w:space="0" w:color="auto"/>
              <w:right w:val="nil" w:sz="6" w:space="0" w:color="auto"/>
            </w:tcBorders>
          </w:tcPr>
          <w:p>
            <w:pPr/>
          </w:p>
        </w:tc>
        <w:tc>
          <w:tcPr>
            <w:tcW w:w="2381"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119"/>
              <w:jc w:val="right"/>
              <w:rPr>
                <w:rFonts w:ascii="Arial" w:hAnsi="Arial" w:cs="Arial" w:eastAsia="Arial" w:hint="default"/>
                <w:sz w:val="22"/>
                <w:szCs w:val="22"/>
              </w:rPr>
            </w:pPr>
            <w:r>
              <w:rPr>
                <w:rFonts w:ascii="Arial"/>
                <w:spacing w:val="-1"/>
                <w:sz w:val="22"/>
              </w:rPr>
              <w:t>15,312,304,551</w:t>
            </w:r>
          </w:p>
        </w:tc>
      </w:tr>
    </w:tbl>
    <w:p>
      <w:pPr>
        <w:spacing w:line="240" w:lineRule="auto" w:before="11"/>
        <w:rPr>
          <w:rFonts w:ascii="宋体" w:hAnsi="宋体" w:cs="宋体" w:eastAsia="宋体" w:hint="default"/>
          <w:sz w:val="13"/>
          <w:szCs w:val="13"/>
        </w:rPr>
      </w:pPr>
    </w:p>
    <w:p>
      <w:pPr>
        <w:pStyle w:val="BodyText"/>
        <w:spacing w:line="240" w:lineRule="auto" w:before="32"/>
        <w:ind w:left="114" w:right="0"/>
        <w:jc w:val="left"/>
      </w:pPr>
      <w:r>
        <w:rPr>
          <w:rFonts w:ascii="Arial" w:hAnsi="Arial" w:cs="Arial" w:eastAsia="Arial" w:hint="default"/>
        </w:rPr>
        <w:t>(a) </w:t>
      </w:r>
      <w:r>
        <w:rPr>
          <w:rFonts w:ascii="Arial" w:hAnsi="Arial" w:cs="Arial" w:eastAsia="Arial" w:hint="default"/>
          <w:spacing w:val="55"/>
        </w:rPr>
        <w:t> </w:t>
      </w:r>
      <w:r>
        <w:rPr/>
        <w:t>本集团应收账款账龄分析如下：</w:t>
      </w:r>
    </w:p>
    <w:p>
      <w:pPr>
        <w:spacing w:line="240" w:lineRule="auto" w:before="0"/>
        <w:rPr>
          <w:rFonts w:ascii="宋体" w:hAnsi="宋体" w:cs="宋体" w:eastAsia="宋体" w:hint="default"/>
          <w:sz w:val="23"/>
          <w:szCs w:val="23"/>
        </w:rPr>
      </w:pPr>
    </w:p>
    <w:tbl>
      <w:tblPr>
        <w:tblW w:w="0" w:type="auto"/>
        <w:jc w:val="left"/>
        <w:tblInd w:w="374" w:type="dxa"/>
        <w:tblLayout w:type="fixed"/>
        <w:tblCellMar>
          <w:top w:w="0" w:type="dxa"/>
          <w:left w:w="0" w:type="dxa"/>
          <w:bottom w:w="0" w:type="dxa"/>
          <w:right w:w="0" w:type="dxa"/>
        </w:tblCellMar>
        <w:tblLook w:val="01E0"/>
      </w:tblPr>
      <w:tblGrid>
        <w:gridCol w:w="4583"/>
        <w:gridCol w:w="2372"/>
        <w:gridCol w:w="101"/>
        <w:gridCol w:w="2398"/>
      </w:tblGrid>
      <w:tr>
        <w:trPr>
          <w:trHeight w:val="264" w:hRule="exact"/>
        </w:trPr>
        <w:tc>
          <w:tcPr>
            <w:tcW w:w="4583"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single" w:sz="6" w:space="0" w:color="000000"/>
              <w:right w:val="nil" w:sz="6" w:space="0" w:color="auto"/>
            </w:tcBorders>
          </w:tcPr>
          <w:p>
            <w:pPr>
              <w:pStyle w:val="TableParagraph"/>
              <w:spacing w:line="236" w:lineRule="exact"/>
              <w:ind w:right="35"/>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01"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single" w:sz="6" w:space="0" w:color="000000"/>
              <w:right w:val="nil" w:sz="6" w:space="0" w:color="auto"/>
            </w:tcBorders>
          </w:tcPr>
          <w:p>
            <w:pPr>
              <w:pStyle w:val="TableParagraph"/>
              <w:spacing w:line="236" w:lineRule="exact"/>
              <w:ind w:right="31"/>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7"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即期及小于</w:t>
            </w:r>
            <w:r>
              <w:rPr>
                <w:rFonts w:ascii="宋体" w:hAnsi="宋体" w:cs="宋体" w:eastAsia="宋体" w:hint="default"/>
                <w:spacing w:val="-54"/>
                <w:sz w:val="22"/>
                <w:szCs w:val="22"/>
              </w:rPr>
              <w:t> </w:t>
            </w:r>
            <w:r>
              <w:rPr>
                <w:rFonts w:ascii="Arial" w:hAnsi="Arial" w:cs="Arial" w:eastAsia="Arial" w:hint="default"/>
                <w:sz w:val="22"/>
                <w:szCs w:val="22"/>
              </w:rPr>
              <w:t>1</w:t>
            </w:r>
            <w:r>
              <w:rPr>
                <w:rFonts w:ascii="Arial" w:hAnsi="Arial" w:cs="Arial" w:eastAsia="Arial" w:hint="default"/>
                <w:spacing w:val="-6"/>
                <w:sz w:val="22"/>
                <w:szCs w:val="22"/>
              </w:rPr>
              <w:t> </w:t>
            </w:r>
            <w:r>
              <w:rPr>
                <w:rFonts w:ascii="宋体" w:hAnsi="宋体" w:cs="宋体" w:eastAsia="宋体" w:hint="default"/>
                <w:sz w:val="22"/>
                <w:szCs w:val="22"/>
              </w:rPr>
              <w:t>个月</w:t>
            </w:r>
          </w:p>
        </w:tc>
        <w:tc>
          <w:tcPr>
            <w:tcW w:w="237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3"/>
              <w:jc w:val="right"/>
              <w:rPr>
                <w:rFonts w:ascii="Arial" w:hAnsi="Arial" w:cs="Arial" w:eastAsia="Arial" w:hint="default"/>
                <w:sz w:val="22"/>
                <w:szCs w:val="22"/>
              </w:rPr>
            </w:pPr>
            <w:r>
              <w:rPr>
                <w:rFonts w:ascii="Arial"/>
                <w:spacing w:val="-1"/>
                <w:sz w:val="22"/>
              </w:rPr>
              <w:t>12,838,293,210</w:t>
            </w:r>
          </w:p>
        </w:tc>
        <w:tc>
          <w:tcPr>
            <w:tcW w:w="101" w:type="dxa"/>
            <w:tcBorders>
              <w:top w:val="nil" w:sz="6" w:space="0" w:color="auto"/>
              <w:left w:val="nil" w:sz="6" w:space="0" w:color="auto"/>
              <w:bottom w:val="nil" w:sz="6" w:space="0" w:color="auto"/>
              <w:right w:val="nil" w:sz="6" w:space="0" w:color="auto"/>
            </w:tcBorders>
          </w:tcPr>
          <w:p>
            <w:pPr/>
          </w:p>
        </w:tc>
        <w:tc>
          <w:tcPr>
            <w:tcW w:w="2398"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3"/>
              <w:jc w:val="right"/>
              <w:rPr>
                <w:rFonts w:ascii="Arial" w:hAnsi="Arial" w:cs="Arial" w:eastAsia="Arial" w:hint="default"/>
                <w:sz w:val="22"/>
                <w:szCs w:val="22"/>
              </w:rPr>
            </w:pPr>
            <w:r>
              <w:rPr>
                <w:rFonts w:ascii="Arial"/>
                <w:spacing w:val="-1"/>
                <w:sz w:val="22"/>
              </w:rPr>
              <w:t>11,107,875,254</w:t>
            </w:r>
          </w:p>
        </w:tc>
      </w:tr>
      <w:tr>
        <w:trPr>
          <w:trHeight w:val="286"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1-3</w:t>
            </w:r>
            <w:r>
              <w:rPr>
                <w:rFonts w:ascii="Arial" w:hAnsi="Arial" w:cs="Arial" w:eastAsia="Arial" w:hint="default"/>
                <w:spacing w:val="-6"/>
                <w:sz w:val="22"/>
                <w:szCs w:val="22"/>
              </w:rPr>
              <w:t> </w:t>
            </w:r>
            <w:r>
              <w:rPr>
                <w:rFonts w:ascii="宋体" w:hAnsi="宋体" w:cs="宋体" w:eastAsia="宋体" w:hint="default"/>
                <w:sz w:val="22"/>
                <w:szCs w:val="22"/>
              </w:rPr>
              <w:t>个月</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Arial" w:hAnsi="Arial" w:cs="Arial" w:eastAsia="Arial" w:hint="default"/>
                <w:sz w:val="22"/>
                <w:szCs w:val="22"/>
              </w:rPr>
            </w:pPr>
            <w:r>
              <w:rPr>
                <w:rFonts w:ascii="Arial"/>
                <w:spacing w:val="-1"/>
                <w:sz w:val="22"/>
              </w:rPr>
              <w:t>2,116,619,969</w:t>
            </w:r>
          </w:p>
        </w:tc>
        <w:tc>
          <w:tcPr>
            <w:tcW w:w="101"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Arial" w:hAnsi="Arial" w:cs="Arial" w:eastAsia="Arial" w:hint="default"/>
                <w:sz w:val="22"/>
                <w:szCs w:val="22"/>
              </w:rPr>
            </w:pPr>
            <w:r>
              <w:rPr>
                <w:rFonts w:ascii="Arial"/>
                <w:spacing w:val="-1"/>
                <w:sz w:val="22"/>
              </w:rPr>
              <w:t>1,955,267,919</w:t>
            </w:r>
          </w:p>
        </w:tc>
      </w:tr>
      <w:tr>
        <w:trPr>
          <w:trHeight w:val="285"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3-12</w:t>
            </w:r>
            <w:r>
              <w:rPr>
                <w:rFonts w:ascii="Arial" w:hAnsi="Arial" w:cs="Arial" w:eastAsia="Arial" w:hint="default"/>
                <w:spacing w:val="-6"/>
                <w:sz w:val="22"/>
                <w:szCs w:val="22"/>
              </w:rPr>
              <w:t> </w:t>
            </w:r>
            <w:r>
              <w:rPr>
                <w:rFonts w:ascii="宋体" w:hAnsi="宋体" w:cs="宋体" w:eastAsia="宋体" w:hint="default"/>
                <w:sz w:val="22"/>
                <w:szCs w:val="22"/>
              </w:rPr>
              <w:t>个月</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Arial" w:hAnsi="Arial" w:cs="Arial" w:eastAsia="Arial" w:hint="default"/>
                <w:sz w:val="22"/>
                <w:szCs w:val="22"/>
              </w:rPr>
            </w:pPr>
            <w:r>
              <w:rPr>
                <w:rFonts w:ascii="Arial"/>
                <w:spacing w:val="-1"/>
                <w:sz w:val="22"/>
              </w:rPr>
              <w:t>3,432,403,119</w:t>
            </w:r>
          </w:p>
        </w:tc>
        <w:tc>
          <w:tcPr>
            <w:tcW w:w="101"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1"/>
              <w:jc w:val="right"/>
              <w:rPr>
                <w:rFonts w:ascii="Arial" w:hAnsi="Arial" w:cs="Arial" w:eastAsia="Arial" w:hint="default"/>
                <w:sz w:val="22"/>
                <w:szCs w:val="22"/>
              </w:rPr>
            </w:pPr>
            <w:r>
              <w:rPr>
                <w:rFonts w:ascii="Arial"/>
                <w:spacing w:val="-1"/>
                <w:sz w:val="22"/>
              </w:rPr>
              <w:t>3,991,662,351</w:t>
            </w:r>
          </w:p>
        </w:tc>
      </w:tr>
      <w:tr>
        <w:trPr>
          <w:trHeight w:val="286"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22"/>
                <w:szCs w:val="22"/>
              </w:rPr>
            </w:pPr>
            <w:r>
              <w:rPr>
                <w:rFonts w:ascii="Arial"/>
                <w:spacing w:val="-1"/>
                <w:sz w:val="22"/>
              </w:rPr>
              <w:t>1,242,357,885</w:t>
            </w:r>
          </w:p>
        </w:tc>
        <w:tc>
          <w:tcPr>
            <w:tcW w:w="101"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1"/>
              <w:jc w:val="right"/>
              <w:rPr>
                <w:rFonts w:ascii="Arial" w:hAnsi="Arial" w:cs="Arial" w:eastAsia="Arial" w:hint="default"/>
                <w:sz w:val="22"/>
                <w:szCs w:val="22"/>
              </w:rPr>
            </w:pPr>
            <w:r>
              <w:rPr>
                <w:rFonts w:ascii="Arial"/>
                <w:spacing w:val="-1"/>
                <w:sz w:val="22"/>
              </w:rPr>
              <w:t>1,273,412,787</w:t>
            </w:r>
          </w:p>
        </w:tc>
      </w:tr>
      <w:tr>
        <w:trPr>
          <w:trHeight w:val="286"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2-3</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5"/>
              <w:jc w:val="right"/>
              <w:rPr>
                <w:rFonts w:ascii="Arial" w:hAnsi="Arial" w:cs="Arial" w:eastAsia="Arial" w:hint="default"/>
                <w:sz w:val="22"/>
                <w:szCs w:val="22"/>
              </w:rPr>
            </w:pPr>
            <w:r>
              <w:rPr>
                <w:rFonts w:ascii="Arial"/>
                <w:spacing w:val="-1"/>
                <w:sz w:val="22"/>
              </w:rPr>
              <w:t>444,939,670</w:t>
            </w:r>
          </w:p>
        </w:tc>
        <w:tc>
          <w:tcPr>
            <w:tcW w:w="101"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22"/>
                <w:szCs w:val="22"/>
              </w:rPr>
            </w:pPr>
            <w:r>
              <w:rPr>
                <w:rFonts w:ascii="Arial"/>
                <w:spacing w:val="-1"/>
                <w:sz w:val="22"/>
              </w:rPr>
              <w:t>314,459,756</w:t>
            </w:r>
          </w:p>
        </w:tc>
      </w:tr>
      <w:tr>
        <w:trPr>
          <w:trHeight w:val="286"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3-4</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5"/>
              <w:jc w:val="right"/>
              <w:rPr>
                <w:rFonts w:ascii="Arial" w:hAnsi="Arial" w:cs="Arial" w:eastAsia="Arial" w:hint="default"/>
                <w:sz w:val="22"/>
                <w:szCs w:val="22"/>
              </w:rPr>
            </w:pPr>
            <w:r>
              <w:rPr>
                <w:rFonts w:ascii="Arial"/>
                <w:spacing w:val="-1"/>
                <w:sz w:val="22"/>
              </w:rPr>
              <w:t>311,079,788</w:t>
            </w:r>
          </w:p>
        </w:tc>
        <w:tc>
          <w:tcPr>
            <w:tcW w:w="101"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22"/>
                <w:szCs w:val="22"/>
              </w:rPr>
            </w:pPr>
            <w:r>
              <w:rPr>
                <w:rFonts w:ascii="Arial"/>
                <w:spacing w:val="-1"/>
                <w:sz w:val="22"/>
              </w:rPr>
              <w:t>497,691,990</w:t>
            </w:r>
          </w:p>
        </w:tc>
      </w:tr>
      <w:tr>
        <w:trPr>
          <w:trHeight w:val="286"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4-5</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5"/>
              <w:jc w:val="right"/>
              <w:rPr>
                <w:rFonts w:ascii="Arial" w:hAnsi="Arial" w:cs="Arial" w:eastAsia="Arial" w:hint="default"/>
                <w:sz w:val="22"/>
                <w:szCs w:val="22"/>
              </w:rPr>
            </w:pPr>
            <w:r>
              <w:rPr>
                <w:rFonts w:ascii="Arial"/>
                <w:spacing w:val="-1"/>
                <w:sz w:val="22"/>
              </w:rPr>
              <w:t>292,655,511</w:t>
            </w:r>
          </w:p>
        </w:tc>
        <w:tc>
          <w:tcPr>
            <w:tcW w:w="101"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Arial" w:hAnsi="Arial" w:cs="Arial" w:eastAsia="Arial" w:hint="default"/>
                <w:sz w:val="22"/>
                <w:szCs w:val="22"/>
              </w:rPr>
            </w:pPr>
            <w:r>
              <w:rPr>
                <w:rFonts w:ascii="Arial"/>
                <w:spacing w:val="-1"/>
                <w:sz w:val="22"/>
              </w:rPr>
              <w:t>98,868,711</w:t>
            </w:r>
          </w:p>
        </w:tc>
      </w:tr>
      <w:tr>
        <w:trPr>
          <w:trHeight w:val="419"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5</w:t>
            </w:r>
            <w:r>
              <w:rPr>
                <w:rFonts w:ascii="Arial" w:hAnsi="Arial" w:cs="Arial" w:eastAsia="Arial" w:hint="default"/>
                <w:spacing w:val="-5"/>
                <w:sz w:val="22"/>
                <w:szCs w:val="22"/>
              </w:rPr>
              <w:t> </w:t>
            </w:r>
            <w:r>
              <w:rPr>
                <w:rFonts w:ascii="宋体" w:hAnsi="宋体" w:cs="宋体" w:eastAsia="宋体" w:hint="default"/>
                <w:sz w:val="22"/>
                <w:szCs w:val="22"/>
              </w:rPr>
              <w:t>年以上</w:t>
            </w:r>
          </w:p>
        </w:tc>
        <w:tc>
          <w:tcPr>
            <w:tcW w:w="2372" w:type="dxa"/>
            <w:tcBorders>
              <w:top w:val="nil" w:sz="6" w:space="0" w:color="auto"/>
              <w:left w:val="nil" w:sz="6" w:space="0" w:color="auto"/>
              <w:bottom w:val="nil" w:sz="6" w:space="0" w:color="auto"/>
              <w:right w:val="nil" w:sz="6" w:space="0" w:color="auto"/>
            </w:tcBorders>
          </w:tcPr>
          <w:p>
            <w:pPr>
              <w:pStyle w:val="TableParagraph"/>
              <w:tabs>
                <w:tab w:pos="1106" w:val="left" w:leader="none"/>
              </w:tabs>
              <w:spacing w:line="240" w:lineRule="auto" w:before="17"/>
              <w:ind w:right="35"/>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434,916,035</w:t>
            </w:r>
            <w:r>
              <w:rPr>
                <w:rFonts w:ascii="Arial"/>
                <w:spacing w:val="-1"/>
                <w:sz w:val="22"/>
              </w:rPr>
            </w:r>
          </w:p>
        </w:tc>
        <w:tc>
          <w:tcPr>
            <w:tcW w:w="101"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nil" w:sz="6" w:space="0" w:color="auto"/>
              <w:right w:val="nil" w:sz="6" w:space="0" w:color="auto"/>
            </w:tcBorders>
          </w:tcPr>
          <w:p>
            <w:pPr>
              <w:pStyle w:val="TableParagraph"/>
              <w:tabs>
                <w:tab w:pos="1135" w:val="left" w:leader="none"/>
              </w:tabs>
              <w:spacing w:line="240" w:lineRule="auto" w:before="17"/>
              <w:ind w:right="33"/>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368,671,132</w:t>
            </w:r>
            <w:r>
              <w:rPr>
                <w:rFonts w:ascii="Arial"/>
                <w:spacing w:val="-1"/>
                <w:sz w:val="22"/>
              </w:rPr>
            </w:r>
          </w:p>
        </w:tc>
      </w:tr>
      <w:tr>
        <w:trPr>
          <w:trHeight w:val="432"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72"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153"/>
              <w:ind w:left="-15" w:right="36"/>
              <w:jc w:val="right"/>
              <w:rPr>
                <w:rFonts w:ascii="Arial" w:hAnsi="Arial" w:cs="Arial" w:eastAsia="Arial" w:hint="default"/>
                <w:sz w:val="22"/>
                <w:szCs w:val="22"/>
              </w:rPr>
            </w:pPr>
            <w:r>
              <w:rPr>
                <w:rFonts w:ascii="Arial"/>
                <w:w w:val="100"/>
                <w:sz w:val="22"/>
              </w:rPr>
            </w:r>
            <w:r>
              <w:rPr>
                <w:rFonts w:ascii="Arial"/>
                <w:w w:val="100"/>
                <w:sz w:val="22"/>
                <w:u w:val="thick" w:color="000000"/>
              </w:rPr>
              <w:t> </w:t>
            </w:r>
            <w:r>
              <w:rPr>
                <w:rFonts w:ascii="Arial"/>
                <w:sz w:val="22"/>
                <w:u w:val="thick" w:color="000000"/>
              </w:rPr>
              <w:tab/>
            </w:r>
            <w:r>
              <w:rPr>
                <w:rFonts w:ascii="Arial"/>
                <w:spacing w:val="-1"/>
                <w:sz w:val="22"/>
                <w:u w:val="thick" w:color="000000"/>
              </w:rPr>
              <w:t>21,113,265,187</w:t>
            </w:r>
            <w:r>
              <w:rPr>
                <w:rFonts w:ascii="Arial"/>
                <w:spacing w:val="-1"/>
                <w:sz w:val="22"/>
              </w:rPr>
            </w:r>
          </w:p>
        </w:tc>
        <w:tc>
          <w:tcPr>
            <w:tcW w:w="101"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single" w:sz="17" w:space="0" w:color="000000"/>
              <w:right w:val="nil" w:sz="6" w:space="0" w:color="auto"/>
            </w:tcBorders>
          </w:tcPr>
          <w:p>
            <w:pPr>
              <w:pStyle w:val="TableParagraph"/>
              <w:spacing w:line="240" w:lineRule="auto" w:before="153"/>
              <w:ind w:right="31"/>
              <w:jc w:val="right"/>
              <w:rPr>
                <w:rFonts w:ascii="Arial" w:hAnsi="Arial" w:cs="Arial" w:eastAsia="Arial" w:hint="default"/>
                <w:sz w:val="22"/>
                <w:szCs w:val="22"/>
              </w:rPr>
            </w:pPr>
            <w:r>
              <w:rPr>
                <w:rFonts w:ascii="Arial"/>
                <w:spacing w:val="-1"/>
                <w:sz w:val="22"/>
              </w:rPr>
              <w:t>19,607,909,900</w:t>
            </w:r>
          </w:p>
        </w:tc>
      </w:tr>
    </w:tbl>
    <w:p>
      <w:pPr>
        <w:spacing w:after="0" w:line="240" w:lineRule="auto"/>
        <w:jc w:val="right"/>
        <w:rPr>
          <w:rFonts w:ascii="Arial" w:hAnsi="Arial" w:cs="Arial" w:eastAsia="Arial" w:hint="default"/>
          <w:sz w:val="22"/>
          <w:szCs w:val="22"/>
        </w:rPr>
        <w:sectPr>
          <w:headerReference w:type="default" r:id="rId67"/>
          <w:footerReference w:type="default" r:id="rId68"/>
          <w:pgSz w:w="11910" w:h="16840"/>
          <w:pgMar w:header="1185" w:footer="923" w:top="3040" w:bottom="1120" w:left="1240" w:right="740"/>
        </w:sectPr>
      </w:pPr>
    </w:p>
    <w:p>
      <w:pPr>
        <w:pStyle w:val="BodyText"/>
        <w:spacing w:line="240" w:lineRule="auto" w:before="10"/>
        <w:ind w:left="108" w:right="11963"/>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1"/>
        <w:rPr>
          <w:rFonts w:ascii="黑体" w:hAnsi="黑体" w:cs="黑体" w:eastAsia="黑体" w:hint="default"/>
          <w:sz w:val="19"/>
          <w:szCs w:val="19"/>
        </w:rPr>
      </w:pPr>
    </w:p>
    <w:p>
      <w:pPr>
        <w:pStyle w:val="BodyText"/>
        <w:spacing w:line="287" w:lineRule="exact"/>
        <w:ind w:left="108" w:right="11963"/>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left="108" w:right="11963"/>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448" w:lineRule="auto"/>
        <w:ind w:left="108" w:right="11963"/>
        <w:jc w:val="left"/>
        <w:rPr>
          <w:rFonts w:ascii="黑体" w:hAnsi="黑体" w:cs="黑体" w:eastAsia="黑体" w:hint="default"/>
        </w:rPr>
      </w:pPr>
      <w:r>
        <w:rPr>
          <w:rFonts w:ascii="黑体" w:hAnsi="黑体" w:cs="黑体" w:eastAsia="黑体" w:hint="default"/>
          <w:spacing w:val="-1"/>
        </w:rPr>
        <w:t>（除特别注明外，金额单位为人民币元）</w:t>
      </w:r>
      <w:r>
        <w:rPr>
          <w:rFonts w:ascii="黑体" w:hAnsi="黑体" w:cs="黑体" w:eastAsia="黑体" w:hint="default"/>
          <w:spacing w:val="-93"/>
        </w:rPr>
        <w:t> </w:t>
      </w:r>
      <w:r>
        <w:rPr>
          <w:rFonts w:ascii="黑体" w:hAnsi="黑体" w:cs="黑体" w:eastAsia="黑体" w:hint="default"/>
          <w:spacing w:val="-93"/>
        </w:rPr>
      </w:r>
      <w:r>
        <w:rPr>
          <w:rFonts w:ascii="黑体" w:hAnsi="黑体" w:cs="黑体" w:eastAsia="黑体" w:hint="default"/>
        </w:rPr>
        <w:t>五</w:t>
      </w:r>
      <w:r>
        <w:rPr>
          <w:rFonts w:ascii="黑体" w:hAnsi="黑体" w:cs="黑体" w:eastAsia="黑体" w:hint="default"/>
          <w:spacing w:val="65"/>
        </w:rPr>
        <w:t> </w:t>
      </w:r>
      <w:r>
        <w:rPr>
          <w:rFonts w:ascii="黑体" w:hAnsi="黑体" w:cs="黑体" w:eastAsia="黑体" w:hint="default"/>
        </w:rPr>
        <w:t>合并财务报表项目附注（续）</w:t>
      </w:r>
    </w:p>
    <w:p>
      <w:pPr>
        <w:pStyle w:val="BodyText"/>
        <w:spacing w:line="240" w:lineRule="auto" w:before="60"/>
        <w:ind w:left="108" w:right="11963"/>
        <w:jc w:val="left"/>
      </w:pPr>
      <w:r>
        <w:rPr>
          <w:rFonts w:ascii="Arial" w:hAnsi="Arial" w:cs="Arial" w:eastAsia="Arial" w:hint="default"/>
        </w:rPr>
        <w:t>3</w:t>
      </w:r>
      <w:r>
        <w:rPr/>
        <w:t>、</w:t>
      </w:r>
      <w:r>
        <w:rPr>
          <w:spacing w:val="-32"/>
        </w:rPr>
        <w:t> </w:t>
      </w:r>
      <w:r>
        <w:rPr/>
        <w:t>应收账款（续）</w:t>
      </w:r>
    </w:p>
    <w:p>
      <w:pPr>
        <w:spacing w:line="240" w:lineRule="auto" w:before="12"/>
        <w:rPr>
          <w:rFonts w:ascii="宋体" w:hAnsi="宋体" w:cs="宋体" w:eastAsia="宋体" w:hint="default"/>
          <w:sz w:val="17"/>
          <w:szCs w:val="17"/>
        </w:rPr>
      </w:pPr>
    </w:p>
    <w:p>
      <w:pPr>
        <w:pStyle w:val="BodyText"/>
        <w:spacing w:line="240" w:lineRule="auto"/>
        <w:ind w:left="566" w:right="0"/>
        <w:jc w:val="left"/>
      </w:pPr>
      <w:r>
        <w:rPr>
          <w:rFonts w:ascii="Arial" w:hAnsi="Arial" w:cs="Arial" w:eastAsia="Arial" w:hint="default"/>
        </w:rPr>
        <w:t>(b)</w:t>
      </w:r>
      <w:r>
        <w:rPr>
          <w:rFonts w:ascii="Arial" w:hAnsi="Arial" w:cs="Arial" w:eastAsia="Arial" w:hint="default"/>
          <w:spacing w:val="50"/>
        </w:rPr>
        <w:t> </w:t>
      </w:r>
      <w:r>
        <w:rPr/>
        <w:t>本集团应收账款按类别分析如下：</w:t>
      </w:r>
    </w:p>
    <w:p>
      <w:pPr>
        <w:spacing w:line="240" w:lineRule="auto" w:before="4"/>
        <w:rPr>
          <w:rFonts w:ascii="宋体" w:hAnsi="宋体" w:cs="宋体" w:eastAsia="宋体" w:hint="default"/>
          <w:sz w:val="23"/>
          <w:szCs w:val="23"/>
        </w:rPr>
      </w:pPr>
    </w:p>
    <w:tbl>
      <w:tblPr>
        <w:tblW w:w="0" w:type="auto"/>
        <w:jc w:val="left"/>
        <w:tblInd w:w="1290" w:type="dxa"/>
        <w:tblLayout w:type="fixed"/>
        <w:tblCellMar>
          <w:top w:w="0" w:type="dxa"/>
          <w:left w:w="0" w:type="dxa"/>
          <w:bottom w:w="0" w:type="dxa"/>
          <w:right w:w="0" w:type="dxa"/>
        </w:tblCellMar>
        <w:tblLook w:val="01E0"/>
      </w:tblPr>
      <w:tblGrid>
        <w:gridCol w:w="1825"/>
        <w:gridCol w:w="1498"/>
        <w:gridCol w:w="805"/>
        <w:gridCol w:w="234"/>
        <w:gridCol w:w="1510"/>
        <w:gridCol w:w="815"/>
        <w:gridCol w:w="237"/>
        <w:gridCol w:w="1132"/>
        <w:gridCol w:w="1906"/>
        <w:gridCol w:w="845"/>
        <w:gridCol w:w="228"/>
        <w:gridCol w:w="1532"/>
        <w:gridCol w:w="792"/>
        <w:gridCol w:w="230"/>
        <w:gridCol w:w="1231"/>
      </w:tblGrid>
      <w:tr>
        <w:trPr>
          <w:trHeight w:val="191" w:hRule="exact"/>
        </w:trPr>
        <w:tc>
          <w:tcPr>
            <w:tcW w:w="1825"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single" w:sz="4" w:space="0" w:color="000000"/>
              <w:right w:val="nil" w:sz="6" w:space="0" w:color="auto"/>
            </w:tcBorders>
          </w:tcPr>
          <w:p>
            <w:pPr/>
          </w:p>
        </w:tc>
        <w:tc>
          <w:tcPr>
            <w:tcW w:w="805" w:type="dxa"/>
            <w:tcBorders>
              <w:top w:val="nil" w:sz="6" w:space="0" w:color="auto"/>
              <w:left w:val="nil" w:sz="6" w:space="0" w:color="auto"/>
              <w:bottom w:val="single" w:sz="4" w:space="0" w:color="000000"/>
              <w:right w:val="nil" w:sz="6" w:space="0" w:color="auto"/>
            </w:tcBorders>
          </w:tcPr>
          <w:p>
            <w:pPr/>
          </w:p>
        </w:tc>
        <w:tc>
          <w:tcPr>
            <w:tcW w:w="234" w:type="dxa"/>
            <w:tcBorders>
              <w:top w:val="nil" w:sz="6" w:space="0" w:color="auto"/>
              <w:left w:val="nil" w:sz="6" w:space="0" w:color="auto"/>
              <w:bottom w:val="single" w:sz="4" w:space="0" w:color="000000"/>
              <w:right w:val="nil" w:sz="6" w:space="0" w:color="auto"/>
            </w:tcBorders>
          </w:tcPr>
          <w:p>
            <w:pPr>
              <w:pStyle w:val="TableParagraph"/>
              <w:spacing w:line="172" w:lineRule="exact"/>
              <w:ind w:right="-37"/>
              <w:jc w:val="right"/>
              <w:rPr>
                <w:rFonts w:ascii="Arial" w:hAnsi="Arial" w:cs="Arial" w:eastAsia="Arial" w:hint="default"/>
                <w:sz w:val="16"/>
                <w:szCs w:val="16"/>
              </w:rPr>
            </w:pPr>
            <w:r>
              <w:rPr>
                <w:rFonts w:ascii="Arial"/>
                <w:spacing w:val="-1"/>
                <w:w w:val="100"/>
                <w:sz w:val="16"/>
              </w:rPr>
              <w:t>2</w:t>
            </w:r>
            <w:r>
              <w:rPr>
                <w:rFonts w:ascii="Arial"/>
                <w:w w:val="100"/>
                <w:sz w:val="16"/>
              </w:rPr>
            </w:r>
          </w:p>
        </w:tc>
        <w:tc>
          <w:tcPr>
            <w:tcW w:w="1510" w:type="dxa"/>
            <w:tcBorders>
              <w:top w:val="nil" w:sz="6" w:space="0" w:color="auto"/>
              <w:left w:val="nil" w:sz="6" w:space="0" w:color="auto"/>
              <w:bottom w:val="single" w:sz="4" w:space="0" w:color="000000"/>
              <w:right w:val="nil" w:sz="6" w:space="0" w:color="auto"/>
            </w:tcBorders>
          </w:tcPr>
          <w:p>
            <w:pPr>
              <w:pStyle w:val="TableParagraph"/>
              <w:spacing w:line="172" w:lineRule="exact"/>
              <w:ind w:left="36" w:right="0"/>
              <w:jc w:val="left"/>
              <w:rPr>
                <w:rFonts w:ascii="宋体" w:hAnsi="宋体" w:cs="宋体" w:eastAsia="宋体" w:hint="default"/>
                <w:sz w:val="16"/>
                <w:szCs w:val="16"/>
              </w:rPr>
            </w:pPr>
            <w:r>
              <w:rPr>
                <w:rFonts w:ascii="Arial" w:hAnsi="Arial" w:cs="Arial" w:eastAsia="Arial" w:hint="default"/>
                <w:sz w:val="16"/>
                <w:szCs w:val="16"/>
              </w:rPr>
              <w:t>014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12</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31</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815" w:type="dxa"/>
            <w:tcBorders>
              <w:top w:val="nil" w:sz="6" w:space="0" w:color="auto"/>
              <w:left w:val="nil" w:sz="6" w:space="0" w:color="auto"/>
              <w:bottom w:val="single" w:sz="4" w:space="0" w:color="000000"/>
              <w:right w:val="nil" w:sz="6" w:space="0" w:color="auto"/>
            </w:tcBorders>
          </w:tcPr>
          <w:p>
            <w:pPr/>
          </w:p>
        </w:tc>
        <w:tc>
          <w:tcPr>
            <w:tcW w:w="237" w:type="dxa"/>
            <w:tcBorders>
              <w:top w:val="nil" w:sz="6" w:space="0" w:color="auto"/>
              <w:left w:val="nil" w:sz="6" w:space="0" w:color="auto"/>
              <w:bottom w:val="single" w:sz="4" w:space="0" w:color="000000"/>
              <w:right w:val="nil" w:sz="6" w:space="0" w:color="auto"/>
            </w:tcBorders>
          </w:tcPr>
          <w:p>
            <w:pPr/>
          </w:p>
        </w:tc>
        <w:tc>
          <w:tcPr>
            <w:tcW w:w="1132" w:type="dxa"/>
            <w:tcBorders>
              <w:top w:val="nil" w:sz="6" w:space="0" w:color="auto"/>
              <w:left w:val="nil" w:sz="6" w:space="0" w:color="auto"/>
              <w:bottom w:val="single" w:sz="4" w:space="0" w:color="000000"/>
              <w:right w:val="nil" w:sz="6" w:space="0" w:color="auto"/>
            </w:tcBorders>
          </w:tcPr>
          <w:p>
            <w:pPr/>
          </w:p>
        </w:tc>
        <w:tc>
          <w:tcPr>
            <w:tcW w:w="1906" w:type="dxa"/>
            <w:tcBorders>
              <w:top w:val="nil" w:sz="6" w:space="0" w:color="auto"/>
              <w:left w:val="nil" w:sz="6" w:space="0" w:color="auto"/>
              <w:bottom w:val="single" w:sz="4" w:space="0" w:color="000000"/>
              <w:right w:val="nil" w:sz="6" w:space="0" w:color="auto"/>
            </w:tcBorders>
          </w:tcPr>
          <w:p>
            <w:pPr/>
          </w:p>
        </w:tc>
        <w:tc>
          <w:tcPr>
            <w:tcW w:w="845"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single" w:sz="4" w:space="0" w:color="000000"/>
              <w:right w:val="nil" w:sz="6" w:space="0" w:color="auto"/>
            </w:tcBorders>
          </w:tcPr>
          <w:p>
            <w:pPr>
              <w:pStyle w:val="TableParagraph"/>
              <w:spacing w:line="172" w:lineRule="exact"/>
              <w:ind w:left="148" w:right="-10"/>
              <w:jc w:val="left"/>
              <w:rPr>
                <w:rFonts w:ascii="Arial" w:hAnsi="Arial" w:cs="Arial" w:eastAsia="Arial" w:hint="default"/>
                <w:sz w:val="16"/>
                <w:szCs w:val="16"/>
              </w:rPr>
            </w:pPr>
            <w:r>
              <w:rPr>
                <w:rFonts w:ascii="Arial"/>
                <w:spacing w:val="-1"/>
                <w:w w:val="100"/>
                <w:sz w:val="16"/>
              </w:rPr>
              <w:t>2</w:t>
            </w:r>
            <w:r>
              <w:rPr>
                <w:rFonts w:ascii="Arial"/>
                <w:w w:val="100"/>
                <w:sz w:val="16"/>
              </w:rPr>
            </w:r>
          </w:p>
        </w:tc>
        <w:tc>
          <w:tcPr>
            <w:tcW w:w="1532" w:type="dxa"/>
            <w:tcBorders>
              <w:top w:val="nil" w:sz="6" w:space="0" w:color="auto"/>
              <w:left w:val="nil" w:sz="6" w:space="0" w:color="auto"/>
              <w:bottom w:val="single" w:sz="4" w:space="0" w:color="000000"/>
              <w:right w:val="nil" w:sz="6" w:space="0" w:color="auto"/>
            </w:tcBorders>
          </w:tcPr>
          <w:p>
            <w:pPr>
              <w:pStyle w:val="TableParagraph"/>
              <w:spacing w:line="172" w:lineRule="exact"/>
              <w:ind w:left="9" w:right="0"/>
              <w:jc w:val="left"/>
              <w:rPr>
                <w:rFonts w:ascii="宋体" w:hAnsi="宋体" w:cs="宋体" w:eastAsia="宋体" w:hint="default"/>
                <w:sz w:val="16"/>
                <w:szCs w:val="16"/>
              </w:rPr>
            </w:pPr>
            <w:r>
              <w:rPr>
                <w:rFonts w:ascii="Arial" w:hAnsi="Arial" w:cs="Arial" w:eastAsia="Arial" w:hint="default"/>
                <w:sz w:val="16"/>
                <w:szCs w:val="16"/>
              </w:rPr>
              <w:t>013</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12</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31</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792" w:type="dxa"/>
            <w:tcBorders>
              <w:top w:val="nil" w:sz="6" w:space="0" w:color="auto"/>
              <w:left w:val="nil" w:sz="6" w:space="0" w:color="auto"/>
              <w:bottom w:val="single" w:sz="4" w:space="0" w:color="000000"/>
              <w:right w:val="nil" w:sz="6" w:space="0" w:color="auto"/>
            </w:tcBorders>
          </w:tcPr>
          <w:p>
            <w:pPr/>
          </w:p>
        </w:tc>
        <w:tc>
          <w:tcPr>
            <w:tcW w:w="230" w:type="dxa"/>
            <w:tcBorders>
              <w:top w:val="nil" w:sz="6" w:space="0" w:color="auto"/>
              <w:left w:val="nil" w:sz="6" w:space="0" w:color="auto"/>
              <w:bottom w:val="single" w:sz="4" w:space="0" w:color="000000"/>
              <w:right w:val="nil" w:sz="6" w:space="0" w:color="auto"/>
            </w:tcBorders>
          </w:tcPr>
          <w:p>
            <w:pPr/>
          </w:p>
        </w:tc>
        <w:tc>
          <w:tcPr>
            <w:tcW w:w="1231" w:type="dxa"/>
            <w:tcBorders>
              <w:top w:val="nil" w:sz="6" w:space="0" w:color="auto"/>
              <w:left w:val="nil" w:sz="6" w:space="0" w:color="auto"/>
              <w:bottom w:val="single" w:sz="4" w:space="0" w:color="000000"/>
              <w:right w:val="nil" w:sz="6" w:space="0" w:color="auto"/>
            </w:tcBorders>
          </w:tcPr>
          <w:p>
            <w:pPr/>
          </w:p>
        </w:tc>
      </w:tr>
      <w:tr>
        <w:trPr>
          <w:trHeight w:val="218" w:hRule="exact"/>
        </w:trPr>
        <w:tc>
          <w:tcPr>
            <w:tcW w:w="1825" w:type="dxa"/>
            <w:tcBorders>
              <w:top w:val="nil" w:sz="6" w:space="0" w:color="auto"/>
              <w:left w:val="nil" w:sz="6" w:space="0" w:color="auto"/>
              <w:bottom w:val="nil" w:sz="6" w:space="0" w:color="auto"/>
              <w:right w:val="nil" w:sz="6" w:space="0" w:color="auto"/>
            </w:tcBorders>
          </w:tcPr>
          <w:p>
            <w:pPr/>
          </w:p>
        </w:tc>
        <w:tc>
          <w:tcPr>
            <w:tcW w:w="1498" w:type="dxa"/>
            <w:tcBorders>
              <w:top w:val="single" w:sz="4" w:space="0" w:color="000000"/>
              <w:left w:val="nil" w:sz="6" w:space="0" w:color="auto"/>
              <w:bottom w:val="single" w:sz="4" w:space="0" w:color="000000"/>
              <w:right w:val="nil" w:sz="6" w:space="0" w:color="auto"/>
            </w:tcBorders>
          </w:tcPr>
          <w:p>
            <w:pPr>
              <w:pStyle w:val="TableParagraph"/>
              <w:spacing w:line="183" w:lineRule="exact"/>
              <w:ind w:left="854"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805" w:type="dxa"/>
            <w:tcBorders>
              <w:top w:val="single" w:sz="4" w:space="0" w:color="000000"/>
              <w:left w:val="nil" w:sz="6" w:space="0" w:color="auto"/>
              <w:bottom w:val="single" w:sz="4" w:space="0" w:color="000000"/>
              <w:right w:val="nil" w:sz="6" w:space="0" w:color="auto"/>
            </w:tcBorders>
          </w:tcPr>
          <w:p>
            <w:pPr/>
          </w:p>
        </w:tc>
        <w:tc>
          <w:tcPr>
            <w:tcW w:w="234" w:type="dxa"/>
            <w:tcBorders>
              <w:top w:val="single" w:sz="4" w:space="0" w:color="000000"/>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183" w:lineRule="exact"/>
              <w:ind w:left="866"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815" w:type="dxa"/>
            <w:tcBorders>
              <w:top w:val="single" w:sz="4" w:space="0" w:color="000000"/>
              <w:left w:val="nil" w:sz="6" w:space="0" w:color="auto"/>
              <w:bottom w:val="single" w:sz="4" w:space="0" w:color="000000"/>
              <w:right w:val="nil" w:sz="6" w:space="0" w:color="auto"/>
            </w:tcBorders>
          </w:tcPr>
          <w:p>
            <w:pPr/>
          </w:p>
        </w:tc>
        <w:tc>
          <w:tcPr>
            <w:tcW w:w="237" w:type="dxa"/>
            <w:tcBorders>
              <w:top w:val="single" w:sz="4" w:space="0" w:color="000000"/>
              <w:left w:val="nil" w:sz="6" w:space="0" w:color="auto"/>
              <w:bottom w:val="nil" w:sz="6" w:space="0" w:color="auto"/>
              <w:right w:val="nil" w:sz="6" w:space="0" w:color="auto"/>
            </w:tcBorders>
          </w:tcPr>
          <w:p>
            <w:pPr/>
          </w:p>
        </w:tc>
        <w:tc>
          <w:tcPr>
            <w:tcW w:w="1132" w:type="dxa"/>
            <w:tcBorders>
              <w:top w:val="single" w:sz="4" w:space="0" w:color="000000"/>
              <w:left w:val="nil" w:sz="6" w:space="0" w:color="auto"/>
              <w:bottom w:val="single" w:sz="4" w:space="0" w:color="000000"/>
              <w:right w:val="nil" w:sz="6" w:space="0" w:color="auto"/>
            </w:tcBorders>
          </w:tcPr>
          <w:p>
            <w:pPr>
              <w:pStyle w:val="TableParagraph"/>
              <w:spacing w:line="183" w:lineRule="exact"/>
              <w:ind w:left="336" w:right="0"/>
              <w:jc w:val="left"/>
              <w:rPr>
                <w:rFonts w:ascii="宋体" w:hAnsi="宋体" w:cs="宋体" w:eastAsia="宋体" w:hint="default"/>
                <w:sz w:val="16"/>
                <w:szCs w:val="16"/>
              </w:rPr>
            </w:pPr>
            <w:r>
              <w:rPr>
                <w:rFonts w:ascii="宋体" w:hAnsi="宋体" w:cs="宋体" w:eastAsia="宋体" w:hint="default"/>
                <w:sz w:val="16"/>
                <w:szCs w:val="16"/>
              </w:rPr>
              <w:t>账面价值</w:t>
            </w:r>
          </w:p>
        </w:tc>
        <w:tc>
          <w:tcPr>
            <w:tcW w:w="1906" w:type="dxa"/>
            <w:tcBorders>
              <w:top w:val="single" w:sz="4" w:space="0" w:color="000000"/>
              <w:left w:val="nil" w:sz="6" w:space="0" w:color="auto"/>
              <w:bottom w:val="single" w:sz="4" w:space="0" w:color="000000"/>
              <w:right w:val="nil" w:sz="6" w:space="0" w:color="auto"/>
            </w:tcBorders>
          </w:tcPr>
          <w:p>
            <w:pPr>
              <w:pStyle w:val="TableParagraph"/>
              <w:spacing w:line="183" w:lineRule="exact"/>
              <w:ind w:left="1263"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845" w:type="dxa"/>
            <w:tcBorders>
              <w:top w:val="single" w:sz="4" w:space="0" w:color="000000"/>
              <w:left w:val="nil" w:sz="6" w:space="0" w:color="auto"/>
              <w:bottom w:val="single" w:sz="4" w:space="0" w:color="000000"/>
              <w:right w:val="nil" w:sz="6" w:space="0" w:color="auto"/>
            </w:tcBorders>
          </w:tcPr>
          <w:p>
            <w:pPr/>
          </w:p>
        </w:tc>
        <w:tc>
          <w:tcPr>
            <w:tcW w:w="228" w:type="dxa"/>
            <w:tcBorders>
              <w:top w:val="single" w:sz="4" w:space="0" w:color="000000"/>
              <w:left w:val="nil" w:sz="6" w:space="0" w:color="auto"/>
              <w:bottom w:val="nil" w:sz="6" w:space="0" w:color="auto"/>
              <w:right w:val="nil" w:sz="6" w:space="0" w:color="auto"/>
            </w:tcBorders>
          </w:tcPr>
          <w:p>
            <w:pPr/>
          </w:p>
        </w:tc>
        <w:tc>
          <w:tcPr>
            <w:tcW w:w="1532" w:type="dxa"/>
            <w:tcBorders>
              <w:top w:val="single" w:sz="4" w:space="0" w:color="000000"/>
              <w:left w:val="nil" w:sz="6" w:space="0" w:color="auto"/>
              <w:bottom w:val="single" w:sz="4" w:space="0" w:color="000000"/>
              <w:right w:val="nil" w:sz="6" w:space="0" w:color="auto"/>
            </w:tcBorders>
          </w:tcPr>
          <w:p>
            <w:pPr>
              <w:pStyle w:val="TableParagraph"/>
              <w:spacing w:line="183" w:lineRule="exact"/>
              <w:ind w:left="844"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792" w:type="dxa"/>
            <w:tcBorders>
              <w:top w:val="single" w:sz="4" w:space="0" w:color="000000"/>
              <w:left w:val="nil" w:sz="6" w:space="0" w:color="auto"/>
              <w:bottom w:val="single" w:sz="4" w:space="0" w:color="000000"/>
              <w:right w:val="nil" w:sz="6" w:space="0" w:color="auto"/>
            </w:tcBorders>
          </w:tcPr>
          <w:p>
            <w:pPr/>
          </w:p>
        </w:tc>
        <w:tc>
          <w:tcPr>
            <w:tcW w:w="230" w:type="dxa"/>
            <w:tcBorders>
              <w:top w:val="single" w:sz="4" w:space="0" w:color="000000"/>
              <w:left w:val="nil" w:sz="6" w:space="0" w:color="auto"/>
              <w:bottom w:val="nil" w:sz="6" w:space="0" w:color="auto"/>
              <w:right w:val="nil" w:sz="6" w:space="0" w:color="auto"/>
            </w:tcBorders>
          </w:tcPr>
          <w:p>
            <w:pPr/>
          </w:p>
        </w:tc>
        <w:tc>
          <w:tcPr>
            <w:tcW w:w="1231" w:type="dxa"/>
            <w:tcBorders>
              <w:top w:val="single" w:sz="4" w:space="0" w:color="000000"/>
              <w:left w:val="nil" w:sz="6" w:space="0" w:color="auto"/>
              <w:bottom w:val="single" w:sz="4" w:space="0" w:color="000000"/>
              <w:right w:val="nil" w:sz="6" w:space="0" w:color="auto"/>
            </w:tcBorders>
          </w:tcPr>
          <w:p>
            <w:pPr>
              <w:pStyle w:val="TableParagraph"/>
              <w:spacing w:line="183" w:lineRule="exact"/>
              <w:ind w:left="297" w:right="0"/>
              <w:jc w:val="left"/>
              <w:rPr>
                <w:rFonts w:ascii="宋体" w:hAnsi="宋体" w:cs="宋体" w:eastAsia="宋体" w:hint="default"/>
                <w:sz w:val="16"/>
                <w:szCs w:val="16"/>
              </w:rPr>
            </w:pPr>
            <w:r>
              <w:rPr>
                <w:rFonts w:ascii="宋体" w:hAnsi="宋体" w:cs="宋体" w:eastAsia="宋体" w:hint="default"/>
                <w:sz w:val="16"/>
                <w:szCs w:val="16"/>
              </w:rPr>
              <w:t>账面价值</w:t>
            </w:r>
          </w:p>
        </w:tc>
      </w:tr>
      <w:tr>
        <w:trPr>
          <w:trHeight w:val="216" w:hRule="exact"/>
        </w:trPr>
        <w:tc>
          <w:tcPr>
            <w:tcW w:w="1825" w:type="dxa"/>
            <w:tcBorders>
              <w:top w:val="nil" w:sz="6" w:space="0" w:color="auto"/>
              <w:left w:val="nil" w:sz="6" w:space="0" w:color="auto"/>
              <w:bottom w:val="nil" w:sz="6" w:space="0" w:color="auto"/>
              <w:right w:val="nil" w:sz="6" w:space="0" w:color="auto"/>
            </w:tcBorders>
          </w:tcPr>
          <w:p>
            <w:pPr/>
          </w:p>
        </w:tc>
        <w:tc>
          <w:tcPr>
            <w:tcW w:w="1498" w:type="dxa"/>
            <w:tcBorders>
              <w:top w:val="single" w:sz="4" w:space="0" w:color="000000"/>
              <w:left w:val="nil" w:sz="6" w:space="0" w:color="auto"/>
              <w:bottom w:val="single" w:sz="4" w:space="0" w:color="000000"/>
              <w:right w:val="nil" w:sz="6" w:space="0" w:color="auto"/>
            </w:tcBorders>
          </w:tcPr>
          <w:p>
            <w:pPr>
              <w:pStyle w:val="TableParagraph"/>
              <w:spacing w:line="183" w:lineRule="exact"/>
              <w:ind w:left="436" w:right="0"/>
              <w:jc w:val="left"/>
              <w:rPr>
                <w:rFonts w:ascii="宋体" w:hAnsi="宋体" w:cs="宋体" w:eastAsia="宋体" w:hint="default"/>
                <w:sz w:val="16"/>
                <w:szCs w:val="16"/>
              </w:rPr>
            </w:pPr>
            <w:r>
              <w:rPr>
                <w:rFonts w:ascii="宋体" w:hAnsi="宋体" w:cs="宋体" w:eastAsia="宋体" w:hint="default"/>
                <w:sz w:val="16"/>
                <w:szCs w:val="16"/>
              </w:rPr>
              <w:t>金额</w:t>
            </w:r>
          </w:p>
        </w:tc>
        <w:tc>
          <w:tcPr>
            <w:tcW w:w="805" w:type="dxa"/>
            <w:tcBorders>
              <w:top w:val="single" w:sz="4" w:space="0" w:color="000000"/>
              <w:left w:val="nil" w:sz="6" w:space="0" w:color="auto"/>
              <w:bottom w:val="single" w:sz="4" w:space="0" w:color="000000"/>
              <w:right w:val="nil" w:sz="6" w:space="0" w:color="auto"/>
            </w:tcBorders>
          </w:tcPr>
          <w:p>
            <w:pPr>
              <w:pStyle w:val="TableParagraph"/>
              <w:spacing w:line="195" w:lineRule="exact"/>
              <w:ind w:left="84" w:right="0"/>
              <w:jc w:val="left"/>
              <w:rPr>
                <w:rFonts w:ascii="Arial" w:hAnsi="Arial" w:cs="Arial" w:eastAsia="Arial" w:hint="default"/>
                <w:sz w:val="16"/>
                <w:szCs w:val="16"/>
              </w:rPr>
            </w:pPr>
            <w:r>
              <w:rPr>
                <w:rFonts w:ascii="宋体" w:hAnsi="宋体" w:cs="宋体" w:eastAsia="宋体" w:hint="default"/>
                <w:sz w:val="16"/>
                <w:szCs w:val="16"/>
              </w:rPr>
              <w:t>比例</w:t>
            </w:r>
            <w:r>
              <w:rPr>
                <w:rFonts w:ascii="Arial" w:hAnsi="Arial" w:cs="Arial" w:eastAsia="Arial" w:hint="default"/>
                <w:sz w:val="16"/>
                <w:szCs w:val="16"/>
              </w:rPr>
              <w:t>(%)</w:t>
            </w:r>
          </w:p>
        </w:tc>
        <w:tc>
          <w:tcPr>
            <w:tcW w:w="234"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183" w:lineRule="exact"/>
              <w:ind w:left="460" w:right="0"/>
              <w:jc w:val="left"/>
              <w:rPr>
                <w:rFonts w:ascii="宋体" w:hAnsi="宋体" w:cs="宋体" w:eastAsia="宋体" w:hint="default"/>
                <w:sz w:val="16"/>
                <w:szCs w:val="16"/>
              </w:rPr>
            </w:pPr>
            <w:r>
              <w:rPr>
                <w:rFonts w:ascii="宋体" w:hAnsi="宋体" w:cs="宋体" w:eastAsia="宋体" w:hint="default"/>
                <w:sz w:val="16"/>
                <w:szCs w:val="16"/>
              </w:rPr>
              <w:t>金额</w:t>
            </w:r>
          </w:p>
        </w:tc>
        <w:tc>
          <w:tcPr>
            <w:tcW w:w="815" w:type="dxa"/>
            <w:tcBorders>
              <w:top w:val="single" w:sz="4" w:space="0" w:color="000000"/>
              <w:left w:val="nil" w:sz="6" w:space="0" w:color="auto"/>
              <w:bottom w:val="single" w:sz="4" w:space="0" w:color="000000"/>
              <w:right w:val="nil" w:sz="6" w:space="0" w:color="auto"/>
            </w:tcBorders>
          </w:tcPr>
          <w:p>
            <w:pPr>
              <w:pStyle w:val="TableParagraph"/>
              <w:spacing w:line="195" w:lineRule="exact"/>
              <w:ind w:left="107" w:right="0"/>
              <w:jc w:val="left"/>
              <w:rPr>
                <w:rFonts w:ascii="Arial" w:hAnsi="Arial" w:cs="Arial" w:eastAsia="Arial" w:hint="default"/>
                <w:sz w:val="16"/>
                <w:szCs w:val="16"/>
              </w:rPr>
            </w:pPr>
            <w:r>
              <w:rPr>
                <w:rFonts w:ascii="宋体" w:hAnsi="宋体" w:cs="宋体" w:eastAsia="宋体" w:hint="default"/>
                <w:sz w:val="16"/>
                <w:szCs w:val="16"/>
              </w:rPr>
              <w:t>比例</w:t>
            </w:r>
            <w:r>
              <w:rPr>
                <w:rFonts w:ascii="Arial" w:hAnsi="Arial" w:cs="Arial" w:eastAsia="Arial" w:hint="default"/>
                <w:sz w:val="16"/>
                <w:szCs w:val="16"/>
              </w:rPr>
              <w:t>(%)</w:t>
            </w:r>
          </w:p>
        </w:tc>
        <w:tc>
          <w:tcPr>
            <w:tcW w:w="237" w:type="dxa"/>
            <w:tcBorders>
              <w:top w:val="nil" w:sz="6" w:space="0" w:color="auto"/>
              <w:left w:val="nil" w:sz="6" w:space="0" w:color="auto"/>
              <w:bottom w:val="nil" w:sz="6" w:space="0" w:color="auto"/>
              <w:right w:val="nil" w:sz="6" w:space="0" w:color="auto"/>
            </w:tcBorders>
          </w:tcPr>
          <w:p>
            <w:pPr/>
          </w:p>
        </w:tc>
        <w:tc>
          <w:tcPr>
            <w:tcW w:w="1132" w:type="dxa"/>
            <w:tcBorders>
              <w:top w:val="single" w:sz="4" w:space="0" w:color="000000"/>
              <w:left w:val="nil" w:sz="6" w:space="0" w:color="auto"/>
              <w:bottom w:val="nil" w:sz="6" w:space="0" w:color="auto"/>
              <w:right w:val="nil" w:sz="6" w:space="0" w:color="auto"/>
            </w:tcBorders>
          </w:tcPr>
          <w:p>
            <w:pPr/>
          </w:p>
        </w:tc>
        <w:tc>
          <w:tcPr>
            <w:tcW w:w="1906" w:type="dxa"/>
            <w:tcBorders>
              <w:top w:val="single" w:sz="4" w:space="0" w:color="000000"/>
              <w:left w:val="nil" w:sz="6" w:space="0" w:color="auto"/>
              <w:bottom w:val="single" w:sz="4" w:space="0" w:color="000000"/>
              <w:right w:val="nil" w:sz="6" w:space="0" w:color="auto"/>
            </w:tcBorders>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845" w:type="dxa"/>
            <w:tcBorders>
              <w:top w:val="single" w:sz="4" w:space="0" w:color="000000"/>
              <w:left w:val="nil" w:sz="6" w:space="0" w:color="auto"/>
              <w:bottom w:val="single" w:sz="4" w:space="0" w:color="000000"/>
              <w:right w:val="nil" w:sz="6" w:space="0" w:color="auto"/>
            </w:tcBorders>
          </w:tcPr>
          <w:p>
            <w:pPr>
              <w:pStyle w:val="TableParagraph"/>
              <w:spacing w:line="195" w:lineRule="exact"/>
              <w:ind w:left="89" w:right="0"/>
              <w:jc w:val="left"/>
              <w:rPr>
                <w:rFonts w:ascii="Arial" w:hAnsi="Arial" w:cs="Arial" w:eastAsia="Arial" w:hint="default"/>
                <w:sz w:val="16"/>
                <w:szCs w:val="16"/>
              </w:rPr>
            </w:pPr>
            <w:r>
              <w:rPr>
                <w:rFonts w:ascii="宋体" w:hAnsi="宋体" w:cs="宋体" w:eastAsia="宋体" w:hint="default"/>
                <w:sz w:val="16"/>
                <w:szCs w:val="16"/>
              </w:rPr>
              <w:t>比例</w:t>
            </w:r>
            <w:r>
              <w:rPr>
                <w:rFonts w:ascii="Arial" w:hAnsi="Arial" w:cs="Arial" w:eastAsia="Arial" w:hint="default"/>
                <w:sz w:val="16"/>
                <w:szCs w:val="16"/>
              </w:rPr>
              <w:t>(%)</w:t>
            </w:r>
          </w:p>
        </w:tc>
        <w:tc>
          <w:tcPr>
            <w:tcW w:w="228" w:type="dxa"/>
            <w:tcBorders>
              <w:top w:val="nil" w:sz="6" w:space="0" w:color="auto"/>
              <w:left w:val="nil" w:sz="6" w:space="0" w:color="auto"/>
              <w:bottom w:val="nil" w:sz="6" w:space="0" w:color="auto"/>
              <w:right w:val="nil" w:sz="6" w:space="0" w:color="auto"/>
            </w:tcBorders>
          </w:tcPr>
          <w:p>
            <w:pPr/>
          </w:p>
        </w:tc>
        <w:tc>
          <w:tcPr>
            <w:tcW w:w="1532" w:type="dxa"/>
            <w:tcBorders>
              <w:top w:val="single" w:sz="4" w:space="0" w:color="000000"/>
              <w:left w:val="nil" w:sz="6" w:space="0" w:color="auto"/>
              <w:bottom w:val="single" w:sz="4" w:space="0" w:color="000000"/>
              <w:right w:val="nil" w:sz="6" w:space="0" w:color="auto"/>
            </w:tcBorders>
          </w:tcPr>
          <w:p>
            <w:pPr>
              <w:pStyle w:val="TableParagraph"/>
              <w:spacing w:line="183" w:lineRule="exact"/>
              <w:ind w:right="177"/>
              <w:jc w:val="center"/>
              <w:rPr>
                <w:rFonts w:ascii="宋体" w:hAnsi="宋体" w:cs="宋体" w:eastAsia="宋体" w:hint="default"/>
                <w:sz w:val="16"/>
                <w:szCs w:val="16"/>
              </w:rPr>
            </w:pPr>
            <w:r>
              <w:rPr>
                <w:rFonts w:ascii="宋体" w:hAnsi="宋体" w:cs="宋体" w:eastAsia="宋体" w:hint="default"/>
                <w:sz w:val="16"/>
                <w:szCs w:val="16"/>
              </w:rPr>
              <w:t>金额</w:t>
            </w:r>
          </w:p>
        </w:tc>
        <w:tc>
          <w:tcPr>
            <w:tcW w:w="792" w:type="dxa"/>
            <w:tcBorders>
              <w:top w:val="single" w:sz="4" w:space="0" w:color="000000"/>
              <w:left w:val="nil" w:sz="6" w:space="0" w:color="auto"/>
              <w:bottom w:val="single" w:sz="4" w:space="0" w:color="000000"/>
              <w:right w:val="nil" w:sz="6" w:space="0" w:color="auto"/>
            </w:tcBorders>
          </w:tcPr>
          <w:p>
            <w:pPr>
              <w:pStyle w:val="TableParagraph"/>
              <w:spacing w:line="195" w:lineRule="exact"/>
              <w:ind w:left="136" w:right="0"/>
              <w:jc w:val="left"/>
              <w:rPr>
                <w:rFonts w:ascii="Arial" w:hAnsi="Arial" w:cs="Arial" w:eastAsia="Arial" w:hint="default"/>
                <w:sz w:val="16"/>
                <w:szCs w:val="16"/>
              </w:rPr>
            </w:pPr>
            <w:r>
              <w:rPr>
                <w:rFonts w:ascii="宋体" w:hAnsi="宋体" w:cs="宋体" w:eastAsia="宋体" w:hint="default"/>
                <w:sz w:val="16"/>
                <w:szCs w:val="16"/>
              </w:rPr>
              <w:t>比例</w:t>
            </w:r>
            <w:r>
              <w:rPr>
                <w:rFonts w:ascii="Arial" w:hAnsi="Arial" w:cs="Arial" w:eastAsia="Arial" w:hint="default"/>
                <w:sz w:val="16"/>
                <w:szCs w:val="16"/>
              </w:rPr>
              <w:t>(%)</w:t>
            </w:r>
          </w:p>
        </w:tc>
        <w:tc>
          <w:tcPr>
            <w:tcW w:w="230" w:type="dxa"/>
            <w:tcBorders>
              <w:top w:val="nil" w:sz="6" w:space="0" w:color="auto"/>
              <w:left w:val="nil" w:sz="6" w:space="0" w:color="auto"/>
              <w:bottom w:val="nil" w:sz="6" w:space="0" w:color="auto"/>
              <w:right w:val="nil" w:sz="6" w:space="0" w:color="auto"/>
            </w:tcBorders>
          </w:tcPr>
          <w:p>
            <w:pPr/>
          </w:p>
        </w:tc>
        <w:tc>
          <w:tcPr>
            <w:tcW w:w="1231" w:type="dxa"/>
            <w:tcBorders>
              <w:top w:val="single" w:sz="4" w:space="0" w:color="000000"/>
              <w:left w:val="nil" w:sz="6" w:space="0" w:color="auto"/>
              <w:bottom w:val="nil" w:sz="6" w:space="0" w:color="auto"/>
              <w:right w:val="nil" w:sz="6" w:space="0" w:color="auto"/>
            </w:tcBorders>
          </w:tcPr>
          <w:p>
            <w:pPr/>
          </w:p>
        </w:tc>
      </w:tr>
      <w:tr>
        <w:trPr>
          <w:trHeight w:val="628"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60" w:right="104" w:hanging="161"/>
              <w:jc w:val="left"/>
              <w:rPr>
                <w:rFonts w:ascii="宋体" w:hAnsi="宋体" w:cs="宋体" w:eastAsia="宋体" w:hint="default"/>
                <w:sz w:val="16"/>
                <w:szCs w:val="16"/>
              </w:rPr>
            </w:pPr>
            <w:r>
              <w:rPr>
                <w:rFonts w:ascii="宋体" w:hAnsi="宋体" w:cs="宋体" w:eastAsia="宋体" w:hint="default"/>
                <w:spacing w:val="6"/>
                <w:sz w:val="16"/>
                <w:szCs w:val="16"/>
              </w:rPr>
              <w:t>单项金额重大并单独</w:t>
            </w:r>
            <w:r>
              <w:rPr>
                <w:rFonts w:ascii="宋体" w:hAnsi="宋体" w:cs="宋体" w:eastAsia="宋体" w:hint="default"/>
                <w:spacing w:val="-59"/>
                <w:sz w:val="16"/>
                <w:szCs w:val="16"/>
              </w:rPr>
              <w:t> </w:t>
            </w:r>
            <w:r>
              <w:rPr>
                <w:rFonts w:ascii="宋体" w:hAnsi="宋体" w:cs="宋体" w:eastAsia="宋体" w:hint="default"/>
                <w:spacing w:val="-59"/>
                <w:sz w:val="16"/>
                <w:szCs w:val="16"/>
              </w:rPr>
            </w:r>
            <w:r>
              <w:rPr>
                <w:rFonts w:ascii="宋体" w:hAnsi="宋体" w:cs="宋体" w:eastAsia="宋体" w:hint="default"/>
                <w:sz w:val="16"/>
                <w:szCs w:val="16"/>
              </w:rPr>
              <w:t>计提坏账准备</w:t>
            </w:r>
          </w:p>
        </w:tc>
        <w:tc>
          <w:tcPr>
            <w:tcW w:w="1498"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0.15pt;height:.5pt;mso-position-horizontal-relative:char;mso-position-vertical-relative:line" coordorigin="0,0" coordsize="1203,10">
                  <v:group style="position:absolute;left:5;top:5;width:10;height:2" coordorigin="5,5" coordsize="10,2">
                    <v:shape style="position:absolute;left:5;top:5;width:10;height:2" coordorigin="5,5" coordsize="10,0" path="m5,5l14,5e" filled="false" stroked="true" strokeweight=".48pt" strokecolor="#000000">
                      <v:path arrowok="t"/>
                    </v:shape>
                  </v:group>
                  <v:group style="position:absolute;left:14;top:5;width:1184;height:2" coordorigin="14,5" coordsize="1184,2">
                    <v:shape style="position:absolute;left:14;top:5;width:1184;height:2" coordorigin="14,5" coordsize="1184,0" path="m14,5l1198,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99"/>
              <w:jc w:val="right"/>
              <w:rPr>
                <w:rFonts w:ascii="Arial" w:hAnsi="Arial" w:cs="Arial" w:eastAsia="Arial" w:hint="default"/>
                <w:sz w:val="14"/>
                <w:szCs w:val="14"/>
              </w:rPr>
            </w:pPr>
            <w:r>
              <w:rPr>
                <w:rFonts w:ascii="Arial"/>
                <w:w w:val="99"/>
                <w:sz w:val="14"/>
              </w:rPr>
              <w:t>-</w:t>
            </w:r>
            <w:r>
              <w:rPr>
                <w:rFonts w:ascii="Arial"/>
                <w:sz w:val="14"/>
              </w:rPr>
            </w:r>
          </w:p>
        </w:tc>
        <w:tc>
          <w:tcPr>
            <w:tcW w:w="80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right"/>
              <w:rPr>
                <w:rFonts w:ascii="Arial" w:hAnsi="Arial" w:cs="Arial" w:eastAsia="Arial" w:hint="default"/>
                <w:sz w:val="14"/>
                <w:szCs w:val="14"/>
              </w:rPr>
            </w:pPr>
            <w:r>
              <w:rPr>
                <w:rFonts w:ascii="Arial"/>
                <w:w w:val="99"/>
                <w:sz w:val="14"/>
              </w:rPr>
              <w:t>-</w:t>
            </w:r>
            <w:r>
              <w:rPr>
                <w:rFonts w:ascii="Arial"/>
                <w:sz w:val="14"/>
              </w:rPr>
            </w:r>
          </w:p>
        </w:tc>
        <w:tc>
          <w:tcPr>
            <w:tcW w:w="234"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0pt;height:.5pt;mso-position-horizontal-relative:char;mso-position-vertical-relative:line" coordorigin="0,0" coordsize="1200,10">
                  <v:group style="position:absolute;left:5;top:5;width:1191;height:2" coordorigin="5,5" coordsize="1191,2">
                    <v:shape style="position:absolute;left:5;top:5;width:1191;height:2" coordorigin="5,5" coordsize="1191,0" path="m5,5l1195,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350"/>
              <w:jc w:val="right"/>
              <w:rPr>
                <w:rFonts w:ascii="Arial" w:hAnsi="Arial" w:cs="Arial" w:eastAsia="Arial" w:hint="default"/>
                <w:sz w:val="14"/>
                <w:szCs w:val="14"/>
              </w:rPr>
            </w:pPr>
            <w:r>
              <w:rPr>
                <w:rFonts w:ascii="Arial"/>
                <w:w w:val="99"/>
                <w:sz w:val="14"/>
              </w:rPr>
              <w:t>-</w:t>
            </w:r>
            <w:r>
              <w:rPr>
                <w:rFonts w:ascii="Arial"/>
                <w:sz w:val="14"/>
              </w:rPr>
            </w:r>
          </w:p>
        </w:tc>
        <w:tc>
          <w:tcPr>
            <w:tcW w:w="81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3"/>
              <w:jc w:val="right"/>
              <w:rPr>
                <w:rFonts w:ascii="Arial" w:hAnsi="Arial" w:cs="Arial" w:eastAsia="Arial" w:hint="default"/>
                <w:sz w:val="14"/>
                <w:szCs w:val="14"/>
              </w:rPr>
            </w:pPr>
            <w:r>
              <w:rPr>
                <w:rFonts w:ascii="Arial"/>
                <w:w w:val="99"/>
                <w:sz w:val="14"/>
              </w:rPr>
              <w:t>-</w:t>
            </w:r>
            <w:r>
              <w:rPr>
                <w:rFonts w:ascii="Arial"/>
                <w:sz w:val="14"/>
              </w:rPr>
            </w:r>
          </w:p>
        </w:tc>
        <w:tc>
          <w:tcPr>
            <w:tcW w:w="237"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Arial" w:hAnsi="Arial" w:cs="Arial" w:eastAsia="Arial" w:hint="default"/>
                <w:sz w:val="14"/>
                <w:szCs w:val="14"/>
              </w:rPr>
            </w:pPr>
            <w:r>
              <w:rPr>
                <w:rFonts w:ascii="Arial"/>
                <w:w w:val="99"/>
                <w:sz w:val="14"/>
              </w:rPr>
              <w:t>-</w:t>
            </w:r>
            <w:r>
              <w:rPr>
                <w:rFonts w:ascii="Arial"/>
                <w:sz w:val="14"/>
              </w:rPr>
            </w:r>
          </w:p>
        </w:tc>
        <w:tc>
          <w:tcPr>
            <w:tcW w:w="1906" w:type="dxa"/>
            <w:tcBorders>
              <w:top w:val="single" w:sz="4" w:space="0" w:color="000000"/>
              <w:left w:val="nil" w:sz="6" w:space="0" w:color="auto"/>
              <w:bottom w:val="nil" w:sz="6" w:space="0" w:color="auto"/>
              <w:right w:val="nil" w:sz="6" w:space="0" w:color="auto"/>
            </w:tcBorders>
          </w:tcPr>
          <w:p>
            <w:pPr>
              <w:pStyle w:val="TableParagraph"/>
              <w:spacing w:line="20" w:lineRule="exact"/>
              <w:ind w:left="360" w:right="0"/>
              <w:jc w:val="left"/>
              <w:rPr>
                <w:rFonts w:ascii="宋体" w:hAnsi="宋体" w:cs="宋体" w:eastAsia="宋体" w:hint="default"/>
                <w:sz w:val="2"/>
                <w:szCs w:val="2"/>
              </w:rPr>
            </w:pPr>
            <w:r>
              <w:rPr>
                <w:rFonts w:ascii="宋体" w:hAnsi="宋体" w:cs="宋体" w:eastAsia="宋体" w:hint="default"/>
                <w:sz w:val="2"/>
                <w:szCs w:val="2"/>
              </w:rPr>
              <w:pict>
                <v:group style="width:61pt;height:.5pt;mso-position-horizontal-relative:char;mso-position-vertical-relative:line" coordorigin="0,0" coordsize="1220,10">
                  <v:group style="position:absolute;left:5;top:5;width:1211;height:2" coordorigin="5,5" coordsize="1211,2">
                    <v:shape style="position:absolute;left:5;top:5;width:1211;height:2" coordorigin="5,5" coordsize="1211,0" path="m5,5l1215,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327"/>
              <w:jc w:val="right"/>
              <w:rPr>
                <w:rFonts w:ascii="Arial" w:hAnsi="Arial" w:cs="Arial" w:eastAsia="Arial" w:hint="default"/>
                <w:sz w:val="14"/>
                <w:szCs w:val="14"/>
              </w:rPr>
            </w:pPr>
            <w:r>
              <w:rPr>
                <w:rFonts w:ascii="Arial"/>
                <w:w w:val="99"/>
                <w:sz w:val="14"/>
              </w:rPr>
              <w:t>-</w:t>
            </w:r>
            <w:r>
              <w:rPr>
                <w:rFonts w:ascii="Arial"/>
                <w:sz w:val="14"/>
              </w:rPr>
            </w:r>
          </w:p>
        </w:tc>
        <w:tc>
          <w:tcPr>
            <w:tcW w:w="84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5"/>
              <w:jc w:val="right"/>
              <w:rPr>
                <w:rFonts w:ascii="Arial" w:hAnsi="Arial" w:cs="Arial" w:eastAsia="Arial" w:hint="default"/>
                <w:sz w:val="14"/>
                <w:szCs w:val="14"/>
              </w:rPr>
            </w:pPr>
            <w:r>
              <w:rPr>
                <w:rFonts w:ascii="Arial"/>
                <w:w w:val="99"/>
                <w:sz w:val="14"/>
              </w:rPr>
              <w:t>-</w:t>
            </w:r>
            <w:r>
              <w:rPr>
                <w:rFonts w:ascii="Arial"/>
                <w:sz w:val="14"/>
              </w:rPr>
            </w:r>
          </w:p>
        </w:tc>
        <w:tc>
          <w:tcPr>
            <w:tcW w:w="228" w:type="dxa"/>
            <w:tcBorders>
              <w:top w:val="nil" w:sz="6" w:space="0" w:color="auto"/>
              <w:left w:val="nil" w:sz="6" w:space="0" w:color="auto"/>
              <w:bottom w:val="nil" w:sz="6" w:space="0" w:color="auto"/>
              <w:right w:val="nil" w:sz="6" w:space="0" w:color="auto"/>
            </w:tcBorders>
          </w:tcPr>
          <w:p>
            <w:pPr/>
          </w:p>
        </w:tc>
        <w:tc>
          <w:tcPr>
            <w:tcW w:w="153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340"/>
              <w:jc w:val="right"/>
              <w:rPr>
                <w:rFonts w:ascii="Arial" w:hAnsi="Arial" w:cs="Arial" w:eastAsia="Arial" w:hint="default"/>
                <w:sz w:val="14"/>
                <w:szCs w:val="14"/>
              </w:rPr>
            </w:pPr>
            <w:r>
              <w:rPr>
                <w:rFonts w:ascii="Arial"/>
                <w:w w:val="99"/>
                <w:sz w:val="14"/>
              </w:rPr>
              <w:t>-</w:t>
            </w:r>
            <w:r>
              <w:rPr>
                <w:rFonts w:ascii="Arial"/>
                <w:sz w:val="14"/>
              </w:rPr>
            </w:r>
          </w:p>
        </w:tc>
        <w:tc>
          <w:tcPr>
            <w:tcW w:w="79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5"/>
              <w:jc w:val="right"/>
              <w:rPr>
                <w:rFonts w:ascii="Arial" w:hAnsi="Arial" w:cs="Arial" w:eastAsia="Arial" w:hint="default"/>
                <w:sz w:val="14"/>
                <w:szCs w:val="14"/>
              </w:rPr>
            </w:pPr>
            <w:r>
              <w:rPr>
                <w:rFonts w:ascii="Arial"/>
                <w:w w:val="99"/>
                <w:sz w:val="14"/>
              </w:rPr>
              <w:t>-</w:t>
            </w:r>
            <w:r>
              <w:rPr>
                <w:rFonts w:ascii="Arial"/>
                <w:sz w:val="14"/>
              </w:rPr>
            </w:r>
          </w:p>
        </w:tc>
        <w:tc>
          <w:tcPr>
            <w:tcW w:w="230"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Arial" w:hAnsi="Arial" w:cs="Arial" w:eastAsia="Arial" w:hint="default"/>
                <w:sz w:val="14"/>
                <w:szCs w:val="14"/>
              </w:rPr>
            </w:pPr>
            <w:r>
              <w:rPr>
                <w:rFonts w:ascii="Arial"/>
                <w:w w:val="99"/>
                <w:sz w:val="14"/>
              </w:rPr>
              <w:t>-</w:t>
            </w:r>
            <w:r>
              <w:rPr>
                <w:rFonts w:ascii="Arial"/>
                <w:sz w:val="14"/>
              </w:rPr>
            </w:r>
          </w:p>
        </w:tc>
      </w:tr>
      <w:tr>
        <w:trPr>
          <w:trHeight w:val="425"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179" w:lineRule="exact"/>
              <w:ind w:left="200" w:right="0"/>
              <w:jc w:val="left"/>
              <w:rPr>
                <w:rFonts w:ascii="宋体" w:hAnsi="宋体" w:cs="宋体" w:eastAsia="宋体" w:hint="default"/>
                <w:sz w:val="16"/>
                <w:szCs w:val="16"/>
              </w:rPr>
            </w:pPr>
            <w:r>
              <w:rPr>
                <w:rFonts w:ascii="宋体" w:hAnsi="宋体" w:cs="宋体" w:eastAsia="宋体" w:hint="default"/>
                <w:spacing w:val="6"/>
                <w:sz w:val="16"/>
                <w:szCs w:val="16"/>
              </w:rPr>
              <w:t>按信用风险特征组合</w:t>
            </w:r>
          </w:p>
          <w:p>
            <w:pPr>
              <w:pStyle w:val="TableParagraph"/>
              <w:spacing w:line="209" w:lineRule="exact"/>
              <w:ind w:left="377" w:right="0"/>
              <w:jc w:val="left"/>
              <w:rPr>
                <w:rFonts w:ascii="宋体" w:hAnsi="宋体" w:cs="宋体" w:eastAsia="宋体" w:hint="default"/>
                <w:sz w:val="16"/>
                <w:szCs w:val="16"/>
              </w:rPr>
            </w:pPr>
            <w:r>
              <w:rPr>
                <w:rFonts w:ascii="宋体" w:hAnsi="宋体" w:cs="宋体" w:eastAsia="宋体" w:hint="default"/>
                <w:sz w:val="16"/>
                <w:szCs w:val="16"/>
              </w:rPr>
              <w:t>计提坏账准备</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3" w:right="0"/>
              <w:jc w:val="left"/>
              <w:rPr>
                <w:rFonts w:ascii="Arial" w:hAnsi="Arial" w:cs="Arial" w:eastAsia="Arial" w:hint="default"/>
                <w:sz w:val="14"/>
                <w:szCs w:val="14"/>
              </w:rPr>
            </w:pPr>
            <w:r>
              <w:rPr>
                <w:rFonts w:ascii="Arial"/>
                <w:sz w:val="14"/>
              </w:rPr>
              <w:t>19,064,972,061</w:t>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1"/>
              <w:jc w:val="right"/>
              <w:rPr>
                <w:rFonts w:ascii="Arial" w:hAnsi="Arial" w:cs="Arial" w:eastAsia="Arial" w:hint="default"/>
                <w:sz w:val="14"/>
                <w:szCs w:val="14"/>
              </w:rPr>
            </w:pPr>
            <w:r>
              <w:rPr>
                <w:rFonts w:ascii="Arial"/>
                <w:spacing w:val="-1"/>
                <w:sz w:val="14"/>
              </w:rPr>
              <w:t>90.30</w:t>
            </w:r>
          </w:p>
        </w:tc>
        <w:tc>
          <w:tcPr>
            <w:tcW w:w="23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Arial" w:hAnsi="Arial" w:cs="Arial" w:eastAsia="Arial" w:hint="default"/>
                <w:sz w:val="14"/>
                <w:szCs w:val="14"/>
              </w:rPr>
            </w:pPr>
            <w:r>
              <w:rPr>
                <w:rFonts w:ascii="Arial"/>
                <w:sz w:val="14"/>
              </w:rPr>
              <w:t>(3,959,380,679)</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right"/>
              <w:rPr>
                <w:rFonts w:ascii="Arial" w:hAnsi="Arial" w:cs="Arial" w:eastAsia="Arial" w:hint="default"/>
                <w:sz w:val="14"/>
                <w:szCs w:val="14"/>
              </w:rPr>
            </w:pPr>
            <w:r>
              <w:rPr>
                <w:rFonts w:ascii="Arial"/>
                <w:spacing w:val="-1"/>
                <w:sz w:val="14"/>
              </w:rPr>
              <w:t>20.77</w:t>
            </w:r>
          </w:p>
        </w:tc>
        <w:tc>
          <w:tcPr>
            <w:tcW w:w="237"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Arial" w:hAnsi="Arial" w:cs="Arial" w:eastAsia="Arial" w:hint="default"/>
                <w:sz w:val="14"/>
                <w:szCs w:val="14"/>
              </w:rPr>
            </w:pPr>
            <w:r>
              <w:rPr>
                <w:rFonts w:ascii="Arial"/>
                <w:sz w:val="14"/>
              </w:rPr>
              <w:t>15,105,591,382</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0" w:right="0"/>
              <w:jc w:val="left"/>
              <w:rPr>
                <w:rFonts w:ascii="Arial" w:hAnsi="Arial" w:cs="Arial" w:eastAsia="Arial" w:hint="default"/>
                <w:sz w:val="14"/>
                <w:szCs w:val="14"/>
              </w:rPr>
            </w:pPr>
            <w:r>
              <w:rPr>
                <w:rFonts w:ascii="Arial"/>
                <w:sz w:val="14"/>
              </w:rPr>
              <w:t>18,278,144,984</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7"/>
              <w:jc w:val="right"/>
              <w:rPr>
                <w:rFonts w:ascii="Arial" w:hAnsi="Arial" w:cs="Arial" w:eastAsia="Arial" w:hint="default"/>
                <w:sz w:val="14"/>
                <w:szCs w:val="14"/>
              </w:rPr>
            </w:pPr>
            <w:r>
              <w:rPr>
                <w:rFonts w:ascii="Arial"/>
                <w:spacing w:val="-1"/>
                <w:sz w:val="14"/>
              </w:rPr>
              <w:t>93.22</w:t>
            </w:r>
          </w:p>
        </w:tc>
        <w:tc>
          <w:tcPr>
            <w:tcW w:w="228"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9" w:right="0"/>
              <w:jc w:val="left"/>
              <w:rPr>
                <w:rFonts w:ascii="Arial" w:hAnsi="Arial" w:cs="Arial" w:eastAsia="Arial" w:hint="default"/>
                <w:sz w:val="14"/>
                <w:szCs w:val="14"/>
              </w:rPr>
            </w:pPr>
            <w:r>
              <w:rPr>
                <w:rFonts w:ascii="Arial"/>
                <w:sz w:val="14"/>
              </w:rPr>
              <w:t>(3,890,663,209)</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7"/>
              <w:jc w:val="right"/>
              <w:rPr>
                <w:rFonts w:ascii="Arial" w:hAnsi="Arial" w:cs="Arial" w:eastAsia="Arial" w:hint="default"/>
                <w:sz w:val="14"/>
                <w:szCs w:val="14"/>
              </w:rPr>
            </w:pPr>
            <w:r>
              <w:rPr>
                <w:rFonts w:ascii="Arial"/>
                <w:spacing w:val="-1"/>
                <w:sz w:val="14"/>
              </w:rPr>
              <w:t>21.29</w:t>
            </w:r>
          </w:p>
        </w:tc>
        <w:tc>
          <w:tcPr>
            <w:tcW w:w="230"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8" w:right="0"/>
              <w:jc w:val="left"/>
              <w:rPr>
                <w:rFonts w:ascii="Arial" w:hAnsi="Arial" w:cs="Arial" w:eastAsia="Arial" w:hint="default"/>
                <w:sz w:val="14"/>
                <w:szCs w:val="14"/>
              </w:rPr>
            </w:pPr>
            <w:r>
              <w:rPr>
                <w:rFonts w:ascii="Arial"/>
                <w:sz w:val="14"/>
              </w:rPr>
              <w:t>14,387,481,775</w:t>
            </w:r>
          </w:p>
        </w:tc>
      </w:tr>
      <w:tr>
        <w:trPr>
          <w:trHeight w:val="522"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179" w:lineRule="exact"/>
              <w:ind w:left="200" w:right="0"/>
              <w:jc w:val="left"/>
              <w:rPr>
                <w:rFonts w:ascii="宋体" w:hAnsi="宋体" w:cs="宋体" w:eastAsia="宋体" w:hint="default"/>
                <w:sz w:val="16"/>
                <w:szCs w:val="16"/>
              </w:rPr>
            </w:pPr>
            <w:r>
              <w:rPr>
                <w:rFonts w:ascii="宋体" w:hAnsi="宋体" w:cs="宋体" w:eastAsia="宋体" w:hint="default"/>
                <w:spacing w:val="6"/>
                <w:sz w:val="16"/>
                <w:szCs w:val="16"/>
              </w:rPr>
              <w:t>单项金额虽不重大但</w:t>
            </w:r>
          </w:p>
          <w:p>
            <w:pPr>
              <w:pStyle w:val="TableParagraph"/>
              <w:spacing w:line="209" w:lineRule="exact"/>
              <w:ind w:left="377" w:right="0"/>
              <w:jc w:val="left"/>
              <w:rPr>
                <w:rFonts w:ascii="宋体" w:hAnsi="宋体" w:cs="宋体" w:eastAsia="宋体" w:hint="default"/>
                <w:sz w:val="16"/>
                <w:szCs w:val="16"/>
              </w:rPr>
            </w:pPr>
            <w:r>
              <w:rPr>
                <w:rFonts w:ascii="宋体" w:hAnsi="宋体" w:cs="宋体" w:eastAsia="宋体" w:hint="default"/>
                <w:sz w:val="16"/>
                <w:szCs w:val="16"/>
              </w:rPr>
              <w:t>单独计提坏账准备</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1430" w:val="left" w:leader="none"/>
                <w:tab w:pos="1987" w:val="left" w:leader="none"/>
              </w:tabs>
              <w:spacing w:line="240" w:lineRule="auto"/>
              <w:ind w:right="-491"/>
              <w:jc w:val="left"/>
              <w:rPr>
                <w:rFonts w:ascii="Arial" w:hAnsi="Arial" w:cs="Arial" w:eastAsia="Arial" w:hint="default"/>
                <w:sz w:val="14"/>
                <w:szCs w:val="14"/>
              </w:rPr>
            </w:pPr>
            <w:r>
              <w:rPr>
                <w:rFonts w:ascii="Arial"/>
                <w:w w:val="99"/>
                <w:sz w:val="14"/>
              </w:rPr>
            </w:r>
            <w:r>
              <w:rPr>
                <w:rFonts w:ascii="Arial"/>
                <w:w w:val="99"/>
                <w:sz w:val="14"/>
                <w:u w:val="single" w:color="000000"/>
              </w:rPr>
              <w:t> </w:t>
            </w:r>
            <w:r>
              <w:rPr>
                <w:rFonts w:ascii="Arial"/>
                <w:sz w:val="14"/>
                <w:u w:val="single" w:color="000000"/>
              </w:rPr>
              <w:t>    </w:t>
            </w:r>
            <w:r>
              <w:rPr>
                <w:rFonts w:ascii="Arial"/>
                <w:spacing w:val="-10"/>
                <w:sz w:val="14"/>
                <w:u w:val="single" w:color="000000"/>
              </w:rPr>
              <w:t> </w:t>
            </w:r>
            <w:r>
              <w:rPr>
                <w:rFonts w:ascii="Arial"/>
                <w:sz w:val="14"/>
                <w:u w:val="single" w:color="000000"/>
              </w:rPr>
              <w:t>2,048,293,126 </w:t>
            </w:r>
            <w:r>
              <w:rPr>
                <w:rFonts w:ascii="Arial"/>
                <w:spacing w:val="-2"/>
                <w:sz w:val="14"/>
                <w:u w:val="single" w:color="000000"/>
              </w:rPr>
              <w:t> </w:t>
            </w:r>
            <w:r>
              <w:rPr>
                <w:rFonts w:ascii="Arial"/>
                <w:spacing w:val="-2"/>
                <w:sz w:val="14"/>
              </w:rPr>
            </w:r>
            <w:r>
              <w:rPr>
                <w:rFonts w:ascii="Arial"/>
                <w:sz w:val="14"/>
              </w:rPr>
              <w:tab/>
            </w:r>
            <w:r>
              <w:rPr>
                <w:rFonts w:ascii="Arial"/>
                <w:w w:val="99"/>
                <w:sz w:val="14"/>
              </w:rPr>
            </w:r>
            <w:r>
              <w:rPr>
                <w:rFonts w:ascii="Arial"/>
                <w:w w:val="99"/>
                <w:sz w:val="14"/>
                <w:u w:val="single" w:color="000000"/>
              </w:rPr>
              <w:t> </w:t>
            </w:r>
            <w:r>
              <w:rPr>
                <w:rFonts w:ascii="Arial"/>
                <w:sz w:val="14"/>
                <w:u w:val="single" w:color="000000"/>
              </w:rPr>
              <w:tab/>
            </w:r>
            <w:r>
              <w:rPr>
                <w:rFonts w:ascii="Arial"/>
                <w:sz w:val="14"/>
              </w:rPr>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314" w:val="left" w:leader="none"/>
              </w:tabs>
              <w:spacing w:line="240" w:lineRule="auto"/>
              <w:ind w:right="0"/>
              <w:jc w:val="right"/>
              <w:rPr>
                <w:rFonts w:ascii="Arial" w:hAnsi="Arial" w:cs="Arial" w:eastAsia="Arial" w:hint="default"/>
                <w:sz w:val="14"/>
                <w:szCs w:val="14"/>
              </w:rPr>
            </w:pPr>
            <w:r>
              <w:rPr>
                <w:rFonts w:ascii="Arial"/>
                <w:w w:val="99"/>
                <w:sz w:val="14"/>
              </w:rPr>
            </w:r>
            <w:r>
              <w:rPr>
                <w:rFonts w:ascii="Arial"/>
                <w:w w:val="95"/>
                <w:sz w:val="14"/>
                <w:u w:val="single" w:color="000000"/>
              </w:rPr>
              <w:t>9.70</w:t>
            </w:r>
            <w:r>
              <w:rPr>
                <w:rFonts w:ascii="Arial"/>
                <w:sz w:val="14"/>
                <w:u w:val="single" w:color="000000"/>
              </w:rPr>
              <w:tab/>
            </w:r>
            <w:r>
              <w:rPr>
                <w:rFonts w:ascii="Arial"/>
                <w:sz w:val="14"/>
              </w:rPr>
            </w:r>
          </w:p>
        </w:tc>
        <w:tc>
          <w:tcPr>
            <w:tcW w:w="23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1425" w:val="left" w:leader="none"/>
                <w:tab w:pos="1975" w:val="left" w:leader="none"/>
              </w:tabs>
              <w:spacing w:line="240" w:lineRule="auto"/>
              <w:ind w:right="-466"/>
              <w:jc w:val="left"/>
              <w:rPr>
                <w:rFonts w:ascii="Arial" w:hAnsi="Arial" w:cs="Arial" w:eastAsia="Arial" w:hint="default"/>
                <w:sz w:val="14"/>
                <w:szCs w:val="14"/>
              </w:rPr>
            </w:pPr>
            <w:r>
              <w:rPr>
                <w:rFonts w:ascii="Arial"/>
                <w:w w:val="99"/>
                <w:sz w:val="14"/>
              </w:rPr>
            </w:r>
            <w:r>
              <w:rPr>
                <w:rFonts w:ascii="Arial"/>
                <w:w w:val="99"/>
                <w:sz w:val="14"/>
                <w:u w:val="single" w:color="000000"/>
              </w:rPr>
              <w:t> </w:t>
            </w:r>
            <w:r>
              <w:rPr>
                <w:rFonts w:ascii="Arial"/>
                <w:sz w:val="14"/>
                <w:u w:val="single" w:color="000000"/>
              </w:rPr>
              <w:t>    </w:t>
            </w:r>
            <w:r>
              <w:rPr>
                <w:rFonts w:ascii="Arial"/>
                <w:spacing w:val="4"/>
                <w:sz w:val="14"/>
                <w:u w:val="single" w:color="000000"/>
              </w:rPr>
              <w:t> </w:t>
            </w:r>
            <w:r>
              <w:rPr>
                <w:rFonts w:ascii="Arial"/>
                <w:sz w:val="14"/>
                <w:u w:val="single" w:color="000000"/>
              </w:rPr>
              <w:t>(521,768,569) </w:t>
            </w:r>
            <w:r>
              <w:rPr>
                <w:rFonts w:ascii="Arial"/>
                <w:spacing w:val="5"/>
                <w:sz w:val="14"/>
                <w:u w:val="single" w:color="000000"/>
              </w:rPr>
              <w:t> </w:t>
            </w:r>
            <w:r>
              <w:rPr>
                <w:rFonts w:ascii="Arial"/>
                <w:spacing w:val="5"/>
                <w:sz w:val="14"/>
              </w:rPr>
            </w:r>
            <w:r>
              <w:rPr>
                <w:rFonts w:ascii="Arial"/>
                <w:sz w:val="14"/>
              </w:rPr>
              <w:tab/>
            </w:r>
            <w:r>
              <w:rPr>
                <w:rFonts w:ascii="Arial"/>
                <w:w w:val="99"/>
                <w:sz w:val="14"/>
              </w:rPr>
            </w:r>
            <w:r>
              <w:rPr>
                <w:rFonts w:ascii="Arial"/>
                <w:w w:val="99"/>
                <w:sz w:val="14"/>
                <w:u w:val="single" w:color="000000"/>
              </w:rPr>
              <w:t> </w:t>
            </w:r>
            <w:r>
              <w:rPr>
                <w:rFonts w:ascii="Arial"/>
                <w:sz w:val="14"/>
                <w:u w:val="single" w:color="000000"/>
              </w:rPr>
              <w:tab/>
            </w:r>
            <w:r>
              <w:rPr>
                <w:rFonts w:ascii="Arial"/>
                <w:sz w:val="14"/>
              </w:rPr>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right"/>
              <w:rPr>
                <w:rFonts w:ascii="Arial" w:hAnsi="Arial" w:cs="Arial" w:eastAsia="Arial" w:hint="default"/>
                <w:sz w:val="14"/>
                <w:szCs w:val="14"/>
              </w:rPr>
            </w:pPr>
            <w:r>
              <w:rPr>
                <w:rFonts w:ascii="Arial"/>
                <w:w w:val="99"/>
                <w:sz w:val="14"/>
              </w:rPr>
            </w:r>
            <w:r>
              <w:rPr>
                <w:rFonts w:ascii="Arial"/>
                <w:spacing w:val="-1"/>
                <w:sz w:val="14"/>
                <w:u w:val="single" w:color="000000"/>
              </w:rPr>
              <w:t>25.47</w:t>
            </w:r>
            <w:r>
              <w:rPr>
                <w:rFonts w:ascii="Arial"/>
                <w:spacing w:val="-1"/>
                <w:sz w:val="14"/>
              </w:rPr>
            </w:r>
          </w:p>
        </w:tc>
        <w:tc>
          <w:tcPr>
            <w:tcW w:w="237"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1262" w:val="left" w:leader="none"/>
              </w:tabs>
              <w:spacing w:line="240" w:lineRule="auto"/>
              <w:ind w:right="-131"/>
              <w:jc w:val="left"/>
              <w:rPr>
                <w:rFonts w:ascii="Arial" w:hAnsi="Arial" w:cs="Arial" w:eastAsia="Arial" w:hint="default"/>
                <w:sz w:val="14"/>
                <w:szCs w:val="14"/>
              </w:rPr>
            </w:pPr>
            <w:r>
              <w:rPr>
                <w:rFonts w:ascii="Arial"/>
                <w:w w:val="99"/>
                <w:sz w:val="14"/>
              </w:rPr>
            </w:r>
            <w:r>
              <w:rPr>
                <w:rFonts w:ascii="Arial"/>
                <w:w w:val="99"/>
                <w:sz w:val="14"/>
                <w:u w:val="single" w:color="000000"/>
              </w:rPr>
              <w:t> </w:t>
            </w:r>
            <w:r>
              <w:rPr>
                <w:rFonts w:ascii="Arial"/>
                <w:sz w:val="14"/>
                <w:u w:val="single" w:color="000000"/>
              </w:rPr>
              <w:t>   </w:t>
            </w:r>
            <w:r>
              <w:rPr>
                <w:rFonts w:ascii="Arial"/>
                <w:spacing w:val="4"/>
                <w:sz w:val="14"/>
                <w:u w:val="single" w:color="000000"/>
              </w:rPr>
              <w:t> </w:t>
            </w:r>
            <w:r>
              <w:rPr>
                <w:rFonts w:ascii="Arial"/>
                <w:sz w:val="14"/>
                <w:u w:val="single" w:color="000000"/>
              </w:rPr>
              <w:t>1,526,524,557</w:t>
              <w:tab/>
            </w:r>
            <w:r>
              <w:rPr>
                <w:rFonts w:ascii="Arial"/>
                <w:sz w:val="14"/>
              </w:rPr>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682" w:val="left" w:leader="none"/>
                <w:tab w:pos="1810" w:val="left" w:leader="none"/>
                <w:tab w:pos="2370" w:val="left" w:leader="none"/>
              </w:tabs>
              <w:spacing w:line="240" w:lineRule="auto"/>
              <w:ind w:left="365" w:right="-464"/>
              <w:jc w:val="left"/>
              <w:rPr>
                <w:rFonts w:ascii="Arial" w:hAnsi="Arial" w:cs="Arial" w:eastAsia="Arial" w:hint="default"/>
                <w:sz w:val="14"/>
                <w:szCs w:val="14"/>
              </w:rPr>
            </w:pPr>
            <w:r>
              <w:rPr>
                <w:rFonts w:ascii="Arial"/>
                <w:w w:val="99"/>
                <w:sz w:val="14"/>
              </w:rPr>
            </w:r>
            <w:r>
              <w:rPr>
                <w:rFonts w:ascii="Arial"/>
                <w:w w:val="99"/>
                <w:sz w:val="14"/>
                <w:u w:val="single" w:color="000000"/>
              </w:rPr>
              <w:t> </w:t>
            </w:r>
            <w:r>
              <w:rPr>
                <w:rFonts w:ascii="Arial"/>
                <w:sz w:val="14"/>
                <w:u w:val="single" w:color="000000"/>
              </w:rPr>
              <w:tab/>
              <w:t>1,329,764,916</w:t>
            </w:r>
            <w:r>
              <w:rPr>
                <w:rFonts w:ascii="Arial"/>
                <w:sz w:val="14"/>
              </w:rPr>
              <w:tab/>
            </w:r>
            <w:r>
              <w:rPr>
                <w:rFonts w:ascii="Arial"/>
                <w:w w:val="99"/>
                <w:sz w:val="14"/>
              </w:rPr>
            </w:r>
            <w:r>
              <w:rPr>
                <w:rFonts w:ascii="Arial"/>
                <w:w w:val="99"/>
                <w:sz w:val="14"/>
                <w:u w:val="single" w:color="000000"/>
              </w:rPr>
              <w:t> </w:t>
            </w:r>
            <w:r>
              <w:rPr>
                <w:rFonts w:ascii="Arial"/>
                <w:sz w:val="14"/>
                <w:u w:val="single" w:color="000000"/>
              </w:rPr>
              <w:tab/>
            </w:r>
            <w:r>
              <w:rPr>
                <w:rFonts w:ascii="Arial"/>
                <w:sz w:val="14"/>
              </w:rPr>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381" w:val="left" w:leader="none"/>
              </w:tabs>
              <w:spacing w:line="240" w:lineRule="auto"/>
              <w:ind w:right="0"/>
              <w:jc w:val="right"/>
              <w:rPr>
                <w:rFonts w:ascii="Arial" w:hAnsi="Arial" w:cs="Arial" w:eastAsia="Arial" w:hint="default"/>
                <w:sz w:val="14"/>
                <w:szCs w:val="14"/>
              </w:rPr>
            </w:pPr>
            <w:r>
              <w:rPr>
                <w:rFonts w:ascii="Arial"/>
                <w:w w:val="99"/>
                <w:sz w:val="14"/>
              </w:rPr>
            </w:r>
            <w:r>
              <w:rPr>
                <w:rFonts w:ascii="Arial"/>
                <w:w w:val="95"/>
                <w:sz w:val="14"/>
                <w:u w:val="single" w:color="000000"/>
              </w:rPr>
              <w:t>6.78</w:t>
            </w:r>
            <w:r>
              <w:rPr>
                <w:rFonts w:ascii="Arial"/>
                <w:sz w:val="14"/>
                <w:u w:val="single" w:color="000000"/>
              </w:rPr>
              <w:tab/>
            </w:r>
            <w:r>
              <w:rPr>
                <w:rFonts w:ascii="Arial"/>
                <w:sz w:val="14"/>
              </w:rPr>
            </w:r>
          </w:p>
        </w:tc>
        <w:tc>
          <w:tcPr>
            <w:tcW w:w="228"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316" w:val="left" w:leader="none"/>
                <w:tab w:pos="1295" w:val="left" w:leader="none"/>
              </w:tabs>
              <w:spacing w:line="240" w:lineRule="auto"/>
              <w:ind w:left="7" w:right="0"/>
              <w:jc w:val="left"/>
              <w:rPr>
                <w:rFonts w:ascii="Arial" w:hAnsi="Arial" w:cs="Arial" w:eastAsia="Arial" w:hint="default"/>
                <w:sz w:val="14"/>
                <w:szCs w:val="14"/>
              </w:rPr>
            </w:pPr>
            <w:r>
              <w:rPr>
                <w:rFonts w:ascii="Arial"/>
                <w:w w:val="99"/>
                <w:sz w:val="14"/>
              </w:rPr>
            </w:r>
            <w:r>
              <w:rPr>
                <w:rFonts w:ascii="Arial"/>
                <w:w w:val="99"/>
                <w:sz w:val="14"/>
                <w:u w:val="single" w:color="000000"/>
              </w:rPr>
              <w:t> </w:t>
            </w:r>
            <w:r>
              <w:rPr>
                <w:rFonts w:ascii="Arial"/>
                <w:sz w:val="14"/>
                <w:u w:val="single" w:color="000000"/>
              </w:rPr>
              <w:tab/>
              <w:t>(404,942,140)</w:t>
              <w:tab/>
            </w:r>
            <w:r>
              <w:rPr>
                <w:rFonts w:ascii="Arial"/>
                <w:sz w:val="14"/>
              </w:rPr>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333" w:val="left" w:leader="none"/>
                <w:tab w:pos="791" w:val="left" w:leader="none"/>
              </w:tabs>
              <w:spacing w:line="240" w:lineRule="auto"/>
              <w:ind w:right="0"/>
              <w:jc w:val="right"/>
              <w:rPr>
                <w:rFonts w:ascii="Arial" w:hAnsi="Arial" w:cs="Arial" w:eastAsia="Arial" w:hint="default"/>
                <w:sz w:val="14"/>
                <w:szCs w:val="14"/>
              </w:rPr>
            </w:pPr>
            <w:r>
              <w:rPr>
                <w:rFonts w:ascii="Arial"/>
                <w:w w:val="99"/>
                <w:sz w:val="14"/>
              </w:rPr>
            </w:r>
            <w:r>
              <w:rPr>
                <w:rFonts w:ascii="Arial"/>
                <w:w w:val="99"/>
                <w:sz w:val="14"/>
                <w:u w:val="single" w:color="000000"/>
              </w:rPr>
              <w:t> </w:t>
            </w:r>
            <w:r>
              <w:rPr>
                <w:rFonts w:ascii="Arial"/>
                <w:sz w:val="14"/>
                <w:u w:val="single" w:color="000000"/>
              </w:rPr>
              <w:tab/>
            </w:r>
            <w:r>
              <w:rPr>
                <w:rFonts w:ascii="Arial"/>
                <w:spacing w:val="-1"/>
                <w:sz w:val="14"/>
                <w:u w:val="single" w:color="000000"/>
              </w:rPr>
              <w:t>30.45</w:t>
              <w:tab/>
            </w:r>
            <w:r>
              <w:rPr>
                <w:rFonts w:ascii="Arial"/>
                <w:spacing w:val="-1"/>
                <w:sz w:val="14"/>
              </w:rPr>
            </w:r>
          </w:p>
        </w:tc>
        <w:tc>
          <w:tcPr>
            <w:tcW w:w="230"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345" w:val="left" w:leader="none"/>
                <w:tab w:pos="1231" w:val="left" w:leader="none"/>
              </w:tabs>
              <w:spacing w:line="240" w:lineRule="auto"/>
              <w:ind w:left="7" w:right="0"/>
              <w:jc w:val="left"/>
              <w:rPr>
                <w:rFonts w:ascii="Arial" w:hAnsi="Arial" w:cs="Arial" w:eastAsia="Arial" w:hint="default"/>
                <w:sz w:val="14"/>
                <w:szCs w:val="14"/>
              </w:rPr>
            </w:pPr>
            <w:r>
              <w:rPr>
                <w:rFonts w:ascii="Arial"/>
                <w:w w:val="99"/>
                <w:sz w:val="14"/>
              </w:rPr>
            </w:r>
            <w:r>
              <w:rPr>
                <w:rFonts w:ascii="Arial"/>
                <w:w w:val="99"/>
                <w:sz w:val="14"/>
                <w:u w:val="single" w:color="000000"/>
              </w:rPr>
              <w:t> </w:t>
            </w:r>
            <w:r>
              <w:rPr>
                <w:rFonts w:ascii="Arial"/>
                <w:sz w:val="14"/>
                <w:u w:val="single" w:color="000000"/>
              </w:rPr>
              <w:tab/>
              <w:t>924,822,776</w:t>
              <w:tab/>
            </w:r>
            <w:r>
              <w:rPr>
                <w:rFonts w:ascii="Arial"/>
                <w:sz w:val="14"/>
              </w:rPr>
            </w:r>
          </w:p>
        </w:tc>
      </w:tr>
      <w:tr>
        <w:trPr>
          <w:trHeight w:val="316"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00"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498"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41" w:right="0"/>
              <w:jc w:val="left"/>
              <w:rPr>
                <w:rFonts w:ascii="Arial" w:hAnsi="Arial" w:cs="Arial" w:eastAsia="Arial" w:hint="default"/>
                <w:sz w:val="14"/>
                <w:szCs w:val="14"/>
              </w:rPr>
            </w:pPr>
            <w:r>
              <w:rPr>
                <w:rFonts w:ascii="Arial"/>
                <w:sz w:val="14"/>
              </w:rPr>
              <w:t>21,113,265,187</w:t>
            </w:r>
          </w:p>
        </w:tc>
        <w:tc>
          <w:tcPr>
            <w:tcW w:w="805"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41"/>
              <w:jc w:val="right"/>
              <w:rPr>
                <w:rFonts w:ascii="Arial" w:hAnsi="Arial" w:cs="Arial" w:eastAsia="Arial" w:hint="default"/>
                <w:sz w:val="14"/>
                <w:szCs w:val="14"/>
              </w:rPr>
            </w:pPr>
            <w:r>
              <w:rPr>
                <w:rFonts w:ascii="Arial"/>
                <w:spacing w:val="-1"/>
                <w:sz w:val="14"/>
              </w:rPr>
              <w:t>100.00</w:t>
            </w:r>
          </w:p>
        </w:tc>
        <w:tc>
          <w:tcPr>
            <w:tcW w:w="23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20" w:right="0"/>
              <w:jc w:val="left"/>
              <w:rPr>
                <w:rFonts w:ascii="Arial" w:hAnsi="Arial" w:cs="Arial" w:eastAsia="Arial" w:hint="default"/>
                <w:sz w:val="14"/>
                <w:szCs w:val="14"/>
              </w:rPr>
            </w:pPr>
            <w:r>
              <w:rPr>
                <w:rFonts w:ascii="Arial"/>
                <w:sz w:val="14"/>
              </w:rPr>
              <w:t>(4,481,149,248)</w:t>
            </w:r>
          </w:p>
        </w:tc>
        <w:tc>
          <w:tcPr>
            <w:tcW w:w="815"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right"/>
              <w:rPr>
                <w:rFonts w:ascii="Arial" w:hAnsi="Arial" w:cs="Arial" w:eastAsia="Arial" w:hint="default"/>
                <w:sz w:val="14"/>
                <w:szCs w:val="14"/>
              </w:rPr>
            </w:pPr>
            <w:r>
              <w:rPr>
                <w:rFonts w:ascii="Arial"/>
                <w:spacing w:val="-1"/>
                <w:sz w:val="14"/>
              </w:rPr>
              <w:t>21.22</w:t>
            </w:r>
          </w:p>
        </w:tc>
        <w:tc>
          <w:tcPr>
            <w:tcW w:w="237"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17" w:right="0"/>
              <w:jc w:val="left"/>
              <w:rPr>
                <w:rFonts w:ascii="Arial" w:hAnsi="Arial" w:cs="Arial" w:eastAsia="Arial" w:hint="default"/>
                <w:sz w:val="14"/>
                <w:szCs w:val="14"/>
              </w:rPr>
            </w:pPr>
            <w:r>
              <w:rPr>
                <w:rFonts w:ascii="Arial"/>
                <w:sz w:val="14"/>
              </w:rPr>
              <w:t>16,632,115,939</w:t>
            </w:r>
          </w:p>
        </w:tc>
        <w:tc>
          <w:tcPr>
            <w:tcW w:w="1906"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600" w:right="0"/>
              <w:jc w:val="left"/>
              <w:rPr>
                <w:rFonts w:ascii="Arial" w:hAnsi="Arial" w:cs="Arial" w:eastAsia="Arial" w:hint="default"/>
                <w:sz w:val="14"/>
                <w:szCs w:val="14"/>
              </w:rPr>
            </w:pPr>
            <w:r>
              <w:rPr>
                <w:rFonts w:ascii="Arial"/>
                <w:sz w:val="14"/>
              </w:rPr>
              <w:t>19,607,909,900</w:t>
            </w:r>
          </w:p>
        </w:tc>
        <w:tc>
          <w:tcPr>
            <w:tcW w:w="845"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10" w:right="0"/>
              <w:jc w:val="left"/>
              <w:rPr>
                <w:rFonts w:ascii="Arial" w:hAnsi="Arial" w:cs="Arial" w:eastAsia="Arial" w:hint="default"/>
                <w:sz w:val="14"/>
                <w:szCs w:val="14"/>
              </w:rPr>
            </w:pPr>
            <w:r>
              <w:rPr>
                <w:rFonts w:ascii="Arial"/>
                <w:sz w:val="14"/>
              </w:rPr>
              <w:t>100.00</w:t>
            </w:r>
          </w:p>
        </w:tc>
        <w:tc>
          <w:tcPr>
            <w:tcW w:w="228"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01" w:right="0"/>
              <w:jc w:val="left"/>
              <w:rPr>
                <w:rFonts w:ascii="Arial" w:hAnsi="Arial" w:cs="Arial" w:eastAsia="Arial" w:hint="default"/>
                <w:sz w:val="14"/>
                <w:szCs w:val="14"/>
              </w:rPr>
            </w:pPr>
            <w:r>
              <w:rPr>
                <w:rFonts w:ascii="Arial"/>
                <w:sz w:val="14"/>
              </w:rPr>
              <w:t>(4,295,605,349)</w:t>
            </w:r>
          </w:p>
        </w:tc>
        <w:tc>
          <w:tcPr>
            <w:tcW w:w="792"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7"/>
              <w:jc w:val="right"/>
              <w:rPr>
                <w:rFonts w:ascii="Arial" w:hAnsi="Arial" w:cs="Arial" w:eastAsia="Arial" w:hint="default"/>
                <w:sz w:val="14"/>
                <w:szCs w:val="14"/>
              </w:rPr>
            </w:pPr>
            <w:r>
              <w:rPr>
                <w:rFonts w:ascii="Arial"/>
                <w:spacing w:val="-1"/>
                <w:sz w:val="14"/>
              </w:rPr>
              <w:t>21.91</w:t>
            </w:r>
          </w:p>
        </w:tc>
        <w:tc>
          <w:tcPr>
            <w:tcW w:w="230"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48" w:right="0"/>
              <w:jc w:val="left"/>
              <w:rPr>
                <w:rFonts w:ascii="Arial" w:hAnsi="Arial" w:cs="Arial" w:eastAsia="Arial" w:hint="default"/>
                <w:sz w:val="14"/>
                <w:szCs w:val="14"/>
              </w:rPr>
            </w:pPr>
            <w:r>
              <w:rPr>
                <w:rFonts w:ascii="Arial"/>
                <w:sz w:val="14"/>
              </w:rPr>
              <w:t>15,312,304,551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32"/>
        <w:ind w:left="1008" w:right="0"/>
        <w:jc w:val="left"/>
      </w:pPr>
      <w:r>
        <w:rPr/>
        <w:pict>
          <v:group style="position:absolute;margin-left:493.630005pt;margin-top:-37.272358pt;width:61.75pt;height:1.45pt;mso-position-horizontal-relative:page;mso-position-vertical-relative:paragraph;z-index:-736048" coordorigin="9873,-745" coordsize="1235,29">
            <v:group style="position:absolute;left:9877;top:-721;width:1225;height:2" coordorigin="9877,-721" coordsize="1225,2">
              <v:shape style="position:absolute;left:9877;top:-721;width:1225;height:2" coordorigin="9877,-721" coordsize="1225,0" path="m9877,-721l11102,-721e" filled="false" stroked="true" strokeweight=".48001pt" strokecolor="#000000">
                <v:path arrowok="t"/>
              </v:shape>
            </v:group>
            <v:group style="position:absolute;left:9877;top:-741;width:1225;height:2" coordorigin="9877,-741" coordsize="1225,2">
              <v:shape style="position:absolute;left:9877;top:-741;width:1225;height:2" coordorigin="9877,-741" coordsize="1225,0" path="m9877,-741l11102,-741e" filled="false" stroked="true" strokeweight=".48001pt" strokecolor="#000000">
                <v:path arrowok="t"/>
              </v:shape>
            </v:group>
            <w10:wrap type="none"/>
          </v:group>
        </w:pict>
      </w:r>
      <w:r>
        <w:rPr>
          <w:rFonts w:ascii="Arial" w:hAnsi="Arial" w:cs="Arial" w:eastAsia="Arial" w:hint="default"/>
        </w:rPr>
        <w:t>(c)</w:t>
      </w:r>
      <w:r>
        <w:rPr>
          <w:rFonts w:ascii="Arial" w:hAnsi="Arial" w:cs="Arial" w:eastAsia="Arial" w:hint="default"/>
          <w:spacing w:val="39"/>
        </w:rPr>
        <w:t> </w:t>
      </w:r>
      <w:r>
        <w:rPr/>
        <w:t>于</w:t>
      </w:r>
      <w:r>
        <w:rPr>
          <w:spacing w:val="-56"/>
        </w:rPr>
        <w:t> </w:t>
      </w:r>
      <w:r>
        <w:rPr>
          <w:rFonts w:ascii="Arial" w:hAnsi="Arial" w:cs="Arial" w:eastAsia="Arial" w:hint="default"/>
        </w:rPr>
        <w:t>2014</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日，无单项金额重大并单独计提坏账准备的应收账款。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before="77"/>
        <w:ind w:left="7687" w:right="8286" w:firstLine="0"/>
        <w:jc w:val="center"/>
        <w:rPr>
          <w:rFonts w:ascii="Arial" w:hAnsi="Arial" w:cs="Arial" w:eastAsia="Arial" w:hint="default"/>
          <w:sz w:val="18"/>
          <w:szCs w:val="18"/>
        </w:rPr>
      </w:pPr>
      <w:r>
        <w:rPr>
          <w:rFonts w:ascii="Arial"/>
          <w:sz w:val="18"/>
        </w:rPr>
        <w:t>91</w:t>
      </w:r>
    </w:p>
    <w:p>
      <w:pPr>
        <w:spacing w:after="0"/>
        <w:jc w:val="center"/>
        <w:rPr>
          <w:rFonts w:ascii="Arial" w:hAnsi="Arial" w:cs="Arial" w:eastAsia="Arial" w:hint="default"/>
          <w:sz w:val="18"/>
          <w:szCs w:val="18"/>
        </w:rPr>
        <w:sectPr>
          <w:headerReference w:type="default" r:id="rId69"/>
          <w:footerReference w:type="default" r:id="rId70"/>
          <w:pgSz w:w="16840" w:h="11910" w:orient="landscape"/>
          <w:pgMar w:header="0" w:footer="0" w:top="1100" w:bottom="280" w:left="180" w:right="440"/>
        </w:sectPr>
      </w:pPr>
    </w:p>
    <w:p>
      <w:pPr>
        <w:spacing w:line="240" w:lineRule="auto" w:before="1"/>
        <w:rPr>
          <w:rFonts w:ascii="Arial" w:hAnsi="Arial" w:cs="Arial" w:eastAsia="Arial" w:hint="default"/>
          <w:sz w:val="19"/>
          <w:szCs w:val="19"/>
        </w:rPr>
      </w:pPr>
    </w:p>
    <w:p>
      <w:pPr>
        <w:pStyle w:val="BodyText"/>
        <w:spacing w:line="240" w:lineRule="auto" w:before="32"/>
        <w:ind w:left="142" w:right="0"/>
        <w:jc w:val="left"/>
      </w:pPr>
      <w:r>
        <w:rPr>
          <w:rFonts w:ascii="Arial" w:hAnsi="Arial" w:cs="Arial" w:eastAsia="Arial" w:hint="default"/>
        </w:rPr>
        <w:t>3</w:t>
      </w:r>
      <w:r>
        <w:rPr/>
        <w:t>、</w:t>
      </w:r>
      <w:r>
        <w:rPr>
          <w:spacing w:val="-32"/>
        </w:rPr>
        <w:t> </w:t>
      </w:r>
      <w:r>
        <w:rPr/>
        <w:t>应收账款（续）</w:t>
      </w:r>
    </w:p>
    <w:p>
      <w:pPr>
        <w:spacing w:line="240" w:lineRule="auto" w:before="12"/>
        <w:rPr>
          <w:rFonts w:ascii="宋体" w:hAnsi="宋体" w:cs="宋体" w:eastAsia="宋体" w:hint="default"/>
          <w:sz w:val="17"/>
          <w:szCs w:val="17"/>
        </w:rPr>
      </w:pPr>
    </w:p>
    <w:p>
      <w:pPr>
        <w:pStyle w:val="BodyText"/>
        <w:spacing w:line="240" w:lineRule="auto"/>
        <w:ind w:left="114" w:right="0"/>
        <w:jc w:val="left"/>
      </w:pPr>
      <w:r>
        <w:rPr>
          <w:rFonts w:ascii="Arial" w:hAnsi="Arial" w:cs="Arial" w:eastAsia="Arial" w:hint="default"/>
        </w:rPr>
        <w:t>(d) </w:t>
      </w:r>
      <w:r>
        <w:rPr>
          <w:rFonts w:ascii="Arial" w:hAnsi="Arial" w:cs="Arial" w:eastAsia="Arial" w:hint="default"/>
          <w:spacing w:val="37"/>
        </w:rPr>
        <w:t> </w:t>
      </w:r>
      <w:r>
        <w:rPr/>
        <w:t>组合中，年末按账龄分析法计提坏账准备的应收账款：</w:t>
      </w:r>
    </w:p>
    <w:p>
      <w:pPr>
        <w:spacing w:line="240" w:lineRule="auto" w:before="10"/>
        <w:rPr>
          <w:rFonts w:ascii="宋体" w:hAnsi="宋体" w:cs="宋体" w:eastAsia="宋体" w:hint="default"/>
          <w:sz w:val="22"/>
          <w:szCs w:val="22"/>
        </w:rPr>
      </w:pPr>
    </w:p>
    <w:tbl>
      <w:tblPr>
        <w:tblW w:w="0" w:type="auto"/>
        <w:jc w:val="left"/>
        <w:tblInd w:w="403" w:type="dxa"/>
        <w:tblLayout w:type="fixed"/>
        <w:tblCellMar>
          <w:top w:w="0" w:type="dxa"/>
          <w:left w:w="0" w:type="dxa"/>
          <w:bottom w:w="0" w:type="dxa"/>
          <w:right w:w="0" w:type="dxa"/>
        </w:tblCellMar>
        <w:tblLook w:val="01E0"/>
      </w:tblPr>
      <w:tblGrid>
        <w:gridCol w:w="1707"/>
        <w:gridCol w:w="2480"/>
        <w:gridCol w:w="243"/>
        <w:gridCol w:w="2009"/>
        <w:gridCol w:w="307"/>
        <w:gridCol w:w="2192"/>
      </w:tblGrid>
      <w:tr>
        <w:trPr>
          <w:trHeight w:val="215" w:hRule="exact"/>
        </w:trPr>
        <w:tc>
          <w:tcPr>
            <w:tcW w:w="8938" w:type="dxa"/>
            <w:gridSpan w:val="6"/>
            <w:tcBorders>
              <w:top w:val="nil" w:sz="6" w:space="0" w:color="auto"/>
              <w:left w:val="nil" w:sz="6" w:space="0" w:color="auto"/>
              <w:bottom w:val="nil" w:sz="6" w:space="0" w:color="auto"/>
              <w:right w:val="nil" w:sz="6" w:space="0" w:color="auto"/>
            </w:tcBorders>
          </w:tcPr>
          <w:p>
            <w:pPr>
              <w:pStyle w:val="TableParagraph"/>
              <w:spacing w:line="193" w:lineRule="exact"/>
              <w:ind w:left="4534"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242" w:hRule="exact"/>
        </w:trPr>
        <w:tc>
          <w:tcPr>
            <w:tcW w:w="1707" w:type="dxa"/>
            <w:tcBorders>
              <w:top w:val="nil" w:sz="6" w:space="0" w:color="auto"/>
              <w:left w:val="nil" w:sz="6" w:space="0" w:color="auto"/>
              <w:bottom w:val="nil" w:sz="6" w:space="0" w:color="auto"/>
              <w:right w:val="nil" w:sz="6" w:space="0" w:color="auto"/>
            </w:tcBorders>
          </w:tcPr>
          <w:p>
            <w:pPr/>
          </w:p>
        </w:tc>
        <w:tc>
          <w:tcPr>
            <w:tcW w:w="2480"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3" w:type="dxa"/>
            <w:tcBorders>
              <w:top w:val="single" w:sz="4" w:space="0" w:color="000000"/>
              <w:left w:val="nil" w:sz="6" w:space="0" w:color="auto"/>
              <w:bottom w:val="nil" w:sz="6" w:space="0" w:color="auto"/>
              <w:right w:val="nil" w:sz="6" w:space="0" w:color="auto"/>
            </w:tcBorders>
          </w:tcPr>
          <w:p>
            <w:pPr/>
          </w:p>
        </w:tc>
        <w:tc>
          <w:tcPr>
            <w:tcW w:w="2009"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64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07" w:type="dxa"/>
            <w:tcBorders>
              <w:top w:val="single" w:sz="4" w:space="0" w:color="000000"/>
              <w:left w:val="nil" w:sz="6" w:space="0" w:color="auto"/>
              <w:bottom w:val="nil" w:sz="6" w:space="0" w:color="auto"/>
              <w:right w:val="nil" w:sz="6" w:space="0" w:color="auto"/>
            </w:tcBorders>
          </w:tcPr>
          <w:p>
            <w:pPr/>
          </w:p>
        </w:tc>
        <w:tc>
          <w:tcPr>
            <w:tcW w:w="2192" w:type="dxa"/>
            <w:tcBorders>
              <w:top w:val="single" w:sz="4" w:space="0" w:color="000000"/>
              <w:left w:val="nil" w:sz="6" w:space="0" w:color="auto"/>
              <w:bottom w:val="single" w:sz="4" w:space="0" w:color="000000"/>
              <w:right w:val="nil" w:sz="6" w:space="0" w:color="auto"/>
            </w:tcBorders>
          </w:tcPr>
          <w:p>
            <w:pPr>
              <w:pStyle w:val="TableParagraph"/>
              <w:spacing w:line="218" w:lineRule="exact"/>
              <w:ind w:left="595" w:right="0"/>
              <w:jc w:val="left"/>
              <w:rPr>
                <w:rFonts w:ascii="Arial" w:hAnsi="Arial" w:cs="Arial" w:eastAsia="Arial"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p>
        </w:tc>
      </w:tr>
      <w:tr>
        <w:trPr>
          <w:trHeight w:val="479" w:hRule="exact"/>
        </w:trPr>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即期及小于</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个月</w:t>
            </w:r>
          </w:p>
        </w:tc>
        <w:tc>
          <w:tcPr>
            <w:tcW w:w="248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3"/>
              <w:jc w:val="right"/>
              <w:rPr>
                <w:rFonts w:ascii="Arial" w:hAnsi="Arial" w:cs="Arial" w:eastAsia="Arial" w:hint="default"/>
                <w:sz w:val="18"/>
                <w:szCs w:val="18"/>
              </w:rPr>
            </w:pPr>
            <w:r>
              <w:rPr>
                <w:rFonts w:ascii="Arial"/>
                <w:spacing w:val="-1"/>
                <w:sz w:val="18"/>
              </w:rPr>
              <w:t>10,412,577,455</w:t>
            </w:r>
          </w:p>
        </w:tc>
        <w:tc>
          <w:tcPr>
            <w:tcW w:w="243" w:type="dxa"/>
            <w:tcBorders>
              <w:top w:val="nil" w:sz="6" w:space="0" w:color="auto"/>
              <w:left w:val="nil" w:sz="6" w:space="0" w:color="auto"/>
              <w:bottom w:val="nil" w:sz="6" w:space="0" w:color="auto"/>
              <w:right w:val="nil" w:sz="6" w:space="0" w:color="auto"/>
            </w:tcBorders>
          </w:tcPr>
          <w:p>
            <w:pPr/>
          </w:p>
        </w:tc>
        <w:tc>
          <w:tcPr>
            <w:tcW w:w="200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4"/>
              <w:jc w:val="right"/>
              <w:rPr>
                <w:rFonts w:ascii="Arial" w:hAnsi="Arial" w:cs="Arial" w:eastAsia="Arial" w:hint="default"/>
                <w:sz w:val="18"/>
                <w:szCs w:val="18"/>
              </w:rPr>
            </w:pPr>
            <w:r>
              <w:rPr>
                <w:rFonts w:ascii="Arial"/>
                <w:w w:val="99"/>
                <w:sz w:val="18"/>
              </w:rPr>
              <w:t>-</w:t>
            </w:r>
            <w:r>
              <w:rPr>
                <w:rFonts w:ascii="Arial"/>
                <w:sz w:val="18"/>
              </w:rPr>
            </w:r>
          </w:p>
        </w:tc>
        <w:tc>
          <w:tcPr>
            <w:tcW w:w="307" w:type="dxa"/>
            <w:tcBorders>
              <w:top w:val="nil" w:sz="6" w:space="0" w:color="auto"/>
              <w:left w:val="nil" w:sz="6" w:space="0" w:color="auto"/>
              <w:bottom w:val="nil" w:sz="6" w:space="0" w:color="auto"/>
              <w:right w:val="nil" w:sz="6" w:space="0" w:color="auto"/>
            </w:tcBorders>
          </w:tcPr>
          <w:p>
            <w:pPr/>
          </w:p>
        </w:tc>
        <w:tc>
          <w:tcPr>
            <w:tcW w:w="219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81" w:hRule="exact"/>
        </w:trPr>
        <w:tc>
          <w:tcPr>
            <w:tcW w:w="1707" w:type="dxa"/>
            <w:tcBorders>
              <w:top w:val="nil" w:sz="6" w:space="0" w:color="auto"/>
              <w:left w:val="nil" w:sz="6" w:space="0" w:color="auto"/>
              <w:bottom w:val="nil" w:sz="6" w:space="0" w:color="auto"/>
              <w:right w:val="nil" w:sz="6" w:space="0" w:color="auto"/>
            </w:tcBorders>
          </w:tcPr>
          <w:p>
            <w:pPr>
              <w:pStyle w:val="TableParagraph"/>
              <w:spacing w:line="232" w:lineRule="exact"/>
              <w:ind w:left="200" w:right="0"/>
              <w:jc w:val="left"/>
              <w:rPr>
                <w:rFonts w:ascii="宋体" w:hAnsi="宋体" w:cs="宋体" w:eastAsia="宋体" w:hint="default"/>
                <w:sz w:val="18"/>
                <w:szCs w:val="18"/>
              </w:rPr>
            </w:pPr>
            <w:r>
              <w:rPr>
                <w:rFonts w:ascii="Arial" w:hAnsi="Arial" w:cs="Arial" w:eastAsia="Arial" w:hint="default"/>
                <w:sz w:val="18"/>
                <w:szCs w:val="18"/>
              </w:rPr>
              <w:t>1-3</w:t>
            </w:r>
            <w:r>
              <w:rPr>
                <w:rFonts w:ascii="Arial" w:hAnsi="Arial" w:cs="Arial" w:eastAsia="Arial" w:hint="default"/>
                <w:spacing w:val="-6"/>
                <w:sz w:val="18"/>
                <w:szCs w:val="18"/>
              </w:rPr>
              <w:t> </w:t>
            </w:r>
            <w:r>
              <w:rPr>
                <w:rFonts w:ascii="宋体" w:hAnsi="宋体" w:cs="宋体" w:eastAsia="宋体" w:hint="default"/>
                <w:sz w:val="18"/>
                <w:szCs w:val="18"/>
              </w:rPr>
              <w:t>个月</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1"/>
              <w:jc w:val="right"/>
              <w:rPr>
                <w:rFonts w:ascii="Arial" w:hAnsi="Arial" w:cs="Arial" w:eastAsia="Arial" w:hint="default"/>
                <w:sz w:val="18"/>
                <w:szCs w:val="18"/>
              </w:rPr>
            </w:pPr>
            <w:r>
              <w:rPr>
                <w:rFonts w:ascii="Arial"/>
                <w:spacing w:val="-1"/>
                <w:sz w:val="18"/>
              </w:rPr>
              <w:t>2,671,756,077</w:t>
            </w:r>
          </w:p>
        </w:tc>
        <w:tc>
          <w:tcPr>
            <w:tcW w:w="243"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4"/>
              <w:jc w:val="right"/>
              <w:rPr>
                <w:rFonts w:ascii="Arial" w:hAnsi="Arial" w:cs="Arial" w:eastAsia="Arial" w:hint="default"/>
                <w:sz w:val="18"/>
                <w:szCs w:val="18"/>
              </w:rPr>
            </w:pPr>
            <w:r>
              <w:rPr>
                <w:rFonts w:ascii="Arial"/>
                <w:w w:val="99"/>
                <w:sz w:val="18"/>
              </w:rPr>
              <w:t>-</w:t>
            </w:r>
            <w:r>
              <w:rPr>
                <w:rFonts w:ascii="Arial"/>
                <w:sz w:val="18"/>
              </w:rPr>
            </w:r>
          </w:p>
        </w:tc>
        <w:tc>
          <w:tcPr>
            <w:tcW w:w="307"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80" w:hRule="exact"/>
        </w:trPr>
        <w:tc>
          <w:tcPr>
            <w:tcW w:w="1707" w:type="dxa"/>
            <w:tcBorders>
              <w:top w:val="nil" w:sz="6" w:space="0" w:color="auto"/>
              <w:left w:val="nil" w:sz="6" w:space="0" w:color="auto"/>
              <w:bottom w:val="nil" w:sz="6" w:space="0" w:color="auto"/>
              <w:right w:val="nil" w:sz="6" w:space="0" w:color="auto"/>
            </w:tcBorders>
          </w:tcPr>
          <w:p>
            <w:pPr>
              <w:pStyle w:val="TableParagraph"/>
              <w:spacing w:line="232" w:lineRule="exact"/>
              <w:ind w:left="200" w:right="0"/>
              <w:jc w:val="left"/>
              <w:rPr>
                <w:rFonts w:ascii="宋体" w:hAnsi="宋体" w:cs="宋体" w:eastAsia="宋体" w:hint="default"/>
                <w:sz w:val="18"/>
                <w:szCs w:val="18"/>
              </w:rPr>
            </w:pPr>
            <w:r>
              <w:rPr>
                <w:rFonts w:ascii="Arial" w:hAnsi="Arial" w:cs="Arial" w:eastAsia="Arial" w:hint="default"/>
                <w:sz w:val="18"/>
                <w:szCs w:val="18"/>
              </w:rPr>
              <w:t>3-12</w:t>
            </w:r>
            <w:r>
              <w:rPr>
                <w:rFonts w:ascii="Arial" w:hAnsi="Arial" w:cs="Arial" w:eastAsia="Arial" w:hint="default"/>
                <w:spacing w:val="-6"/>
                <w:sz w:val="18"/>
                <w:szCs w:val="18"/>
              </w:rPr>
              <w:t> </w:t>
            </w:r>
            <w:r>
              <w:rPr>
                <w:rFonts w:ascii="宋体" w:hAnsi="宋体" w:cs="宋体" w:eastAsia="宋体" w:hint="default"/>
                <w:sz w:val="18"/>
                <w:szCs w:val="18"/>
              </w:rPr>
              <w:t>个月</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
              <w:jc w:val="right"/>
              <w:rPr>
                <w:rFonts w:ascii="Arial" w:hAnsi="Arial" w:cs="Arial" w:eastAsia="Arial" w:hint="default"/>
                <w:sz w:val="18"/>
                <w:szCs w:val="18"/>
              </w:rPr>
            </w:pPr>
            <w:r>
              <w:rPr>
                <w:rFonts w:ascii="Arial"/>
                <w:spacing w:val="-1"/>
                <w:sz w:val="18"/>
              </w:rPr>
              <w:t>4,082,089,337</w:t>
            </w:r>
          </w:p>
        </w:tc>
        <w:tc>
          <w:tcPr>
            <w:tcW w:w="243"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Arial" w:hAnsi="Arial" w:cs="Arial" w:eastAsia="Arial" w:hint="default"/>
                <w:sz w:val="18"/>
                <w:szCs w:val="18"/>
              </w:rPr>
            </w:pPr>
            <w:r>
              <w:rPr>
                <w:rFonts w:ascii="Arial"/>
                <w:spacing w:val="-1"/>
                <w:sz w:val="18"/>
              </w:rPr>
              <w:t>(2,451,314,709)</w:t>
            </w:r>
          </w:p>
        </w:tc>
        <w:tc>
          <w:tcPr>
            <w:tcW w:w="307"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2"/>
              <w:jc w:val="right"/>
              <w:rPr>
                <w:rFonts w:ascii="Arial" w:hAnsi="Arial" w:cs="Arial" w:eastAsia="Arial" w:hint="default"/>
                <w:sz w:val="18"/>
                <w:szCs w:val="18"/>
              </w:rPr>
            </w:pPr>
            <w:r>
              <w:rPr>
                <w:rFonts w:ascii="Arial"/>
                <w:sz w:val="18"/>
              </w:rPr>
              <w:t>0~100</w:t>
            </w:r>
          </w:p>
        </w:tc>
      </w:tr>
      <w:tr>
        <w:trPr>
          <w:trHeight w:val="280" w:hRule="exact"/>
        </w:trPr>
        <w:tc>
          <w:tcPr>
            <w:tcW w:w="1707"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年</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1"/>
              <w:jc w:val="right"/>
              <w:rPr>
                <w:rFonts w:ascii="Arial" w:hAnsi="Arial" w:cs="Arial" w:eastAsia="Arial" w:hint="default"/>
                <w:sz w:val="18"/>
                <w:szCs w:val="18"/>
              </w:rPr>
            </w:pPr>
            <w:r>
              <w:rPr>
                <w:rFonts w:ascii="Arial"/>
                <w:spacing w:val="-1"/>
                <w:sz w:val="18"/>
              </w:rPr>
              <w:t>1,026,525,174</w:t>
            </w:r>
          </w:p>
        </w:tc>
        <w:tc>
          <w:tcPr>
            <w:tcW w:w="243"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5"/>
              <w:jc w:val="right"/>
              <w:rPr>
                <w:rFonts w:ascii="Arial" w:hAnsi="Arial" w:cs="Arial" w:eastAsia="Arial" w:hint="default"/>
                <w:sz w:val="18"/>
                <w:szCs w:val="18"/>
              </w:rPr>
            </w:pPr>
            <w:r>
              <w:rPr>
                <w:rFonts w:ascii="Arial"/>
                <w:spacing w:val="-1"/>
                <w:sz w:val="18"/>
              </w:rPr>
              <w:t>(687,747,102)</w:t>
            </w:r>
          </w:p>
        </w:tc>
        <w:tc>
          <w:tcPr>
            <w:tcW w:w="307"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5"/>
              <w:jc w:val="right"/>
              <w:rPr>
                <w:rFonts w:ascii="Arial" w:hAnsi="Arial" w:cs="Arial" w:eastAsia="Arial" w:hint="default"/>
                <w:sz w:val="18"/>
                <w:szCs w:val="18"/>
              </w:rPr>
            </w:pPr>
            <w:r>
              <w:rPr>
                <w:rFonts w:ascii="Arial"/>
                <w:spacing w:val="-1"/>
                <w:sz w:val="18"/>
              </w:rPr>
              <w:t>20~100</w:t>
            </w:r>
          </w:p>
        </w:tc>
      </w:tr>
      <w:tr>
        <w:trPr>
          <w:trHeight w:val="281" w:hRule="exact"/>
        </w:trPr>
        <w:tc>
          <w:tcPr>
            <w:tcW w:w="1707" w:type="dxa"/>
            <w:tcBorders>
              <w:top w:val="nil" w:sz="6" w:space="0" w:color="auto"/>
              <w:left w:val="nil" w:sz="6" w:space="0" w:color="auto"/>
              <w:bottom w:val="nil" w:sz="6" w:space="0" w:color="auto"/>
              <w:right w:val="nil" w:sz="6" w:space="0" w:color="auto"/>
            </w:tcBorders>
          </w:tcPr>
          <w:p>
            <w:pPr>
              <w:pStyle w:val="TableParagraph"/>
              <w:spacing w:line="232" w:lineRule="exact"/>
              <w:ind w:left="200"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6"/>
                <w:sz w:val="18"/>
                <w:szCs w:val="18"/>
              </w:rPr>
              <w:t> </w:t>
            </w:r>
            <w:r>
              <w:rPr>
                <w:rFonts w:ascii="宋体" w:hAnsi="宋体" w:cs="宋体" w:eastAsia="宋体" w:hint="default"/>
                <w:sz w:val="18"/>
                <w:szCs w:val="18"/>
              </w:rPr>
              <w:t>年</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Arial" w:hAnsi="Arial" w:cs="Arial" w:eastAsia="Arial" w:hint="default"/>
                <w:sz w:val="18"/>
                <w:szCs w:val="18"/>
              </w:rPr>
            </w:pPr>
            <w:r>
              <w:rPr>
                <w:rFonts w:ascii="Arial"/>
                <w:spacing w:val="-1"/>
                <w:sz w:val="18"/>
              </w:rPr>
              <w:t>316,312,072</w:t>
            </w:r>
          </w:p>
        </w:tc>
        <w:tc>
          <w:tcPr>
            <w:tcW w:w="243"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5"/>
              <w:jc w:val="right"/>
              <w:rPr>
                <w:rFonts w:ascii="Arial" w:hAnsi="Arial" w:cs="Arial" w:eastAsia="Arial" w:hint="default"/>
                <w:sz w:val="18"/>
                <w:szCs w:val="18"/>
              </w:rPr>
            </w:pPr>
            <w:r>
              <w:rPr>
                <w:rFonts w:ascii="Arial"/>
                <w:spacing w:val="-1"/>
                <w:sz w:val="18"/>
              </w:rPr>
              <w:t>(264,606,922)</w:t>
            </w:r>
          </w:p>
        </w:tc>
        <w:tc>
          <w:tcPr>
            <w:tcW w:w="307"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5"/>
              <w:jc w:val="right"/>
              <w:rPr>
                <w:rFonts w:ascii="Arial" w:hAnsi="Arial" w:cs="Arial" w:eastAsia="Arial" w:hint="default"/>
                <w:sz w:val="18"/>
                <w:szCs w:val="18"/>
              </w:rPr>
            </w:pPr>
            <w:r>
              <w:rPr>
                <w:rFonts w:ascii="Arial"/>
                <w:spacing w:val="-1"/>
                <w:sz w:val="18"/>
              </w:rPr>
              <w:t>50~100</w:t>
            </w:r>
          </w:p>
        </w:tc>
      </w:tr>
      <w:tr>
        <w:trPr>
          <w:trHeight w:val="280" w:hRule="exact"/>
        </w:trPr>
        <w:tc>
          <w:tcPr>
            <w:tcW w:w="1707" w:type="dxa"/>
            <w:tcBorders>
              <w:top w:val="nil" w:sz="6" w:space="0" w:color="auto"/>
              <w:left w:val="nil" w:sz="6" w:space="0" w:color="auto"/>
              <w:bottom w:val="nil" w:sz="6" w:space="0" w:color="auto"/>
              <w:right w:val="nil" w:sz="6" w:space="0" w:color="auto"/>
            </w:tcBorders>
          </w:tcPr>
          <w:p>
            <w:pPr>
              <w:pStyle w:val="TableParagraph"/>
              <w:spacing w:line="232" w:lineRule="exact"/>
              <w:ind w:left="200" w:right="0"/>
              <w:jc w:val="left"/>
              <w:rPr>
                <w:rFonts w:ascii="宋体" w:hAnsi="宋体" w:cs="宋体" w:eastAsia="宋体" w:hint="default"/>
                <w:sz w:val="18"/>
                <w:szCs w:val="18"/>
              </w:rPr>
            </w:pPr>
            <w:r>
              <w:rPr>
                <w:rFonts w:ascii="Arial" w:hAnsi="Arial" w:cs="Arial" w:eastAsia="Arial" w:hint="default"/>
                <w:sz w:val="18"/>
                <w:szCs w:val="18"/>
              </w:rPr>
              <w:t>3-4</w:t>
            </w:r>
            <w:r>
              <w:rPr>
                <w:rFonts w:ascii="Arial" w:hAnsi="Arial" w:cs="Arial" w:eastAsia="Arial" w:hint="default"/>
                <w:spacing w:val="-6"/>
                <w:sz w:val="18"/>
                <w:szCs w:val="18"/>
              </w:rPr>
              <w:t> </w:t>
            </w:r>
            <w:r>
              <w:rPr>
                <w:rFonts w:ascii="宋体" w:hAnsi="宋体" w:cs="宋体" w:eastAsia="宋体" w:hint="default"/>
                <w:sz w:val="18"/>
                <w:szCs w:val="18"/>
              </w:rPr>
              <w:t>年</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Arial" w:hAnsi="Arial" w:cs="Arial" w:eastAsia="Arial" w:hint="default"/>
                <w:sz w:val="18"/>
                <w:szCs w:val="18"/>
              </w:rPr>
            </w:pPr>
            <w:r>
              <w:rPr>
                <w:rFonts w:ascii="Arial"/>
                <w:spacing w:val="-1"/>
                <w:sz w:val="18"/>
              </w:rPr>
              <w:t>195,063,640</w:t>
            </w:r>
          </w:p>
        </w:tc>
        <w:tc>
          <w:tcPr>
            <w:tcW w:w="243"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5"/>
              <w:jc w:val="right"/>
              <w:rPr>
                <w:rFonts w:ascii="Arial" w:hAnsi="Arial" w:cs="Arial" w:eastAsia="Arial" w:hint="default"/>
                <w:sz w:val="18"/>
                <w:szCs w:val="18"/>
              </w:rPr>
            </w:pPr>
            <w:r>
              <w:rPr>
                <w:rFonts w:ascii="Arial"/>
                <w:spacing w:val="-1"/>
                <w:sz w:val="18"/>
              </w:rPr>
              <w:t>(195,063,640)</w:t>
            </w:r>
          </w:p>
        </w:tc>
        <w:tc>
          <w:tcPr>
            <w:tcW w:w="307"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4"/>
              <w:jc w:val="right"/>
              <w:rPr>
                <w:rFonts w:ascii="Arial" w:hAnsi="Arial" w:cs="Arial" w:eastAsia="Arial" w:hint="default"/>
                <w:sz w:val="18"/>
                <w:szCs w:val="18"/>
              </w:rPr>
            </w:pPr>
            <w:r>
              <w:rPr>
                <w:rFonts w:ascii="Arial"/>
                <w:w w:val="95"/>
                <w:sz w:val="18"/>
              </w:rPr>
              <w:t>100</w:t>
            </w:r>
            <w:r>
              <w:rPr>
                <w:rFonts w:ascii="Arial"/>
                <w:sz w:val="18"/>
              </w:rPr>
            </w:r>
          </w:p>
        </w:tc>
      </w:tr>
      <w:tr>
        <w:trPr>
          <w:trHeight w:val="280" w:hRule="exact"/>
        </w:trPr>
        <w:tc>
          <w:tcPr>
            <w:tcW w:w="1707"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宋体" w:hAnsi="宋体" w:cs="宋体" w:eastAsia="宋体" w:hint="default"/>
                <w:sz w:val="18"/>
                <w:szCs w:val="18"/>
              </w:rPr>
            </w:pPr>
            <w:r>
              <w:rPr>
                <w:rFonts w:ascii="Arial" w:hAnsi="Arial" w:cs="Arial" w:eastAsia="Arial" w:hint="default"/>
                <w:sz w:val="18"/>
                <w:szCs w:val="18"/>
              </w:rPr>
              <w:t>4-5</w:t>
            </w:r>
            <w:r>
              <w:rPr>
                <w:rFonts w:ascii="Arial" w:hAnsi="Arial" w:cs="Arial" w:eastAsia="Arial" w:hint="default"/>
                <w:spacing w:val="-6"/>
                <w:sz w:val="18"/>
                <w:szCs w:val="18"/>
              </w:rPr>
              <w:t> </w:t>
            </w:r>
            <w:r>
              <w:rPr>
                <w:rFonts w:ascii="宋体" w:hAnsi="宋体" w:cs="宋体" w:eastAsia="宋体" w:hint="default"/>
                <w:sz w:val="18"/>
                <w:szCs w:val="18"/>
              </w:rPr>
              <w:t>年</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2"/>
              <w:jc w:val="right"/>
              <w:rPr>
                <w:rFonts w:ascii="Arial" w:hAnsi="Arial" w:cs="Arial" w:eastAsia="Arial" w:hint="default"/>
                <w:sz w:val="18"/>
                <w:szCs w:val="18"/>
              </w:rPr>
            </w:pPr>
            <w:r>
              <w:rPr>
                <w:rFonts w:ascii="Arial"/>
                <w:spacing w:val="-1"/>
                <w:sz w:val="18"/>
              </w:rPr>
              <w:t>211,968,079</w:t>
            </w:r>
          </w:p>
        </w:tc>
        <w:tc>
          <w:tcPr>
            <w:tcW w:w="243"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5"/>
              <w:jc w:val="right"/>
              <w:rPr>
                <w:rFonts w:ascii="Arial" w:hAnsi="Arial" w:cs="Arial" w:eastAsia="Arial" w:hint="default"/>
                <w:sz w:val="18"/>
                <w:szCs w:val="18"/>
              </w:rPr>
            </w:pPr>
            <w:r>
              <w:rPr>
                <w:rFonts w:ascii="Arial"/>
                <w:spacing w:val="-1"/>
                <w:sz w:val="18"/>
              </w:rPr>
              <w:t>(211,968,079)</w:t>
            </w:r>
          </w:p>
        </w:tc>
        <w:tc>
          <w:tcPr>
            <w:tcW w:w="307"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4"/>
              <w:jc w:val="right"/>
              <w:rPr>
                <w:rFonts w:ascii="Arial" w:hAnsi="Arial" w:cs="Arial" w:eastAsia="Arial" w:hint="default"/>
                <w:sz w:val="18"/>
                <w:szCs w:val="18"/>
              </w:rPr>
            </w:pPr>
            <w:r>
              <w:rPr>
                <w:rFonts w:ascii="Arial"/>
                <w:w w:val="95"/>
                <w:sz w:val="18"/>
              </w:rPr>
              <w:t>100</w:t>
            </w:r>
            <w:r>
              <w:rPr>
                <w:rFonts w:ascii="Arial"/>
                <w:sz w:val="18"/>
              </w:rPr>
            </w:r>
          </w:p>
        </w:tc>
      </w:tr>
      <w:tr>
        <w:trPr>
          <w:trHeight w:val="366" w:hRule="exact"/>
        </w:trPr>
        <w:tc>
          <w:tcPr>
            <w:tcW w:w="1707" w:type="dxa"/>
            <w:tcBorders>
              <w:top w:val="nil" w:sz="6" w:space="0" w:color="auto"/>
              <w:left w:val="nil" w:sz="6" w:space="0" w:color="auto"/>
              <w:bottom w:val="nil" w:sz="6" w:space="0" w:color="auto"/>
              <w:right w:val="nil" w:sz="6" w:space="0" w:color="auto"/>
            </w:tcBorders>
          </w:tcPr>
          <w:p>
            <w:pPr>
              <w:pStyle w:val="TableParagraph"/>
              <w:spacing w:line="232" w:lineRule="exact"/>
              <w:ind w:left="200"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480"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39"/>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148,680,227</w:t>
            </w:r>
            <w:r>
              <w:rPr>
                <w:rFonts w:ascii="Arial"/>
                <w:spacing w:val="-1"/>
                <w:sz w:val="18"/>
              </w:rPr>
            </w:r>
          </w:p>
        </w:tc>
        <w:tc>
          <w:tcPr>
            <w:tcW w:w="243"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tabs>
                <w:tab w:pos="845" w:val="left" w:leader="none"/>
              </w:tabs>
              <w:spacing w:line="240" w:lineRule="auto" w:before="39"/>
              <w:ind w:right="3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(148,680,227)</w:t>
            </w:r>
            <w:r>
              <w:rPr>
                <w:rFonts w:ascii="Arial"/>
                <w:spacing w:val="-1"/>
                <w:sz w:val="18"/>
              </w:rPr>
            </w:r>
          </w:p>
        </w:tc>
        <w:tc>
          <w:tcPr>
            <w:tcW w:w="307"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tabs>
                <w:tab w:pos="1848" w:val="left" w:leader="none"/>
              </w:tabs>
              <w:spacing w:line="240" w:lineRule="auto" w:before="39"/>
              <w:ind w:right="3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w w:val="95"/>
                <w:sz w:val="18"/>
                <w:u w:val="single" w:color="000000"/>
              </w:rPr>
              <w:t>100</w:t>
            </w:r>
            <w:r>
              <w:rPr>
                <w:rFonts w:ascii="Arial"/>
                <w:w w:val="95"/>
                <w:sz w:val="18"/>
              </w:rPr>
            </w:r>
            <w:r>
              <w:rPr>
                <w:rFonts w:ascii="Arial"/>
                <w:sz w:val="18"/>
              </w:rPr>
            </w:r>
          </w:p>
        </w:tc>
      </w:tr>
      <w:tr>
        <w:trPr>
          <w:trHeight w:val="327" w:hRule="exact"/>
        </w:trPr>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68"/>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80" w:type="dxa"/>
            <w:tcBorders>
              <w:top w:val="nil" w:sz="6" w:space="0" w:color="auto"/>
              <w:left w:val="nil" w:sz="6" w:space="0" w:color="auto"/>
              <w:bottom w:val="nil" w:sz="6" w:space="0" w:color="auto"/>
              <w:right w:val="nil" w:sz="6" w:space="0" w:color="auto"/>
            </w:tcBorders>
          </w:tcPr>
          <w:p>
            <w:pPr>
              <w:pStyle w:val="TableParagraph"/>
              <w:tabs>
                <w:tab w:pos="1193" w:val="left" w:leader="none"/>
              </w:tabs>
              <w:spacing w:line="240" w:lineRule="auto" w:before="124"/>
              <w:ind w:left="-15" w:right="33"/>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r>
            <w:r>
              <w:rPr>
                <w:rFonts w:ascii="Arial"/>
                <w:spacing w:val="-1"/>
                <w:sz w:val="18"/>
                <w:u w:val="thick" w:color="000000"/>
              </w:rPr>
              <w:t>19,064,972,061</w:t>
            </w:r>
            <w:r>
              <w:rPr>
                <w:rFonts w:ascii="Arial"/>
                <w:spacing w:val="-1"/>
                <w:sz w:val="18"/>
              </w:rPr>
            </w:r>
          </w:p>
        </w:tc>
        <w:tc>
          <w:tcPr>
            <w:tcW w:w="243"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tabs>
                <w:tab w:pos="701" w:val="left" w:leader="none"/>
              </w:tabs>
              <w:spacing w:line="240" w:lineRule="auto" w:before="124"/>
              <w:ind w:left="-10" w:right="33"/>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r>
            <w:r>
              <w:rPr>
                <w:rFonts w:ascii="Arial"/>
                <w:spacing w:val="-1"/>
                <w:sz w:val="18"/>
                <w:u w:val="thick" w:color="000000"/>
              </w:rPr>
              <w:t>(3,959,380,679)</w:t>
            </w:r>
            <w:r>
              <w:rPr>
                <w:rFonts w:ascii="Arial"/>
                <w:spacing w:val="-1"/>
                <w:sz w:val="18"/>
              </w:rPr>
            </w:r>
          </w:p>
        </w:tc>
        <w:tc>
          <w:tcPr>
            <w:tcW w:w="307"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tabs>
                <w:tab w:pos="1649" w:val="left" w:leader="none"/>
              </w:tabs>
              <w:spacing w:line="240" w:lineRule="auto" w:before="124"/>
              <w:ind w:left="-10" w:right="32"/>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0~100</w:t>
            </w:r>
            <w:r>
              <w:rPr>
                <w:rFonts w:ascii="Arial"/>
                <w:sz w:val="18"/>
              </w:rPr>
            </w:r>
          </w:p>
        </w:tc>
      </w:tr>
    </w:tbl>
    <w:p>
      <w:pPr>
        <w:spacing w:line="240" w:lineRule="auto" w:before="7"/>
        <w:rPr>
          <w:rFonts w:ascii="宋体" w:hAnsi="宋体" w:cs="宋体" w:eastAsia="宋体" w:hint="default"/>
          <w:sz w:val="16"/>
          <w:szCs w:val="16"/>
        </w:rPr>
      </w:pPr>
    </w:p>
    <w:p>
      <w:pPr>
        <w:pStyle w:val="BodyText"/>
        <w:spacing w:line="295" w:lineRule="exact" w:before="32"/>
        <w:ind w:left="114" w:right="0"/>
        <w:jc w:val="left"/>
      </w:pPr>
      <w:r>
        <w:rPr>
          <w:rFonts w:ascii="Arial" w:hAnsi="Arial" w:cs="Arial" w:eastAsia="Arial" w:hint="default"/>
        </w:rPr>
        <w:t>(e)  2014 </w:t>
      </w:r>
      <w:r>
        <w:rPr>
          <w:spacing w:val="-3"/>
        </w:rPr>
        <w:t>年度，本集团计提坏账准备金额人民币 </w:t>
      </w:r>
      <w:r>
        <w:rPr>
          <w:rFonts w:ascii="Arial" w:hAnsi="Arial" w:cs="Arial" w:eastAsia="Arial" w:hint="default"/>
        </w:rPr>
        <w:t>32.52 </w:t>
      </w:r>
      <w:r>
        <w:rPr>
          <w:spacing w:val="-4"/>
        </w:rPr>
        <w:t>亿元（</w:t>
      </w:r>
      <w:r>
        <w:rPr>
          <w:rFonts w:ascii="Arial" w:hAnsi="Arial" w:cs="Arial" w:eastAsia="Arial" w:hint="default"/>
          <w:spacing w:val="-4"/>
        </w:rPr>
        <w:t>2013 </w:t>
      </w:r>
      <w:r>
        <w:rPr>
          <w:spacing w:val="-5"/>
        </w:rPr>
        <w:t>年：约人民币 </w:t>
      </w:r>
      <w:r>
        <w:rPr>
          <w:rFonts w:ascii="Arial" w:hAnsi="Arial" w:cs="Arial" w:eastAsia="Arial" w:hint="default"/>
        </w:rPr>
        <w:t>33.85</w:t>
      </w:r>
      <w:r>
        <w:rPr>
          <w:rFonts w:ascii="Arial" w:hAnsi="Arial" w:cs="Arial" w:eastAsia="Arial" w:hint="default"/>
          <w:spacing w:val="-36"/>
        </w:rPr>
        <w:t> </w:t>
      </w:r>
      <w:r>
        <w:rPr>
          <w:spacing w:val="-9"/>
        </w:rPr>
        <w:t>亿元），收</w:t>
      </w:r>
    </w:p>
    <w:p>
      <w:pPr>
        <w:pStyle w:val="BodyText"/>
        <w:spacing w:line="295" w:lineRule="exact"/>
        <w:ind w:left="548" w:right="0"/>
        <w:jc w:val="both"/>
      </w:pPr>
      <w:r>
        <w:rPr/>
        <w:t>回或转回坏账准备金额</w:t>
      </w:r>
      <w:r>
        <w:rPr>
          <w:spacing w:val="-55"/>
        </w:rPr>
        <w:t> </w:t>
      </w:r>
      <w:r>
        <w:rPr>
          <w:rFonts w:ascii="Arial" w:hAnsi="Arial" w:cs="Arial" w:eastAsia="Arial" w:hint="default"/>
        </w:rPr>
        <w:t>0.98</w:t>
      </w:r>
      <w:r>
        <w:rPr>
          <w:rFonts w:ascii="Arial" w:hAnsi="Arial" w:cs="Arial" w:eastAsia="Arial" w:hint="default"/>
          <w:spacing w:val="-7"/>
        </w:rPr>
        <w:t> </w:t>
      </w:r>
      <w:r>
        <w:rPr/>
        <w:t>亿元（</w:t>
      </w:r>
      <w:r>
        <w:rPr>
          <w:rFonts w:ascii="Arial" w:hAnsi="Arial" w:cs="Arial" w:eastAsia="Arial" w:hint="default"/>
        </w:rPr>
        <w:t>2013</w:t>
      </w:r>
      <w:r>
        <w:rPr>
          <w:rFonts w:ascii="Arial" w:hAnsi="Arial" w:cs="Arial" w:eastAsia="Arial" w:hint="default"/>
          <w:spacing w:val="-9"/>
        </w:rPr>
        <w:t> </w:t>
      </w:r>
      <w:r>
        <w:rPr/>
        <w:t>年：约人民币</w:t>
      </w:r>
      <w:r>
        <w:rPr>
          <w:spacing w:val="-55"/>
        </w:rPr>
        <w:t> </w:t>
      </w:r>
      <w:r>
        <w:rPr>
          <w:rFonts w:ascii="Arial" w:hAnsi="Arial" w:cs="Arial" w:eastAsia="Arial" w:hint="default"/>
        </w:rPr>
        <w:t>1.09</w:t>
      </w:r>
      <w:r>
        <w:rPr>
          <w:rFonts w:ascii="Arial" w:hAnsi="Arial" w:cs="Arial" w:eastAsia="Arial" w:hint="default"/>
          <w:spacing w:val="-9"/>
        </w:rPr>
        <w:t> </w:t>
      </w:r>
      <w:r>
        <w:rPr/>
        <w:t>亿元）。</w:t>
      </w:r>
    </w:p>
    <w:p>
      <w:pPr>
        <w:spacing w:line="240" w:lineRule="auto" w:before="12"/>
        <w:rPr>
          <w:rFonts w:ascii="宋体" w:hAnsi="宋体" w:cs="宋体" w:eastAsia="宋体" w:hint="default"/>
          <w:sz w:val="17"/>
          <w:szCs w:val="17"/>
        </w:rPr>
      </w:pPr>
    </w:p>
    <w:p>
      <w:pPr>
        <w:pStyle w:val="BodyText"/>
        <w:spacing w:line="295" w:lineRule="exact"/>
        <w:ind w:left="142" w:right="0"/>
        <w:jc w:val="left"/>
      </w:pPr>
      <w:r>
        <w:rPr>
          <w:rFonts w:ascii="Arial" w:hAnsi="Arial" w:cs="Arial" w:eastAsia="Arial" w:hint="default"/>
        </w:rPr>
        <w:t>(f)    2014  </w:t>
      </w:r>
      <w:r>
        <w:rPr/>
        <w:t>年度，本集团对有确凿证据表明无法收回的约人民币 </w:t>
      </w:r>
      <w:r>
        <w:rPr>
          <w:rFonts w:ascii="Arial" w:hAnsi="Arial" w:cs="Arial" w:eastAsia="Arial" w:hint="default"/>
        </w:rPr>
        <w:t>29.68</w:t>
      </w:r>
      <w:r>
        <w:rPr>
          <w:rFonts w:ascii="Arial" w:hAnsi="Arial" w:cs="Arial" w:eastAsia="Arial" w:hint="default"/>
          <w:spacing w:val="50"/>
        </w:rPr>
        <w:t> </w:t>
      </w:r>
      <w:r>
        <w:rPr/>
        <w:t>亿元的应收账款进行了核销</w:t>
      </w:r>
    </w:p>
    <w:p>
      <w:pPr>
        <w:pStyle w:val="BodyText"/>
        <w:spacing w:line="286" w:lineRule="exact" w:before="19"/>
        <w:ind w:left="548" w:right="101"/>
        <w:jc w:val="both"/>
      </w:pPr>
      <w:r>
        <w:rPr/>
        <w:t>（</w:t>
      </w:r>
      <w:r>
        <w:rPr>
          <w:rFonts w:ascii="Arial" w:hAnsi="Arial" w:cs="Arial" w:eastAsia="Arial" w:hint="default"/>
        </w:rPr>
        <w:t>2013</w:t>
      </w:r>
      <w:r>
        <w:rPr>
          <w:rFonts w:ascii="Arial" w:hAnsi="Arial" w:cs="Arial" w:eastAsia="Arial" w:hint="default"/>
          <w:spacing w:val="-6"/>
        </w:rPr>
        <w:t> </w:t>
      </w:r>
      <w:r>
        <w:rPr/>
        <w:t>年：约人民币</w:t>
      </w:r>
      <w:r>
        <w:rPr>
          <w:spacing w:val="-55"/>
        </w:rPr>
        <w:t> </w:t>
      </w:r>
      <w:r>
        <w:rPr>
          <w:rFonts w:ascii="Arial" w:hAnsi="Arial" w:cs="Arial" w:eastAsia="Arial" w:hint="default"/>
        </w:rPr>
        <w:t>30.59</w:t>
      </w:r>
      <w:r>
        <w:rPr>
          <w:rFonts w:ascii="Arial" w:hAnsi="Arial" w:cs="Arial" w:eastAsia="Arial" w:hint="default"/>
          <w:spacing w:val="-6"/>
        </w:rPr>
        <w:t> </w:t>
      </w:r>
      <w:r>
        <w:rPr/>
        <w:t>亿元），同时冲销已计提的坏账准备。本集团核销的坏账准备主要</w:t>
      </w:r>
      <w:r>
        <w:rPr>
          <w:w w:val="100"/>
        </w:rPr>
        <w:t> </w:t>
      </w:r>
      <w:r>
        <w:rPr>
          <w:spacing w:val="-4"/>
        </w:rPr>
        <w:t>为对一般商务及公众用户计提的坏账准备，其个别欠款金额对本集团并不重大。此外，本集团本</w:t>
      </w:r>
      <w:r>
        <w:rPr>
          <w:spacing w:val="-53"/>
        </w:rPr>
        <w:t> </w:t>
      </w:r>
      <w:r>
        <w:rPr>
          <w:spacing w:val="-53"/>
        </w:rPr>
      </w:r>
      <w:r>
        <w:rPr/>
        <w:t>期核销的应收账款中无应收关联公司款项。</w:t>
      </w:r>
    </w:p>
    <w:p>
      <w:pPr>
        <w:spacing w:line="240" w:lineRule="auto" w:before="3"/>
        <w:rPr>
          <w:rFonts w:ascii="宋体" w:hAnsi="宋体" w:cs="宋体" w:eastAsia="宋体" w:hint="default"/>
          <w:sz w:val="19"/>
          <w:szCs w:val="19"/>
        </w:rPr>
      </w:pPr>
    </w:p>
    <w:p>
      <w:pPr>
        <w:pStyle w:val="BodyText"/>
        <w:spacing w:line="286" w:lineRule="exact"/>
        <w:ind w:left="570" w:right="0" w:hanging="428"/>
        <w:jc w:val="left"/>
      </w:pPr>
      <w:r>
        <w:rPr>
          <w:rFonts w:ascii="Arial" w:hAnsi="Arial" w:cs="Arial" w:eastAsia="Arial" w:hint="default"/>
        </w:rPr>
        <w:t>(g) </w:t>
      </w:r>
      <w:r>
        <w:rPr/>
        <w:t>本集团年末余额前五名的应收账款合计 </w:t>
      </w:r>
      <w:r>
        <w:rPr>
          <w:rFonts w:ascii="Arial" w:hAnsi="Arial" w:cs="Arial" w:eastAsia="Arial" w:hint="default"/>
        </w:rPr>
        <w:t>23.62 </w:t>
      </w:r>
      <w:r>
        <w:rPr>
          <w:spacing w:val="-4"/>
        </w:rPr>
        <w:t>亿元，占应收账款年末余额合计数的</w:t>
      </w:r>
      <w:r>
        <w:rPr>
          <w:spacing w:val="-62"/>
        </w:rPr>
        <w:t> </w:t>
      </w:r>
      <w:r>
        <w:rPr>
          <w:rFonts w:ascii="Arial" w:hAnsi="Arial" w:cs="Arial" w:eastAsia="Arial" w:hint="default"/>
          <w:spacing w:val="-13"/>
        </w:rPr>
        <w:t>11.19%</w:t>
      </w:r>
      <w:r>
        <w:rPr>
          <w:spacing w:val="-13"/>
        </w:rPr>
        <w:t>，相</w:t>
      </w:r>
      <w:r>
        <w:rPr>
          <w:spacing w:val="-48"/>
          <w:w w:val="100"/>
        </w:rPr>
        <w:t> </w:t>
      </w:r>
      <w:r>
        <w:rPr/>
        <w:t>应计提的坏账准备年末余额合计</w:t>
      </w:r>
      <w:r>
        <w:rPr>
          <w:spacing w:val="-55"/>
        </w:rPr>
        <w:t> </w:t>
      </w:r>
      <w:r>
        <w:rPr>
          <w:rFonts w:ascii="Arial" w:hAnsi="Arial" w:cs="Arial" w:eastAsia="Arial" w:hint="default"/>
        </w:rPr>
        <w:t>836</w:t>
      </w:r>
      <w:r>
        <w:rPr>
          <w:rFonts w:ascii="Arial" w:hAnsi="Arial" w:cs="Arial" w:eastAsia="Arial" w:hint="default"/>
          <w:spacing w:val="-9"/>
        </w:rPr>
        <w:t> </w:t>
      </w:r>
      <w:r>
        <w:rPr/>
        <w:t>万元。</w:t>
      </w:r>
    </w:p>
    <w:p>
      <w:pPr>
        <w:spacing w:after="0" w:line="286" w:lineRule="exact"/>
        <w:jc w:val="left"/>
        <w:sectPr>
          <w:footerReference w:type="default" r:id="rId71"/>
          <w:pgSz w:w="11910" w:h="16840"/>
          <w:pgMar w:footer="923" w:header="0" w:top="3040" w:bottom="1120" w:left="1240" w:right="880"/>
          <w:pgNumType w:start="92"/>
        </w:sectPr>
      </w:pPr>
    </w:p>
    <w:p>
      <w:pPr>
        <w:spacing w:line="240" w:lineRule="auto" w:before="10"/>
        <w:rPr>
          <w:rFonts w:ascii="宋体" w:hAnsi="宋体" w:cs="宋体" w:eastAsia="宋体" w:hint="default"/>
          <w:sz w:val="16"/>
          <w:szCs w:val="16"/>
        </w:rPr>
      </w:pPr>
    </w:p>
    <w:p>
      <w:pPr>
        <w:pStyle w:val="BodyText"/>
        <w:spacing w:line="240" w:lineRule="auto" w:before="32"/>
        <w:ind w:left="142" w:right="0"/>
        <w:jc w:val="left"/>
      </w:pPr>
      <w:r>
        <w:rPr>
          <w:rFonts w:ascii="Arial" w:hAnsi="Arial" w:cs="Arial" w:eastAsia="Arial" w:hint="default"/>
        </w:rPr>
        <w:t>4</w:t>
      </w:r>
      <w:r>
        <w:rPr/>
        <w:t>、</w:t>
      </w:r>
      <w:r>
        <w:rPr>
          <w:spacing w:val="-33"/>
        </w:rPr>
        <w:t> </w:t>
      </w:r>
      <w:r>
        <w:rPr/>
        <w:t>其他应收款</w:t>
      </w:r>
    </w:p>
    <w:p>
      <w:pPr>
        <w:spacing w:line="240" w:lineRule="auto" w:before="13"/>
        <w:rPr>
          <w:rFonts w:ascii="宋体" w:hAnsi="宋体" w:cs="宋体" w:eastAsia="宋体" w:hint="default"/>
          <w:sz w:val="18"/>
          <w:szCs w:val="18"/>
        </w:rPr>
      </w:pPr>
    </w:p>
    <w:tbl>
      <w:tblPr>
        <w:tblW w:w="0" w:type="auto"/>
        <w:jc w:val="left"/>
        <w:tblInd w:w="379" w:type="dxa"/>
        <w:tblLayout w:type="fixed"/>
        <w:tblCellMar>
          <w:top w:w="0" w:type="dxa"/>
          <w:left w:w="0" w:type="dxa"/>
          <w:bottom w:w="0" w:type="dxa"/>
          <w:right w:w="0" w:type="dxa"/>
        </w:tblCellMar>
        <w:tblLook w:val="01E0"/>
      </w:tblPr>
      <w:tblGrid>
        <w:gridCol w:w="3880"/>
        <w:gridCol w:w="2405"/>
        <w:gridCol w:w="396"/>
        <w:gridCol w:w="2516"/>
      </w:tblGrid>
      <w:tr>
        <w:trPr>
          <w:trHeight w:val="264" w:hRule="exact"/>
        </w:trPr>
        <w:tc>
          <w:tcPr>
            <w:tcW w:w="3880"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single" w:sz="6" w:space="0" w:color="000000"/>
              <w:right w:val="nil" w:sz="6" w:space="0" w:color="auto"/>
            </w:tcBorders>
          </w:tcPr>
          <w:p>
            <w:pPr>
              <w:pStyle w:val="TableParagraph"/>
              <w:spacing w:line="236" w:lineRule="exact"/>
              <w:ind w:right="62"/>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396" w:type="dxa"/>
            <w:tcBorders>
              <w:top w:val="nil" w:sz="6" w:space="0" w:color="auto"/>
              <w:left w:val="nil" w:sz="6" w:space="0" w:color="auto"/>
              <w:bottom w:val="nil" w:sz="6" w:space="0" w:color="auto"/>
              <w:right w:val="nil" w:sz="6" w:space="0" w:color="auto"/>
            </w:tcBorders>
          </w:tcPr>
          <w:p>
            <w:pPr/>
          </w:p>
        </w:tc>
        <w:tc>
          <w:tcPr>
            <w:tcW w:w="2516" w:type="dxa"/>
            <w:tcBorders>
              <w:top w:val="nil" w:sz="6" w:space="0" w:color="auto"/>
              <w:left w:val="nil" w:sz="6" w:space="0" w:color="auto"/>
              <w:bottom w:val="single" w:sz="6" w:space="0" w:color="000000"/>
              <w:right w:val="nil" w:sz="6" w:space="0" w:color="auto"/>
            </w:tcBorders>
          </w:tcPr>
          <w:p>
            <w:pPr>
              <w:pStyle w:val="TableParagraph"/>
              <w:spacing w:line="236" w:lineRule="exact"/>
              <w:ind w:right="48"/>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614" w:hRule="exact"/>
        </w:trPr>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应收合约用户通信终端款（注）</w:t>
            </w:r>
          </w:p>
        </w:tc>
        <w:tc>
          <w:tcPr>
            <w:tcW w:w="2405"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62"/>
              <w:jc w:val="right"/>
              <w:rPr>
                <w:rFonts w:ascii="Arial" w:hAnsi="Arial" w:cs="Arial" w:eastAsia="Arial" w:hint="default"/>
                <w:sz w:val="22"/>
                <w:szCs w:val="22"/>
              </w:rPr>
            </w:pPr>
            <w:r>
              <w:rPr>
                <w:rFonts w:ascii="Arial"/>
                <w:spacing w:val="-1"/>
                <w:sz w:val="22"/>
              </w:rPr>
              <w:t>3,250,849,469</w:t>
            </w:r>
          </w:p>
        </w:tc>
        <w:tc>
          <w:tcPr>
            <w:tcW w:w="396" w:type="dxa"/>
            <w:tcBorders>
              <w:top w:val="nil" w:sz="6" w:space="0" w:color="auto"/>
              <w:left w:val="nil" w:sz="6" w:space="0" w:color="auto"/>
              <w:bottom w:val="nil" w:sz="6" w:space="0" w:color="auto"/>
              <w:right w:val="nil" w:sz="6" w:space="0" w:color="auto"/>
            </w:tcBorders>
          </w:tcPr>
          <w:p>
            <w:pPr/>
          </w:p>
        </w:tc>
        <w:tc>
          <w:tcPr>
            <w:tcW w:w="2516"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65"/>
              <w:jc w:val="right"/>
              <w:rPr>
                <w:rFonts w:ascii="Arial" w:hAnsi="Arial" w:cs="Arial" w:eastAsia="Arial" w:hint="default"/>
                <w:sz w:val="22"/>
                <w:szCs w:val="22"/>
              </w:rPr>
            </w:pPr>
            <w:r>
              <w:rPr>
                <w:rFonts w:ascii="Arial"/>
                <w:spacing w:val="-1"/>
                <w:sz w:val="22"/>
              </w:rPr>
              <w:t>3,461,727,883</w:t>
            </w:r>
          </w:p>
        </w:tc>
      </w:tr>
      <w:tr>
        <w:trPr>
          <w:trHeight w:val="286" w:hRule="exact"/>
        </w:trPr>
        <w:tc>
          <w:tcPr>
            <w:tcW w:w="3880"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备用金及垫付款</w:t>
            </w: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2"/>
              <w:jc w:val="right"/>
              <w:rPr>
                <w:rFonts w:ascii="Arial" w:hAnsi="Arial" w:cs="Arial" w:eastAsia="Arial" w:hint="default"/>
                <w:sz w:val="22"/>
                <w:szCs w:val="22"/>
              </w:rPr>
            </w:pPr>
            <w:r>
              <w:rPr>
                <w:rFonts w:ascii="Arial"/>
                <w:spacing w:val="-1"/>
                <w:sz w:val="22"/>
              </w:rPr>
              <w:t>492,808,161</w:t>
            </w:r>
          </w:p>
        </w:tc>
        <w:tc>
          <w:tcPr>
            <w:tcW w:w="396" w:type="dxa"/>
            <w:tcBorders>
              <w:top w:val="nil" w:sz="6" w:space="0" w:color="auto"/>
              <w:left w:val="nil" w:sz="6" w:space="0" w:color="auto"/>
              <w:bottom w:val="nil" w:sz="6" w:space="0" w:color="auto"/>
              <w:right w:val="nil" w:sz="6" w:space="0" w:color="auto"/>
            </w:tcBorders>
          </w:tcPr>
          <w:p>
            <w:pPr/>
          </w:p>
        </w:tc>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4"/>
              <w:jc w:val="right"/>
              <w:rPr>
                <w:rFonts w:ascii="Arial" w:hAnsi="Arial" w:cs="Arial" w:eastAsia="Arial" w:hint="default"/>
                <w:sz w:val="22"/>
                <w:szCs w:val="22"/>
              </w:rPr>
            </w:pPr>
            <w:r>
              <w:rPr>
                <w:rFonts w:ascii="Arial"/>
                <w:spacing w:val="-1"/>
                <w:sz w:val="22"/>
              </w:rPr>
              <w:t>910,412,788</w:t>
            </w:r>
          </w:p>
        </w:tc>
      </w:tr>
      <w:tr>
        <w:trPr>
          <w:trHeight w:val="284" w:hRule="exact"/>
        </w:trPr>
        <w:tc>
          <w:tcPr>
            <w:tcW w:w="3880"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暂付押金、保证金等</w:t>
            </w: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2"/>
              <w:jc w:val="right"/>
              <w:rPr>
                <w:rFonts w:ascii="Arial" w:hAnsi="Arial" w:cs="Arial" w:eastAsia="Arial" w:hint="default"/>
                <w:sz w:val="22"/>
                <w:szCs w:val="22"/>
              </w:rPr>
            </w:pPr>
            <w:r>
              <w:rPr>
                <w:rFonts w:ascii="Arial"/>
                <w:spacing w:val="-1"/>
                <w:sz w:val="22"/>
              </w:rPr>
              <w:t>759,673,819</w:t>
            </w:r>
          </w:p>
        </w:tc>
        <w:tc>
          <w:tcPr>
            <w:tcW w:w="396" w:type="dxa"/>
            <w:tcBorders>
              <w:top w:val="nil" w:sz="6" w:space="0" w:color="auto"/>
              <w:left w:val="nil" w:sz="6" w:space="0" w:color="auto"/>
              <w:bottom w:val="nil" w:sz="6" w:space="0" w:color="auto"/>
              <w:right w:val="nil" w:sz="6" w:space="0" w:color="auto"/>
            </w:tcBorders>
          </w:tcPr>
          <w:p>
            <w:pPr/>
          </w:p>
        </w:tc>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4"/>
              <w:jc w:val="right"/>
              <w:rPr>
                <w:rFonts w:ascii="Arial" w:hAnsi="Arial" w:cs="Arial" w:eastAsia="Arial" w:hint="default"/>
                <w:sz w:val="22"/>
                <w:szCs w:val="22"/>
              </w:rPr>
            </w:pPr>
            <w:r>
              <w:rPr>
                <w:rFonts w:ascii="Arial"/>
                <w:spacing w:val="-1"/>
                <w:sz w:val="22"/>
              </w:rPr>
              <w:t>818,016,977</w:t>
            </w:r>
          </w:p>
        </w:tc>
      </w:tr>
      <w:tr>
        <w:trPr>
          <w:trHeight w:val="286" w:hRule="exact"/>
        </w:trPr>
        <w:tc>
          <w:tcPr>
            <w:tcW w:w="3880"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员工借款</w:t>
            </w: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2"/>
              <w:jc w:val="right"/>
              <w:rPr>
                <w:rFonts w:ascii="Arial" w:hAnsi="Arial" w:cs="Arial" w:eastAsia="Arial" w:hint="default"/>
                <w:sz w:val="22"/>
                <w:szCs w:val="22"/>
              </w:rPr>
            </w:pPr>
            <w:r>
              <w:rPr>
                <w:rFonts w:ascii="Arial"/>
                <w:spacing w:val="-1"/>
                <w:sz w:val="22"/>
              </w:rPr>
              <w:t>175,430,254</w:t>
            </w:r>
          </w:p>
        </w:tc>
        <w:tc>
          <w:tcPr>
            <w:tcW w:w="396" w:type="dxa"/>
            <w:tcBorders>
              <w:top w:val="nil" w:sz="6" w:space="0" w:color="auto"/>
              <w:left w:val="nil" w:sz="6" w:space="0" w:color="auto"/>
              <w:bottom w:val="nil" w:sz="6" w:space="0" w:color="auto"/>
              <w:right w:val="nil" w:sz="6" w:space="0" w:color="auto"/>
            </w:tcBorders>
          </w:tcPr>
          <w:p>
            <w:pPr/>
          </w:p>
        </w:tc>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4"/>
              <w:jc w:val="right"/>
              <w:rPr>
                <w:rFonts w:ascii="Arial" w:hAnsi="Arial" w:cs="Arial" w:eastAsia="Arial" w:hint="default"/>
                <w:sz w:val="22"/>
                <w:szCs w:val="22"/>
              </w:rPr>
            </w:pPr>
            <w:r>
              <w:rPr>
                <w:rFonts w:ascii="Arial"/>
                <w:spacing w:val="-1"/>
                <w:sz w:val="22"/>
              </w:rPr>
              <w:t>259,364,134</w:t>
            </w:r>
          </w:p>
        </w:tc>
      </w:tr>
      <w:tr>
        <w:trPr>
          <w:trHeight w:val="293" w:hRule="exact"/>
        </w:trPr>
        <w:tc>
          <w:tcPr>
            <w:tcW w:w="3880"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405" w:type="dxa"/>
            <w:tcBorders>
              <w:top w:val="nil" w:sz="6" w:space="0" w:color="auto"/>
              <w:left w:val="nil" w:sz="6" w:space="0" w:color="auto"/>
              <w:bottom w:val="nil" w:sz="6" w:space="0" w:color="auto"/>
              <w:right w:val="nil" w:sz="6" w:space="0" w:color="auto"/>
            </w:tcBorders>
          </w:tcPr>
          <w:p>
            <w:pPr>
              <w:pStyle w:val="TableParagraph"/>
              <w:tabs>
                <w:tab w:pos="1113" w:val="left" w:leader="none"/>
                <w:tab w:pos="2405"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906,535,149</w:t>
              <w:tab/>
            </w:r>
            <w:r>
              <w:rPr>
                <w:rFonts w:ascii="Arial"/>
                <w:spacing w:val="-1"/>
                <w:sz w:val="22"/>
              </w:rPr>
            </w:r>
          </w:p>
        </w:tc>
        <w:tc>
          <w:tcPr>
            <w:tcW w:w="396" w:type="dxa"/>
            <w:tcBorders>
              <w:top w:val="nil" w:sz="6" w:space="0" w:color="auto"/>
              <w:left w:val="nil" w:sz="6" w:space="0" w:color="auto"/>
              <w:bottom w:val="nil" w:sz="6" w:space="0" w:color="auto"/>
              <w:right w:val="nil" w:sz="6" w:space="0" w:color="auto"/>
            </w:tcBorders>
          </w:tcPr>
          <w:p>
            <w:pPr/>
          </w:p>
        </w:tc>
        <w:tc>
          <w:tcPr>
            <w:tcW w:w="2516" w:type="dxa"/>
            <w:tcBorders>
              <w:top w:val="nil" w:sz="6" w:space="0" w:color="auto"/>
              <w:left w:val="nil" w:sz="6" w:space="0" w:color="auto"/>
              <w:bottom w:val="nil" w:sz="6" w:space="0" w:color="auto"/>
              <w:right w:val="nil" w:sz="6" w:space="0" w:color="auto"/>
            </w:tcBorders>
          </w:tcPr>
          <w:p>
            <w:pPr>
              <w:pStyle w:val="TableParagraph"/>
              <w:tabs>
                <w:tab w:pos="1214" w:val="left" w:leader="none"/>
                <w:tab w:pos="2508"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715,437,034</w:t>
              <w:tab/>
            </w:r>
            <w:r>
              <w:rPr>
                <w:rFonts w:ascii="Arial"/>
                <w:spacing w:val="-1"/>
                <w:sz w:val="22"/>
              </w:rPr>
            </w:r>
          </w:p>
        </w:tc>
      </w:tr>
      <w:tr>
        <w:trPr>
          <w:trHeight w:val="419" w:hRule="exact"/>
        </w:trPr>
        <w:tc>
          <w:tcPr>
            <w:tcW w:w="3880"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62"/>
              <w:jc w:val="right"/>
              <w:rPr>
                <w:rFonts w:ascii="Arial" w:hAnsi="Arial" w:cs="Arial" w:eastAsia="Arial" w:hint="default"/>
                <w:sz w:val="22"/>
                <w:szCs w:val="22"/>
              </w:rPr>
            </w:pPr>
            <w:r>
              <w:rPr>
                <w:rFonts w:ascii="Arial"/>
                <w:spacing w:val="-1"/>
                <w:sz w:val="22"/>
              </w:rPr>
              <w:t>5,585,296,852</w:t>
            </w:r>
          </w:p>
        </w:tc>
        <w:tc>
          <w:tcPr>
            <w:tcW w:w="396" w:type="dxa"/>
            <w:tcBorders>
              <w:top w:val="nil" w:sz="6" w:space="0" w:color="auto"/>
              <w:left w:val="nil" w:sz="6" w:space="0" w:color="auto"/>
              <w:bottom w:val="nil" w:sz="6" w:space="0" w:color="auto"/>
              <w:right w:val="nil" w:sz="6" w:space="0" w:color="auto"/>
            </w:tcBorders>
          </w:tcPr>
          <w:p>
            <w:pPr/>
          </w:p>
        </w:tc>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65"/>
              <w:jc w:val="right"/>
              <w:rPr>
                <w:rFonts w:ascii="Arial" w:hAnsi="Arial" w:cs="Arial" w:eastAsia="Arial" w:hint="default"/>
                <w:sz w:val="22"/>
                <w:szCs w:val="22"/>
              </w:rPr>
            </w:pPr>
            <w:r>
              <w:rPr>
                <w:rFonts w:ascii="Arial"/>
                <w:spacing w:val="-1"/>
                <w:sz w:val="22"/>
              </w:rPr>
              <w:t>6,164,958,816</w:t>
            </w:r>
          </w:p>
        </w:tc>
      </w:tr>
      <w:tr>
        <w:trPr>
          <w:trHeight w:val="547" w:hRule="exact"/>
        </w:trPr>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00" w:right="0"/>
              <w:jc w:val="left"/>
              <w:rPr>
                <w:rFonts w:ascii="宋体" w:hAnsi="宋体" w:cs="宋体" w:eastAsia="宋体" w:hint="default"/>
                <w:sz w:val="22"/>
                <w:szCs w:val="22"/>
              </w:rPr>
            </w:pPr>
            <w:r>
              <w:rPr>
                <w:rFonts w:ascii="宋体" w:hAnsi="宋体" w:cs="宋体" w:eastAsia="宋体" w:hint="default"/>
                <w:sz w:val="22"/>
                <w:szCs w:val="22"/>
              </w:rPr>
              <w:t>减：坏账准备</w:t>
            </w:r>
          </w:p>
        </w:tc>
        <w:tc>
          <w:tcPr>
            <w:tcW w:w="2405"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47"/>
              <w:ind w:right="32"/>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(783,900,457)</w:t>
            </w:r>
            <w:r>
              <w:rPr>
                <w:rFonts w:ascii="Arial"/>
                <w:spacing w:val="-1"/>
                <w:sz w:val="22"/>
              </w:rPr>
            </w:r>
          </w:p>
        </w:tc>
        <w:tc>
          <w:tcPr>
            <w:tcW w:w="396" w:type="dxa"/>
            <w:tcBorders>
              <w:top w:val="nil" w:sz="6" w:space="0" w:color="auto"/>
              <w:left w:val="nil" w:sz="6" w:space="0" w:color="auto"/>
              <w:bottom w:val="nil" w:sz="6" w:space="0" w:color="auto"/>
              <w:right w:val="nil" w:sz="6" w:space="0" w:color="auto"/>
            </w:tcBorders>
          </w:tcPr>
          <w:p>
            <w:pPr/>
          </w:p>
        </w:tc>
        <w:tc>
          <w:tcPr>
            <w:tcW w:w="2516" w:type="dxa"/>
            <w:tcBorders>
              <w:top w:val="nil" w:sz="6" w:space="0" w:color="auto"/>
              <w:left w:val="nil" w:sz="6" w:space="0" w:color="auto"/>
              <w:bottom w:val="nil" w:sz="6" w:space="0" w:color="auto"/>
              <w:right w:val="nil" w:sz="6" w:space="0" w:color="auto"/>
            </w:tcBorders>
          </w:tcPr>
          <w:p>
            <w:pPr>
              <w:pStyle w:val="TableParagraph"/>
              <w:tabs>
                <w:tab w:pos="1123" w:val="left" w:leader="none"/>
              </w:tabs>
              <w:spacing w:line="240" w:lineRule="auto" w:before="147"/>
              <w:ind w:right="1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(521,626,251)</w:t>
            </w:r>
            <w:r>
              <w:rPr>
                <w:rFonts w:ascii="Arial"/>
                <w:spacing w:val="-1"/>
                <w:sz w:val="22"/>
              </w:rPr>
            </w:r>
          </w:p>
        </w:tc>
      </w:tr>
      <w:tr>
        <w:trPr>
          <w:trHeight w:val="430" w:hRule="exact"/>
        </w:trPr>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其他应收款净额合计</w:t>
            </w:r>
          </w:p>
        </w:tc>
        <w:tc>
          <w:tcPr>
            <w:tcW w:w="2405"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55"/>
              <w:jc w:val="right"/>
              <w:rPr>
                <w:rFonts w:ascii="Arial" w:hAnsi="Arial" w:cs="Arial" w:eastAsia="Arial" w:hint="default"/>
                <w:sz w:val="22"/>
                <w:szCs w:val="22"/>
              </w:rPr>
            </w:pPr>
            <w:r>
              <w:rPr>
                <w:rFonts w:ascii="Arial"/>
                <w:spacing w:val="-1"/>
                <w:sz w:val="22"/>
              </w:rPr>
              <w:t>4,801,396,395</w:t>
            </w:r>
          </w:p>
        </w:tc>
        <w:tc>
          <w:tcPr>
            <w:tcW w:w="396" w:type="dxa"/>
            <w:tcBorders>
              <w:top w:val="nil" w:sz="6" w:space="0" w:color="auto"/>
              <w:left w:val="nil" w:sz="6" w:space="0" w:color="auto"/>
              <w:bottom w:val="nil" w:sz="6" w:space="0" w:color="auto"/>
              <w:right w:val="nil" w:sz="6" w:space="0" w:color="auto"/>
            </w:tcBorders>
          </w:tcPr>
          <w:p>
            <w:pPr/>
          </w:p>
        </w:tc>
        <w:tc>
          <w:tcPr>
            <w:tcW w:w="2516"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94"/>
              <w:jc w:val="right"/>
              <w:rPr>
                <w:rFonts w:ascii="Arial" w:hAnsi="Arial" w:cs="Arial" w:eastAsia="Arial" w:hint="default"/>
                <w:sz w:val="22"/>
                <w:szCs w:val="22"/>
              </w:rPr>
            </w:pPr>
            <w:r>
              <w:rPr>
                <w:rFonts w:ascii="Arial"/>
                <w:spacing w:val="-1"/>
                <w:sz w:val="22"/>
              </w:rPr>
              <w:t>5,643,332,565</w:t>
            </w:r>
          </w:p>
        </w:tc>
      </w:tr>
    </w:tbl>
    <w:p>
      <w:pPr>
        <w:spacing w:line="240" w:lineRule="auto" w:before="0"/>
        <w:rPr>
          <w:rFonts w:ascii="宋体" w:hAnsi="宋体" w:cs="宋体" w:eastAsia="宋体" w:hint="default"/>
          <w:sz w:val="14"/>
          <w:szCs w:val="14"/>
        </w:rPr>
      </w:pPr>
    </w:p>
    <w:p>
      <w:pPr>
        <w:pStyle w:val="BodyText"/>
        <w:spacing w:line="232" w:lineRule="auto" w:before="40"/>
        <w:ind w:left="1026" w:right="106" w:hanging="452"/>
        <w:jc w:val="both"/>
      </w:pPr>
      <w:r>
        <w:rPr>
          <w:spacing w:val="-4"/>
        </w:rPr>
        <w:t>注：本集团向顾客提供捆绑手机终端及通信服务的优惠套餐。如附注三</w:t>
      </w:r>
      <w:r>
        <w:rPr>
          <w:rFonts w:ascii="Arial" w:hAnsi="Arial" w:cs="Arial" w:eastAsia="Arial" w:hint="default"/>
          <w:spacing w:val="-4"/>
        </w:rPr>
        <w:t>(24)(l)</w:t>
      </w:r>
      <w:r>
        <w:rPr>
          <w:spacing w:val="-4"/>
        </w:rPr>
        <w:t>所述，该优惠套餐</w:t>
      </w:r>
      <w:r>
        <w:rPr>
          <w:spacing w:val="-36"/>
        </w:rPr>
        <w:t> </w:t>
      </w:r>
      <w:r>
        <w:rPr>
          <w:spacing w:val="-36"/>
        </w:rPr>
      </w:r>
      <w:r>
        <w:rPr/>
        <w:t>的合同总金额按照手机终端和通信服务公允价值在二者之间进行分配。对于担保合约优惠</w:t>
      </w:r>
      <w:r>
        <w:rPr>
          <w:w w:val="100"/>
        </w:rPr>
        <w:t> </w:t>
      </w:r>
      <w:r>
        <w:rPr/>
        <w:t>套餐，手机终端收入于该手机终端的所有权转移至客户时根据以上相对公允价值法计算确</w:t>
      </w:r>
      <w:r>
        <w:rPr>
          <w:w w:val="100"/>
        </w:rPr>
        <w:t> </w:t>
      </w:r>
      <w:r>
        <w:rPr/>
        <w:t>认，并相应形成应收通信终端款。该款项随着用户缴纳套餐使用费逐渐收回，于 </w:t>
      </w:r>
      <w:r>
        <w:rPr>
          <w:rFonts w:ascii="Arial" w:hAnsi="Arial" w:cs="Arial" w:eastAsia="Arial" w:hint="default"/>
        </w:rPr>
        <w:t>2014</w:t>
      </w:r>
      <w:r>
        <w:rPr>
          <w:rFonts w:ascii="Arial" w:hAnsi="Arial" w:cs="Arial" w:eastAsia="Arial" w:hint="default"/>
          <w:spacing w:val="21"/>
        </w:rPr>
        <w:t> </w:t>
      </w:r>
      <w:r>
        <w:rPr/>
        <w:t>年</w:t>
      </w:r>
    </w:p>
    <w:p>
      <w:pPr>
        <w:pStyle w:val="BodyText"/>
        <w:spacing w:line="278" w:lineRule="exact"/>
        <w:ind w:left="1026" w:right="0"/>
        <w:jc w:val="left"/>
      </w:pPr>
      <w:r>
        <w:rPr>
          <w:rFonts w:ascii="Arial" w:hAnsi="Arial" w:cs="Arial" w:eastAsia="Arial" w:hint="default"/>
        </w:rPr>
        <w:t>12</w:t>
      </w:r>
      <w:r>
        <w:rPr>
          <w:rFonts w:ascii="Arial" w:hAnsi="Arial" w:cs="Arial" w:eastAsia="Arial" w:hint="default"/>
          <w:spacing w:val="-3"/>
        </w:rPr>
        <w:t> </w:t>
      </w:r>
      <w:r>
        <w:rPr/>
        <w:t>月</w:t>
      </w:r>
      <w:r>
        <w:rPr>
          <w:spacing w:val="-51"/>
        </w:rPr>
        <w:t> </w:t>
      </w:r>
      <w:r>
        <w:rPr>
          <w:rFonts w:ascii="Arial" w:hAnsi="Arial" w:cs="Arial" w:eastAsia="Arial" w:hint="default"/>
        </w:rPr>
        <w:t>31</w:t>
      </w:r>
      <w:r>
        <w:rPr>
          <w:rFonts w:ascii="Arial" w:hAnsi="Arial" w:cs="Arial" w:eastAsia="Arial" w:hint="default"/>
          <w:spacing w:val="-3"/>
        </w:rPr>
        <w:t> </w:t>
      </w:r>
      <w:r>
        <w:rPr>
          <w:spacing w:val="-3"/>
        </w:rPr>
        <w:t>日，其回收期超过一年的部分人民币</w:t>
      </w:r>
      <w:r>
        <w:rPr>
          <w:spacing w:val="-50"/>
        </w:rPr>
        <w:t> </w:t>
      </w:r>
      <w:r>
        <w:rPr>
          <w:rFonts w:ascii="Arial" w:hAnsi="Arial" w:cs="Arial" w:eastAsia="Arial" w:hint="default"/>
        </w:rPr>
        <w:t>11.95</w:t>
      </w:r>
      <w:r>
        <w:rPr>
          <w:rFonts w:ascii="Arial" w:hAnsi="Arial" w:cs="Arial" w:eastAsia="Arial" w:hint="default"/>
          <w:spacing w:val="-3"/>
        </w:rPr>
        <w:t> </w:t>
      </w:r>
      <w:r>
        <w:rPr>
          <w:spacing w:val="-3"/>
        </w:rPr>
        <w:t>亿元列示于其他非流动资产（</w:t>
      </w:r>
      <w:r>
        <w:rPr>
          <w:rFonts w:ascii="Arial" w:hAnsi="Arial" w:cs="Arial" w:eastAsia="Arial" w:hint="default"/>
          <w:spacing w:val="-3"/>
        </w:rPr>
        <w:t>2013</w:t>
      </w:r>
      <w:r>
        <w:rPr>
          <w:rFonts w:ascii="Arial" w:hAnsi="Arial" w:cs="Arial" w:eastAsia="Arial" w:hint="default"/>
          <w:spacing w:val="-5"/>
        </w:rPr>
        <w:t> </w:t>
      </w:r>
      <w:r>
        <w:rPr/>
        <w:t>年</w:t>
      </w:r>
    </w:p>
    <w:p>
      <w:pPr>
        <w:pStyle w:val="BodyText"/>
        <w:spacing w:line="295" w:lineRule="exact"/>
        <w:ind w:left="1026" w:right="0"/>
        <w:jc w:val="left"/>
      </w:pPr>
      <w:r>
        <w:rPr>
          <w:rFonts w:ascii="Arial" w:hAnsi="Arial" w:cs="Arial" w:eastAsia="Arial" w:hint="default"/>
        </w:rPr>
        <w:t>12</w:t>
      </w:r>
      <w:r>
        <w:rPr>
          <w:rFonts w:ascii="Arial" w:hAnsi="Arial" w:cs="Arial" w:eastAsia="Arial" w:hint="default"/>
          <w:spacing w:val="-7"/>
        </w:rPr>
        <w:t> </w:t>
      </w:r>
      <w:r>
        <w:rPr/>
        <w:t>月</w:t>
      </w:r>
      <w:r>
        <w:rPr>
          <w:spacing w:val="-55"/>
        </w:rPr>
        <w:t> </w:t>
      </w:r>
      <w:r>
        <w:rPr>
          <w:rFonts w:ascii="Arial" w:hAnsi="Arial" w:cs="Arial" w:eastAsia="Arial" w:hint="default"/>
        </w:rPr>
        <w:t>31</w:t>
      </w:r>
      <w:r>
        <w:rPr>
          <w:rFonts w:ascii="Arial" w:hAnsi="Arial" w:cs="Arial" w:eastAsia="Arial" w:hint="default"/>
          <w:spacing w:val="-7"/>
        </w:rPr>
        <w:t> </w:t>
      </w:r>
      <w:r>
        <w:rPr/>
        <w:t>日：人民币</w:t>
      </w:r>
      <w:r>
        <w:rPr>
          <w:spacing w:val="-55"/>
        </w:rPr>
        <w:t> </w:t>
      </w:r>
      <w:r>
        <w:rPr>
          <w:rFonts w:ascii="Arial" w:hAnsi="Arial" w:cs="Arial" w:eastAsia="Arial" w:hint="default"/>
        </w:rPr>
        <w:t>24.96</w:t>
      </w:r>
      <w:r>
        <w:rPr>
          <w:rFonts w:ascii="Arial" w:hAnsi="Arial" w:cs="Arial" w:eastAsia="Arial" w:hint="default"/>
          <w:spacing w:val="-7"/>
        </w:rPr>
        <w:t> </w:t>
      </w:r>
      <w:r>
        <w:rPr/>
        <w:t>亿元）。</w:t>
      </w:r>
    </w:p>
    <w:p>
      <w:pPr>
        <w:spacing w:line="240" w:lineRule="auto" w:before="12"/>
        <w:rPr>
          <w:rFonts w:ascii="宋体" w:hAnsi="宋体" w:cs="宋体" w:eastAsia="宋体" w:hint="default"/>
          <w:sz w:val="17"/>
          <w:szCs w:val="17"/>
        </w:rPr>
      </w:pPr>
    </w:p>
    <w:p>
      <w:pPr>
        <w:pStyle w:val="BodyText"/>
        <w:spacing w:line="240" w:lineRule="auto"/>
        <w:ind w:left="114" w:right="0"/>
        <w:jc w:val="left"/>
      </w:pPr>
      <w:r>
        <w:rPr>
          <w:rFonts w:ascii="Arial" w:hAnsi="Arial" w:cs="Arial" w:eastAsia="Arial" w:hint="default"/>
        </w:rPr>
        <w:t>(a) </w:t>
      </w:r>
      <w:r>
        <w:rPr>
          <w:rFonts w:ascii="Arial" w:hAnsi="Arial" w:cs="Arial" w:eastAsia="Arial" w:hint="default"/>
          <w:spacing w:val="53"/>
        </w:rPr>
        <w:t> </w:t>
      </w:r>
      <w:r>
        <w:rPr/>
        <w:t>其他应收款账龄分析如下：</w:t>
      </w:r>
    </w:p>
    <w:p>
      <w:pPr>
        <w:spacing w:line="240" w:lineRule="auto" w:before="3"/>
        <w:rPr>
          <w:rFonts w:ascii="宋体" w:hAnsi="宋体" w:cs="宋体" w:eastAsia="宋体" w:hint="default"/>
          <w:sz w:val="23"/>
          <w:szCs w:val="23"/>
        </w:rPr>
      </w:pPr>
    </w:p>
    <w:tbl>
      <w:tblPr>
        <w:tblW w:w="0" w:type="auto"/>
        <w:jc w:val="left"/>
        <w:tblInd w:w="348" w:type="dxa"/>
        <w:tblLayout w:type="fixed"/>
        <w:tblCellMar>
          <w:top w:w="0" w:type="dxa"/>
          <w:left w:w="0" w:type="dxa"/>
          <w:bottom w:w="0" w:type="dxa"/>
          <w:right w:w="0" w:type="dxa"/>
        </w:tblCellMar>
        <w:tblLook w:val="01E0"/>
      </w:tblPr>
      <w:tblGrid>
        <w:gridCol w:w="3909"/>
        <w:gridCol w:w="2530"/>
        <w:gridCol w:w="281"/>
        <w:gridCol w:w="2508"/>
      </w:tblGrid>
      <w:tr>
        <w:trPr>
          <w:trHeight w:val="264" w:hRule="exact"/>
        </w:trPr>
        <w:tc>
          <w:tcPr>
            <w:tcW w:w="3909" w:type="dxa"/>
            <w:tcBorders>
              <w:top w:val="nil" w:sz="6" w:space="0" w:color="auto"/>
              <w:left w:val="nil" w:sz="6" w:space="0" w:color="auto"/>
              <w:bottom w:val="nil" w:sz="6" w:space="0" w:color="auto"/>
              <w:right w:val="nil" w:sz="6" w:space="0" w:color="auto"/>
            </w:tcBorders>
          </w:tcPr>
          <w:p>
            <w:pPr/>
          </w:p>
        </w:tc>
        <w:tc>
          <w:tcPr>
            <w:tcW w:w="2530" w:type="dxa"/>
            <w:tcBorders>
              <w:top w:val="nil" w:sz="6" w:space="0" w:color="auto"/>
              <w:left w:val="nil" w:sz="6" w:space="0" w:color="auto"/>
              <w:bottom w:val="single" w:sz="6" w:space="0" w:color="000000"/>
              <w:right w:val="nil" w:sz="6" w:space="0" w:color="auto"/>
            </w:tcBorders>
          </w:tcPr>
          <w:p>
            <w:pPr>
              <w:pStyle w:val="TableParagraph"/>
              <w:spacing w:line="236" w:lineRule="exact"/>
              <w:ind w:right="29"/>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281"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single" w:sz="6" w:space="0" w:color="000000"/>
              <w:right w:val="nil" w:sz="6" w:space="0" w:color="auto"/>
            </w:tcBorders>
          </w:tcPr>
          <w:p>
            <w:pPr>
              <w:pStyle w:val="TableParagraph"/>
              <w:spacing w:line="236" w:lineRule="exact"/>
              <w:ind w:right="74"/>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1"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8"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5"/>
                <w:sz w:val="22"/>
                <w:szCs w:val="22"/>
              </w:rPr>
              <w:t> </w:t>
            </w:r>
            <w:r>
              <w:rPr>
                <w:rFonts w:ascii="宋体" w:hAnsi="宋体" w:cs="宋体" w:eastAsia="宋体" w:hint="default"/>
                <w:sz w:val="22"/>
                <w:szCs w:val="22"/>
              </w:rPr>
              <w:t>年以内</w:t>
            </w:r>
          </w:p>
        </w:tc>
        <w:tc>
          <w:tcPr>
            <w:tcW w:w="2530"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18"/>
              <w:jc w:val="right"/>
              <w:rPr>
                <w:rFonts w:ascii="Arial" w:hAnsi="Arial" w:cs="Arial" w:eastAsia="Arial" w:hint="default"/>
                <w:sz w:val="22"/>
                <w:szCs w:val="22"/>
              </w:rPr>
            </w:pPr>
            <w:r>
              <w:rPr>
                <w:rFonts w:ascii="Arial"/>
                <w:spacing w:val="-1"/>
                <w:sz w:val="22"/>
              </w:rPr>
              <w:t>5,217,031,618</w:t>
            </w:r>
          </w:p>
        </w:tc>
        <w:tc>
          <w:tcPr>
            <w:tcW w:w="281" w:type="dxa"/>
            <w:tcBorders>
              <w:top w:val="nil" w:sz="6" w:space="0" w:color="auto"/>
              <w:left w:val="nil" w:sz="6" w:space="0" w:color="auto"/>
              <w:bottom w:val="nil" w:sz="6" w:space="0" w:color="auto"/>
              <w:right w:val="nil" w:sz="6" w:space="0" w:color="auto"/>
            </w:tcBorders>
          </w:tcPr>
          <w:p>
            <w:pPr/>
          </w:p>
        </w:tc>
        <w:tc>
          <w:tcPr>
            <w:tcW w:w="2508"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979" w:right="0"/>
              <w:jc w:val="left"/>
              <w:rPr>
                <w:rFonts w:ascii="Arial" w:hAnsi="Arial" w:cs="Arial" w:eastAsia="Arial" w:hint="default"/>
                <w:sz w:val="22"/>
                <w:szCs w:val="22"/>
              </w:rPr>
            </w:pPr>
            <w:r>
              <w:rPr>
                <w:rFonts w:ascii="Arial"/>
                <w:sz w:val="22"/>
              </w:rPr>
              <w:t>5,583,878,354</w:t>
            </w:r>
          </w:p>
        </w:tc>
      </w:tr>
      <w:tr>
        <w:trPr>
          <w:trHeight w:val="286"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59" w:lineRule="exact"/>
              <w:ind w:left="228"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530" w:type="dxa"/>
            <w:tcBorders>
              <w:top w:val="nil" w:sz="6" w:space="0" w:color="auto"/>
              <w:left w:val="nil" w:sz="6" w:space="0" w:color="auto"/>
              <w:bottom w:val="nil" w:sz="6" w:space="0" w:color="auto"/>
              <w:right w:val="nil" w:sz="6" w:space="0" w:color="auto"/>
            </w:tcBorders>
          </w:tcPr>
          <w:p>
            <w:pPr>
              <w:pStyle w:val="TableParagraph"/>
              <w:spacing w:line="245" w:lineRule="exact"/>
              <w:ind w:right="119"/>
              <w:jc w:val="right"/>
              <w:rPr>
                <w:rFonts w:ascii="Arial" w:hAnsi="Arial" w:cs="Arial" w:eastAsia="Arial" w:hint="default"/>
                <w:sz w:val="22"/>
                <w:szCs w:val="22"/>
              </w:rPr>
            </w:pPr>
            <w:r>
              <w:rPr>
                <w:rFonts w:ascii="Arial"/>
                <w:spacing w:val="-1"/>
                <w:sz w:val="22"/>
              </w:rPr>
              <w:t>47,513,358</w:t>
            </w:r>
          </w:p>
        </w:tc>
        <w:tc>
          <w:tcPr>
            <w:tcW w:w="281"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62" w:right="0"/>
              <w:jc w:val="left"/>
              <w:rPr>
                <w:rFonts w:ascii="Arial" w:hAnsi="Arial" w:cs="Arial" w:eastAsia="Arial" w:hint="default"/>
                <w:sz w:val="22"/>
                <w:szCs w:val="22"/>
              </w:rPr>
            </w:pPr>
            <w:r>
              <w:rPr>
                <w:rFonts w:ascii="Arial"/>
                <w:sz w:val="22"/>
              </w:rPr>
              <w:t>136,583,921</w:t>
            </w:r>
          </w:p>
        </w:tc>
      </w:tr>
      <w:tr>
        <w:trPr>
          <w:trHeight w:val="287"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59" w:lineRule="exact"/>
              <w:ind w:left="228" w:right="0"/>
              <w:jc w:val="left"/>
              <w:rPr>
                <w:rFonts w:ascii="宋体" w:hAnsi="宋体" w:cs="宋体" w:eastAsia="宋体" w:hint="default"/>
                <w:sz w:val="22"/>
                <w:szCs w:val="22"/>
              </w:rPr>
            </w:pPr>
            <w:r>
              <w:rPr>
                <w:rFonts w:ascii="Arial" w:hAnsi="Arial" w:cs="Arial" w:eastAsia="Arial" w:hint="default"/>
                <w:sz w:val="22"/>
                <w:szCs w:val="22"/>
              </w:rPr>
              <w:t>2-3</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530" w:type="dxa"/>
            <w:tcBorders>
              <w:top w:val="nil" w:sz="6" w:space="0" w:color="auto"/>
              <w:left w:val="nil" w:sz="6" w:space="0" w:color="auto"/>
              <w:bottom w:val="nil" w:sz="6" w:space="0" w:color="auto"/>
              <w:right w:val="nil" w:sz="6" w:space="0" w:color="auto"/>
            </w:tcBorders>
          </w:tcPr>
          <w:p>
            <w:pPr>
              <w:pStyle w:val="TableParagraph"/>
              <w:spacing w:line="245" w:lineRule="exact"/>
              <w:ind w:right="119"/>
              <w:jc w:val="right"/>
              <w:rPr>
                <w:rFonts w:ascii="Arial" w:hAnsi="Arial" w:cs="Arial" w:eastAsia="Arial" w:hint="default"/>
                <w:sz w:val="22"/>
                <w:szCs w:val="22"/>
              </w:rPr>
            </w:pPr>
            <w:r>
              <w:rPr>
                <w:rFonts w:ascii="Arial"/>
                <w:spacing w:val="-1"/>
                <w:sz w:val="22"/>
              </w:rPr>
              <w:t>18,703,753</w:t>
            </w:r>
          </w:p>
        </w:tc>
        <w:tc>
          <w:tcPr>
            <w:tcW w:w="281"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84" w:right="0"/>
              <w:jc w:val="left"/>
              <w:rPr>
                <w:rFonts w:ascii="Arial" w:hAnsi="Arial" w:cs="Arial" w:eastAsia="Arial" w:hint="default"/>
                <w:sz w:val="22"/>
                <w:szCs w:val="22"/>
              </w:rPr>
            </w:pPr>
            <w:r>
              <w:rPr>
                <w:rFonts w:ascii="Arial"/>
                <w:sz w:val="22"/>
              </w:rPr>
              <w:t>70,787,416</w:t>
            </w:r>
          </w:p>
        </w:tc>
      </w:tr>
      <w:tr>
        <w:trPr>
          <w:trHeight w:val="288"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57" w:lineRule="exact"/>
              <w:ind w:left="228" w:right="0"/>
              <w:jc w:val="left"/>
              <w:rPr>
                <w:rFonts w:ascii="宋体" w:hAnsi="宋体" w:cs="宋体" w:eastAsia="宋体" w:hint="default"/>
                <w:sz w:val="22"/>
                <w:szCs w:val="22"/>
              </w:rPr>
            </w:pPr>
            <w:r>
              <w:rPr>
                <w:rFonts w:ascii="Arial" w:hAnsi="Arial" w:cs="Arial" w:eastAsia="Arial" w:hint="default"/>
                <w:sz w:val="22"/>
                <w:szCs w:val="22"/>
              </w:rPr>
              <w:t>3-4</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Arial" w:hAnsi="Arial" w:cs="Arial" w:eastAsia="Arial" w:hint="default"/>
                <w:sz w:val="22"/>
                <w:szCs w:val="22"/>
              </w:rPr>
            </w:pPr>
            <w:r>
              <w:rPr>
                <w:rFonts w:ascii="Arial"/>
                <w:spacing w:val="-1"/>
                <w:sz w:val="22"/>
              </w:rPr>
              <w:t>23,419,874</w:t>
            </w:r>
          </w:p>
        </w:tc>
        <w:tc>
          <w:tcPr>
            <w:tcW w:w="281"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258" w:right="0"/>
              <w:jc w:val="left"/>
              <w:rPr>
                <w:rFonts w:ascii="Arial" w:hAnsi="Arial" w:cs="Arial" w:eastAsia="Arial" w:hint="default"/>
                <w:sz w:val="22"/>
                <w:szCs w:val="22"/>
              </w:rPr>
            </w:pPr>
            <w:r>
              <w:rPr>
                <w:rFonts w:ascii="Arial"/>
                <w:sz w:val="22"/>
              </w:rPr>
              <w:t>83,226,035</w:t>
            </w:r>
          </w:p>
        </w:tc>
      </w:tr>
      <w:tr>
        <w:trPr>
          <w:trHeight w:val="286"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55" w:lineRule="exact"/>
              <w:ind w:left="228" w:right="0"/>
              <w:jc w:val="left"/>
              <w:rPr>
                <w:rFonts w:ascii="宋体" w:hAnsi="宋体" w:cs="宋体" w:eastAsia="宋体" w:hint="default"/>
                <w:sz w:val="22"/>
                <w:szCs w:val="22"/>
              </w:rPr>
            </w:pPr>
            <w:r>
              <w:rPr>
                <w:rFonts w:ascii="Arial" w:hAnsi="Arial" w:cs="Arial" w:eastAsia="Arial" w:hint="default"/>
                <w:sz w:val="22"/>
                <w:szCs w:val="22"/>
              </w:rPr>
              <w:t>4-5</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9"/>
              <w:jc w:val="right"/>
              <w:rPr>
                <w:rFonts w:ascii="Arial" w:hAnsi="Arial" w:cs="Arial" w:eastAsia="Arial" w:hint="default"/>
                <w:sz w:val="22"/>
                <w:szCs w:val="22"/>
              </w:rPr>
            </w:pPr>
            <w:r>
              <w:rPr>
                <w:rFonts w:ascii="Arial"/>
                <w:spacing w:val="-1"/>
                <w:sz w:val="22"/>
              </w:rPr>
              <w:t>34,207,563</w:t>
            </w:r>
          </w:p>
        </w:tc>
        <w:tc>
          <w:tcPr>
            <w:tcW w:w="281"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58" w:right="0"/>
              <w:jc w:val="left"/>
              <w:rPr>
                <w:rFonts w:ascii="Arial" w:hAnsi="Arial" w:cs="Arial" w:eastAsia="Arial" w:hint="default"/>
                <w:sz w:val="22"/>
                <w:szCs w:val="22"/>
              </w:rPr>
            </w:pPr>
            <w:r>
              <w:rPr>
                <w:rFonts w:ascii="Arial"/>
                <w:sz w:val="22"/>
              </w:rPr>
              <w:t>59,402,455</w:t>
            </w:r>
          </w:p>
        </w:tc>
      </w:tr>
      <w:tr>
        <w:trPr>
          <w:trHeight w:val="419"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55" w:lineRule="exact"/>
              <w:ind w:left="228" w:right="0"/>
              <w:jc w:val="left"/>
              <w:rPr>
                <w:rFonts w:ascii="宋体" w:hAnsi="宋体" w:cs="宋体" w:eastAsia="宋体" w:hint="default"/>
                <w:sz w:val="22"/>
                <w:szCs w:val="22"/>
              </w:rPr>
            </w:pPr>
            <w:r>
              <w:rPr>
                <w:rFonts w:ascii="Arial" w:hAnsi="Arial" w:cs="Arial" w:eastAsia="Arial" w:hint="default"/>
                <w:sz w:val="22"/>
                <w:szCs w:val="22"/>
              </w:rPr>
              <w:t>5</w:t>
            </w:r>
            <w:r>
              <w:rPr>
                <w:rFonts w:ascii="Arial" w:hAnsi="Arial" w:cs="Arial" w:eastAsia="Arial" w:hint="default"/>
                <w:spacing w:val="-5"/>
                <w:sz w:val="22"/>
                <w:szCs w:val="22"/>
              </w:rPr>
              <w:t> </w:t>
            </w:r>
            <w:r>
              <w:rPr>
                <w:rFonts w:ascii="宋体" w:hAnsi="宋体" w:cs="宋体" w:eastAsia="宋体" w:hint="default"/>
                <w:sz w:val="22"/>
                <w:szCs w:val="22"/>
              </w:rPr>
              <w:t>年以上</w:t>
            </w:r>
          </w:p>
        </w:tc>
        <w:tc>
          <w:tcPr>
            <w:tcW w:w="2530" w:type="dxa"/>
            <w:tcBorders>
              <w:top w:val="nil" w:sz="6" w:space="0" w:color="auto"/>
              <w:left w:val="nil" w:sz="6" w:space="0" w:color="auto"/>
              <w:bottom w:val="nil" w:sz="6" w:space="0" w:color="auto"/>
              <w:right w:val="nil" w:sz="6" w:space="0" w:color="auto"/>
            </w:tcBorders>
          </w:tcPr>
          <w:p>
            <w:pPr>
              <w:pStyle w:val="TableParagraph"/>
              <w:tabs>
                <w:tab w:pos="1183" w:val="left" w:leader="none"/>
                <w:tab w:pos="2529"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244,420,686</w:t>
              <w:tab/>
            </w:r>
            <w:r>
              <w:rPr>
                <w:rFonts w:ascii="Arial"/>
                <w:spacing w:val="-1"/>
                <w:sz w:val="22"/>
              </w:rPr>
            </w:r>
          </w:p>
        </w:tc>
        <w:tc>
          <w:tcPr>
            <w:tcW w:w="281"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tabs>
                <w:tab w:pos="1128" w:val="left" w:leader="none"/>
                <w:tab w:pos="2501"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231,080,635</w:t>
              <w:tab/>
            </w:r>
            <w:r>
              <w:rPr>
                <w:rFonts w:ascii="Arial"/>
                <w:spacing w:val="-1"/>
                <w:sz w:val="22"/>
              </w:rPr>
            </w:r>
          </w:p>
        </w:tc>
      </w:tr>
      <w:tr>
        <w:trPr>
          <w:trHeight w:val="433"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530"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89"/>
              <w:jc w:val="right"/>
              <w:rPr>
                <w:rFonts w:ascii="Arial" w:hAnsi="Arial" w:cs="Arial" w:eastAsia="Arial" w:hint="default"/>
                <w:sz w:val="22"/>
                <w:szCs w:val="22"/>
              </w:rPr>
            </w:pPr>
            <w:r>
              <w:rPr>
                <w:rFonts w:ascii="Arial"/>
                <w:spacing w:val="-1"/>
                <w:sz w:val="22"/>
              </w:rPr>
              <w:t>5,585,296,852</w:t>
            </w:r>
          </w:p>
        </w:tc>
        <w:tc>
          <w:tcPr>
            <w:tcW w:w="281"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left="955" w:right="0"/>
              <w:jc w:val="left"/>
              <w:rPr>
                <w:rFonts w:ascii="Arial" w:hAnsi="Arial" w:cs="Arial" w:eastAsia="Arial" w:hint="default"/>
                <w:sz w:val="22"/>
                <w:szCs w:val="22"/>
              </w:rPr>
            </w:pPr>
            <w:r>
              <w:rPr>
                <w:rFonts w:ascii="Arial"/>
                <w:sz w:val="22"/>
              </w:rPr>
              <w:t>6,164,958,816</w:t>
            </w:r>
          </w:p>
        </w:tc>
      </w:tr>
    </w:tbl>
    <w:p>
      <w:pPr>
        <w:spacing w:after="0" w:line="240" w:lineRule="auto"/>
        <w:jc w:val="left"/>
        <w:rPr>
          <w:rFonts w:ascii="Arial" w:hAnsi="Arial" w:cs="Arial" w:eastAsia="Arial" w:hint="default"/>
          <w:sz w:val="22"/>
          <w:szCs w:val="22"/>
        </w:rPr>
        <w:sectPr>
          <w:headerReference w:type="default" r:id="rId72"/>
          <w:pgSz w:w="11910" w:h="16840"/>
          <w:pgMar w:header="1185" w:footer="923" w:top="3040" w:bottom="1120" w:left="1240" w:right="920"/>
        </w:sectPr>
      </w:pPr>
    </w:p>
    <w:p>
      <w:pPr>
        <w:pStyle w:val="BodyText"/>
        <w:spacing w:line="240" w:lineRule="auto" w:before="10"/>
        <w:ind w:left="108" w:right="11943"/>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1"/>
        <w:rPr>
          <w:rFonts w:ascii="黑体" w:hAnsi="黑体" w:cs="黑体" w:eastAsia="黑体" w:hint="default"/>
          <w:sz w:val="19"/>
          <w:szCs w:val="19"/>
        </w:rPr>
      </w:pPr>
    </w:p>
    <w:p>
      <w:pPr>
        <w:pStyle w:val="BodyText"/>
        <w:spacing w:line="287" w:lineRule="exact"/>
        <w:ind w:left="108" w:right="11943"/>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left="108" w:right="11943"/>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448" w:lineRule="auto"/>
        <w:ind w:left="108" w:right="11943"/>
        <w:jc w:val="left"/>
        <w:rPr>
          <w:rFonts w:ascii="黑体" w:hAnsi="黑体" w:cs="黑体" w:eastAsia="黑体" w:hint="default"/>
        </w:rPr>
      </w:pPr>
      <w:r>
        <w:rPr>
          <w:rFonts w:ascii="黑体" w:hAnsi="黑体" w:cs="黑体" w:eastAsia="黑体" w:hint="default"/>
          <w:spacing w:val="-1"/>
        </w:rPr>
        <w:t>（除特别注明外，金额单位为人民币元）</w:t>
      </w:r>
      <w:r>
        <w:rPr>
          <w:rFonts w:ascii="黑体" w:hAnsi="黑体" w:cs="黑体" w:eastAsia="黑体" w:hint="default"/>
          <w:spacing w:val="-93"/>
        </w:rPr>
        <w:t> </w:t>
      </w:r>
      <w:r>
        <w:rPr>
          <w:rFonts w:ascii="黑体" w:hAnsi="黑体" w:cs="黑体" w:eastAsia="黑体" w:hint="default"/>
          <w:spacing w:val="-93"/>
        </w:rPr>
      </w:r>
      <w:r>
        <w:rPr>
          <w:rFonts w:ascii="黑体" w:hAnsi="黑体" w:cs="黑体" w:eastAsia="黑体" w:hint="default"/>
        </w:rPr>
        <w:t>五</w:t>
      </w:r>
      <w:r>
        <w:rPr>
          <w:rFonts w:ascii="黑体" w:hAnsi="黑体" w:cs="黑体" w:eastAsia="黑体" w:hint="default"/>
          <w:spacing w:val="65"/>
        </w:rPr>
        <w:t> </w:t>
      </w:r>
      <w:r>
        <w:rPr>
          <w:rFonts w:ascii="黑体" w:hAnsi="黑体" w:cs="黑体" w:eastAsia="黑体" w:hint="default"/>
        </w:rPr>
        <w:t>合并财务报表项目附注（续）</w:t>
      </w:r>
    </w:p>
    <w:p>
      <w:pPr>
        <w:pStyle w:val="BodyText"/>
        <w:spacing w:line="240" w:lineRule="auto" w:before="60"/>
        <w:ind w:left="108" w:right="11943"/>
        <w:jc w:val="left"/>
      </w:pPr>
      <w:r>
        <w:rPr>
          <w:rFonts w:ascii="Arial" w:hAnsi="Arial" w:cs="Arial" w:eastAsia="Arial" w:hint="default"/>
        </w:rPr>
        <w:t>4</w:t>
      </w:r>
      <w:r>
        <w:rPr/>
        <w:t>、</w:t>
      </w:r>
      <w:r>
        <w:rPr>
          <w:spacing w:val="-34"/>
        </w:rPr>
        <w:t> </w:t>
      </w:r>
      <w:r>
        <w:rPr/>
        <w:t>其他应收款（续）</w:t>
      </w:r>
    </w:p>
    <w:p>
      <w:pPr>
        <w:spacing w:line="240" w:lineRule="auto" w:before="12"/>
        <w:rPr>
          <w:rFonts w:ascii="宋体" w:hAnsi="宋体" w:cs="宋体" w:eastAsia="宋体" w:hint="default"/>
          <w:sz w:val="17"/>
          <w:szCs w:val="17"/>
        </w:rPr>
      </w:pPr>
    </w:p>
    <w:p>
      <w:pPr>
        <w:pStyle w:val="BodyText"/>
        <w:spacing w:line="240" w:lineRule="auto"/>
        <w:ind w:left="566" w:right="11943"/>
        <w:jc w:val="left"/>
      </w:pPr>
      <w:r>
        <w:rPr>
          <w:rFonts w:ascii="Arial" w:hAnsi="Arial" w:cs="Arial" w:eastAsia="Arial" w:hint="default"/>
        </w:rPr>
        <w:t>(b)</w:t>
      </w:r>
      <w:r>
        <w:rPr>
          <w:rFonts w:ascii="Arial" w:hAnsi="Arial" w:cs="Arial" w:eastAsia="Arial" w:hint="default"/>
          <w:spacing w:val="48"/>
        </w:rPr>
        <w:t> </w:t>
      </w:r>
      <w:r>
        <w:rPr/>
        <w:t>其他应收款按类别分析如下：</w:t>
      </w:r>
    </w:p>
    <w:p>
      <w:pPr>
        <w:spacing w:line="240" w:lineRule="auto" w:before="7"/>
        <w:rPr>
          <w:rFonts w:ascii="宋体" w:hAnsi="宋体" w:cs="宋体" w:eastAsia="宋体" w:hint="default"/>
          <w:sz w:val="29"/>
          <w:szCs w:val="29"/>
        </w:rPr>
      </w:pPr>
    </w:p>
    <w:tbl>
      <w:tblPr>
        <w:tblW w:w="0" w:type="auto"/>
        <w:jc w:val="left"/>
        <w:tblInd w:w="1389" w:type="dxa"/>
        <w:tblLayout w:type="fixed"/>
        <w:tblCellMar>
          <w:top w:w="0" w:type="dxa"/>
          <w:left w:w="0" w:type="dxa"/>
          <w:bottom w:w="0" w:type="dxa"/>
          <w:right w:w="0" w:type="dxa"/>
        </w:tblCellMar>
        <w:tblLook w:val="01E0"/>
      </w:tblPr>
      <w:tblGrid>
        <w:gridCol w:w="1825"/>
        <w:gridCol w:w="1476"/>
        <w:gridCol w:w="783"/>
        <w:gridCol w:w="230"/>
        <w:gridCol w:w="1550"/>
        <w:gridCol w:w="795"/>
        <w:gridCol w:w="228"/>
        <w:gridCol w:w="1013"/>
        <w:gridCol w:w="1965"/>
        <w:gridCol w:w="857"/>
        <w:gridCol w:w="276"/>
        <w:gridCol w:w="1520"/>
        <w:gridCol w:w="756"/>
        <w:gridCol w:w="228"/>
        <w:gridCol w:w="1188"/>
      </w:tblGrid>
      <w:tr>
        <w:trPr>
          <w:trHeight w:val="191" w:hRule="exact"/>
        </w:trPr>
        <w:tc>
          <w:tcPr>
            <w:tcW w:w="5865" w:type="dxa"/>
            <w:gridSpan w:val="5"/>
            <w:tcBorders>
              <w:top w:val="nil" w:sz="6" w:space="0" w:color="auto"/>
              <w:left w:val="nil" w:sz="6" w:space="0" w:color="auto"/>
              <w:bottom w:val="nil" w:sz="6" w:space="0" w:color="auto"/>
              <w:right w:val="nil" w:sz="6" w:space="0" w:color="auto"/>
            </w:tcBorders>
          </w:tcPr>
          <w:p>
            <w:pPr>
              <w:pStyle w:val="TableParagraph"/>
              <w:spacing w:line="172" w:lineRule="exact"/>
              <w:ind w:right="215"/>
              <w:jc w:val="righ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12</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31</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795"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single" w:sz="4" w:space="0" w:color="000000"/>
              <w:right w:val="nil" w:sz="6" w:space="0" w:color="auto"/>
            </w:tcBorders>
          </w:tcPr>
          <w:p>
            <w:pPr/>
          </w:p>
        </w:tc>
        <w:tc>
          <w:tcPr>
            <w:tcW w:w="1013" w:type="dxa"/>
            <w:tcBorders>
              <w:top w:val="nil" w:sz="6" w:space="0" w:color="auto"/>
              <w:left w:val="nil" w:sz="6" w:space="0" w:color="auto"/>
              <w:bottom w:val="single" w:sz="4" w:space="0" w:color="000000"/>
              <w:right w:val="nil" w:sz="6" w:space="0" w:color="auto"/>
            </w:tcBorders>
          </w:tcPr>
          <w:p>
            <w:pPr/>
          </w:p>
        </w:tc>
        <w:tc>
          <w:tcPr>
            <w:tcW w:w="1965" w:type="dxa"/>
            <w:tcBorders>
              <w:top w:val="nil" w:sz="6" w:space="0" w:color="auto"/>
              <w:left w:val="nil" w:sz="6" w:space="0" w:color="auto"/>
              <w:bottom w:val="single" w:sz="4" w:space="0" w:color="000000"/>
              <w:right w:val="nil" w:sz="6" w:space="0" w:color="auto"/>
            </w:tcBorders>
          </w:tcPr>
          <w:p>
            <w:pPr/>
          </w:p>
        </w:tc>
        <w:tc>
          <w:tcPr>
            <w:tcW w:w="2653" w:type="dxa"/>
            <w:gridSpan w:val="3"/>
            <w:tcBorders>
              <w:top w:val="nil" w:sz="6" w:space="0" w:color="auto"/>
              <w:left w:val="nil" w:sz="6" w:space="0" w:color="auto"/>
              <w:bottom w:val="single" w:sz="4" w:space="0" w:color="000000"/>
              <w:right w:val="nil" w:sz="6" w:space="0" w:color="auto"/>
            </w:tcBorders>
          </w:tcPr>
          <w:p>
            <w:pPr>
              <w:pStyle w:val="TableParagraph"/>
              <w:spacing w:line="172" w:lineRule="exact"/>
              <w:ind w:left="941" w:right="0"/>
              <w:jc w:val="left"/>
              <w:rPr>
                <w:rFonts w:ascii="宋体" w:hAnsi="宋体" w:cs="宋体" w:eastAsia="宋体" w:hint="default"/>
                <w:sz w:val="16"/>
                <w:szCs w:val="16"/>
              </w:rPr>
            </w:pPr>
            <w:r>
              <w:rPr>
                <w:rFonts w:ascii="Arial" w:hAnsi="Arial" w:cs="Arial" w:eastAsia="Arial" w:hint="default"/>
                <w:sz w:val="16"/>
                <w:szCs w:val="16"/>
              </w:rPr>
              <w:t>2013</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12</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31</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756"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single" w:sz="4" w:space="0" w:color="000000"/>
              <w:right w:val="nil" w:sz="6" w:space="0" w:color="auto"/>
            </w:tcBorders>
          </w:tcPr>
          <w:p>
            <w:pPr/>
          </w:p>
        </w:tc>
        <w:tc>
          <w:tcPr>
            <w:tcW w:w="1188" w:type="dxa"/>
            <w:tcBorders>
              <w:top w:val="nil" w:sz="6" w:space="0" w:color="auto"/>
              <w:left w:val="nil" w:sz="6" w:space="0" w:color="auto"/>
              <w:bottom w:val="single" w:sz="4" w:space="0" w:color="000000"/>
              <w:right w:val="nil" w:sz="6" w:space="0" w:color="auto"/>
            </w:tcBorders>
          </w:tcPr>
          <w:p>
            <w:pPr/>
          </w:p>
        </w:tc>
      </w:tr>
      <w:tr>
        <w:trPr>
          <w:trHeight w:val="300" w:hRule="exact"/>
        </w:trPr>
        <w:tc>
          <w:tcPr>
            <w:tcW w:w="1825" w:type="dxa"/>
            <w:tcBorders>
              <w:top w:val="nil" w:sz="6" w:space="0" w:color="auto"/>
              <w:left w:val="nil" w:sz="6" w:space="0" w:color="auto"/>
              <w:bottom w:val="nil" w:sz="6" w:space="0" w:color="auto"/>
              <w:right w:val="nil" w:sz="6" w:space="0" w:color="auto"/>
            </w:tcBorders>
          </w:tcPr>
          <w:p>
            <w:pPr/>
          </w:p>
        </w:tc>
        <w:tc>
          <w:tcPr>
            <w:tcW w:w="1476"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left="832"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783" w:type="dxa"/>
            <w:tcBorders>
              <w:top w:val="single" w:sz="4" w:space="0" w:color="000000"/>
              <w:left w:val="nil" w:sz="6" w:space="0" w:color="auto"/>
              <w:bottom w:val="single" w:sz="4" w:space="0" w:color="000000"/>
              <w:right w:val="nil" w:sz="6" w:space="0" w:color="auto"/>
            </w:tcBorders>
          </w:tcPr>
          <w:p>
            <w:pPr/>
          </w:p>
        </w:tc>
        <w:tc>
          <w:tcPr>
            <w:tcW w:w="230" w:type="dxa"/>
            <w:tcBorders>
              <w:top w:val="single" w:sz="4" w:space="0" w:color="000000"/>
              <w:left w:val="nil" w:sz="6" w:space="0" w:color="auto"/>
              <w:bottom w:val="nil" w:sz="6" w:space="0" w:color="auto"/>
              <w:right w:val="nil" w:sz="6" w:space="0" w:color="auto"/>
            </w:tcBorders>
          </w:tcPr>
          <w:p>
            <w:pPr/>
          </w:p>
        </w:tc>
        <w:tc>
          <w:tcPr>
            <w:tcW w:w="1550"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left="880"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795" w:type="dxa"/>
            <w:tcBorders>
              <w:top w:val="single" w:sz="4" w:space="0" w:color="000000"/>
              <w:left w:val="nil" w:sz="6" w:space="0" w:color="auto"/>
              <w:bottom w:val="single" w:sz="4" w:space="0" w:color="000000"/>
              <w:right w:val="nil" w:sz="6" w:space="0" w:color="auto"/>
            </w:tcBorders>
          </w:tcPr>
          <w:p>
            <w:pPr/>
          </w:p>
        </w:tc>
        <w:tc>
          <w:tcPr>
            <w:tcW w:w="228" w:type="dxa"/>
            <w:tcBorders>
              <w:top w:val="single" w:sz="4" w:space="0" w:color="000000"/>
              <w:left w:val="nil" w:sz="6" w:space="0" w:color="auto"/>
              <w:bottom w:val="nil" w:sz="6" w:space="0" w:color="auto"/>
              <w:right w:val="nil" w:sz="6" w:space="0" w:color="auto"/>
            </w:tcBorders>
          </w:tcPr>
          <w:p>
            <w:pPr/>
          </w:p>
        </w:tc>
        <w:tc>
          <w:tcPr>
            <w:tcW w:w="1013"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65"/>
              <w:jc w:val="right"/>
              <w:rPr>
                <w:rFonts w:ascii="宋体" w:hAnsi="宋体" w:cs="宋体" w:eastAsia="宋体" w:hint="default"/>
                <w:sz w:val="16"/>
                <w:szCs w:val="16"/>
              </w:rPr>
            </w:pPr>
            <w:r>
              <w:rPr>
                <w:rFonts w:ascii="宋体" w:hAnsi="宋体" w:cs="宋体" w:eastAsia="宋体" w:hint="default"/>
                <w:sz w:val="16"/>
                <w:szCs w:val="16"/>
              </w:rPr>
              <w:t>账面价值</w:t>
            </w:r>
          </w:p>
        </w:tc>
        <w:tc>
          <w:tcPr>
            <w:tcW w:w="1965"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0"/>
              <w:jc w:val="right"/>
              <w:rPr>
                <w:rFonts w:ascii="宋体" w:hAnsi="宋体" w:cs="宋体" w:eastAsia="宋体" w:hint="default"/>
                <w:sz w:val="16"/>
                <w:szCs w:val="16"/>
              </w:rPr>
            </w:pPr>
            <w:r>
              <w:rPr>
                <w:rFonts w:ascii="宋体" w:hAnsi="宋体" w:cs="宋体" w:eastAsia="宋体" w:hint="default"/>
                <w:sz w:val="16"/>
                <w:szCs w:val="16"/>
              </w:rPr>
              <w:t>账面余额</w:t>
            </w:r>
          </w:p>
        </w:tc>
        <w:tc>
          <w:tcPr>
            <w:tcW w:w="857" w:type="dxa"/>
            <w:tcBorders>
              <w:top w:val="single" w:sz="4" w:space="0" w:color="000000"/>
              <w:left w:val="nil" w:sz="6" w:space="0" w:color="auto"/>
              <w:bottom w:val="single" w:sz="4" w:space="0" w:color="000000"/>
              <w:right w:val="nil" w:sz="6" w:space="0" w:color="auto"/>
            </w:tcBorders>
          </w:tcPr>
          <w:p>
            <w:pPr/>
          </w:p>
        </w:tc>
        <w:tc>
          <w:tcPr>
            <w:tcW w:w="276" w:type="dxa"/>
            <w:tcBorders>
              <w:top w:val="single" w:sz="4" w:space="0" w:color="000000"/>
              <w:left w:val="nil" w:sz="6" w:space="0" w:color="auto"/>
              <w:bottom w:val="nil" w:sz="6" w:space="0" w:color="auto"/>
              <w:right w:val="nil" w:sz="6" w:space="0" w:color="auto"/>
            </w:tcBorders>
          </w:tcPr>
          <w:p>
            <w:pPr/>
          </w:p>
        </w:tc>
        <w:tc>
          <w:tcPr>
            <w:tcW w:w="1520"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left="820"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756" w:type="dxa"/>
            <w:tcBorders>
              <w:top w:val="single" w:sz="4" w:space="0" w:color="000000"/>
              <w:left w:val="nil" w:sz="6" w:space="0" w:color="auto"/>
              <w:bottom w:val="single" w:sz="4" w:space="0" w:color="000000"/>
              <w:right w:val="nil" w:sz="6" w:space="0" w:color="auto"/>
            </w:tcBorders>
          </w:tcPr>
          <w:p>
            <w:pPr/>
          </w:p>
        </w:tc>
        <w:tc>
          <w:tcPr>
            <w:tcW w:w="228" w:type="dxa"/>
            <w:tcBorders>
              <w:top w:val="single" w:sz="4" w:space="0" w:color="000000"/>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left="275" w:right="0"/>
              <w:jc w:val="left"/>
              <w:rPr>
                <w:rFonts w:ascii="宋体" w:hAnsi="宋体" w:cs="宋体" w:eastAsia="宋体" w:hint="default"/>
                <w:sz w:val="16"/>
                <w:szCs w:val="16"/>
              </w:rPr>
            </w:pPr>
            <w:r>
              <w:rPr>
                <w:rFonts w:ascii="宋体" w:hAnsi="宋体" w:cs="宋体" w:eastAsia="宋体" w:hint="default"/>
                <w:sz w:val="16"/>
                <w:szCs w:val="16"/>
              </w:rPr>
              <w:t>账面价值</w:t>
            </w:r>
          </w:p>
        </w:tc>
      </w:tr>
      <w:tr>
        <w:trPr>
          <w:trHeight w:val="300" w:hRule="exact"/>
        </w:trPr>
        <w:tc>
          <w:tcPr>
            <w:tcW w:w="1825" w:type="dxa"/>
            <w:tcBorders>
              <w:top w:val="nil" w:sz="6" w:space="0" w:color="auto"/>
              <w:left w:val="nil" w:sz="6" w:space="0" w:color="auto"/>
              <w:bottom w:val="nil" w:sz="6" w:space="0" w:color="auto"/>
              <w:right w:val="nil" w:sz="6" w:space="0" w:color="auto"/>
            </w:tcBorders>
          </w:tcPr>
          <w:p>
            <w:pPr/>
          </w:p>
        </w:tc>
        <w:tc>
          <w:tcPr>
            <w:tcW w:w="1476"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left="412" w:right="0"/>
              <w:jc w:val="left"/>
              <w:rPr>
                <w:rFonts w:ascii="宋体" w:hAnsi="宋体" w:cs="宋体" w:eastAsia="宋体" w:hint="default"/>
                <w:sz w:val="16"/>
                <w:szCs w:val="16"/>
              </w:rPr>
            </w:pPr>
            <w:r>
              <w:rPr>
                <w:rFonts w:ascii="宋体" w:hAnsi="宋体" w:cs="宋体" w:eastAsia="宋体" w:hint="default"/>
                <w:sz w:val="16"/>
                <w:szCs w:val="16"/>
              </w:rPr>
              <w:t>金额</w:t>
            </w:r>
          </w:p>
        </w:tc>
        <w:tc>
          <w:tcPr>
            <w:tcW w:w="783"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43"/>
              <w:jc w:val="right"/>
              <w:rPr>
                <w:rFonts w:ascii="Arial" w:hAnsi="Arial" w:cs="Arial" w:eastAsia="Arial" w:hint="default"/>
                <w:sz w:val="16"/>
                <w:szCs w:val="16"/>
              </w:rPr>
            </w:pPr>
            <w:r>
              <w:rPr>
                <w:rFonts w:ascii="宋体" w:hAnsi="宋体" w:cs="宋体" w:eastAsia="宋体" w:hint="default"/>
                <w:spacing w:val="-1"/>
                <w:sz w:val="16"/>
                <w:szCs w:val="16"/>
              </w:rPr>
              <w:t>比例</w:t>
            </w:r>
            <w:r>
              <w:rPr>
                <w:rFonts w:ascii="Arial" w:hAnsi="Arial" w:cs="Arial" w:eastAsia="Arial" w:hint="default"/>
                <w:spacing w:val="-1"/>
                <w:sz w:val="16"/>
                <w:szCs w:val="16"/>
              </w:rPr>
              <w:t>(%)</w:t>
            </w:r>
          </w:p>
        </w:tc>
        <w:tc>
          <w:tcPr>
            <w:tcW w:w="230" w:type="dxa"/>
            <w:tcBorders>
              <w:top w:val="nil" w:sz="6" w:space="0" w:color="auto"/>
              <w:left w:val="nil" w:sz="6" w:space="0" w:color="auto"/>
              <w:bottom w:val="nil" w:sz="6" w:space="0" w:color="auto"/>
              <w:right w:val="nil" w:sz="6" w:space="0" w:color="auto"/>
            </w:tcBorders>
          </w:tcPr>
          <w:p>
            <w:pPr/>
          </w:p>
        </w:tc>
        <w:tc>
          <w:tcPr>
            <w:tcW w:w="1550"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left="501" w:right="0"/>
              <w:jc w:val="left"/>
              <w:rPr>
                <w:rFonts w:ascii="宋体" w:hAnsi="宋体" w:cs="宋体" w:eastAsia="宋体" w:hint="default"/>
                <w:sz w:val="16"/>
                <w:szCs w:val="16"/>
              </w:rPr>
            </w:pPr>
            <w:r>
              <w:rPr>
                <w:rFonts w:ascii="宋体" w:hAnsi="宋体" w:cs="宋体" w:eastAsia="宋体" w:hint="default"/>
                <w:sz w:val="16"/>
                <w:szCs w:val="16"/>
              </w:rPr>
              <w:t>金额</w:t>
            </w:r>
          </w:p>
        </w:tc>
        <w:tc>
          <w:tcPr>
            <w:tcW w:w="795"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83"/>
              <w:jc w:val="right"/>
              <w:rPr>
                <w:rFonts w:ascii="Arial" w:hAnsi="Arial" w:cs="Arial" w:eastAsia="Arial" w:hint="default"/>
                <w:sz w:val="16"/>
                <w:szCs w:val="16"/>
              </w:rPr>
            </w:pPr>
            <w:r>
              <w:rPr>
                <w:rFonts w:ascii="宋体" w:hAnsi="宋体" w:cs="宋体" w:eastAsia="宋体" w:hint="default"/>
                <w:spacing w:val="-1"/>
                <w:sz w:val="16"/>
                <w:szCs w:val="16"/>
              </w:rPr>
              <w:t>比例</w:t>
            </w:r>
            <w:r>
              <w:rPr>
                <w:rFonts w:ascii="Arial" w:hAnsi="Arial" w:cs="Arial" w:eastAsia="Arial" w:hint="default"/>
                <w:spacing w:val="-1"/>
                <w:sz w:val="16"/>
                <w:szCs w:val="16"/>
              </w:rPr>
              <w:t>(%)</w:t>
            </w:r>
          </w:p>
        </w:tc>
        <w:tc>
          <w:tcPr>
            <w:tcW w:w="228" w:type="dxa"/>
            <w:tcBorders>
              <w:top w:val="nil" w:sz="6" w:space="0" w:color="auto"/>
              <w:left w:val="nil" w:sz="6" w:space="0" w:color="auto"/>
              <w:bottom w:val="nil" w:sz="6" w:space="0" w:color="auto"/>
              <w:right w:val="nil" w:sz="6" w:space="0" w:color="auto"/>
            </w:tcBorders>
          </w:tcPr>
          <w:p>
            <w:pPr/>
          </w:p>
        </w:tc>
        <w:tc>
          <w:tcPr>
            <w:tcW w:w="1013" w:type="dxa"/>
            <w:tcBorders>
              <w:top w:val="single" w:sz="4" w:space="0" w:color="000000"/>
              <w:left w:val="nil" w:sz="6" w:space="0" w:color="auto"/>
              <w:bottom w:val="nil" w:sz="6" w:space="0" w:color="auto"/>
              <w:right w:val="nil" w:sz="6" w:space="0" w:color="auto"/>
            </w:tcBorders>
          </w:tcPr>
          <w:p>
            <w:pPr/>
          </w:p>
        </w:tc>
        <w:tc>
          <w:tcPr>
            <w:tcW w:w="196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102"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857"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60"/>
              <w:jc w:val="right"/>
              <w:rPr>
                <w:rFonts w:ascii="Arial" w:hAnsi="Arial" w:cs="Arial" w:eastAsia="Arial" w:hint="default"/>
                <w:sz w:val="16"/>
                <w:szCs w:val="16"/>
              </w:rPr>
            </w:pPr>
            <w:r>
              <w:rPr>
                <w:rFonts w:ascii="宋体" w:hAnsi="宋体" w:cs="宋体" w:eastAsia="宋体" w:hint="default"/>
                <w:spacing w:val="-1"/>
                <w:sz w:val="16"/>
                <w:szCs w:val="16"/>
              </w:rPr>
              <w:t>比例</w:t>
            </w:r>
            <w:r>
              <w:rPr>
                <w:rFonts w:ascii="Arial" w:hAnsi="Arial" w:cs="Arial" w:eastAsia="Arial" w:hint="default"/>
                <w:spacing w:val="-1"/>
                <w:sz w:val="16"/>
                <w:szCs w:val="16"/>
              </w:rPr>
              <w:t>(%)</w:t>
            </w:r>
          </w:p>
        </w:tc>
        <w:tc>
          <w:tcPr>
            <w:tcW w:w="276" w:type="dxa"/>
            <w:tcBorders>
              <w:top w:val="nil" w:sz="6" w:space="0" w:color="auto"/>
              <w:left w:val="nil" w:sz="6" w:space="0" w:color="auto"/>
              <w:bottom w:val="nil" w:sz="6" w:space="0" w:color="auto"/>
              <w:right w:val="nil" w:sz="6" w:space="0" w:color="auto"/>
            </w:tcBorders>
          </w:tcPr>
          <w:p>
            <w:pPr/>
          </w:p>
        </w:tc>
        <w:tc>
          <w:tcPr>
            <w:tcW w:w="1520"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73"/>
              <w:jc w:val="center"/>
              <w:rPr>
                <w:rFonts w:ascii="宋体" w:hAnsi="宋体" w:cs="宋体" w:eastAsia="宋体" w:hint="default"/>
                <w:sz w:val="16"/>
                <w:szCs w:val="16"/>
              </w:rPr>
            </w:pPr>
            <w:r>
              <w:rPr>
                <w:rFonts w:ascii="宋体" w:hAnsi="宋体" w:cs="宋体" w:eastAsia="宋体" w:hint="default"/>
                <w:sz w:val="16"/>
                <w:szCs w:val="16"/>
              </w:rPr>
              <w:t>金额</w:t>
            </w:r>
          </w:p>
        </w:tc>
        <w:tc>
          <w:tcPr>
            <w:tcW w:w="756"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64"/>
              <w:jc w:val="right"/>
              <w:rPr>
                <w:rFonts w:ascii="Arial" w:hAnsi="Arial" w:cs="Arial" w:eastAsia="Arial" w:hint="default"/>
                <w:sz w:val="16"/>
                <w:szCs w:val="16"/>
              </w:rPr>
            </w:pPr>
            <w:r>
              <w:rPr>
                <w:rFonts w:ascii="宋体" w:hAnsi="宋体" w:cs="宋体" w:eastAsia="宋体" w:hint="default"/>
                <w:spacing w:val="-1"/>
                <w:sz w:val="16"/>
                <w:szCs w:val="16"/>
              </w:rPr>
              <w:t>比例</w:t>
            </w:r>
            <w:r>
              <w:rPr>
                <w:rFonts w:ascii="Arial" w:hAnsi="Arial" w:cs="Arial" w:eastAsia="Arial" w:hint="default"/>
                <w:spacing w:val="-1"/>
                <w:sz w:val="16"/>
                <w:szCs w:val="16"/>
              </w:rPr>
              <w:t>(%)</w:t>
            </w:r>
          </w:p>
        </w:tc>
        <w:tc>
          <w:tcPr>
            <w:tcW w:w="228" w:type="dxa"/>
            <w:tcBorders>
              <w:top w:val="nil" w:sz="6" w:space="0" w:color="auto"/>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nil" w:sz="6" w:space="0" w:color="auto"/>
              <w:right w:val="nil" w:sz="6" w:space="0" w:color="auto"/>
            </w:tcBorders>
          </w:tcPr>
          <w:p>
            <w:pPr/>
          </w:p>
        </w:tc>
      </w:tr>
      <w:tr>
        <w:trPr>
          <w:trHeight w:val="930"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333" w:lineRule="auto"/>
              <w:ind w:left="360" w:right="180" w:hanging="161"/>
              <w:jc w:val="left"/>
              <w:rPr>
                <w:rFonts w:ascii="宋体" w:hAnsi="宋体" w:cs="宋体" w:eastAsia="宋体" w:hint="default"/>
                <w:sz w:val="16"/>
                <w:szCs w:val="16"/>
              </w:rPr>
            </w:pPr>
            <w:r>
              <w:rPr>
                <w:rFonts w:ascii="宋体" w:hAnsi="宋体" w:cs="宋体" w:eastAsia="宋体" w:hint="default"/>
                <w:spacing w:val="-1"/>
                <w:sz w:val="16"/>
                <w:szCs w:val="16"/>
              </w:rPr>
              <w:t>单项金额重大并单独</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计提坏账准备</w:t>
            </w:r>
          </w:p>
        </w:tc>
        <w:tc>
          <w:tcPr>
            <w:tcW w:w="1476"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7.85pt;height:.5pt;mso-position-horizontal-relative:char;mso-position-vertical-relative:line" coordorigin="0,0" coordsize="1157,10">
                  <v:group style="position:absolute;left:5;top:5;width:10;height:2" coordorigin="5,5" coordsize="10,2">
                    <v:shape style="position:absolute;left:5;top:5;width:10;height:2" coordorigin="5,5" coordsize="10,0" path="m5,5l14,5e" filled="false" stroked="true" strokeweight=".48001pt" strokecolor="#000000">
                      <v:path arrowok="t"/>
                    </v:shape>
                  </v:group>
                  <v:group style="position:absolute;left:14;top:5;width:1138;height:2" coordorigin="14,5" coordsize="1138,2">
                    <v:shape style="position:absolute;left:14;top:5;width:1138;height:2" coordorigin="14,5" coordsize="1138,0" path="m14,5l1152,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34"/>
              <w:jc w:val="right"/>
              <w:rPr>
                <w:rFonts w:ascii="Arial" w:hAnsi="Arial" w:cs="Arial" w:eastAsia="Arial" w:hint="default"/>
                <w:sz w:val="14"/>
                <w:szCs w:val="14"/>
              </w:rPr>
            </w:pPr>
            <w:r>
              <w:rPr>
                <w:rFonts w:ascii="Arial"/>
                <w:w w:val="99"/>
                <w:sz w:val="14"/>
              </w:rPr>
              <w:t>-</w:t>
            </w:r>
            <w:r>
              <w:rPr>
                <w:rFonts w:ascii="Arial"/>
                <w:sz w:val="14"/>
              </w:rPr>
            </w:r>
          </w:p>
        </w:tc>
        <w:tc>
          <w:tcPr>
            <w:tcW w:w="78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Arial" w:hAnsi="Arial" w:cs="Arial" w:eastAsia="Arial" w:hint="default"/>
                <w:sz w:val="14"/>
                <w:szCs w:val="14"/>
              </w:rPr>
            </w:pPr>
            <w:r>
              <w:rPr>
                <w:rFonts w:ascii="Arial"/>
                <w:w w:val="99"/>
                <w:sz w:val="14"/>
              </w:rPr>
              <w:t>-</w:t>
            </w:r>
            <w:r>
              <w:rPr>
                <w:rFonts w:ascii="Arial"/>
                <w:sz w:val="14"/>
              </w:rPr>
            </w:r>
          </w:p>
        </w:tc>
        <w:tc>
          <w:tcPr>
            <w:tcW w:w="230" w:type="dxa"/>
            <w:tcBorders>
              <w:top w:val="nil" w:sz="6" w:space="0" w:color="auto"/>
              <w:left w:val="nil" w:sz="6" w:space="0" w:color="auto"/>
              <w:bottom w:val="nil" w:sz="6" w:space="0" w:color="auto"/>
              <w:right w:val="nil" w:sz="6" w:space="0" w:color="auto"/>
            </w:tcBorders>
          </w:tcPr>
          <w:p>
            <w:pPr/>
          </w:p>
        </w:tc>
        <w:tc>
          <w:tcPr>
            <w:tcW w:w="155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88"/>
              <w:jc w:val="right"/>
              <w:rPr>
                <w:rFonts w:ascii="Arial" w:hAnsi="Arial" w:cs="Arial" w:eastAsia="Arial" w:hint="default"/>
                <w:sz w:val="14"/>
                <w:szCs w:val="14"/>
              </w:rPr>
            </w:pPr>
            <w:r>
              <w:rPr>
                <w:rFonts w:ascii="Arial"/>
                <w:w w:val="99"/>
                <w:sz w:val="14"/>
              </w:rPr>
              <w:t>-</w:t>
            </w:r>
            <w:r>
              <w:rPr>
                <w:rFonts w:ascii="Arial"/>
                <w:sz w:val="14"/>
              </w:rPr>
            </w:r>
          </w:p>
        </w:tc>
        <w:tc>
          <w:tcPr>
            <w:tcW w:w="79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29"/>
              <w:jc w:val="right"/>
              <w:rPr>
                <w:rFonts w:ascii="Arial" w:hAnsi="Arial" w:cs="Arial" w:eastAsia="Arial" w:hint="default"/>
                <w:sz w:val="14"/>
                <w:szCs w:val="14"/>
              </w:rPr>
            </w:pPr>
            <w:r>
              <w:rPr>
                <w:rFonts w:ascii="Arial"/>
                <w:w w:val="99"/>
                <w:sz w:val="14"/>
              </w:rPr>
              <w:t>-</w:t>
            </w:r>
            <w:r>
              <w:rPr>
                <w:rFonts w:ascii="Arial"/>
                <w:sz w:val="14"/>
              </w:rPr>
            </w:r>
          </w:p>
        </w:tc>
        <w:tc>
          <w:tcPr>
            <w:tcW w:w="228"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
              <w:jc w:val="right"/>
              <w:rPr>
                <w:rFonts w:ascii="Arial" w:hAnsi="Arial" w:cs="Arial" w:eastAsia="Arial" w:hint="default"/>
                <w:sz w:val="14"/>
                <w:szCs w:val="14"/>
              </w:rPr>
            </w:pPr>
            <w:r>
              <w:rPr>
                <w:rFonts w:ascii="Arial"/>
                <w:w w:val="99"/>
                <w:sz w:val="14"/>
              </w:rPr>
              <w:t>-</w:t>
            </w:r>
            <w:r>
              <w:rPr>
                <w:rFonts w:ascii="Arial"/>
                <w:sz w:val="14"/>
              </w:rPr>
            </w:r>
          </w:p>
        </w:tc>
        <w:tc>
          <w:tcPr>
            <w:tcW w:w="1965" w:type="dxa"/>
            <w:tcBorders>
              <w:top w:val="nil" w:sz="6" w:space="0" w:color="auto"/>
              <w:left w:val="nil" w:sz="6" w:space="0" w:color="auto"/>
              <w:bottom w:val="nil" w:sz="6" w:space="0" w:color="auto"/>
              <w:right w:val="nil" w:sz="6" w:space="0" w:color="auto"/>
            </w:tcBorders>
          </w:tcPr>
          <w:p>
            <w:pPr>
              <w:pStyle w:val="TableParagraph"/>
              <w:spacing w:line="20" w:lineRule="exact"/>
              <w:ind w:left="407" w:right="0"/>
              <w:jc w:val="left"/>
              <w:rPr>
                <w:rFonts w:ascii="宋体" w:hAnsi="宋体" w:cs="宋体" w:eastAsia="宋体" w:hint="default"/>
                <w:sz w:val="2"/>
                <w:szCs w:val="2"/>
              </w:rPr>
            </w:pPr>
            <w:r>
              <w:rPr>
                <w:rFonts w:ascii="宋体" w:hAnsi="宋体" w:cs="宋体" w:eastAsia="宋体" w:hint="default"/>
                <w:sz w:val="2"/>
                <w:szCs w:val="2"/>
              </w:rPr>
              <w:pict>
                <v:group style="width:64.25pt;height:.5pt;mso-position-horizontal-relative:char;mso-position-vertical-relative:line" coordorigin="0,0" coordsize="1285,10">
                  <v:group style="position:absolute;left:5;top:5;width:1275;height:2" coordorigin="5,5" coordsize="1275,2">
                    <v:shape style="position:absolute;left:5;top:5;width:1275;height:2" coordorigin="5,5" coordsize="1275,0" path="m5,5l1280,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380"/>
              <w:jc w:val="right"/>
              <w:rPr>
                <w:rFonts w:ascii="Arial" w:hAnsi="Arial" w:cs="Arial" w:eastAsia="Arial" w:hint="default"/>
                <w:sz w:val="14"/>
                <w:szCs w:val="14"/>
              </w:rPr>
            </w:pPr>
            <w:r>
              <w:rPr>
                <w:rFonts w:ascii="Arial"/>
                <w:w w:val="99"/>
                <w:sz w:val="14"/>
              </w:rPr>
              <w:t>-</w:t>
            </w:r>
            <w:r>
              <w:rPr>
                <w:rFonts w:ascii="Arial"/>
                <w:sz w:val="14"/>
              </w:rPr>
            </w:r>
          </w:p>
        </w:tc>
        <w:tc>
          <w:tcPr>
            <w:tcW w:w="85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5"/>
              <w:jc w:val="right"/>
              <w:rPr>
                <w:rFonts w:ascii="Arial" w:hAnsi="Arial" w:cs="Arial" w:eastAsia="Arial" w:hint="default"/>
                <w:sz w:val="14"/>
                <w:szCs w:val="14"/>
              </w:rPr>
            </w:pPr>
            <w:r>
              <w:rPr>
                <w:rFonts w:ascii="Arial"/>
                <w:w w:val="99"/>
                <w:sz w:val="14"/>
              </w:rPr>
              <w:t>-</w:t>
            </w:r>
            <w:r>
              <w:rPr>
                <w:rFonts w:ascii="Arial"/>
                <w:sz w:val="14"/>
              </w:rPr>
            </w:r>
          </w:p>
        </w:tc>
        <w:tc>
          <w:tcPr>
            <w:tcW w:w="276" w:type="dxa"/>
            <w:tcBorders>
              <w:top w:val="nil" w:sz="6" w:space="0" w:color="auto"/>
              <w:left w:val="nil" w:sz="6" w:space="0" w:color="auto"/>
              <w:bottom w:val="nil" w:sz="6" w:space="0" w:color="auto"/>
              <w:right w:val="nil" w:sz="6" w:space="0" w:color="auto"/>
            </w:tcBorders>
          </w:tcPr>
          <w:p>
            <w:pPr/>
          </w:p>
        </w:tc>
        <w:tc>
          <w:tcPr>
            <w:tcW w:w="152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84"/>
              <w:jc w:val="right"/>
              <w:rPr>
                <w:rFonts w:ascii="Arial" w:hAnsi="Arial" w:cs="Arial" w:eastAsia="Arial" w:hint="default"/>
                <w:sz w:val="14"/>
                <w:szCs w:val="14"/>
              </w:rPr>
            </w:pPr>
            <w:r>
              <w:rPr>
                <w:rFonts w:ascii="Arial"/>
                <w:w w:val="99"/>
                <w:sz w:val="14"/>
              </w:rPr>
              <w:t>-</w:t>
            </w:r>
            <w:r>
              <w:rPr>
                <w:rFonts w:ascii="Arial"/>
                <w:sz w:val="14"/>
              </w:rPr>
            </w:r>
          </w:p>
        </w:tc>
        <w:tc>
          <w:tcPr>
            <w:tcW w:w="75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5"/>
              <w:jc w:val="right"/>
              <w:rPr>
                <w:rFonts w:ascii="Arial" w:hAnsi="Arial" w:cs="Arial" w:eastAsia="Arial" w:hint="default"/>
                <w:sz w:val="14"/>
                <w:szCs w:val="14"/>
              </w:rPr>
            </w:pPr>
            <w:r>
              <w:rPr>
                <w:rFonts w:ascii="Arial"/>
                <w:w w:val="99"/>
                <w:sz w:val="14"/>
              </w:rPr>
              <w:t>-</w:t>
            </w:r>
            <w:r>
              <w:rPr>
                <w:rFonts w:ascii="Arial"/>
                <w:sz w:val="14"/>
              </w:rPr>
            </w:r>
          </w:p>
        </w:tc>
        <w:tc>
          <w:tcPr>
            <w:tcW w:w="228"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5"/>
              <w:jc w:val="right"/>
              <w:rPr>
                <w:rFonts w:ascii="Arial" w:hAnsi="Arial" w:cs="Arial" w:eastAsia="Arial" w:hint="default"/>
                <w:sz w:val="14"/>
                <w:szCs w:val="14"/>
              </w:rPr>
            </w:pPr>
            <w:r>
              <w:rPr>
                <w:rFonts w:ascii="Arial"/>
                <w:w w:val="99"/>
                <w:sz w:val="14"/>
              </w:rPr>
              <w:t>-</w:t>
            </w:r>
            <w:r>
              <w:rPr>
                <w:rFonts w:ascii="Arial"/>
                <w:sz w:val="14"/>
              </w:rPr>
            </w:r>
          </w:p>
        </w:tc>
      </w:tr>
      <w:tr>
        <w:trPr>
          <w:trHeight w:val="632"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333" w:lineRule="auto" w:before="21"/>
              <w:ind w:left="377" w:right="180" w:hanging="178"/>
              <w:jc w:val="left"/>
              <w:rPr>
                <w:rFonts w:ascii="宋体" w:hAnsi="宋体" w:cs="宋体" w:eastAsia="宋体" w:hint="default"/>
                <w:sz w:val="16"/>
                <w:szCs w:val="16"/>
              </w:rPr>
            </w:pPr>
            <w:r>
              <w:rPr>
                <w:rFonts w:ascii="宋体" w:hAnsi="宋体" w:cs="宋体" w:eastAsia="宋体" w:hint="default"/>
                <w:spacing w:val="-1"/>
                <w:sz w:val="16"/>
                <w:szCs w:val="16"/>
              </w:rPr>
              <w:t>按信用风险特征组合</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计提坏账准备</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44" w:right="0"/>
              <w:jc w:val="left"/>
              <w:rPr>
                <w:rFonts w:ascii="Arial" w:hAnsi="Arial" w:cs="Arial" w:eastAsia="Arial" w:hint="default"/>
                <w:sz w:val="14"/>
                <w:szCs w:val="14"/>
              </w:rPr>
            </w:pPr>
            <w:r>
              <w:rPr>
                <w:rFonts w:ascii="Arial"/>
                <w:sz w:val="14"/>
              </w:rPr>
              <w:t>5,083,479,922</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4"/>
                <w:szCs w:val="14"/>
              </w:rPr>
            </w:pPr>
            <w:r>
              <w:rPr>
                <w:rFonts w:ascii="Arial"/>
                <w:spacing w:val="-1"/>
                <w:sz w:val="14"/>
              </w:rPr>
              <w:t>91.02</w:t>
            </w:r>
          </w:p>
        </w:tc>
        <w:tc>
          <w:tcPr>
            <w:tcW w:w="230"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40" w:right="0"/>
              <w:jc w:val="left"/>
              <w:rPr>
                <w:rFonts w:ascii="Arial" w:hAnsi="Arial" w:cs="Arial" w:eastAsia="Arial" w:hint="default"/>
                <w:sz w:val="14"/>
                <w:szCs w:val="14"/>
              </w:rPr>
            </w:pPr>
            <w:r>
              <w:rPr>
                <w:rFonts w:ascii="Arial"/>
                <w:sz w:val="14"/>
              </w:rPr>
              <w:t>(295,014,387)</w:t>
            </w: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29"/>
              <w:jc w:val="right"/>
              <w:rPr>
                <w:rFonts w:ascii="Arial" w:hAnsi="Arial" w:cs="Arial" w:eastAsia="Arial" w:hint="default"/>
                <w:sz w:val="14"/>
                <w:szCs w:val="14"/>
              </w:rPr>
            </w:pPr>
            <w:r>
              <w:rPr>
                <w:rFonts w:ascii="Arial"/>
                <w:w w:val="99"/>
                <w:sz w:val="14"/>
              </w:rPr>
              <w:t>6</w:t>
            </w:r>
            <w:r>
              <w:rPr>
                <w:rFonts w:ascii="Arial"/>
                <w:sz w:val="14"/>
              </w:rPr>
            </w:r>
          </w:p>
        </w:tc>
        <w:tc>
          <w:tcPr>
            <w:tcW w:w="228"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5"/>
              <w:jc w:val="right"/>
              <w:rPr>
                <w:rFonts w:ascii="Arial" w:hAnsi="Arial" w:cs="Arial" w:eastAsia="Arial" w:hint="default"/>
                <w:sz w:val="14"/>
                <w:szCs w:val="14"/>
              </w:rPr>
            </w:pPr>
            <w:r>
              <w:rPr>
                <w:rFonts w:ascii="Arial"/>
                <w:spacing w:val="-1"/>
                <w:sz w:val="14"/>
              </w:rPr>
              <w:t>4,788,465,535</w:t>
            </w:r>
          </w:p>
        </w:tc>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85" w:right="0"/>
              <w:jc w:val="left"/>
              <w:rPr>
                <w:rFonts w:ascii="Arial" w:hAnsi="Arial" w:cs="Arial" w:eastAsia="Arial" w:hint="default"/>
                <w:sz w:val="14"/>
                <w:szCs w:val="14"/>
              </w:rPr>
            </w:pPr>
            <w:r>
              <w:rPr>
                <w:rFonts w:ascii="Arial"/>
                <w:sz w:val="14"/>
              </w:rPr>
              <w:t>5,838,290,818</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7"/>
              <w:jc w:val="right"/>
              <w:rPr>
                <w:rFonts w:ascii="Arial" w:hAnsi="Arial" w:cs="Arial" w:eastAsia="Arial" w:hint="default"/>
                <w:sz w:val="14"/>
                <w:szCs w:val="14"/>
              </w:rPr>
            </w:pPr>
            <w:r>
              <w:rPr>
                <w:rFonts w:ascii="Arial"/>
                <w:spacing w:val="-1"/>
                <w:sz w:val="14"/>
              </w:rPr>
              <w:t>94.70</w:t>
            </w:r>
          </w:p>
        </w:tc>
        <w:tc>
          <w:tcPr>
            <w:tcW w:w="27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04" w:right="0"/>
              <w:jc w:val="left"/>
              <w:rPr>
                <w:rFonts w:ascii="Arial" w:hAnsi="Arial" w:cs="Arial" w:eastAsia="Arial" w:hint="default"/>
                <w:sz w:val="14"/>
                <w:szCs w:val="14"/>
              </w:rPr>
            </w:pPr>
            <w:r>
              <w:rPr>
                <w:rFonts w:ascii="Arial"/>
                <w:sz w:val="14"/>
              </w:rPr>
              <w:t>(421,811,601)</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5"/>
              <w:jc w:val="right"/>
              <w:rPr>
                <w:rFonts w:ascii="Arial" w:hAnsi="Arial" w:cs="Arial" w:eastAsia="Arial" w:hint="default"/>
                <w:sz w:val="14"/>
                <w:szCs w:val="14"/>
              </w:rPr>
            </w:pPr>
            <w:r>
              <w:rPr>
                <w:rFonts w:ascii="Arial"/>
                <w:w w:val="99"/>
                <w:sz w:val="14"/>
              </w:rPr>
              <w:t>7</w:t>
            </w:r>
            <w:r>
              <w:rPr>
                <w:rFonts w:ascii="Arial"/>
                <w:sz w:val="14"/>
              </w:rPr>
            </w:r>
          </w:p>
        </w:tc>
        <w:tc>
          <w:tcPr>
            <w:tcW w:w="228"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8"/>
              <w:jc w:val="right"/>
              <w:rPr>
                <w:rFonts w:ascii="Arial" w:hAnsi="Arial" w:cs="Arial" w:eastAsia="Arial" w:hint="default"/>
                <w:sz w:val="14"/>
                <w:szCs w:val="14"/>
              </w:rPr>
            </w:pPr>
            <w:r>
              <w:rPr>
                <w:rFonts w:ascii="Arial"/>
                <w:spacing w:val="-1"/>
                <w:sz w:val="14"/>
              </w:rPr>
              <w:t>5,416,479,217</w:t>
            </w:r>
          </w:p>
        </w:tc>
      </w:tr>
      <w:tr>
        <w:trPr>
          <w:trHeight w:val="572"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333" w:lineRule="auto" w:before="10"/>
              <w:ind w:left="377" w:right="163" w:hanging="178"/>
              <w:jc w:val="left"/>
              <w:rPr>
                <w:rFonts w:ascii="宋体" w:hAnsi="宋体" w:cs="宋体" w:eastAsia="宋体" w:hint="default"/>
                <w:sz w:val="16"/>
                <w:szCs w:val="16"/>
              </w:rPr>
            </w:pPr>
            <w:r>
              <w:rPr>
                <w:rFonts w:ascii="宋体" w:hAnsi="宋体" w:cs="宋体" w:eastAsia="宋体" w:hint="default"/>
                <w:sz w:val="16"/>
                <w:szCs w:val="16"/>
              </w:rPr>
              <w:t>单项金额虽不重大但</w:t>
            </w:r>
            <w:r>
              <w:rPr>
                <w:rFonts w:ascii="宋体" w:hAnsi="宋体" w:cs="宋体" w:eastAsia="宋体" w:hint="default"/>
                <w:w w:val="100"/>
                <w:sz w:val="16"/>
                <w:szCs w:val="16"/>
              </w:rPr>
              <w:t> </w:t>
            </w:r>
            <w:r>
              <w:rPr>
                <w:rFonts w:ascii="宋体" w:hAnsi="宋体" w:cs="宋体" w:eastAsia="宋体" w:hint="default"/>
                <w:spacing w:val="-1"/>
                <w:sz w:val="16"/>
                <w:szCs w:val="16"/>
              </w:rPr>
              <w:t>单独计提坏账准备</w:t>
            </w: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61" w:right="0"/>
              <w:jc w:val="left"/>
              <w:rPr>
                <w:rFonts w:ascii="Arial" w:hAnsi="Arial" w:cs="Arial" w:eastAsia="Arial" w:hint="default"/>
                <w:sz w:val="14"/>
                <w:szCs w:val="14"/>
              </w:rPr>
            </w:pPr>
            <w:r>
              <w:rPr>
                <w:rFonts w:ascii="Arial"/>
                <w:sz w:val="14"/>
              </w:rPr>
              <w:t>501,816,930</w:t>
            </w:r>
          </w:p>
        </w:tc>
        <w:tc>
          <w:tcPr>
            <w:tcW w:w="78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4"/>
                <w:szCs w:val="14"/>
              </w:rPr>
            </w:pPr>
            <w:r>
              <w:rPr>
                <w:rFonts w:ascii="Arial"/>
                <w:w w:val="95"/>
                <w:sz w:val="14"/>
              </w:rPr>
              <w:t>8.98</w:t>
            </w:r>
            <w:r>
              <w:rPr>
                <w:rFonts w:ascii="Arial"/>
                <w:sz w:val="14"/>
              </w:rPr>
            </w:r>
          </w:p>
        </w:tc>
        <w:tc>
          <w:tcPr>
            <w:tcW w:w="230"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40" w:right="0"/>
              <w:jc w:val="left"/>
              <w:rPr>
                <w:rFonts w:ascii="Arial" w:hAnsi="Arial" w:cs="Arial" w:eastAsia="Arial" w:hint="default"/>
                <w:sz w:val="14"/>
                <w:szCs w:val="14"/>
              </w:rPr>
            </w:pPr>
            <w:r>
              <w:rPr>
                <w:rFonts w:ascii="Arial"/>
                <w:sz w:val="14"/>
              </w:rPr>
              <w:t>(488,886,070)</w:t>
            </w:r>
          </w:p>
        </w:tc>
        <w:tc>
          <w:tcPr>
            <w:tcW w:w="79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32"/>
              <w:jc w:val="right"/>
              <w:rPr>
                <w:rFonts w:ascii="Arial" w:hAnsi="Arial" w:cs="Arial" w:eastAsia="Arial" w:hint="default"/>
                <w:sz w:val="14"/>
                <w:szCs w:val="14"/>
              </w:rPr>
            </w:pPr>
            <w:r>
              <w:rPr>
                <w:rFonts w:ascii="Arial"/>
                <w:spacing w:val="-1"/>
                <w:w w:val="95"/>
                <w:sz w:val="14"/>
              </w:rPr>
              <w:t>97</w:t>
            </w:r>
            <w:r>
              <w:rPr>
                <w:rFonts w:ascii="Arial"/>
                <w:sz w:val="14"/>
              </w:rPr>
            </w:r>
          </w:p>
        </w:tc>
        <w:tc>
          <w:tcPr>
            <w:tcW w:w="228"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
              <w:jc w:val="right"/>
              <w:rPr>
                <w:rFonts w:ascii="Arial" w:hAnsi="Arial" w:cs="Arial" w:eastAsia="Arial" w:hint="default"/>
                <w:sz w:val="14"/>
                <w:szCs w:val="14"/>
              </w:rPr>
            </w:pPr>
            <w:r>
              <w:rPr>
                <w:rFonts w:ascii="Arial"/>
                <w:spacing w:val="-1"/>
                <w:sz w:val="14"/>
              </w:rPr>
              <w:t>12,930,860</w:t>
            </w:r>
          </w:p>
        </w:tc>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803" w:right="0"/>
              <w:jc w:val="left"/>
              <w:rPr>
                <w:rFonts w:ascii="Arial" w:hAnsi="Arial" w:cs="Arial" w:eastAsia="Arial" w:hint="default"/>
                <w:sz w:val="14"/>
                <w:szCs w:val="14"/>
              </w:rPr>
            </w:pPr>
            <w:r>
              <w:rPr>
                <w:rFonts w:ascii="Arial"/>
                <w:sz w:val="14"/>
              </w:rPr>
              <w:t>326,667,998</w:t>
            </w:r>
          </w:p>
        </w:tc>
        <w:tc>
          <w:tcPr>
            <w:tcW w:w="85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7"/>
              <w:jc w:val="right"/>
              <w:rPr>
                <w:rFonts w:ascii="Arial" w:hAnsi="Arial" w:cs="Arial" w:eastAsia="Arial" w:hint="default"/>
                <w:sz w:val="14"/>
                <w:szCs w:val="14"/>
              </w:rPr>
            </w:pPr>
            <w:r>
              <w:rPr>
                <w:rFonts w:ascii="Arial"/>
                <w:w w:val="95"/>
                <w:sz w:val="14"/>
              </w:rPr>
              <w:t>5.30</w:t>
            </w:r>
            <w:r>
              <w:rPr>
                <w:rFonts w:ascii="Arial"/>
                <w:sz w:val="14"/>
              </w:rPr>
            </w:r>
          </w:p>
        </w:tc>
        <w:tc>
          <w:tcPr>
            <w:tcW w:w="27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81" w:right="0"/>
              <w:jc w:val="left"/>
              <w:rPr>
                <w:rFonts w:ascii="Arial" w:hAnsi="Arial" w:cs="Arial" w:eastAsia="Arial" w:hint="default"/>
                <w:sz w:val="14"/>
                <w:szCs w:val="14"/>
              </w:rPr>
            </w:pPr>
            <w:r>
              <w:rPr>
                <w:rFonts w:ascii="Arial"/>
                <w:sz w:val="14"/>
              </w:rPr>
              <w:t>(99,814,650)</w:t>
            </w:r>
          </w:p>
        </w:tc>
        <w:tc>
          <w:tcPr>
            <w:tcW w:w="75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8"/>
              <w:jc w:val="right"/>
              <w:rPr>
                <w:rFonts w:ascii="Arial" w:hAnsi="Arial" w:cs="Arial" w:eastAsia="Arial" w:hint="default"/>
                <w:sz w:val="14"/>
                <w:szCs w:val="14"/>
              </w:rPr>
            </w:pPr>
            <w:r>
              <w:rPr>
                <w:rFonts w:ascii="Arial"/>
                <w:spacing w:val="-1"/>
                <w:w w:val="95"/>
                <w:sz w:val="14"/>
              </w:rPr>
              <w:t>31</w:t>
            </w:r>
            <w:r>
              <w:rPr>
                <w:rFonts w:ascii="Arial"/>
                <w:sz w:val="14"/>
              </w:rPr>
            </w:r>
          </w:p>
        </w:tc>
        <w:tc>
          <w:tcPr>
            <w:tcW w:w="228"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14"/>
                <w:szCs w:val="14"/>
              </w:rPr>
            </w:pPr>
            <w:r>
              <w:rPr>
                <w:rFonts w:ascii="Arial"/>
                <w:spacing w:val="-1"/>
                <w:sz w:val="14"/>
              </w:rPr>
              <w:t>226,853,348</w:t>
            </w:r>
          </w:p>
        </w:tc>
      </w:tr>
      <w:tr>
        <w:trPr>
          <w:trHeight w:val="612"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200"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476"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7.85pt;height:.5pt;mso-position-horizontal-relative:char;mso-position-vertical-relative:line" coordorigin="0,0" coordsize="1157,10">
                  <v:group style="position:absolute;left:5;top:5;width:10;height:2" coordorigin="5,5" coordsize="10,2">
                    <v:shape style="position:absolute;left:5;top:5;width:10;height:2" coordorigin="5,5" coordsize="10,0" path="m5,5l14,5e" filled="false" stroked="true" strokeweight=".48001pt" strokecolor="#000000">
                      <v:path arrowok="t"/>
                    </v:shape>
                  </v:group>
                  <v:group style="position:absolute;left:14;top:5;width:1138;height:2" coordorigin="14,5" coordsize="1138,2">
                    <v:shape style="position:absolute;left:14;top:5;width:1138;height:2" coordorigin="14,5" coordsize="1138,0" path="m14,5l1152,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44" w:right="0"/>
              <w:jc w:val="left"/>
              <w:rPr>
                <w:rFonts w:ascii="Arial" w:hAnsi="Arial" w:cs="Arial" w:eastAsia="Arial" w:hint="default"/>
                <w:sz w:val="14"/>
                <w:szCs w:val="14"/>
              </w:rPr>
            </w:pPr>
            <w:r>
              <w:rPr>
                <w:rFonts w:ascii="Arial"/>
                <w:sz w:val="14"/>
              </w:rPr>
              <w:t>5,585,296,852</w:t>
            </w:r>
          </w:p>
        </w:tc>
        <w:tc>
          <w:tcPr>
            <w:tcW w:w="783"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Arial" w:hAnsi="Arial" w:cs="Arial" w:eastAsia="Arial" w:hint="default"/>
                <w:sz w:val="14"/>
                <w:szCs w:val="14"/>
              </w:rPr>
            </w:pPr>
            <w:r>
              <w:rPr>
                <w:rFonts w:ascii="Arial"/>
                <w:spacing w:val="-1"/>
                <w:sz w:val="14"/>
              </w:rPr>
              <w:t>100.00</w:t>
            </w:r>
          </w:p>
        </w:tc>
        <w:tc>
          <w:tcPr>
            <w:tcW w:w="230" w:type="dxa"/>
            <w:tcBorders>
              <w:top w:val="nil" w:sz="6" w:space="0" w:color="auto"/>
              <w:left w:val="nil" w:sz="6" w:space="0" w:color="auto"/>
              <w:bottom w:val="nil" w:sz="6" w:space="0" w:color="auto"/>
              <w:right w:val="nil" w:sz="6" w:space="0" w:color="auto"/>
            </w:tcBorders>
          </w:tcPr>
          <w:p>
            <w:pPr/>
          </w:p>
        </w:tc>
        <w:tc>
          <w:tcPr>
            <w:tcW w:w="155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40" w:right="0"/>
              <w:jc w:val="left"/>
              <w:rPr>
                <w:rFonts w:ascii="Arial" w:hAnsi="Arial" w:cs="Arial" w:eastAsia="Arial" w:hint="default"/>
                <w:sz w:val="14"/>
                <w:szCs w:val="14"/>
              </w:rPr>
            </w:pPr>
            <w:r>
              <w:rPr>
                <w:rFonts w:ascii="Arial"/>
                <w:sz w:val="14"/>
              </w:rPr>
              <w:t>(783,900,457)</w:t>
            </w:r>
          </w:p>
        </w:tc>
        <w:tc>
          <w:tcPr>
            <w:tcW w:w="795"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32"/>
              <w:jc w:val="right"/>
              <w:rPr>
                <w:rFonts w:ascii="Arial" w:hAnsi="Arial" w:cs="Arial" w:eastAsia="Arial" w:hint="default"/>
                <w:sz w:val="14"/>
                <w:szCs w:val="14"/>
              </w:rPr>
            </w:pPr>
            <w:r>
              <w:rPr>
                <w:rFonts w:ascii="Arial"/>
                <w:spacing w:val="-1"/>
                <w:w w:val="95"/>
                <w:sz w:val="14"/>
              </w:rPr>
              <w:t>14</w:t>
            </w:r>
            <w:r>
              <w:rPr>
                <w:rFonts w:ascii="Arial"/>
                <w:sz w:val="14"/>
              </w:rPr>
            </w:r>
          </w:p>
        </w:tc>
        <w:tc>
          <w:tcPr>
            <w:tcW w:w="228" w:type="dxa"/>
            <w:tcBorders>
              <w:top w:val="nil" w:sz="6" w:space="0" w:color="auto"/>
              <w:left w:val="nil" w:sz="6" w:space="0" w:color="auto"/>
              <w:bottom w:val="nil" w:sz="6" w:space="0" w:color="auto"/>
              <w:right w:val="nil" w:sz="6" w:space="0" w:color="auto"/>
            </w:tcBorders>
          </w:tcPr>
          <w:p>
            <w:pPr/>
          </w:p>
        </w:tc>
        <w:tc>
          <w:tcPr>
            <w:tcW w:w="1013"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
              <w:jc w:val="right"/>
              <w:rPr>
                <w:rFonts w:ascii="Arial" w:hAnsi="Arial" w:cs="Arial" w:eastAsia="Arial" w:hint="default"/>
                <w:sz w:val="14"/>
                <w:szCs w:val="14"/>
              </w:rPr>
            </w:pPr>
            <w:r>
              <w:rPr>
                <w:rFonts w:ascii="Arial"/>
                <w:spacing w:val="-1"/>
                <w:sz w:val="14"/>
              </w:rPr>
              <w:t>4,801,396,395</w:t>
            </w:r>
          </w:p>
        </w:tc>
        <w:tc>
          <w:tcPr>
            <w:tcW w:w="1965" w:type="dxa"/>
            <w:tcBorders>
              <w:top w:val="nil" w:sz="6" w:space="0" w:color="auto"/>
              <w:left w:val="nil" w:sz="6" w:space="0" w:color="auto"/>
              <w:bottom w:val="single" w:sz="12" w:space="0" w:color="000000"/>
              <w:right w:val="nil" w:sz="6" w:space="0" w:color="auto"/>
            </w:tcBorders>
          </w:tcPr>
          <w:p>
            <w:pPr>
              <w:pStyle w:val="TableParagraph"/>
              <w:spacing w:line="20" w:lineRule="exact"/>
              <w:ind w:left="407" w:right="0"/>
              <w:jc w:val="left"/>
              <w:rPr>
                <w:rFonts w:ascii="宋体" w:hAnsi="宋体" w:cs="宋体" w:eastAsia="宋体" w:hint="default"/>
                <w:sz w:val="2"/>
                <w:szCs w:val="2"/>
              </w:rPr>
            </w:pPr>
            <w:r>
              <w:rPr>
                <w:rFonts w:ascii="宋体" w:hAnsi="宋体" w:cs="宋体" w:eastAsia="宋体" w:hint="default"/>
                <w:sz w:val="2"/>
                <w:szCs w:val="2"/>
              </w:rPr>
              <w:pict>
                <v:group style="width:64.25pt;height:.5pt;mso-position-horizontal-relative:char;mso-position-vertical-relative:line" coordorigin="0,0" coordsize="1285,10">
                  <v:group style="position:absolute;left:5;top:5;width:1275;height:2" coordorigin="5,5" coordsize="1275,2">
                    <v:shape style="position:absolute;left:5;top:5;width:1275;height:2" coordorigin="5,5" coordsize="1275,0" path="m5,5l1280,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685" w:right="0"/>
              <w:jc w:val="left"/>
              <w:rPr>
                <w:rFonts w:ascii="Arial" w:hAnsi="Arial" w:cs="Arial" w:eastAsia="Arial" w:hint="default"/>
                <w:sz w:val="14"/>
                <w:szCs w:val="14"/>
              </w:rPr>
            </w:pPr>
            <w:r>
              <w:rPr>
                <w:rFonts w:ascii="Arial"/>
                <w:sz w:val="14"/>
              </w:rPr>
              <w:t>6,164,958,816</w:t>
            </w:r>
          </w:p>
        </w:tc>
        <w:tc>
          <w:tcPr>
            <w:tcW w:w="857"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7"/>
              <w:jc w:val="right"/>
              <w:rPr>
                <w:rFonts w:ascii="Arial" w:hAnsi="Arial" w:cs="Arial" w:eastAsia="Arial" w:hint="default"/>
                <w:sz w:val="14"/>
                <w:szCs w:val="14"/>
              </w:rPr>
            </w:pPr>
            <w:r>
              <w:rPr>
                <w:rFonts w:ascii="Arial"/>
                <w:spacing w:val="-1"/>
                <w:sz w:val="14"/>
              </w:rPr>
              <w:t>100.00</w:t>
            </w:r>
          </w:p>
        </w:tc>
        <w:tc>
          <w:tcPr>
            <w:tcW w:w="276" w:type="dxa"/>
            <w:tcBorders>
              <w:top w:val="nil" w:sz="6" w:space="0" w:color="auto"/>
              <w:left w:val="nil" w:sz="6" w:space="0" w:color="auto"/>
              <w:bottom w:val="nil" w:sz="6" w:space="0" w:color="auto"/>
              <w:right w:val="nil" w:sz="6" w:space="0" w:color="auto"/>
            </w:tcBorders>
          </w:tcPr>
          <w:p>
            <w:pPr/>
          </w:p>
        </w:tc>
        <w:tc>
          <w:tcPr>
            <w:tcW w:w="152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04" w:right="0"/>
              <w:jc w:val="left"/>
              <w:rPr>
                <w:rFonts w:ascii="Arial" w:hAnsi="Arial" w:cs="Arial" w:eastAsia="Arial" w:hint="default"/>
                <w:sz w:val="14"/>
                <w:szCs w:val="14"/>
              </w:rPr>
            </w:pPr>
            <w:r>
              <w:rPr>
                <w:rFonts w:ascii="Arial"/>
                <w:sz w:val="14"/>
              </w:rPr>
              <w:t>(521,626,251)</w:t>
            </w:r>
          </w:p>
        </w:tc>
        <w:tc>
          <w:tcPr>
            <w:tcW w:w="756"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Arial" w:hAnsi="Arial" w:cs="Arial" w:eastAsia="Arial" w:hint="default"/>
                <w:sz w:val="14"/>
                <w:szCs w:val="14"/>
              </w:rPr>
            </w:pPr>
            <w:r>
              <w:rPr>
                <w:rFonts w:ascii="Arial"/>
                <w:w w:val="99"/>
                <w:sz w:val="14"/>
              </w:rPr>
              <w:t>8</w:t>
            </w:r>
            <w:r>
              <w:rPr>
                <w:rFonts w:ascii="Arial"/>
                <w:sz w:val="14"/>
              </w:rPr>
            </w:r>
          </w:p>
        </w:tc>
        <w:tc>
          <w:tcPr>
            <w:tcW w:w="228" w:type="dxa"/>
            <w:tcBorders>
              <w:top w:val="nil" w:sz="6" w:space="0" w:color="auto"/>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8"/>
              <w:jc w:val="right"/>
              <w:rPr>
                <w:rFonts w:ascii="Arial" w:hAnsi="Arial" w:cs="Arial" w:eastAsia="Arial" w:hint="default"/>
                <w:sz w:val="14"/>
                <w:szCs w:val="14"/>
              </w:rPr>
            </w:pPr>
            <w:r>
              <w:rPr>
                <w:rFonts w:ascii="Arial"/>
                <w:spacing w:val="-1"/>
                <w:sz w:val="14"/>
              </w:rPr>
              <w:t>5,643,332,565</w:t>
            </w:r>
          </w:p>
        </w:tc>
      </w:tr>
    </w:tbl>
    <w:p>
      <w:pPr>
        <w:spacing w:line="240" w:lineRule="auto" w:before="11"/>
        <w:rPr>
          <w:rFonts w:ascii="宋体" w:hAnsi="宋体" w:cs="宋体" w:eastAsia="宋体" w:hint="default"/>
          <w:sz w:val="13"/>
          <w:szCs w:val="13"/>
        </w:rPr>
      </w:pPr>
    </w:p>
    <w:p>
      <w:pPr>
        <w:pStyle w:val="BodyText"/>
        <w:spacing w:line="240" w:lineRule="auto" w:before="32"/>
        <w:ind w:left="566" w:right="0"/>
        <w:jc w:val="left"/>
      </w:pPr>
      <w:r>
        <w:rPr/>
        <w:pict>
          <v:group style="position:absolute;margin-left:493.149994pt;margin-top:-10.512351pt;width:64.95pt;height:1.45pt;mso-position-horizontal-relative:page;mso-position-vertical-relative:paragraph;z-index:-735928" coordorigin="9863,-210" coordsize="1299,29">
            <v:group style="position:absolute;left:9868;top:-186;width:1290;height:2" coordorigin="9868,-186" coordsize="1290,2">
              <v:shape style="position:absolute;left:9868;top:-186;width:1290;height:2" coordorigin="9868,-186" coordsize="1290,0" path="m9868,-186l11157,-186e" filled="false" stroked="true" strokeweight=".47998pt" strokecolor="#000000">
                <v:path arrowok="t"/>
              </v:shape>
            </v:group>
            <v:group style="position:absolute;left:9868;top:-205;width:1290;height:2" coordorigin="9868,-205" coordsize="1290,2">
              <v:shape style="position:absolute;left:9868;top:-205;width:1290;height:2" coordorigin="9868,-205" coordsize="1290,0" path="m9868,-205l11157,-205e" filled="false" stroked="true" strokeweight=".48001pt" strokecolor="#000000">
                <v:path arrowok="t"/>
              </v:shape>
            </v:group>
            <w10:wrap type="none"/>
          </v:group>
        </w:pict>
      </w:r>
      <w:r>
        <w:rPr>
          <w:rFonts w:ascii="Arial" w:hAnsi="Arial" w:cs="Arial" w:eastAsia="Arial" w:hint="default"/>
        </w:rPr>
        <w:t>(c)</w:t>
      </w:r>
      <w:r>
        <w:rPr>
          <w:rFonts w:ascii="Arial" w:hAnsi="Arial" w:cs="Arial" w:eastAsia="Arial" w:hint="default"/>
          <w:spacing w:val="60"/>
        </w:rPr>
        <w:t> </w:t>
      </w:r>
      <w:r>
        <w:rPr/>
        <w:t>于</w:t>
      </w:r>
      <w:r>
        <w:rPr>
          <w:spacing w:val="-56"/>
        </w:rPr>
        <w:t> </w:t>
      </w:r>
      <w:r>
        <w:rPr>
          <w:rFonts w:ascii="Arial" w:hAnsi="Arial" w:cs="Arial" w:eastAsia="Arial" w:hint="default"/>
        </w:rPr>
        <w:t>2014</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日，无单项金额重大并单独计提坏账准备的其他应收款。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before="77"/>
        <w:ind w:left="7687" w:right="8266" w:firstLine="0"/>
        <w:jc w:val="center"/>
        <w:rPr>
          <w:rFonts w:ascii="Arial" w:hAnsi="Arial" w:cs="Arial" w:eastAsia="Arial" w:hint="default"/>
          <w:sz w:val="18"/>
          <w:szCs w:val="18"/>
        </w:rPr>
      </w:pPr>
      <w:r>
        <w:rPr>
          <w:rFonts w:ascii="Arial"/>
          <w:sz w:val="18"/>
        </w:rPr>
        <w:t>94</w:t>
      </w:r>
    </w:p>
    <w:p>
      <w:pPr>
        <w:spacing w:after="0"/>
        <w:jc w:val="center"/>
        <w:rPr>
          <w:rFonts w:ascii="Arial" w:hAnsi="Arial" w:cs="Arial" w:eastAsia="Arial" w:hint="default"/>
          <w:sz w:val="18"/>
          <w:szCs w:val="18"/>
        </w:rPr>
        <w:sectPr>
          <w:headerReference w:type="default" r:id="rId73"/>
          <w:footerReference w:type="default" r:id="rId74"/>
          <w:pgSz w:w="16840" w:h="11910" w:orient="landscape"/>
          <w:pgMar w:header="0" w:footer="0" w:top="1100" w:bottom="280" w:left="180" w:right="460"/>
        </w:sectPr>
      </w:pPr>
    </w:p>
    <w:p>
      <w:pPr>
        <w:spacing w:line="240" w:lineRule="auto" w:before="1"/>
        <w:rPr>
          <w:rFonts w:ascii="Arial" w:hAnsi="Arial" w:cs="Arial" w:eastAsia="Arial" w:hint="default"/>
          <w:sz w:val="19"/>
          <w:szCs w:val="19"/>
        </w:rPr>
      </w:pPr>
    </w:p>
    <w:p>
      <w:pPr>
        <w:pStyle w:val="BodyText"/>
        <w:spacing w:line="240" w:lineRule="auto" w:before="32"/>
        <w:ind w:left="122" w:right="0"/>
        <w:jc w:val="left"/>
      </w:pPr>
      <w:r>
        <w:rPr>
          <w:rFonts w:ascii="Arial" w:hAnsi="Arial" w:cs="Arial" w:eastAsia="Arial" w:hint="default"/>
        </w:rPr>
        <w:t>4</w:t>
      </w:r>
      <w:r>
        <w:rPr/>
        <w:t>、</w:t>
      </w:r>
      <w:r>
        <w:rPr>
          <w:spacing w:val="-35"/>
        </w:rPr>
        <w:t> </w:t>
      </w:r>
      <w:r>
        <w:rPr/>
        <w:t>其他应收款（续）</w:t>
      </w:r>
    </w:p>
    <w:p>
      <w:pPr>
        <w:spacing w:line="240" w:lineRule="auto" w:before="12"/>
        <w:rPr>
          <w:rFonts w:ascii="宋体" w:hAnsi="宋体" w:cs="宋体" w:eastAsia="宋体" w:hint="default"/>
          <w:sz w:val="17"/>
          <w:szCs w:val="17"/>
        </w:rPr>
      </w:pPr>
    </w:p>
    <w:p>
      <w:pPr>
        <w:pStyle w:val="BodyText"/>
        <w:spacing w:line="240" w:lineRule="auto"/>
        <w:ind w:left="122" w:right="0"/>
        <w:jc w:val="left"/>
      </w:pPr>
      <w:r>
        <w:rPr>
          <w:rFonts w:ascii="Arial" w:hAnsi="Arial" w:cs="Arial" w:eastAsia="Arial" w:hint="default"/>
        </w:rPr>
        <w:t>(d) </w:t>
      </w:r>
      <w:r>
        <w:rPr>
          <w:rFonts w:ascii="Arial" w:hAnsi="Arial" w:cs="Arial" w:eastAsia="Arial" w:hint="default"/>
          <w:spacing w:val="22"/>
        </w:rPr>
        <w:t> </w:t>
      </w:r>
      <w:r>
        <w:rPr/>
        <w:t>组合中，按账龄分析法计提坏账准备的其他应收款：</w:t>
      </w:r>
    </w:p>
    <w:p>
      <w:pPr>
        <w:spacing w:line="240" w:lineRule="auto" w:before="10"/>
        <w:rPr>
          <w:rFonts w:ascii="宋体" w:hAnsi="宋体" w:cs="宋体" w:eastAsia="宋体" w:hint="default"/>
          <w:sz w:val="22"/>
          <w:szCs w:val="22"/>
        </w:rPr>
      </w:pPr>
    </w:p>
    <w:tbl>
      <w:tblPr>
        <w:tblW w:w="0" w:type="auto"/>
        <w:jc w:val="left"/>
        <w:tblInd w:w="383" w:type="dxa"/>
        <w:tblLayout w:type="fixed"/>
        <w:tblCellMar>
          <w:top w:w="0" w:type="dxa"/>
          <w:left w:w="0" w:type="dxa"/>
          <w:bottom w:w="0" w:type="dxa"/>
          <w:right w:w="0" w:type="dxa"/>
        </w:tblCellMar>
        <w:tblLook w:val="01E0"/>
      </w:tblPr>
      <w:tblGrid>
        <w:gridCol w:w="1602"/>
        <w:gridCol w:w="2554"/>
        <w:gridCol w:w="226"/>
        <w:gridCol w:w="2120"/>
        <w:gridCol w:w="281"/>
        <w:gridCol w:w="1827"/>
      </w:tblGrid>
      <w:tr>
        <w:trPr>
          <w:trHeight w:val="215" w:hRule="exact"/>
        </w:trPr>
        <w:tc>
          <w:tcPr>
            <w:tcW w:w="8609" w:type="dxa"/>
            <w:gridSpan w:val="6"/>
            <w:tcBorders>
              <w:top w:val="nil" w:sz="6" w:space="0" w:color="auto"/>
              <w:left w:val="nil" w:sz="6" w:space="0" w:color="auto"/>
              <w:bottom w:val="nil" w:sz="6" w:space="0" w:color="auto"/>
              <w:right w:val="nil" w:sz="6" w:space="0" w:color="auto"/>
            </w:tcBorders>
          </w:tcPr>
          <w:p>
            <w:pPr>
              <w:pStyle w:val="TableParagraph"/>
              <w:spacing w:line="193" w:lineRule="exact"/>
              <w:ind w:left="4318"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242" w:hRule="exact"/>
        </w:trPr>
        <w:tc>
          <w:tcPr>
            <w:tcW w:w="1602" w:type="dxa"/>
            <w:tcBorders>
              <w:top w:val="nil" w:sz="6" w:space="0" w:color="auto"/>
              <w:left w:val="nil" w:sz="6" w:space="0" w:color="auto"/>
              <w:bottom w:val="nil" w:sz="6" w:space="0" w:color="auto"/>
              <w:right w:val="nil" w:sz="6" w:space="0" w:color="auto"/>
            </w:tcBorders>
          </w:tcPr>
          <w:p>
            <w:pPr/>
          </w:p>
        </w:tc>
        <w:tc>
          <w:tcPr>
            <w:tcW w:w="2554"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6" w:type="dxa"/>
            <w:tcBorders>
              <w:top w:val="single" w:sz="4" w:space="0" w:color="000000"/>
              <w:left w:val="nil" w:sz="6" w:space="0" w:color="auto"/>
              <w:bottom w:val="nil" w:sz="6" w:space="0" w:color="auto"/>
              <w:right w:val="nil" w:sz="6" w:space="0" w:color="auto"/>
            </w:tcBorders>
          </w:tcPr>
          <w:p>
            <w:pPr/>
          </w:p>
        </w:tc>
        <w:tc>
          <w:tcPr>
            <w:tcW w:w="2120"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7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81" w:type="dxa"/>
            <w:tcBorders>
              <w:top w:val="single" w:sz="4" w:space="0" w:color="000000"/>
              <w:left w:val="nil" w:sz="6" w:space="0" w:color="auto"/>
              <w:bottom w:val="nil" w:sz="6" w:space="0" w:color="auto"/>
              <w:right w:val="nil" w:sz="6" w:space="0" w:color="auto"/>
            </w:tcBorders>
          </w:tcPr>
          <w:p>
            <w:pPr/>
          </w:p>
        </w:tc>
        <w:tc>
          <w:tcPr>
            <w:tcW w:w="1827" w:type="dxa"/>
            <w:tcBorders>
              <w:top w:val="single" w:sz="4" w:space="0" w:color="000000"/>
              <w:left w:val="nil" w:sz="6" w:space="0" w:color="auto"/>
              <w:bottom w:val="single" w:sz="4" w:space="0" w:color="000000"/>
              <w:right w:val="nil" w:sz="6" w:space="0" w:color="auto"/>
            </w:tcBorders>
          </w:tcPr>
          <w:p>
            <w:pPr>
              <w:pStyle w:val="TableParagraph"/>
              <w:spacing w:line="218" w:lineRule="exact"/>
              <w:ind w:left="29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r>
              <w:rPr>
                <w:rFonts w:ascii="宋体" w:hAnsi="宋体" w:cs="宋体" w:eastAsia="宋体" w:hint="default"/>
                <w:sz w:val="18"/>
                <w:szCs w:val="18"/>
              </w:rPr>
              <w:t>）</w:t>
            </w:r>
          </w:p>
        </w:tc>
      </w:tr>
      <w:tr>
        <w:trPr>
          <w:trHeight w:val="456" w:hRule="exact"/>
        </w:trPr>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00"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255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4"/>
              <w:jc w:val="right"/>
              <w:rPr>
                <w:rFonts w:ascii="Arial" w:hAnsi="Arial" w:cs="Arial" w:eastAsia="Arial" w:hint="default"/>
                <w:sz w:val="18"/>
                <w:szCs w:val="18"/>
              </w:rPr>
            </w:pPr>
            <w:r>
              <w:rPr>
                <w:rFonts w:ascii="Arial"/>
                <w:spacing w:val="-1"/>
                <w:sz w:val="18"/>
              </w:rPr>
              <w:t>4,911,967,980</w:t>
            </w:r>
          </w:p>
        </w:tc>
        <w:tc>
          <w:tcPr>
            <w:tcW w:w="226" w:type="dxa"/>
            <w:tcBorders>
              <w:top w:val="nil" w:sz="6" w:space="0" w:color="auto"/>
              <w:left w:val="nil" w:sz="6" w:space="0" w:color="auto"/>
              <w:bottom w:val="nil" w:sz="6" w:space="0" w:color="auto"/>
              <w:right w:val="nil" w:sz="6" w:space="0" w:color="auto"/>
            </w:tcBorders>
          </w:tcPr>
          <w:p>
            <w:pPr/>
          </w:p>
        </w:tc>
        <w:tc>
          <w:tcPr>
            <w:tcW w:w="212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2"/>
              <w:jc w:val="right"/>
              <w:rPr>
                <w:rFonts w:ascii="Arial" w:hAnsi="Arial" w:cs="Arial" w:eastAsia="Arial" w:hint="default"/>
                <w:sz w:val="18"/>
                <w:szCs w:val="18"/>
              </w:rPr>
            </w:pPr>
            <w:r>
              <w:rPr>
                <w:rFonts w:ascii="Arial"/>
                <w:spacing w:val="-1"/>
                <w:sz w:val="18"/>
              </w:rPr>
              <w:t>(130,141,158)</w:t>
            </w:r>
          </w:p>
        </w:tc>
        <w:tc>
          <w:tcPr>
            <w:tcW w:w="281" w:type="dxa"/>
            <w:tcBorders>
              <w:top w:val="nil" w:sz="6" w:space="0" w:color="auto"/>
              <w:left w:val="nil" w:sz="6" w:space="0" w:color="auto"/>
              <w:bottom w:val="nil" w:sz="6" w:space="0" w:color="auto"/>
              <w:right w:val="nil" w:sz="6" w:space="0" w:color="auto"/>
            </w:tcBorders>
          </w:tcPr>
          <w:p>
            <w:pPr/>
          </w:p>
        </w:tc>
        <w:tc>
          <w:tcPr>
            <w:tcW w:w="182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2"/>
              <w:jc w:val="right"/>
              <w:rPr>
                <w:rFonts w:ascii="Arial" w:hAnsi="Arial" w:cs="Arial" w:eastAsia="Arial" w:hint="default"/>
                <w:sz w:val="18"/>
                <w:szCs w:val="18"/>
              </w:rPr>
            </w:pPr>
            <w:r>
              <w:rPr>
                <w:rFonts w:ascii="Arial"/>
                <w:sz w:val="18"/>
              </w:rPr>
              <w:t>0~10</w:t>
            </w:r>
          </w:p>
        </w:tc>
      </w:tr>
      <w:tr>
        <w:trPr>
          <w:trHeight w:val="234" w:hRule="exact"/>
        </w:trPr>
        <w:tc>
          <w:tcPr>
            <w:tcW w:w="1602" w:type="dxa"/>
            <w:tcBorders>
              <w:top w:val="nil" w:sz="6" w:space="0" w:color="auto"/>
              <w:left w:val="nil" w:sz="6" w:space="0" w:color="auto"/>
              <w:bottom w:val="nil" w:sz="6" w:space="0" w:color="auto"/>
              <w:right w:val="nil" w:sz="6" w:space="0" w:color="auto"/>
            </w:tcBorders>
          </w:tcPr>
          <w:p>
            <w:pPr>
              <w:pStyle w:val="TableParagraph"/>
              <w:spacing w:line="209" w:lineRule="exact"/>
              <w:ind w:left="200"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年</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
              <w:jc w:val="right"/>
              <w:rPr>
                <w:rFonts w:ascii="Arial" w:hAnsi="Arial" w:cs="Arial" w:eastAsia="Arial" w:hint="default"/>
                <w:sz w:val="18"/>
                <w:szCs w:val="18"/>
              </w:rPr>
            </w:pPr>
            <w:r>
              <w:rPr>
                <w:rFonts w:ascii="Arial"/>
                <w:spacing w:val="-1"/>
                <w:sz w:val="18"/>
              </w:rPr>
              <w:t>5,302,402</w:t>
            </w:r>
          </w:p>
        </w:tc>
        <w:tc>
          <w:tcPr>
            <w:tcW w:w="226"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2"/>
              <w:jc w:val="right"/>
              <w:rPr>
                <w:rFonts w:ascii="Arial" w:hAnsi="Arial" w:cs="Arial" w:eastAsia="Arial" w:hint="default"/>
                <w:sz w:val="18"/>
                <w:szCs w:val="18"/>
              </w:rPr>
            </w:pPr>
            <w:r>
              <w:rPr>
                <w:rFonts w:ascii="Arial"/>
                <w:spacing w:val="-1"/>
                <w:sz w:val="18"/>
              </w:rPr>
              <w:t>(1,060,480)</w:t>
            </w:r>
          </w:p>
        </w:tc>
        <w:tc>
          <w:tcPr>
            <w:tcW w:w="281" w:type="dxa"/>
            <w:tcBorders>
              <w:top w:val="nil" w:sz="6" w:space="0" w:color="auto"/>
              <w:left w:val="nil" w:sz="6" w:space="0" w:color="auto"/>
              <w:bottom w:val="nil" w:sz="6" w:space="0" w:color="auto"/>
              <w:right w:val="nil" w:sz="6" w:space="0" w:color="auto"/>
            </w:tcBorders>
          </w:tcPr>
          <w:p>
            <w:pP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1"/>
              <w:jc w:val="right"/>
              <w:rPr>
                <w:rFonts w:ascii="Arial" w:hAnsi="Arial" w:cs="Arial" w:eastAsia="Arial" w:hint="default"/>
                <w:sz w:val="18"/>
                <w:szCs w:val="18"/>
              </w:rPr>
            </w:pPr>
            <w:r>
              <w:rPr>
                <w:rFonts w:ascii="Arial"/>
                <w:w w:val="95"/>
                <w:sz w:val="18"/>
              </w:rPr>
              <w:t>20</w:t>
            </w:r>
            <w:r>
              <w:rPr>
                <w:rFonts w:ascii="Arial"/>
                <w:sz w:val="18"/>
              </w:rPr>
            </w:r>
          </w:p>
        </w:tc>
      </w:tr>
      <w:tr>
        <w:trPr>
          <w:trHeight w:val="233" w:hRule="exact"/>
        </w:trPr>
        <w:tc>
          <w:tcPr>
            <w:tcW w:w="1602" w:type="dxa"/>
            <w:tcBorders>
              <w:top w:val="nil" w:sz="6" w:space="0" w:color="auto"/>
              <w:left w:val="nil" w:sz="6" w:space="0" w:color="auto"/>
              <w:bottom w:val="nil" w:sz="6" w:space="0" w:color="auto"/>
              <w:right w:val="nil" w:sz="6" w:space="0" w:color="auto"/>
            </w:tcBorders>
          </w:tcPr>
          <w:p>
            <w:pPr>
              <w:pStyle w:val="TableParagraph"/>
              <w:spacing w:line="208" w:lineRule="exact"/>
              <w:ind w:left="200"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6"/>
                <w:sz w:val="18"/>
                <w:szCs w:val="18"/>
              </w:rPr>
              <w:t> </w:t>
            </w:r>
            <w:r>
              <w:rPr>
                <w:rFonts w:ascii="宋体" w:hAnsi="宋体" w:cs="宋体" w:eastAsia="宋体" w:hint="default"/>
                <w:sz w:val="18"/>
                <w:szCs w:val="18"/>
              </w:rPr>
              <w:t>年</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
              <w:jc w:val="right"/>
              <w:rPr>
                <w:rFonts w:ascii="Arial" w:hAnsi="Arial" w:cs="Arial" w:eastAsia="Arial" w:hint="default"/>
                <w:sz w:val="18"/>
                <w:szCs w:val="18"/>
              </w:rPr>
            </w:pPr>
            <w:r>
              <w:rPr>
                <w:rFonts w:ascii="Arial"/>
                <w:spacing w:val="-1"/>
                <w:sz w:val="18"/>
              </w:rPr>
              <w:t>4,793,620</w:t>
            </w:r>
          </w:p>
        </w:tc>
        <w:tc>
          <w:tcPr>
            <w:tcW w:w="226"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2"/>
              <w:jc w:val="right"/>
              <w:rPr>
                <w:rFonts w:ascii="Arial" w:hAnsi="Arial" w:cs="Arial" w:eastAsia="Arial" w:hint="default"/>
                <w:sz w:val="18"/>
                <w:szCs w:val="18"/>
              </w:rPr>
            </w:pPr>
            <w:r>
              <w:rPr>
                <w:rFonts w:ascii="Arial"/>
                <w:spacing w:val="-1"/>
                <w:sz w:val="18"/>
              </w:rPr>
              <w:t>(2,396,829)</w:t>
            </w:r>
          </w:p>
        </w:tc>
        <w:tc>
          <w:tcPr>
            <w:tcW w:w="281" w:type="dxa"/>
            <w:tcBorders>
              <w:top w:val="nil" w:sz="6" w:space="0" w:color="auto"/>
              <w:left w:val="nil" w:sz="6" w:space="0" w:color="auto"/>
              <w:bottom w:val="nil" w:sz="6" w:space="0" w:color="auto"/>
              <w:right w:val="nil" w:sz="6" w:space="0" w:color="auto"/>
            </w:tcBorders>
          </w:tcPr>
          <w:p>
            <w:pP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1"/>
              <w:jc w:val="right"/>
              <w:rPr>
                <w:rFonts w:ascii="Arial" w:hAnsi="Arial" w:cs="Arial" w:eastAsia="Arial" w:hint="default"/>
                <w:sz w:val="18"/>
                <w:szCs w:val="18"/>
              </w:rPr>
            </w:pPr>
            <w:r>
              <w:rPr>
                <w:rFonts w:ascii="Arial"/>
                <w:w w:val="95"/>
                <w:sz w:val="18"/>
              </w:rPr>
              <w:t>50</w:t>
            </w:r>
            <w:r>
              <w:rPr>
                <w:rFonts w:ascii="Arial"/>
                <w:sz w:val="18"/>
              </w:rPr>
            </w:r>
          </w:p>
        </w:tc>
      </w:tr>
      <w:tr>
        <w:trPr>
          <w:trHeight w:val="233" w:hRule="exact"/>
        </w:trPr>
        <w:tc>
          <w:tcPr>
            <w:tcW w:w="1602" w:type="dxa"/>
            <w:tcBorders>
              <w:top w:val="nil" w:sz="6" w:space="0" w:color="auto"/>
              <w:left w:val="nil" w:sz="6" w:space="0" w:color="auto"/>
              <w:bottom w:val="nil" w:sz="6" w:space="0" w:color="auto"/>
              <w:right w:val="nil" w:sz="6" w:space="0" w:color="auto"/>
            </w:tcBorders>
          </w:tcPr>
          <w:p>
            <w:pPr>
              <w:pStyle w:val="TableParagraph"/>
              <w:spacing w:line="208" w:lineRule="exact"/>
              <w:ind w:left="200" w:right="0"/>
              <w:jc w:val="left"/>
              <w:rPr>
                <w:rFonts w:ascii="宋体" w:hAnsi="宋体" w:cs="宋体" w:eastAsia="宋体" w:hint="default"/>
                <w:sz w:val="18"/>
                <w:szCs w:val="18"/>
              </w:rPr>
            </w:pPr>
            <w:r>
              <w:rPr>
                <w:rFonts w:ascii="Arial" w:hAnsi="Arial" w:cs="Arial" w:eastAsia="Arial" w:hint="default"/>
                <w:sz w:val="18"/>
                <w:szCs w:val="18"/>
              </w:rPr>
              <w:t>3-4</w:t>
            </w:r>
            <w:r>
              <w:rPr>
                <w:rFonts w:ascii="Arial" w:hAnsi="Arial" w:cs="Arial" w:eastAsia="Arial" w:hint="default"/>
                <w:spacing w:val="-6"/>
                <w:sz w:val="18"/>
                <w:szCs w:val="18"/>
              </w:rPr>
              <w:t> </w:t>
            </w:r>
            <w:r>
              <w:rPr>
                <w:rFonts w:ascii="宋体" w:hAnsi="宋体" w:cs="宋体" w:eastAsia="宋体" w:hint="default"/>
                <w:sz w:val="18"/>
                <w:szCs w:val="18"/>
              </w:rPr>
              <w:t>年</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
              <w:jc w:val="right"/>
              <w:rPr>
                <w:rFonts w:ascii="Arial" w:hAnsi="Arial" w:cs="Arial" w:eastAsia="Arial" w:hint="default"/>
                <w:sz w:val="18"/>
                <w:szCs w:val="18"/>
              </w:rPr>
            </w:pPr>
            <w:r>
              <w:rPr>
                <w:rFonts w:ascii="Arial"/>
                <w:spacing w:val="-1"/>
                <w:sz w:val="18"/>
              </w:rPr>
              <w:t>7,557,105</w:t>
            </w:r>
          </w:p>
        </w:tc>
        <w:tc>
          <w:tcPr>
            <w:tcW w:w="226"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2"/>
              <w:jc w:val="right"/>
              <w:rPr>
                <w:rFonts w:ascii="Arial" w:hAnsi="Arial" w:cs="Arial" w:eastAsia="Arial" w:hint="default"/>
                <w:sz w:val="18"/>
                <w:szCs w:val="18"/>
              </w:rPr>
            </w:pPr>
            <w:r>
              <w:rPr>
                <w:rFonts w:ascii="Arial"/>
                <w:spacing w:val="-1"/>
                <w:sz w:val="18"/>
              </w:rPr>
              <w:t>(7,557,105)</w:t>
            </w:r>
          </w:p>
        </w:tc>
        <w:tc>
          <w:tcPr>
            <w:tcW w:w="281" w:type="dxa"/>
            <w:tcBorders>
              <w:top w:val="nil" w:sz="6" w:space="0" w:color="auto"/>
              <w:left w:val="nil" w:sz="6" w:space="0" w:color="auto"/>
              <w:bottom w:val="nil" w:sz="6" w:space="0" w:color="auto"/>
              <w:right w:val="nil" w:sz="6" w:space="0" w:color="auto"/>
            </w:tcBorders>
          </w:tcPr>
          <w:p>
            <w:pP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1"/>
              <w:jc w:val="right"/>
              <w:rPr>
                <w:rFonts w:ascii="Arial" w:hAnsi="Arial" w:cs="Arial" w:eastAsia="Arial" w:hint="default"/>
                <w:sz w:val="18"/>
                <w:szCs w:val="18"/>
              </w:rPr>
            </w:pPr>
            <w:r>
              <w:rPr>
                <w:rFonts w:ascii="Arial"/>
                <w:w w:val="95"/>
                <w:sz w:val="18"/>
              </w:rPr>
              <w:t>100</w:t>
            </w:r>
            <w:r>
              <w:rPr>
                <w:rFonts w:ascii="Arial"/>
                <w:sz w:val="18"/>
              </w:rPr>
            </w:r>
          </w:p>
        </w:tc>
      </w:tr>
      <w:tr>
        <w:trPr>
          <w:trHeight w:val="234" w:hRule="exact"/>
        </w:trPr>
        <w:tc>
          <w:tcPr>
            <w:tcW w:w="1602" w:type="dxa"/>
            <w:tcBorders>
              <w:top w:val="nil" w:sz="6" w:space="0" w:color="auto"/>
              <w:left w:val="nil" w:sz="6" w:space="0" w:color="auto"/>
              <w:bottom w:val="nil" w:sz="6" w:space="0" w:color="auto"/>
              <w:right w:val="nil" w:sz="6" w:space="0" w:color="auto"/>
            </w:tcBorders>
          </w:tcPr>
          <w:p>
            <w:pPr>
              <w:pStyle w:val="TableParagraph"/>
              <w:spacing w:line="208" w:lineRule="exact"/>
              <w:ind w:left="200" w:right="0"/>
              <w:jc w:val="left"/>
              <w:rPr>
                <w:rFonts w:ascii="宋体" w:hAnsi="宋体" w:cs="宋体" w:eastAsia="宋体" w:hint="default"/>
                <w:sz w:val="18"/>
                <w:szCs w:val="18"/>
              </w:rPr>
            </w:pPr>
            <w:r>
              <w:rPr>
                <w:rFonts w:ascii="Arial" w:hAnsi="Arial" w:cs="Arial" w:eastAsia="Arial" w:hint="default"/>
                <w:sz w:val="18"/>
                <w:szCs w:val="18"/>
              </w:rPr>
              <w:t>4-5</w:t>
            </w:r>
            <w:r>
              <w:rPr>
                <w:rFonts w:ascii="Arial" w:hAnsi="Arial" w:cs="Arial" w:eastAsia="Arial" w:hint="default"/>
                <w:spacing w:val="-6"/>
                <w:sz w:val="18"/>
                <w:szCs w:val="18"/>
              </w:rPr>
              <w:t> </w:t>
            </w:r>
            <w:r>
              <w:rPr>
                <w:rFonts w:ascii="宋体" w:hAnsi="宋体" w:cs="宋体" w:eastAsia="宋体" w:hint="default"/>
                <w:sz w:val="18"/>
                <w:szCs w:val="18"/>
              </w:rPr>
              <w:t>年</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
              <w:jc w:val="right"/>
              <w:rPr>
                <w:rFonts w:ascii="Arial" w:hAnsi="Arial" w:cs="Arial" w:eastAsia="Arial" w:hint="default"/>
                <w:sz w:val="18"/>
                <w:szCs w:val="18"/>
              </w:rPr>
            </w:pPr>
            <w:r>
              <w:rPr>
                <w:rFonts w:ascii="Arial"/>
                <w:spacing w:val="-1"/>
                <w:sz w:val="18"/>
              </w:rPr>
              <w:t>20,021,419</w:t>
            </w:r>
          </w:p>
        </w:tc>
        <w:tc>
          <w:tcPr>
            <w:tcW w:w="226"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2"/>
              <w:jc w:val="right"/>
              <w:rPr>
                <w:rFonts w:ascii="Arial" w:hAnsi="Arial" w:cs="Arial" w:eastAsia="Arial" w:hint="default"/>
                <w:sz w:val="18"/>
                <w:szCs w:val="18"/>
              </w:rPr>
            </w:pPr>
            <w:r>
              <w:rPr>
                <w:rFonts w:ascii="Arial"/>
                <w:spacing w:val="-1"/>
                <w:sz w:val="18"/>
              </w:rPr>
              <w:t>(20,021,419)</w:t>
            </w:r>
          </w:p>
        </w:tc>
        <w:tc>
          <w:tcPr>
            <w:tcW w:w="281" w:type="dxa"/>
            <w:tcBorders>
              <w:top w:val="nil" w:sz="6" w:space="0" w:color="auto"/>
              <w:left w:val="nil" w:sz="6" w:space="0" w:color="auto"/>
              <w:bottom w:val="nil" w:sz="6" w:space="0" w:color="auto"/>
              <w:right w:val="nil" w:sz="6" w:space="0" w:color="auto"/>
            </w:tcBorders>
          </w:tcPr>
          <w:p>
            <w:pP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1"/>
              <w:jc w:val="right"/>
              <w:rPr>
                <w:rFonts w:ascii="Arial" w:hAnsi="Arial" w:cs="Arial" w:eastAsia="Arial" w:hint="default"/>
                <w:sz w:val="18"/>
                <w:szCs w:val="18"/>
              </w:rPr>
            </w:pPr>
            <w:r>
              <w:rPr>
                <w:rFonts w:ascii="Arial"/>
                <w:w w:val="95"/>
                <w:sz w:val="18"/>
              </w:rPr>
              <w:t>100</w:t>
            </w:r>
            <w:r>
              <w:rPr>
                <w:rFonts w:ascii="Arial"/>
                <w:sz w:val="18"/>
              </w:rPr>
            </w:r>
          </w:p>
        </w:tc>
      </w:tr>
      <w:tr>
        <w:trPr>
          <w:trHeight w:val="342" w:hRule="exact"/>
        </w:trPr>
        <w:tc>
          <w:tcPr>
            <w:tcW w:w="1602" w:type="dxa"/>
            <w:tcBorders>
              <w:top w:val="nil" w:sz="6" w:space="0" w:color="auto"/>
              <w:left w:val="nil" w:sz="6" w:space="0" w:color="auto"/>
              <w:bottom w:val="nil" w:sz="6" w:space="0" w:color="auto"/>
              <w:right w:val="nil" w:sz="6" w:space="0" w:color="auto"/>
            </w:tcBorders>
          </w:tcPr>
          <w:p>
            <w:pPr>
              <w:pStyle w:val="TableParagraph"/>
              <w:spacing w:line="209" w:lineRule="exact"/>
              <w:ind w:left="200"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554" w:type="dxa"/>
            <w:tcBorders>
              <w:top w:val="nil" w:sz="6" w:space="0" w:color="auto"/>
              <w:left w:val="nil" w:sz="6" w:space="0" w:color="auto"/>
              <w:bottom w:val="nil" w:sz="6" w:space="0" w:color="auto"/>
              <w:right w:val="nil" w:sz="6" w:space="0" w:color="auto"/>
            </w:tcBorders>
          </w:tcPr>
          <w:p>
            <w:pPr>
              <w:pStyle w:val="TableParagraph"/>
              <w:tabs>
                <w:tab w:pos="1526" w:val="left" w:leader="none"/>
              </w:tabs>
              <w:spacing w:line="240" w:lineRule="auto" w:before="16"/>
              <w:ind w:right="2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133,837,396</w:t>
            </w:r>
            <w:r>
              <w:rPr>
                <w:rFonts w:ascii="Arial"/>
                <w:spacing w:val="-1"/>
                <w:sz w:val="18"/>
              </w:rPr>
            </w:r>
          </w:p>
        </w:tc>
        <w:tc>
          <w:tcPr>
            <w:tcW w:w="226"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tabs>
                <w:tab w:pos="953" w:val="left" w:leader="none"/>
              </w:tabs>
              <w:spacing w:line="240" w:lineRule="auto" w:before="16"/>
              <w:ind w:right="3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(133,837,396)</w:t>
            </w:r>
            <w:r>
              <w:rPr>
                <w:rFonts w:ascii="Arial"/>
                <w:spacing w:val="-1"/>
                <w:sz w:val="18"/>
              </w:rPr>
            </w:r>
          </w:p>
        </w:tc>
        <w:tc>
          <w:tcPr>
            <w:tcW w:w="281" w:type="dxa"/>
            <w:tcBorders>
              <w:top w:val="nil" w:sz="6" w:space="0" w:color="auto"/>
              <w:left w:val="nil" w:sz="6" w:space="0" w:color="auto"/>
              <w:bottom w:val="nil" w:sz="6" w:space="0" w:color="auto"/>
              <w:right w:val="nil" w:sz="6" w:space="0" w:color="auto"/>
            </w:tcBorders>
          </w:tcPr>
          <w:p>
            <w:pPr/>
          </w:p>
        </w:tc>
        <w:tc>
          <w:tcPr>
            <w:tcW w:w="1827" w:type="dxa"/>
            <w:tcBorders>
              <w:top w:val="nil" w:sz="6" w:space="0" w:color="auto"/>
              <w:left w:val="nil" w:sz="6" w:space="0" w:color="auto"/>
              <w:bottom w:val="nil" w:sz="6" w:space="0" w:color="auto"/>
              <w:right w:val="nil" w:sz="6" w:space="0" w:color="auto"/>
            </w:tcBorders>
          </w:tcPr>
          <w:p>
            <w:pPr>
              <w:pStyle w:val="TableParagraph"/>
              <w:tabs>
                <w:tab w:pos="1481" w:val="left" w:leader="none"/>
              </w:tabs>
              <w:spacing w:line="240" w:lineRule="auto" w:before="16"/>
              <w:ind w:right="3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w w:val="95"/>
                <w:sz w:val="18"/>
                <w:u w:val="single" w:color="000000"/>
              </w:rPr>
              <w:t>100</w:t>
            </w:r>
            <w:r>
              <w:rPr>
                <w:rFonts w:ascii="Arial"/>
                <w:w w:val="95"/>
                <w:sz w:val="18"/>
              </w:rPr>
            </w:r>
            <w:r>
              <w:rPr>
                <w:rFonts w:ascii="Arial"/>
                <w:sz w:val="18"/>
              </w:rPr>
            </w:r>
          </w:p>
        </w:tc>
      </w:tr>
      <w:tr>
        <w:trPr>
          <w:trHeight w:val="347" w:hRule="exact"/>
        </w:trPr>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54" w:type="dxa"/>
            <w:tcBorders>
              <w:top w:val="nil" w:sz="6" w:space="0" w:color="auto"/>
              <w:left w:val="nil" w:sz="6" w:space="0" w:color="auto"/>
              <w:bottom w:val="single" w:sz="12" w:space="0" w:color="000000"/>
              <w:right w:val="nil" w:sz="6" w:space="0" w:color="auto"/>
            </w:tcBorders>
          </w:tcPr>
          <w:p>
            <w:pPr>
              <w:pStyle w:val="TableParagraph"/>
              <w:spacing w:line="240" w:lineRule="auto" w:before="123"/>
              <w:ind w:right="24"/>
              <w:jc w:val="right"/>
              <w:rPr>
                <w:rFonts w:ascii="Arial" w:hAnsi="Arial" w:cs="Arial" w:eastAsia="Arial" w:hint="default"/>
                <w:sz w:val="18"/>
                <w:szCs w:val="18"/>
              </w:rPr>
            </w:pPr>
            <w:r>
              <w:rPr>
                <w:rFonts w:ascii="Arial"/>
                <w:spacing w:val="-1"/>
                <w:sz w:val="18"/>
              </w:rPr>
              <w:t>5,083,479,922</w:t>
            </w:r>
          </w:p>
        </w:tc>
        <w:tc>
          <w:tcPr>
            <w:tcW w:w="226"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single" w:sz="12" w:space="0" w:color="000000"/>
              <w:right w:val="nil" w:sz="6" w:space="0" w:color="auto"/>
            </w:tcBorders>
          </w:tcPr>
          <w:p>
            <w:pPr>
              <w:pStyle w:val="TableParagraph"/>
              <w:spacing w:line="240" w:lineRule="auto" w:before="123"/>
              <w:ind w:right="35"/>
              <w:jc w:val="right"/>
              <w:rPr>
                <w:rFonts w:ascii="Arial" w:hAnsi="Arial" w:cs="Arial" w:eastAsia="Arial" w:hint="default"/>
                <w:sz w:val="18"/>
                <w:szCs w:val="18"/>
              </w:rPr>
            </w:pPr>
            <w:r>
              <w:rPr>
                <w:rFonts w:ascii="Arial"/>
                <w:spacing w:val="-1"/>
                <w:sz w:val="18"/>
              </w:rPr>
              <w:t>(295,014,387)</w:t>
            </w:r>
          </w:p>
        </w:tc>
        <w:tc>
          <w:tcPr>
            <w:tcW w:w="281" w:type="dxa"/>
            <w:tcBorders>
              <w:top w:val="nil" w:sz="6" w:space="0" w:color="auto"/>
              <w:left w:val="nil" w:sz="6" w:space="0" w:color="auto"/>
              <w:bottom w:val="nil" w:sz="6" w:space="0" w:color="auto"/>
              <w:right w:val="nil" w:sz="6" w:space="0" w:color="auto"/>
            </w:tcBorders>
          </w:tcPr>
          <w:p>
            <w:pPr/>
          </w:p>
        </w:tc>
        <w:tc>
          <w:tcPr>
            <w:tcW w:w="1827" w:type="dxa"/>
            <w:tcBorders>
              <w:top w:val="nil" w:sz="6" w:space="0" w:color="auto"/>
              <w:left w:val="nil" w:sz="6" w:space="0" w:color="auto"/>
              <w:bottom w:val="single" w:sz="12" w:space="0" w:color="000000"/>
              <w:right w:val="nil" w:sz="6" w:space="0" w:color="auto"/>
            </w:tcBorders>
          </w:tcPr>
          <w:p>
            <w:pPr>
              <w:pStyle w:val="TableParagraph"/>
              <w:spacing w:line="240" w:lineRule="auto" w:before="123"/>
              <w:ind w:right="32"/>
              <w:jc w:val="right"/>
              <w:rPr>
                <w:rFonts w:ascii="Arial" w:hAnsi="Arial" w:cs="Arial" w:eastAsia="Arial" w:hint="default"/>
                <w:sz w:val="18"/>
                <w:szCs w:val="18"/>
              </w:rPr>
            </w:pPr>
            <w:r>
              <w:rPr>
                <w:rFonts w:ascii="Arial"/>
                <w:sz w:val="18"/>
              </w:rPr>
              <w:t>0~100</w:t>
            </w:r>
          </w:p>
        </w:tc>
      </w:tr>
    </w:tbl>
    <w:p>
      <w:pPr>
        <w:spacing w:line="240" w:lineRule="auto" w:before="13"/>
        <w:rPr>
          <w:rFonts w:ascii="宋体" w:hAnsi="宋体" w:cs="宋体" w:eastAsia="宋体" w:hint="default"/>
          <w:sz w:val="13"/>
          <w:szCs w:val="13"/>
        </w:rPr>
      </w:pPr>
    </w:p>
    <w:p>
      <w:pPr>
        <w:pStyle w:val="BodyText"/>
        <w:spacing w:line="284" w:lineRule="exact" w:before="62"/>
        <w:ind w:left="571" w:right="0" w:hanging="464"/>
        <w:jc w:val="left"/>
      </w:pPr>
      <w:r>
        <w:rPr>
          <w:rFonts w:ascii="Arial" w:hAnsi="Arial" w:cs="Arial" w:eastAsia="Arial" w:hint="default"/>
        </w:rPr>
        <w:t>(e)</w:t>
      </w:r>
      <w:r>
        <w:rPr>
          <w:rFonts w:ascii="Arial" w:hAnsi="Arial" w:cs="Arial" w:eastAsia="Arial" w:hint="default"/>
          <w:spacing w:val="6"/>
        </w:rPr>
        <w:t> </w:t>
      </w:r>
      <w:r>
        <w:rPr>
          <w:rFonts w:ascii="Arial" w:hAnsi="Arial" w:cs="Arial" w:eastAsia="Arial" w:hint="default"/>
        </w:rPr>
        <w:t>2014</w:t>
      </w:r>
      <w:r>
        <w:rPr>
          <w:rFonts w:ascii="Arial" w:hAnsi="Arial" w:cs="Arial" w:eastAsia="Arial" w:hint="default"/>
          <w:spacing w:val="-8"/>
        </w:rPr>
        <w:t> </w:t>
      </w:r>
      <w:r>
        <w:rPr/>
        <w:t>年度，本集团计提坏账准备金额</w:t>
      </w:r>
      <w:r>
        <w:rPr>
          <w:spacing w:val="-56"/>
        </w:rPr>
        <w:t> </w:t>
      </w:r>
      <w:r>
        <w:rPr>
          <w:rFonts w:ascii="Arial" w:hAnsi="Arial" w:cs="Arial" w:eastAsia="Arial" w:hint="default"/>
        </w:rPr>
        <w:t>3.88</w:t>
      </w:r>
      <w:r>
        <w:rPr>
          <w:rFonts w:ascii="Arial" w:hAnsi="Arial" w:cs="Arial" w:eastAsia="Arial" w:hint="default"/>
          <w:spacing w:val="-8"/>
        </w:rPr>
        <w:t> </w:t>
      </w:r>
      <w:r>
        <w:rPr/>
        <w:t>亿元（</w:t>
      </w:r>
      <w:r>
        <w:rPr>
          <w:rFonts w:ascii="Arial" w:hAnsi="Arial" w:cs="Arial" w:eastAsia="Arial" w:hint="default"/>
        </w:rPr>
        <w:t>2013</w:t>
      </w:r>
      <w:r>
        <w:rPr>
          <w:rFonts w:ascii="Arial" w:hAnsi="Arial" w:cs="Arial" w:eastAsia="Arial" w:hint="default"/>
          <w:spacing w:val="-7"/>
        </w:rPr>
        <w:t> </w:t>
      </w:r>
      <w:r>
        <w:rPr/>
        <w:t>年度：</w:t>
      </w:r>
      <w:r>
        <w:rPr>
          <w:rFonts w:ascii="Arial" w:hAnsi="Arial" w:cs="Arial" w:eastAsia="Arial" w:hint="default"/>
        </w:rPr>
        <w:t>5.48</w:t>
      </w:r>
      <w:r>
        <w:rPr>
          <w:rFonts w:ascii="Arial" w:hAnsi="Arial" w:cs="Arial" w:eastAsia="Arial" w:hint="default"/>
          <w:spacing w:val="-10"/>
        </w:rPr>
        <w:t> </w:t>
      </w:r>
      <w:r>
        <w:rPr>
          <w:spacing w:val="-3"/>
        </w:rPr>
        <w:t>亿元），收回或转回坏账准</w:t>
      </w:r>
      <w:r>
        <w:rPr>
          <w:w w:val="100"/>
        </w:rPr>
        <w:t> </w:t>
      </w:r>
      <w:r>
        <w:rPr/>
        <w:t>备金额</w:t>
      </w:r>
      <w:r>
        <w:rPr>
          <w:spacing w:val="-56"/>
        </w:rPr>
        <w:t> </w:t>
      </w:r>
      <w:r>
        <w:rPr>
          <w:rFonts w:ascii="Arial" w:hAnsi="Arial" w:cs="Arial" w:eastAsia="Arial" w:hint="default"/>
        </w:rPr>
        <w:t>6,649</w:t>
      </w:r>
      <w:r>
        <w:rPr>
          <w:rFonts w:ascii="Arial" w:hAnsi="Arial" w:cs="Arial" w:eastAsia="Arial" w:hint="default"/>
          <w:spacing w:val="-8"/>
        </w:rPr>
        <w:t> </w:t>
      </w:r>
      <w:r>
        <w:rPr/>
        <w:t>万元（</w:t>
      </w:r>
      <w:r>
        <w:rPr>
          <w:rFonts w:ascii="Arial" w:hAnsi="Arial" w:cs="Arial" w:eastAsia="Arial" w:hint="default"/>
        </w:rPr>
        <w:t>2013</w:t>
      </w:r>
      <w:r>
        <w:rPr>
          <w:rFonts w:ascii="Arial" w:hAnsi="Arial" w:cs="Arial" w:eastAsia="Arial" w:hint="default"/>
          <w:spacing w:val="-7"/>
        </w:rPr>
        <w:t> </w:t>
      </w:r>
      <w:r>
        <w:rPr/>
        <w:t>年度：</w:t>
      </w:r>
      <w:r>
        <w:rPr>
          <w:rFonts w:ascii="Arial" w:hAnsi="Arial" w:cs="Arial" w:eastAsia="Arial" w:hint="default"/>
        </w:rPr>
        <w:t>142</w:t>
      </w:r>
      <w:r>
        <w:rPr>
          <w:rFonts w:ascii="Arial" w:hAnsi="Arial" w:cs="Arial" w:eastAsia="Arial" w:hint="default"/>
          <w:spacing w:val="-10"/>
        </w:rPr>
        <w:t> </w:t>
      </w:r>
      <w:r>
        <w:rPr/>
        <w:t>万元）。</w:t>
      </w:r>
    </w:p>
    <w:p>
      <w:pPr>
        <w:spacing w:line="240" w:lineRule="auto" w:before="4"/>
        <w:rPr>
          <w:rFonts w:ascii="宋体" w:hAnsi="宋体" w:cs="宋体" w:eastAsia="宋体" w:hint="default"/>
          <w:sz w:val="17"/>
          <w:szCs w:val="17"/>
        </w:rPr>
      </w:pPr>
    </w:p>
    <w:p>
      <w:pPr>
        <w:pStyle w:val="BodyText"/>
        <w:tabs>
          <w:tab w:pos="571" w:val="left" w:leader="none"/>
        </w:tabs>
        <w:spacing w:line="295" w:lineRule="exact"/>
        <w:ind w:left="122" w:right="0"/>
        <w:jc w:val="left"/>
      </w:pPr>
      <w:r>
        <w:rPr>
          <w:rFonts w:ascii="Arial" w:hAnsi="Arial" w:cs="Arial" w:eastAsia="Arial" w:hint="default"/>
        </w:rPr>
        <w:t>(f)</w:t>
        <w:tab/>
        <w:t>2014 </w:t>
      </w:r>
      <w:r>
        <w:rPr/>
        <w:t>年度，本集团对有确凿证据表明无法收回的约人民币 </w:t>
      </w:r>
      <w:r>
        <w:rPr>
          <w:rFonts w:ascii="Arial" w:hAnsi="Arial" w:cs="Arial" w:eastAsia="Arial" w:hint="default"/>
        </w:rPr>
        <w:t>0.59</w:t>
      </w:r>
      <w:r>
        <w:rPr>
          <w:rFonts w:ascii="Arial" w:hAnsi="Arial" w:cs="Arial" w:eastAsia="Arial" w:hint="default"/>
          <w:spacing w:val="-34"/>
        </w:rPr>
        <w:t> </w:t>
      </w:r>
      <w:r>
        <w:rPr/>
        <w:t>亿元的其他应收款进行了核销</w:t>
      </w:r>
    </w:p>
    <w:p>
      <w:pPr>
        <w:pStyle w:val="BodyText"/>
        <w:spacing w:line="284" w:lineRule="exact" w:before="20"/>
        <w:ind w:left="571" w:right="202"/>
        <w:jc w:val="left"/>
      </w:pPr>
      <w:r>
        <w:rPr/>
        <w:t>（</w:t>
      </w:r>
      <w:r>
        <w:rPr>
          <w:rFonts w:ascii="Arial" w:hAnsi="Arial" w:cs="Arial" w:eastAsia="Arial" w:hint="default"/>
        </w:rPr>
        <w:t>2013 </w:t>
      </w:r>
      <w:r>
        <w:rPr/>
        <w:t>年：约人民币 </w:t>
      </w:r>
      <w:r>
        <w:rPr>
          <w:rFonts w:ascii="Arial" w:hAnsi="Arial" w:cs="Arial" w:eastAsia="Arial" w:hint="default"/>
        </w:rPr>
        <w:t>4.55</w:t>
      </w:r>
      <w:r>
        <w:rPr>
          <w:rFonts w:ascii="Arial" w:hAnsi="Arial" w:cs="Arial" w:eastAsia="Arial" w:hint="default"/>
          <w:spacing w:val="-35"/>
        </w:rPr>
        <w:t> </w:t>
      </w:r>
      <w:r>
        <w:rPr/>
        <w:t>亿元），同时冲销已计提的坏账准备。此外，本集团本期核销的其</w:t>
      </w:r>
      <w:r>
        <w:rPr>
          <w:w w:val="100"/>
        </w:rPr>
        <w:t> </w:t>
      </w:r>
      <w:r>
        <w:rPr/>
        <w:t>他应收款中无应收关联公司款项。</w:t>
      </w:r>
    </w:p>
    <w:p>
      <w:pPr>
        <w:spacing w:line="240" w:lineRule="auto" w:before="6"/>
        <w:rPr>
          <w:rFonts w:ascii="宋体" w:hAnsi="宋体" w:cs="宋体" w:eastAsia="宋体" w:hint="default"/>
          <w:sz w:val="19"/>
          <w:szCs w:val="19"/>
        </w:rPr>
      </w:pPr>
    </w:p>
    <w:p>
      <w:pPr>
        <w:pStyle w:val="BodyText"/>
        <w:spacing w:line="286" w:lineRule="exact"/>
        <w:ind w:left="571" w:right="0" w:hanging="449"/>
        <w:jc w:val="left"/>
      </w:pPr>
      <w:r>
        <w:rPr>
          <w:rFonts w:ascii="Arial" w:hAnsi="Arial" w:cs="Arial" w:eastAsia="Arial" w:hint="default"/>
        </w:rPr>
        <w:t>(g) </w:t>
      </w:r>
      <w:r>
        <w:rPr/>
        <w:t>本集团年末余额前五名的其他应收款合计 </w:t>
      </w:r>
      <w:r>
        <w:rPr>
          <w:rFonts w:ascii="Arial" w:hAnsi="Arial" w:cs="Arial" w:eastAsia="Arial" w:hint="default"/>
        </w:rPr>
        <w:t>1.34 </w:t>
      </w:r>
      <w:r>
        <w:rPr/>
        <w:t>亿元，占其他应收款年末余额合计数的</w:t>
      </w:r>
      <w:r>
        <w:rPr>
          <w:spacing w:val="-68"/>
        </w:rPr>
        <w:t> </w:t>
      </w:r>
      <w:r>
        <w:rPr>
          <w:rFonts w:ascii="Arial" w:hAnsi="Arial" w:cs="Arial" w:eastAsia="Arial" w:hint="default"/>
        </w:rPr>
        <w:t>2.39%</w:t>
      </w:r>
      <w:r>
        <w:rPr/>
        <w:t>，</w:t>
      </w:r>
      <w:r>
        <w:rPr>
          <w:w w:val="100"/>
        </w:rPr>
        <w:t> </w:t>
      </w:r>
      <w:r>
        <w:rPr/>
        <w:t>相应计提的坏账准备年末余额合计</w:t>
      </w:r>
      <w:r>
        <w:rPr>
          <w:spacing w:val="-57"/>
        </w:rPr>
        <w:t> </w:t>
      </w:r>
      <w:r>
        <w:rPr>
          <w:rFonts w:ascii="Arial" w:hAnsi="Arial" w:cs="Arial" w:eastAsia="Arial" w:hint="default"/>
        </w:rPr>
        <w:t>3,027</w:t>
      </w:r>
      <w:r>
        <w:rPr>
          <w:rFonts w:ascii="Arial" w:hAnsi="Arial" w:cs="Arial" w:eastAsia="Arial" w:hint="default"/>
          <w:spacing w:val="-9"/>
        </w:rPr>
        <w:t> </w:t>
      </w:r>
      <w:r>
        <w:rPr/>
        <w:t>万元。</w:t>
      </w:r>
    </w:p>
    <w:p>
      <w:pPr>
        <w:spacing w:line="240" w:lineRule="auto" w:before="1"/>
        <w:rPr>
          <w:rFonts w:ascii="宋体" w:hAnsi="宋体" w:cs="宋体" w:eastAsia="宋体" w:hint="default"/>
          <w:sz w:val="17"/>
          <w:szCs w:val="17"/>
        </w:rPr>
      </w:pPr>
    </w:p>
    <w:p>
      <w:pPr>
        <w:pStyle w:val="BodyText"/>
        <w:spacing w:line="240" w:lineRule="auto"/>
        <w:ind w:left="122" w:right="0"/>
        <w:jc w:val="left"/>
      </w:pPr>
      <w:r>
        <w:rPr>
          <w:rFonts w:ascii="Arial" w:hAnsi="Arial" w:cs="Arial" w:eastAsia="Arial" w:hint="default"/>
        </w:rPr>
        <w:t>5</w:t>
      </w:r>
      <w:r>
        <w:rPr/>
        <w:t>、</w:t>
      </w:r>
      <w:r>
        <w:rPr>
          <w:spacing w:val="-31"/>
        </w:rPr>
        <w:t> </w:t>
      </w:r>
      <w:r>
        <w:rPr/>
        <w:t>预付款项</w:t>
      </w:r>
    </w:p>
    <w:p>
      <w:pPr>
        <w:spacing w:line="240" w:lineRule="auto" w:before="12"/>
        <w:rPr>
          <w:rFonts w:ascii="宋体" w:hAnsi="宋体" w:cs="宋体" w:eastAsia="宋体" w:hint="default"/>
          <w:sz w:val="17"/>
          <w:szCs w:val="17"/>
        </w:rPr>
      </w:pPr>
    </w:p>
    <w:p>
      <w:pPr>
        <w:pStyle w:val="BodyText"/>
        <w:spacing w:line="240" w:lineRule="auto"/>
        <w:ind w:left="137" w:right="0"/>
        <w:jc w:val="left"/>
      </w:pPr>
      <w:r>
        <w:rPr>
          <w:rFonts w:ascii="Arial" w:hAnsi="Arial" w:cs="Arial" w:eastAsia="Arial" w:hint="default"/>
        </w:rPr>
        <w:t>(a) </w:t>
      </w:r>
      <w:r>
        <w:rPr>
          <w:rFonts w:ascii="Arial" w:hAnsi="Arial" w:cs="Arial" w:eastAsia="Arial" w:hint="default"/>
          <w:spacing w:val="12"/>
        </w:rPr>
        <w:t> </w:t>
      </w:r>
      <w:r>
        <w:rPr/>
        <w:t>本集团预付款项账龄分析如下：</w:t>
      </w:r>
    </w:p>
    <w:p>
      <w:pPr>
        <w:spacing w:line="240" w:lineRule="auto" w:before="3"/>
        <w:rPr>
          <w:rFonts w:ascii="宋体" w:hAnsi="宋体" w:cs="宋体" w:eastAsia="宋体" w:hint="default"/>
          <w:sz w:val="23"/>
          <w:szCs w:val="23"/>
        </w:rPr>
      </w:pPr>
    </w:p>
    <w:tbl>
      <w:tblPr>
        <w:tblW w:w="0" w:type="auto"/>
        <w:jc w:val="left"/>
        <w:tblInd w:w="545" w:type="dxa"/>
        <w:tblLayout w:type="fixed"/>
        <w:tblCellMar>
          <w:top w:w="0" w:type="dxa"/>
          <w:left w:w="0" w:type="dxa"/>
          <w:bottom w:w="0" w:type="dxa"/>
          <w:right w:w="0" w:type="dxa"/>
        </w:tblCellMar>
        <w:tblLook w:val="01E0"/>
      </w:tblPr>
      <w:tblGrid>
        <w:gridCol w:w="2324"/>
        <w:gridCol w:w="142"/>
        <w:gridCol w:w="1620"/>
        <w:gridCol w:w="151"/>
        <w:gridCol w:w="1392"/>
        <w:gridCol w:w="175"/>
        <w:gridCol w:w="1560"/>
        <w:gridCol w:w="146"/>
        <w:gridCol w:w="1563"/>
      </w:tblGrid>
      <w:tr>
        <w:trPr>
          <w:trHeight w:val="262" w:hRule="exact"/>
        </w:trPr>
        <w:tc>
          <w:tcPr>
            <w:tcW w:w="5629" w:type="dxa"/>
            <w:gridSpan w:val="5"/>
            <w:tcBorders>
              <w:top w:val="nil" w:sz="6" w:space="0" w:color="auto"/>
              <w:left w:val="nil" w:sz="6" w:space="0" w:color="auto"/>
              <w:bottom w:val="nil" w:sz="6" w:space="0" w:color="auto"/>
              <w:right w:val="nil" w:sz="6" w:space="0" w:color="auto"/>
            </w:tcBorders>
          </w:tcPr>
          <w:p>
            <w:pPr>
              <w:pStyle w:val="TableParagraph"/>
              <w:spacing w:line="236" w:lineRule="exact"/>
              <w:ind w:left="3017"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3444" w:type="dxa"/>
            <w:gridSpan w:val="4"/>
            <w:tcBorders>
              <w:top w:val="nil" w:sz="6" w:space="0" w:color="auto"/>
              <w:left w:val="nil" w:sz="6" w:space="0" w:color="auto"/>
              <w:bottom w:val="nil" w:sz="6" w:space="0" w:color="auto"/>
              <w:right w:val="nil" w:sz="6" w:space="0" w:color="auto"/>
            </w:tcBorders>
          </w:tcPr>
          <w:p>
            <w:pPr>
              <w:pStyle w:val="TableParagraph"/>
              <w:spacing w:line="236" w:lineRule="exact"/>
              <w:ind w:left="854" w:right="0"/>
              <w:jc w:val="lef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6"/>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302" w:hRule="exact"/>
        </w:trPr>
        <w:tc>
          <w:tcPr>
            <w:tcW w:w="2324" w:type="dxa"/>
            <w:tcBorders>
              <w:top w:val="nil" w:sz="6" w:space="0" w:color="auto"/>
              <w:left w:val="nil" w:sz="6" w:space="0" w:color="auto"/>
              <w:bottom w:val="single" w:sz="6" w:space="0" w:color="000000"/>
              <w:right w:val="nil" w:sz="6" w:space="0" w:color="auto"/>
            </w:tcBorders>
          </w:tcPr>
          <w:p>
            <w:pPr>
              <w:pStyle w:val="TableParagraph"/>
              <w:spacing w:line="259" w:lineRule="exact"/>
              <w:ind w:left="35" w:right="0"/>
              <w:jc w:val="left"/>
              <w:rPr>
                <w:rFonts w:ascii="宋体" w:hAnsi="宋体" w:cs="宋体" w:eastAsia="宋体" w:hint="default"/>
                <w:sz w:val="22"/>
                <w:szCs w:val="22"/>
              </w:rPr>
            </w:pPr>
            <w:r>
              <w:rPr>
                <w:rFonts w:ascii="宋体" w:hAnsi="宋体" w:cs="宋体" w:eastAsia="宋体" w:hint="default"/>
                <w:sz w:val="22"/>
                <w:szCs w:val="22"/>
              </w:rPr>
              <w:t>账龄</w:t>
            </w:r>
          </w:p>
        </w:tc>
        <w:tc>
          <w:tcPr>
            <w:tcW w:w="142" w:type="dxa"/>
            <w:tcBorders>
              <w:top w:val="nil" w:sz="6" w:space="0" w:color="auto"/>
              <w:left w:val="nil" w:sz="6" w:space="0" w:color="auto"/>
              <w:bottom w:val="nil" w:sz="6" w:space="0" w:color="auto"/>
              <w:right w:val="nil" w:sz="6" w:space="0" w:color="auto"/>
            </w:tcBorders>
          </w:tcPr>
          <w:p>
            <w:pPr/>
          </w:p>
        </w:tc>
        <w:tc>
          <w:tcPr>
            <w:tcW w:w="1620" w:type="dxa"/>
            <w:tcBorders>
              <w:top w:val="single" w:sz="6" w:space="0" w:color="000000"/>
              <w:left w:val="nil" w:sz="6" w:space="0" w:color="auto"/>
              <w:bottom w:val="single" w:sz="6" w:space="0" w:color="000000"/>
              <w:right w:val="nil" w:sz="6" w:space="0" w:color="auto"/>
            </w:tcBorders>
          </w:tcPr>
          <w:p>
            <w:pPr>
              <w:pStyle w:val="TableParagraph"/>
              <w:spacing w:line="252" w:lineRule="exact"/>
              <w:ind w:right="106"/>
              <w:jc w:val="right"/>
              <w:rPr>
                <w:rFonts w:ascii="宋体" w:hAnsi="宋体" w:cs="宋体" w:eastAsia="宋体" w:hint="default"/>
                <w:sz w:val="22"/>
                <w:szCs w:val="22"/>
              </w:rPr>
            </w:pPr>
            <w:r>
              <w:rPr>
                <w:rFonts w:ascii="宋体" w:hAnsi="宋体" w:cs="宋体" w:eastAsia="宋体" w:hint="default"/>
                <w:sz w:val="22"/>
                <w:szCs w:val="22"/>
              </w:rPr>
              <w:t>金额</w:t>
            </w:r>
          </w:p>
        </w:tc>
        <w:tc>
          <w:tcPr>
            <w:tcW w:w="151" w:type="dxa"/>
            <w:tcBorders>
              <w:top w:val="single" w:sz="6" w:space="0" w:color="000000"/>
              <w:left w:val="nil" w:sz="6" w:space="0" w:color="auto"/>
              <w:bottom w:val="nil" w:sz="6" w:space="0" w:color="auto"/>
              <w:right w:val="nil" w:sz="6" w:space="0" w:color="auto"/>
            </w:tcBorders>
          </w:tcPr>
          <w:p>
            <w:pPr/>
          </w:p>
        </w:tc>
        <w:tc>
          <w:tcPr>
            <w:tcW w:w="1392" w:type="dxa"/>
            <w:tcBorders>
              <w:top w:val="single" w:sz="6" w:space="0" w:color="000000"/>
              <w:left w:val="nil" w:sz="6" w:space="0" w:color="auto"/>
              <w:bottom w:val="single" w:sz="6" w:space="0" w:color="000000"/>
              <w:right w:val="nil" w:sz="6" w:space="0" w:color="auto"/>
            </w:tcBorders>
          </w:tcPr>
          <w:p>
            <w:pPr>
              <w:pStyle w:val="TableParagraph"/>
              <w:spacing w:line="267" w:lineRule="exact"/>
              <w:ind w:right="66"/>
              <w:jc w:val="right"/>
              <w:rPr>
                <w:rFonts w:ascii="Arial" w:hAnsi="Arial" w:cs="Arial" w:eastAsia="Arial" w:hint="default"/>
                <w:sz w:val="22"/>
                <w:szCs w:val="22"/>
              </w:rPr>
            </w:pPr>
            <w:r>
              <w:rPr>
                <w:rFonts w:ascii="宋体" w:hAnsi="宋体" w:cs="宋体" w:eastAsia="宋体" w:hint="default"/>
                <w:spacing w:val="-1"/>
                <w:sz w:val="22"/>
                <w:szCs w:val="22"/>
              </w:rPr>
              <w:t>比例</w:t>
            </w:r>
            <w:r>
              <w:rPr>
                <w:rFonts w:ascii="Arial" w:hAnsi="Arial" w:cs="Arial" w:eastAsia="Arial" w:hint="default"/>
                <w:spacing w:val="-1"/>
                <w:sz w:val="22"/>
                <w:szCs w:val="22"/>
              </w:rPr>
              <w:t>(%)</w:t>
            </w:r>
          </w:p>
        </w:tc>
        <w:tc>
          <w:tcPr>
            <w:tcW w:w="175" w:type="dxa"/>
            <w:tcBorders>
              <w:top w:val="nil" w:sz="6" w:space="0" w:color="auto"/>
              <w:left w:val="nil" w:sz="6" w:space="0" w:color="auto"/>
              <w:bottom w:val="nil" w:sz="6" w:space="0" w:color="auto"/>
              <w:right w:val="nil" w:sz="6" w:space="0" w:color="auto"/>
            </w:tcBorders>
          </w:tcPr>
          <w:p>
            <w:pPr/>
          </w:p>
        </w:tc>
        <w:tc>
          <w:tcPr>
            <w:tcW w:w="1560" w:type="dxa"/>
            <w:tcBorders>
              <w:top w:val="single" w:sz="6" w:space="0" w:color="000000"/>
              <w:left w:val="nil" w:sz="6" w:space="0" w:color="auto"/>
              <w:bottom w:val="single" w:sz="6" w:space="0" w:color="000000"/>
              <w:right w:val="nil" w:sz="6" w:space="0" w:color="auto"/>
            </w:tcBorders>
          </w:tcPr>
          <w:p>
            <w:pPr>
              <w:pStyle w:val="TableParagraph"/>
              <w:spacing w:line="252" w:lineRule="exact"/>
              <w:ind w:right="43"/>
              <w:jc w:val="right"/>
              <w:rPr>
                <w:rFonts w:ascii="宋体" w:hAnsi="宋体" w:cs="宋体" w:eastAsia="宋体" w:hint="default"/>
                <w:sz w:val="22"/>
                <w:szCs w:val="22"/>
              </w:rPr>
            </w:pPr>
            <w:r>
              <w:rPr>
                <w:rFonts w:ascii="宋体" w:hAnsi="宋体" w:cs="宋体" w:eastAsia="宋体" w:hint="default"/>
                <w:sz w:val="22"/>
                <w:szCs w:val="22"/>
              </w:rPr>
              <w:t>金额</w:t>
            </w:r>
          </w:p>
        </w:tc>
        <w:tc>
          <w:tcPr>
            <w:tcW w:w="146" w:type="dxa"/>
            <w:tcBorders>
              <w:top w:val="single" w:sz="6" w:space="0" w:color="000000"/>
              <w:left w:val="nil" w:sz="6" w:space="0" w:color="auto"/>
              <w:bottom w:val="nil" w:sz="6" w:space="0" w:color="auto"/>
              <w:right w:val="nil" w:sz="6" w:space="0" w:color="auto"/>
            </w:tcBorders>
          </w:tcPr>
          <w:p>
            <w:pPr/>
          </w:p>
        </w:tc>
        <w:tc>
          <w:tcPr>
            <w:tcW w:w="1563" w:type="dxa"/>
            <w:tcBorders>
              <w:top w:val="single" w:sz="6" w:space="0" w:color="000000"/>
              <w:left w:val="nil" w:sz="6" w:space="0" w:color="auto"/>
              <w:bottom w:val="single" w:sz="6" w:space="0" w:color="000000"/>
              <w:right w:val="nil" w:sz="6" w:space="0" w:color="auto"/>
            </w:tcBorders>
          </w:tcPr>
          <w:p>
            <w:pPr>
              <w:pStyle w:val="TableParagraph"/>
              <w:spacing w:line="267" w:lineRule="exact"/>
              <w:ind w:right="68"/>
              <w:jc w:val="right"/>
              <w:rPr>
                <w:rFonts w:ascii="Arial" w:hAnsi="Arial" w:cs="Arial" w:eastAsia="Arial" w:hint="default"/>
                <w:sz w:val="22"/>
                <w:szCs w:val="22"/>
              </w:rPr>
            </w:pPr>
            <w:r>
              <w:rPr>
                <w:rFonts w:ascii="宋体" w:hAnsi="宋体" w:cs="宋体" w:eastAsia="宋体" w:hint="default"/>
                <w:spacing w:val="-1"/>
                <w:sz w:val="22"/>
                <w:szCs w:val="22"/>
              </w:rPr>
              <w:t>比例</w:t>
            </w:r>
            <w:r>
              <w:rPr>
                <w:rFonts w:ascii="Arial" w:hAnsi="Arial" w:cs="Arial" w:eastAsia="Arial" w:hint="default"/>
                <w:spacing w:val="-1"/>
                <w:sz w:val="22"/>
                <w:szCs w:val="22"/>
              </w:rPr>
              <w:t>(%)</w:t>
            </w:r>
          </w:p>
        </w:tc>
      </w:tr>
      <w:tr>
        <w:trPr>
          <w:trHeight w:val="556" w:hRule="exact"/>
        </w:trPr>
        <w:tc>
          <w:tcPr>
            <w:tcW w:w="2324"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5"/>
                <w:sz w:val="22"/>
                <w:szCs w:val="22"/>
              </w:rPr>
              <w:t> </w:t>
            </w:r>
            <w:r>
              <w:rPr>
                <w:rFonts w:ascii="宋体" w:hAnsi="宋体" w:cs="宋体" w:eastAsia="宋体" w:hint="default"/>
                <w:sz w:val="22"/>
                <w:szCs w:val="22"/>
              </w:rPr>
              <w:t>年以内</w:t>
            </w:r>
          </w:p>
        </w:tc>
        <w:tc>
          <w:tcPr>
            <w:tcW w:w="142" w:type="dxa"/>
            <w:tcBorders>
              <w:top w:val="nil" w:sz="6" w:space="0" w:color="auto"/>
              <w:left w:val="nil" w:sz="6" w:space="0" w:color="auto"/>
              <w:bottom w:val="nil" w:sz="6" w:space="0" w:color="auto"/>
              <w:right w:val="nil" w:sz="6" w:space="0" w:color="auto"/>
            </w:tcBorders>
          </w:tcPr>
          <w:p>
            <w:pPr/>
          </w:p>
        </w:tc>
        <w:tc>
          <w:tcPr>
            <w:tcW w:w="162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4"/>
              <w:jc w:val="right"/>
              <w:rPr>
                <w:rFonts w:ascii="Arial" w:hAnsi="Arial" w:cs="Arial" w:eastAsia="Arial" w:hint="default"/>
                <w:sz w:val="22"/>
                <w:szCs w:val="22"/>
              </w:rPr>
            </w:pPr>
            <w:r>
              <w:rPr>
                <w:rFonts w:ascii="Arial"/>
                <w:spacing w:val="-1"/>
                <w:sz w:val="22"/>
              </w:rPr>
              <w:t>3,943,915,778</w:t>
            </w:r>
          </w:p>
        </w:tc>
        <w:tc>
          <w:tcPr>
            <w:tcW w:w="151" w:type="dxa"/>
            <w:tcBorders>
              <w:top w:val="nil" w:sz="6" w:space="0" w:color="auto"/>
              <w:left w:val="nil" w:sz="6" w:space="0" w:color="auto"/>
              <w:bottom w:val="nil" w:sz="6" w:space="0" w:color="auto"/>
              <w:right w:val="nil" w:sz="6" w:space="0" w:color="auto"/>
            </w:tcBorders>
          </w:tcPr>
          <w:p>
            <w:pPr/>
          </w:p>
        </w:tc>
        <w:tc>
          <w:tcPr>
            <w:tcW w:w="139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
              <w:jc w:val="right"/>
              <w:rPr>
                <w:rFonts w:ascii="Arial" w:hAnsi="Arial" w:cs="Arial" w:eastAsia="Arial" w:hint="default"/>
                <w:sz w:val="22"/>
                <w:szCs w:val="22"/>
              </w:rPr>
            </w:pPr>
            <w:r>
              <w:rPr>
                <w:rFonts w:ascii="Arial"/>
                <w:spacing w:val="-1"/>
                <w:sz w:val="22"/>
              </w:rPr>
              <w:t>96.32</w:t>
            </w:r>
          </w:p>
        </w:tc>
        <w:tc>
          <w:tcPr>
            <w:tcW w:w="175" w:type="dxa"/>
            <w:tcBorders>
              <w:top w:val="nil" w:sz="6" w:space="0" w:color="auto"/>
              <w:left w:val="nil" w:sz="6" w:space="0" w:color="auto"/>
              <w:bottom w:val="nil" w:sz="6" w:space="0" w:color="auto"/>
              <w:right w:val="nil" w:sz="6" w:space="0" w:color="auto"/>
            </w:tcBorders>
          </w:tcPr>
          <w:p>
            <w:pPr/>
          </w:p>
        </w:tc>
        <w:tc>
          <w:tcPr>
            <w:tcW w:w="156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2"/>
              <w:jc w:val="right"/>
              <w:rPr>
                <w:rFonts w:ascii="Arial" w:hAnsi="Arial" w:cs="Arial" w:eastAsia="Arial" w:hint="default"/>
                <w:sz w:val="22"/>
                <w:szCs w:val="22"/>
              </w:rPr>
            </w:pPr>
            <w:r>
              <w:rPr>
                <w:rFonts w:ascii="Arial"/>
                <w:spacing w:val="-1"/>
                <w:sz w:val="22"/>
              </w:rPr>
              <w:t>3,888,311,242</w:t>
            </w:r>
          </w:p>
        </w:tc>
        <w:tc>
          <w:tcPr>
            <w:tcW w:w="146" w:type="dxa"/>
            <w:tcBorders>
              <w:top w:val="nil" w:sz="6" w:space="0" w:color="auto"/>
              <w:left w:val="nil" w:sz="6" w:space="0" w:color="auto"/>
              <w:bottom w:val="nil" w:sz="6" w:space="0" w:color="auto"/>
              <w:right w:val="nil" w:sz="6" w:space="0" w:color="auto"/>
            </w:tcBorders>
          </w:tcPr>
          <w:p>
            <w:pPr/>
          </w:p>
        </w:tc>
        <w:tc>
          <w:tcPr>
            <w:tcW w:w="1563"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59"/>
              <w:jc w:val="right"/>
              <w:rPr>
                <w:rFonts w:ascii="Arial" w:hAnsi="Arial" w:cs="Arial" w:eastAsia="Arial" w:hint="default"/>
                <w:sz w:val="22"/>
                <w:szCs w:val="22"/>
              </w:rPr>
            </w:pPr>
            <w:r>
              <w:rPr>
                <w:rFonts w:ascii="Arial"/>
                <w:spacing w:val="-1"/>
                <w:sz w:val="22"/>
              </w:rPr>
              <w:t>97.07</w:t>
            </w:r>
          </w:p>
        </w:tc>
      </w:tr>
      <w:tr>
        <w:trPr>
          <w:trHeight w:val="286" w:hRule="exact"/>
        </w:trPr>
        <w:tc>
          <w:tcPr>
            <w:tcW w:w="2324" w:type="dxa"/>
            <w:tcBorders>
              <w:top w:val="nil" w:sz="6" w:space="0" w:color="auto"/>
              <w:left w:val="nil" w:sz="6" w:space="0" w:color="auto"/>
              <w:bottom w:val="nil" w:sz="6" w:space="0" w:color="auto"/>
              <w:right w:val="nil" w:sz="6" w:space="0" w:color="auto"/>
            </w:tcBorders>
          </w:tcPr>
          <w:p>
            <w:pPr>
              <w:pStyle w:val="TableParagraph"/>
              <w:spacing w:line="254" w:lineRule="exact"/>
              <w:ind w:left="35"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142"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
              <w:jc w:val="right"/>
              <w:rPr>
                <w:rFonts w:ascii="Arial" w:hAnsi="Arial" w:cs="Arial" w:eastAsia="Arial" w:hint="default"/>
                <w:sz w:val="22"/>
                <w:szCs w:val="22"/>
              </w:rPr>
            </w:pPr>
            <w:r>
              <w:rPr>
                <w:rFonts w:ascii="Arial"/>
                <w:spacing w:val="-1"/>
                <w:sz w:val="22"/>
              </w:rPr>
              <w:t>76,618,522</w:t>
            </w:r>
          </w:p>
        </w:tc>
        <w:tc>
          <w:tcPr>
            <w:tcW w:w="151"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
              <w:jc w:val="right"/>
              <w:rPr>
                <w:rFonts w:ascii="Arial" w:hAnsi="Arial" w:cs="Arial" w:eastAsia="Arial" w:hint="default"/>
                <w:sz w:val="22"/>
                <w:szCs w:val="22"/>
              </w:rPr>
            </w:pPr>
            <w:r>
              <w:rPr>
                <w:rFonts w:ascii="Arial"/>
                <w:sz w:val="22"/>
              </w:rPr>
              <w:t>1.87</w:t>
            </w:r>
          </w:p>
        </w:tc>
        <w:tc>
          <w:tcPr>
            <w:tcW w:w="175"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
              <w:jc w:val="right"/>
              <w:rPr>
                <w:rFonts w:ascii="Arial" w:hAnsi="Arial" w:cs="Arial" w:eastAsia="Arial" w:hint="default"/>
                <w:sz w:val="22"/>
                <w:szCs w:val="22"/>
              </w:rPr>
            </w:pPr>
            <w:r>
              <w:rPr>
                <w:rFonts w:ascii="Arial"/>
                <w:spacing w:val="-1"/>
                <w:sz w:val="22"/>
              </w:rPr>
              <w:t>59,680,652</w:t>
            </w:r>
          </w:p>
        </w:tc>
        <w:tc>
          <w:tcPr>
            <w:tcW w:w="146"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0"/>
              <w:jc w:val="right"/>
              <w:rPr>
                <w:rFonts w:ascii="Arial" w:hAnsi="Arial" w:cs="Arial" w:eastAsia="Arial" w:hint="default"/>
                <w:sz w:val="22"/>
                <w:szCs w:val="22"/>
              </w:rPr>
            </w:pPr>
            <w:r>
              <w:rPr>
                <w:rFonts w:ascii="Arial"/>
                <w:sz w:val="22"/>
              </w:rPr>
              <w:t>1.49</w:t>
            </w:r>
          </w:p>
        </w:tc>
      </w:tr>
      <w:tr>
        <w:trPr>
          <w:trHeight w:val="284" w:hRule="exact"/>
        </w:trPr>
        <w:tc>
          <w:tcPr>
            <w:tcW w:w="2324" w:type="dxa"/>
            <w:tcBorders>
              <w:top w:val="nil" w:sz="6" w:space="0" w:color="auto"/>
              <w:left w:val="nil" w:sz="6" w:space="0" w:color="auto"/>
              <w:bottom w:val="nil" w:sz="6" w:space="0" w:color="auto"/>
              <w:right w:val="nil" w:sz="6" w:space="0" w:color="auto"/>
            </w:tcBorders>
          </w:tcPr>
          <w:p>
            <w:pPr>
              <w:pStyle w:val="TableParagraph"/>
              <w:spacing w:line="254" w:lineRule="exact"/>
              <w:ind w:left="35" w:right="0"/>
              <w:jc w:val="left"/>
              <w:rPr>
                <w:rFonts w:ascii="宋体" w:hAnsi="宋体" w:cs="宋体" w:eastAsia="宋体" w:hint="default"/>
                <w:sz w:val="22"/>
                <w:szCs w:val="22"/>
              </w:rPr>
            </w:pPr>
            <w:r>
              <w:rPr>
                <w:rFonts w:ascii="Arial" w:hAnsi="Arial" w:cs="Arial" w:eastAsia="Arial" w:hint="default"/>
                <w:sz w:val="22"/>
                <w:szCs w:val="22"/>
              </w:rPr>
              <w:t>2-3</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142"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
              <w:jc w:val="right"/>
              <w:rPr>
                <w:rFonts w:ascii="Arial" w:hAnsi="Arial" w:cs="Arial" w:eastAsia="Arial" w:hint="default"/>
                <w:sz w:val="22"/>
                <w:szCs w:val="22"/>
              </w:rPr>
            </w:pPr>
            <w:r>
              <w:rPr>
                <w:rFonts w:ascii="Arial"/>
                <w:spacing w:val="-1"/>
                <w:sz w:val="22"/>
              </w:rPr>
              <w:t>19,509,687</w:t>
            </w:r>
          </w:p>
        </w:tc>
        <w:tc>
          <w:tcPr>
            <w:tcW w:w="151"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
              <w:jc w:val="right"/>
              <w:rPr>
                <w:rFonts w:ascii="Arial" w:hAnsi="Arial" w:cs="Arial" w:eastAsia="Arial" w:hint="default"/>
                <w:sz w:val="22"/>
                <w:szCs w:val="22"/>
              </w:rPr>
            </w:pPr>
            <w:r>
              <w:rPr>
                <w:rFonts w:ascii="Arial"/>
                <w:sz w:val="22"/>
              </w:rPr>
              <w:t>0.48</w:t>
            </w:r>
          </w:p>
        </w:tc>
        <w:tc>
          <w:tcPr>
            <w:tcW w:w="175"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
              <w:jc w:val="right"/>
              <w:rPr>
                <w:rFonts w:ascii="Arial" w:hAnsi="Arial" w:cs="Arial" w:eastAsia="Arial" w:hint="default"/>
                <w:sz w:val="22"/>
                <w:szCs w:val="22"/>
              </w:rPr>
            </w:pPr>
            <w:r>
              <w:rPr>
                <w:rFonts w:ascii="Arial"/>
                <w:spacing w:val="-1"/>
                <w:sz w:val="22"/>
              </w:rPr>
              <w:t>26,270,846</w:t>
            </w:r>
          </w:p>
        </w:tc>
        <w:tc>
          <w:tcPr>
            <w:tcW w:w="146"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0"/>
              <w:jc w:val="right"/>
              <w:rPr>
                <w:rFonts w:ascii="Arial" w:hAnsi="Arial" w:cs="Arial" w:eastAsia="Arial" w:hint="default"/>
                <w:sz w:val="22"/>
                <w:szCs w:val="22"/>
              </w:rPr>
            </w:pPr>
            <w:r>
              <w:rPr>
                <w:rFonts w:ascii="Arial"/>
                <w:sz w:val="22"/>
              </w:rPr>
              <w:t>0.66</w:t>
            </w:r>
          </w:p>
        </w:tc>
      </w:tr>
      <w:tr>
        <w:trPr>
          <w:trHeight w:val="419" w:hRule="exact"/>
        </w:trPr>
        <w:tc>
          <w:tcPr>
            <w:tcW w:w="2324"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2"/>
                <w:szCs w:val="22"/>
              </w:rPr>
            </w:pPr>
            <w:r>
              <w:rPr>
                <w:rFonts w:ascii="Arial" w:hAnsi="Arial" w:cs="Arial" w:eastAsia="Arial" w:hint="default"/>
                <w:sz w:val="22"/>
                <w:szCs w:val="22"/>
              </w:rPr>
              <w:t>3</w:t>
            </w:r>
            <w:r>
              <w:rPr>
                <w:rFonts w:ascii="Arial" w:hAnsi="Arial" w:cs="Arial" w:eastAsia="Arial" w:hint="default"/>
                <w:spacing w:val="-5"/>
                <w:sz w:val="22"/>
                <w:szCs w:val="22"/>
              </w:rPr>
              <w:t> </w:t>
            </w:r>
            <w:r>
              <w:rPr>
                <w:rFonts w:ascii="宋体" w:hAnsi="宋体" w:cs="宋体" w:eastAsia="宋体" w:hint="default"/>
                <w:sz w:val="22"/>
                <w:szCs w:val="22"/>
              </w:rPr>
              <w:t>年以上</w:t>
            </w:r>
          </w:p>
        </w:tc>
        <w:tc>
          <w:tcPr>
            <w:tcW w:w="142"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tabs>
                <w:tab w:pos="499" w:val="left" w:leader="none"/>
              </w:tabs>
              <w:spacing w:line="240" w:lineRule="auto" w:before="18"/>
              <w:ind w:right="14"/>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54,434,018</w:t>
            </w:r>
            <w:r>
              <w:rPr>
                <w:rFonts w:ascii="Arial"/>
                <w:spacing w:val="-1"/>
                <w:sz w:val="22"/>
              </w:rPr>
            </w:r>
          </w:p>
        </w:tc>
        <w:tc>
          <w:tcPr>
            <w:tcW w:w="151"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tabs>
                <w:tab w:pos="950" w:val="left" w:leader="none"/>
              </w:tabs>
              <w:spacing w:line="240" w:lineRule="auto" w:before="18"/>
              <w:ind w:right="1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1.33</w:t>
            </w:r>
            <w:r>
              <w:rPr>
                <w:rFonts w:ascii="Arial"/>
                <w:sz w:val="22"/>
              </w:rPr>
            </w:r>
          </w:p>
        </w:tc>
        <w:tc>
          <w:tcPr>
            <w:tcW w:w="175"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tabs>
                <w:tab w:pos="436" w:val="left" w:leader="none"/>
              </w:tabs>
              <w:spacing w:line="240" w:lineRule="auto" w:before="18"/>
              <w:ind w:right="9"/>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31,374,814</w:t>
            </w:r>
            <w:r>
              <w:rPr>
                <w:rFonts w:ascii="Arial"/>
                <w:spacing w:val="-1"/>
                <w:sz w:val="22"/>
              </w:rPr>
            </w:r>
          </w:p>
        </w:tc>
        <w:tc>
          <w:tcPr>
            <w:tcW w:w="146"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tabs>
                <w:tab w:pos="1063" w:val="left" w:leader="none"/>
                <w:tab w:pos="1555"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0.78</w:t>
              <w:tab/>
            </w:r>
            <w:r>
              <w:rPr>
                <w:rFonts w:ascii="Arial"/>
                <w:sz w:val="22"/>
              </w:rPr>
            </w:r>
          </w:p>
        </w:tc>
      </w:tr>
      <w:tr>
        <w:trPr>
          <w:trHeight w:val="433" w:hRule="exact"/>
        </w:trPr>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42"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2"/>
              <w:jc w:val="right"/>
              <w:rPr>
                <w:rFonts w:ascii="Arial" w:hAnsi="Arial" w:cs="Arial" w:eastAsia="Arial" w:hint="default"/>
                <w:sz w:val="22"/>
                <w:szCs w:val="22"/>
              </w:rPr>
            </w:pPr>
            <w:r>
              <w:rPr>
                <w:rFonts w:ascii="Arial"/>
                <w:spacing w:val="-1"/>
                <w:sz w:val="22"/>
              </w:rPr>
              <w:t>4,094,478,005</w:t>
            </w:r>
          </w:p>
        </w:tc>
        <w:tc>
          <w:tcPr>
            <w:tcW w:w="151"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7"/>
              <w:jc w:val="right"/>
              <w:rPr>
                <w:rFonts w:ascii="Arial" w:hAnsi="Arial" w:cs="Arial" w:eastAsia="Arial" w:hint="default"/>
                <w:sz w:val="22"/>
                <w:szCs w:val="22"/>
              </w:rPr>
            </w:pPr>
            <w:r>
              <w:rPr>
                <w:rFonts w:ascii="Arial"/>
                <w:spacing w:val="-1"/>
                <w:sz w:val="22"/>
              </w:rPr>
              <w:t>100.00</w:t>
            </w:r>
          </w:p>
        </w:tc>
        <w:tc>
          <w:tcPr>
            <w:tcW w:w="175"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12"/>
              <w:jc w:val="right"/>
              <w:rPr>
                <w:rFonts w:ascii="Arial" w:hAnsi="Arial" w:cs="Arial" w:eastAsia="Arial" w:hint="default"/>
                <w:sz w:val="22"/>
                <w:szCs w:val="22"/>
              </w:rPr>
            </w:pPr>
            <w:r>
              <w:rPr>
                <w:rFonts w:ascii="Arial"/>
                <w:spacing w:val="-1"/>
                <w:sz w:val="22"/>
              </w:rPr>
              <w:t>4,005,637,554</w:t>
            </w:r>
          </w:p>
        </w:tc>
        <w:tc>
          <w:tcPr>
            <w:tcW w:w="146"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60"/>
              <w:jc w:val="right"/>
              <w:rPr>
                <w:rFonts w:ascii="Arial" w:hAnsi="Arial" w:cs="Arial" w:eastAsia="Arial" w:hint="default"/>
                <w:sz w:val="22"/>
                <w:szCs w:val="22"/>
              </w:rPr>
            </w:pPr>
            <w:r>
              <w:rPr>
                <w:rFonts w:ascii="Arial"/>
                <w:spacing w:val="-1"/>
                <w:sz w:val="22"/>
              </w:rPr>
              <w:t>100.00</w:t>
            </w:r>
          </w:p>
        </w:tc>
      </w:tr>
    </w:tbl>
    <w:p>
      <w:pPr>
        <w:spacing w:line="240" w:lineRule="auto" w:before="11"/>
        <w:rPr>
          <w:rFonts w:ascii="宋体" w:hAnsi="宋体" w:cs="宋体" w:eastAsia="宋体" w:hint="default"/>
          <w:sz w:val="13"/>
          <w:szCs w:val="13"/>
        </w:rPr>
      </w:pPr>
    </w:p>
    <w:p>
      <w:pPr>
        <w:pStyle w:val="BodyText"/>
        <w:spacing w:line="295" w:lineRule="exact" w:before="32"/>
        <w:ind w:left="571" w:right="0"/>
        <w:jc w:val="left"/>
      </w:pPr>
      <w:r>
        <w:rPr/>
        <w:t>于</w:t>
      </w:r>
      <w:r>
        <w:rPr>
          <w:spacing w:val="-55"/>
        </w:rPr>
        <w:t> </w:t>
      </w:r>
      <w:r>
        <w:rPr>
          <w:rFonts w:ascii="Arial" w:hAnsi="Arial" w:cs="Arial" w:eastAsia="Arial" w:hint="default"/>
        </w:rPr>
        <w:t>2014</w:t>
      </w:r>
      <w:r>
        <w:rPr>
          <w:rFonts w:ascii="Arial" w:hAnsi="Arial" w:cs="Arial" w:eastAsia="Arial" w:hint="default"/>
          <w:spacing w:val="-7"/>
        </w:rPr>
        <w:t> </w:t>
      </w:r>
      <w:r>
        <w:rPr/>
        <w:t>年</w:t>
      </w:r>
      <w:r>
        <w:rPr>
          <w:spacing w:val="-55"/>
        </w:rPr>
        <w:t> </w:t>
      </w:r>
      <w:r>
        <w:rPr>
          <w:rFonts w:ascii="Arial" w:hAnsi="Arial" w:cs="Arial" w:eastAsia="Arial" w:hint="default"/>
        </w:rPr>
        <w:t>12</w:t>
      </w:r>
      <w:r>
        <w:rPr>
          <w:rFonts w:ascii="Arial" w:hAnsi="Arial" w:cs="Arial" w:eastAsia="Arial" w:hint="default"/>
          <w:spacing w:val="-7"/>
        </w:rPr>
        <w:t> </w:t>
      </w:r>
      <w:r>
        <w:rPr/>
        <w:t>月</w:t>
      </w:r>
      <w:r>
        <w:rPr>
          <w:spacing w:val="-55"/>
        </w:rPr>
        <w:t> </w:t>
      </w:r>
      <w:r>
        <w:rPr>
          <w:rFonts w:ascii="Arial" w:hAnsi="Arial" w:cs="Arial" w:eastAsia="Arial" w:hint="default"/>
        </w:rPr>
        <w:t>31</w:t>
      </w:r>
      <w:r>
        <w:rPr>
          <w:rFonts w:ascii="Arial" w:hAnsi="Arial" w:cs="Arial" w:eastAsia="Arial" w:hint="default"/>
          <w:spacing w:val="-7"/>
        </w:rPr>
        <w:t> </w:t>
      </w:r>
      <w:r>
        <w:rPr/>
        <w:t>日，账龄超过</w:t>
      </w:r>
      <w:r>
        <w:rPr>
          <w:spacing w:val="-55"/>
        </w:rPr>
        <w:t> </w:t>
      </w:r>
      <w:r>
        <w:rPr>
          <w:rFonts w:ascii="Arial" w:hAnsi="Arial" w:cs="Arial" w:eastAsia="Arial" w:hint="default"/>
        </w:rPr>
        <w:t>1</w:t>
      </w:r>
      <w:r>
        <w:rPr>
          <w:rFonts w:ascii="Arial" w:hAnsi="Arial" w:cs="Arial" w:eastAsia="Arial" w:hint="default"/>
          <w:spacing w:val="-9"/>
        </w:rPr>
        <w:t> </w:t>
      </w:r>
      <w:r>
        <w:rPr/>
        <w:t>年的预付款项约人民币</w:t>
      </w:r>
      <w:r>
        <w:rPr>
          <w:spacing w:val="-55"/>
        </w:rPr>
        <w:t> </w:t>
      </w:r>
      <w:r>
        <w:rPr>
          <w:rFonts w:ascii="Arial" w:hAnsi="Arial" w:cs="Arial" w:eastAsia="Arial" w:hint="default"/>
        </w:rPr>
        <w:t>1.51</w:t>
      </w:r>
      <w:r>
        <w:rPr>
          <w:rFonts w:ascii="Arial" w:hAnsi="Arial" w:cs="Arial" w:eastAsia="Arial" w:hint="default"/>
          <w:spacing w:val="-7"/>
        </w:rPr>
        <w:t> </w:t>
      </w:r>
      <w:r>
        <w:rPr/>
        <w:t>亿元（</w:t>
      </w:r>
      <w:r>
        <w:rPr>
          <w:rFonts w:ascii="Arial" w:hAnsi="Arial" w:cs="Arial" w:eastAsia="Arial" w:hint="default"/>
        </w:rPr>
        <w:t>2013</w:t>
      </w:r>
      <w:r>
        <w:rPr>
          <w:rFonts w:ascii="Arial" w:hAnsi="Arial" w:cs="Arial" w:eastAsia="Arial" w:hint="default"/>
          <w:spacing w:val="-7"/>
        </w:rPr>
        <w:t> </w:t>
      </w:r>
      <w:r>
        <w:rPr/>
        <w:t>年</w:t>
      </w:r>
      <w:r>
        <w:rPr>
          <w:spacing w:val="-55"/>
        </w:rPr>
        <w:t> </w:t>
      </w:r>
      <w:r>
        <w:rPr>
          <w:rFonts w:ascii="Arial" w:hAnsi="Arial" w:cs="Arial" w:eastAsia="Arial" w:hint="default"/>
        </w:rPr>
        <w:t>12</w:t>
      </w:r>
      <w:r>
        <w:rPr>
          <w:rFonts w:ascii="Arial" w:hAnsi="Arial" w:cs="Arial" w:eastAsia="Arial" w:hint="default"/>
          <w:spacing w:val="-7"/>
        </w:rPr>
        <w:t> </w:t>
      </w:r>
      <w:r>
        <w:rPr/>
        <w:t>月</w:t>
      </w:r>
      <w:r>
        <w:rPr>
          <w:spacing w:val="-55"/>
        </w:rPr>
        <w:t> </w:t>
      </w:r>
      <w:r>
        <w:rPr>
          <w:rFonts w:ascii="Arial" w:hAnsi="Arial" w:cs="Arial" w:eastAsia="Arial" w:hint="default"/>
        </w:rPr>
        <w:t>31</w:t>
      </w:r>
      <w:r>
        <w:rPr>
          <w:rFonts w:ascii="Arial" w:hAnsi="Arial" w:cs="Arial" w:eastAsia="Arial" w:hint="default"/>
          <w:spacing w:val="-7"/>
        </w:rPr>
        <w:t> </w:t>
      </w:r>
      <w:r>
        <w:rPr>
          <w:spacing w:val="-3"/>
        </w:rPr>
        <w:t>日：</w:t>
      </w:r>
      <w:r>
        <w:rPr/>
      </w:r>
    </w:p>
    <w:p>
      <w:pPr>
        <w:pStyle w:val="BodyText"/>
        <w:spacing w:line="286" w:lineRule="exact"/>
        <w:ind w:left="571" w:right="0"/>
        <w:jc w:val="left"/>
      </w:pPr>
      <w:r>
        <w:rPr/>
        <w:t>约人民币</w:t>
      </w:r>
      <w:r>
        <w:rPr>
          <w:spacing w:val="-45"/>
        </w:rPr>
        <w:t> </w:t>
      </w:r>
      <w:r>
        <w:rPr>
          <w:rFonts w:ascii="Arial" w:hAnsi="Arial" w:cs="Arial" w:eastAsia="Arial" w:hint="default"/>
        </w:rPr>
        <w:t>1.17</w:t>
      </w:r>
      <w:r>
        <w:rPr>
          <w:rFonts w:ascii="Arial" w:hAnsi="Arial" w:cs="Arial" w:eastAsia="Arial" w:hint="default"/>
          <w:spacing w:val="3"/>
        </w:rPr>
        <w:t> </w:t>
      </w:r>
      <w:r>
        <w:rPr>
          <w:spacing w:val="-6"/>
        </w:rPr>
        <w:t>亿元），主要为一些执行期限超过</w:t>
      </w:r>
      <w:r>
        <w:rPr>
          <w:spacing w:val="-45"/>
        </w:rPr>
        <w:t> </w:t>
      </w:r>
      <w:r>
        <w:rPr>
          <w:rFonts w:ascii="Arial" w:hAnsi="Arial" w:cs="Arial" w:eastAsia="Arial" w:hint="default"/>
        </w:rPr>
        <w:t>1</w:t>
      </w:r>
      <w:r>
        <w:rPr>
          <w:rFonts w:ascii="Arial" w:hAnsi="Arial" w:cs="Arial" w:eastAsia="Arial" w:hint="default"/>
          <w:spacing w:val="1"/>
        </w:rPr>
        <w:t> </w:t>
      </w:r>
      <w:r>
        <w:rPr>
          <w:spacing w:val="-3"/>
        </w:rPr>
        <w:t>年的预付购货款等，因为合同执行期限超过</w:t>
      </w:r>
    </w:p>
    <w:p>
      <w:pPr>
        <w:pStyle w:val="BodyText"/>
        <w:spacing w:line="295" w:lineRule="exact"/>
        <w:ind w:left="571" w:right="0"/>
        <w:jc w:val="left"/>
      </w:pPr>
      <w:r>
        <w:rPr>
          <w:rFonts w:ascii="Arial" w:hAnsi="Arial" w:cs="Arial" w:eastAsia="Arial" w:hint="default"/>
        </w:rPr>
        <w:t>1</w:t>
      </w:r>
      <w:r>
        <w:rPr>
          <w:rFonts w:ascii="Arial" w:hAnsi="Arial" w:cs="Arial" w:eastAsia="Arial" w:hint="default"/>
          <w:spacing w:val="-5"/>
        </w:rPr>
        <w:t> </w:t>
      </w:r>
      <w:r>
        <w:rPr/>
        <w:t>年，该款项尚未结清。</w:t>
      </w:r>
    </w:p>
    <w:p>
      <w:pPr>
        <w:spacing w:line="240" w:lineRule="auto" w:before="0"/>
        <w:rPr>
          <w:rFonts w:ascii="宋体" w:hAnsi="宋体" w:cs="宋体" w:eastAsia="宋体" w:hint="default"/>
          <w:sz w:val="20"/>
          <w:szCs w:val="20"/>
        </w:rPr>
      </w:pPr>
    </w:p>
    <w:p>
      <w:pPr>
        <w:pStyle w:val="BodyText"/>
        <w:spacing w:line="286" w:lineRule="exact"/>
        <w:ind w:left="550" w:right="0" w:hanging="428"/>
        <w:jc w:val="left"/>
      </w:pPr>
      <w:r>
        <w:rPr>
          <w:rFonts w:ascii="Arial" w:hAnsi="Arial" w:cs="Arial" w:eastAsia="Arial" w:hint="default"/>
        </w:rPr>
        <w:t>(b)</w:t>
      </w:r>
      <w:r>
        <w:rPr>
          <w:rFonts w:ascii="Arial" w:hAnsi="Arial" w:cs="Arial" w:eastAsia="Arial" w:hint="default"/>
          <w:spacing w:val="44"/>
        </w:rPr>
        <w:t> </w:t>
      </w:r>
      <w:r>
        <w:rPr/>
        <w:t>于</w:t>
      </w:r>
      <w:r>
        <w:rPr>
          <w:spacing w:val="-52"/>
        </w:rPr>
        <w:t> </w:t>
      </w:r>
      <w:r>
        <w:rPr>
          <w:rFonts w:ascii="Arial" w:hAnsi="Arial" w:cs="Arial" w:eastAsia="Arial" w:hint="default"/>
        </w:rPr>
        <w:t>2014</w:t>
      </w:r>
      <w:r>
        <w:rPr>
          <w:rFonts w:ascii="Arial" w:hAnsi="Arial" w:cs="Arial" w:eastAsia="Arial" w:hint="default"/>
          <w:spacing w:val="-4"/>
        </w:rPr>
        <w:t> </w:t>
      </w:r>
      <w:r>
        <w:rPr/>
        <w:t>年</w:t>
      </w:r>
      <w:r>
        <w:rPr>
          <w:spacing w:val="-52"/>
        </w:rPr>
        <w:t> </w:t>
      </w:r>
      <w:r>
        <w:rPr>
          <w:rFonts w:ascii="Arial" w:hAnsi="Arial" w:cs="Arial" w:eastAsia="Arial" w:hint="default"/>
        </w:rPr>
        <w:t>12</w:t>
      </w:r>
      <w:r>
        <w:rPr>
          <w:rFonts w:ascii="Arial" w:hAnsi="Arial" w:cs="Arial" w:eastAsia="Arial" w:hint="default"/>
          <w:spacing w:val="-4"/>
        </w:rPr>
        <w:t> </w:t>
      </w:r>
      <w:r>
        <w:rPr/>
        <w:t>月</w:t>
      </w:r>
      <w:r>
        <w:rPr>
          <w:spacing w:val="-52"/>
        </w:rPr>
        <w:t> </w:t>
      </w:r>
      <w:r>
        <w:rPr>
          <w:rFonts w:ascii="Arial" w:hAnsi="Arial" w:cs="Arial" w:eastAsia="Arial" w:hint="default"/>
        </w:rPr>
        <w:t>31</w:t>
      </w:r>
      <w:r>
        <w:rPr>
          <w:rFonts w:ascii="Arial" w:hAnsi="Arial" w:cs="Arial" w:eastAsia="Arial" w:hint="default"/>
          <w:spacing w:val="-4"/>
        </w:rPr>
        <w:t> </w:t>
      </w:r>
      <w:r>
        <w:rPr>
          <w:spacing w:val="-3"/>
        </w:rPr>
        <w:t>日，本集团年末余额前五名的预付款项合计</w:t>
      </w:r>
      <w:r>
        <w:rPr>
          <w:spacing w:val="-52"/>
        </w:rPr>
        <w:t> </w:t>
      </w:r>
      <w:r>
        <w:rPr>
          <w:rFonts w:ascii="Arial" w:hAnsi="Arial" w:cs="Arial" w:eastAsia="Arial" w:hint="default"/>
        </w:rPr>
        <w:t>2.37</w:t>
      </w:r>
      <w:r>
        <w:rPr>
          <w:rFonts w:ascii="Arial" w:hAnsi="Arial" w:cs="Arial" w:eastAsia="Arial" w:hint="default"/>
          <w:spacing w:val="-4"/>
        </w:rPr>
        <w:t> </w:t>
      </w:r>
      <w:r>
        <w:rPr>
          <w:spacing w:val="-3"/>
        </w:rPr>
        <w:t>亿元，占预付款项年末余</w:t>
      </w:r>
      <w:r>
        <w:rPr>
          <w:w w:val="100"/>
        </w:rPr>
        <w:t> </w:t>
      </w:r>
      <w:r>
        <w:rPr/>
        <w:t>额合计数的</w:t>
      </w:r>
      <w:r>
        <w:rPr>
          <w:spacing w:val="-54"/>
        </w:rPr>
        <w:t> </w:t>
      </w:r>
      <w:r>
        <w:rPr>
          <w:rFonts w:ascii="Arial" w:hAnsi="Arial" w:cs="Arial" w:eastAsia="Arial" w:hint="default"/>
        </w:rPr>
        <w:t>5.78%</w:t>
      </w:r>
      <w:r>
        <w:rPr/>
        <w:t>。</w:t>
      </w:r>
    </w:p>
    <w:p>
      <w:pPr>
        <w:spacing w:after="0" w:line="286" w:lineRule="exact"/>
        <w:jc w:val="left"/>
        <w:sectPr>
          <w:footerReference w:type="default" r:id="rId75"/>
          <w:pgSz w:w="11910" w:h="16840"/>
          <w:pgMar w:footer="923" w:header="0" w:top="3040" w:bottom="1120" w:left="1260" w:right="820"/>
          <w:pgNumType w:start="95"/>
        </w:sectPr>
      </w:pPr>
    </w:p>
    <w:p>
      <w:pPr>
        <w:spacing w:line="240" w:lineRule="auto" w:before="10"/>
        <w:rPr>
          <w:rFonts w:ascii="宋体" w:hAnsi="宋体" w:cs="宋体" w:eastAsia="宋体" w:hint="default"/>
          <w:sz w:val="16"/>
          <w:szCs w:val="16"/>
        </w:rPr>
      </w:pPr>
    </w:p>
    <w:p>
      <w:pPr>
        <w:pStyle w:val="BodyText"/>
        <w:spacing w:line="240" w:lineRule="auto" w:before="32"/>
        <w:ind w:left="102" w:right="0"/>
        <w:jc w:val="left"/>
      </w:pPr>
      <w:r>
        <w:rPr>
          <w:rFonts w:ascii="Arial" w:hAnsi="Arial" w:cs="Arial" w:eastAsia="Arial" w:hint="default"/>
        </w:rPr>
        <w:t>6</w:t>
      </w:r>
      <w:r>
        <w:rPr/>
        <w:t>、存货</w:t>
      </w:r>
    </w:p>
    <w:p>
      <w:pPr>
        <w:spacing w:line="240" w:lineRule="auto" w:before="12"/>
        <w:rPr>
          <w:rFonts w:ascii="宋体" w:hAnsi="宋体" w:cs="宋体" w:eastAsia="宋体" w:hint="default"/>
          <w:sz w:val="17"/>
          <w:szCs w:val="17"/>
        </w:rPr>
      </w:pPr>
    </w:p>
    <w:p>
      <w:pPr>
        <w:pStyle w:val="BodyText"/>
        <w:spacing w:line="240" w:lineRule="auto"/>
        <w:ind w:left="102" w:right="0"/>
        <w:jc w:val="left"/>
      </w:pPr>
      <w:r>
        <w:rPr>
          <w:rFonts w:ascii="Arial" w:hAnsi="Arial" w:cs="Arial" w:eastAsia="Arial" w:hint="default"/>
        </w:rPr>
        <w:t>(a)</w:t>
      </w:r>
      <w:r>
        <w:rPr>
          <w:rFonts w:ascii="Arial" w:hAnsi="Arial" w:cs="Arial" w:eastAsia="Arial" w:hint="default"/>
          <w:spacing w:val="57"/>
        </w:rPr>
        <w:t> </w:t>
      </w:r>
      <w:r>
        <w:rPr/>
        <w:t>存货分类如下：</w:t>
      </w:r>
    </w:p>
    <w:p>
      <w:pPr>
        <w:spacing w:line="240" w:lineRule="auto" w:before="10"/>
        <w:rPr>
          <w:rFonts w:ascii="宋体" w:hAnsi="宋体" w:cs="宋体" w:eastAsia="宋体" w:hint="default"/>
          <w:sz w:val="22"/>
          <w:szCs w:val="22"/>
        </w:rPr>
      </w:pPr>
    </w:p>
    <w:tbl>
      <w:tblPr>
        <w:tblW w:w="0" w:type="auto"/>
        <w:jc w:val="left"/>
        <w:tblInd w:w="337" w:type="dxa"/>
        <w:tblLayout w:type="fixed"/>
        <w:tblCellMar>
          <w:top w:w="0" w:type="dxa"/>
          <w:left w:w="0" w:type="dxa"/>
          <w:bottom w:w="0" w:type="dxa"/>
          <w:right w:w="0" w:type="dxa"/>
        </w:tblCellMar>
        <w:tblLook w:val="01E0"/>
      </w:tblPr>
      <w:tblGrid>
        <w:gridCol w:w="1539"/>
        <w:gridCol w:w="1251"/>
        <w:gridCol w:w="1444"/>
        <w:gridCol w:w="1216"/>
        <w:gridCol w:w="1243"/>
        <w:gridCol w:w="1378"/>
        <w:gridCol w:w="1231"/>
      </w:tblGrid>
      <w:tr>
        <w:trPr>
          <w:trHeight w:val="218" w:hRule="exact"/>
        </w:trPr>
        <w:tc>
          <w:tcPr>
            <w:tcW w:w="4234" w:type="dxa"/>
            <w:gridSpan w:val="3"/>
            <w:tcBorders>
              <w:top w:val="nil" w:sz="6" w:space="0" w:color="auto"/>
              <w:left w:val="nil" w:sz="6" w:space="0" w:color="auto"/>
              <w:bottom w:val="nil" w:sz="6" w:space="0" w:color="auto"/>
              <w:right w:val="nil" w:sz="6" w:space="0" w:color="auto"/>
            </w:tcBorders>
          </w:tcPr>
          <w:p>
            <w:pPr>
              <w:pStyle w:val="TableParagraph"/>
              <w:spacing w:line="193" w:lineRule="exact"/>
              <w:ind w:left="2677" w:right="-11"/>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216" w:type="dxa"/>
            <w:tcBorders>
              <w:top w:val="nil" w:sz="6" w:space="0" w:color="auto"/>
              <w:left w:val="nil" w:sz="6" w:space="0" w:color="auto"/>
              <w:bottom w:val="single" w:sz="6" w:space="0" w:color="000000"/>
              <w:right w:val="nil" w:sz="6" w:space="0" w:color="auto"/>
            </w:tcBorders>
          </w:tcPr>
          <w:p>
            <w:pPr/>
          </w:p>
        </w:tc>
        <w:tc>
          <w:tcPr>
            <w:tcW w:w="3853" w:type="dxa"/>
            <w:gridSpan w:val="3"/>
            <w:tcBorders>
              <w:top w:val="nil" w:sz="6" w:space="0" w:color="auto"/>
              <w:left w:val="nil" w:sz="6" w:space="0" w:color="auto"/>
              <w:bottom w:val="single" w:sz="6" w:space="0" w:color="000000"/>
              <w:right w:val="nil" w:sz="6" w:space="0" w:color="auto"/>
            </w:tcBorders>
          </w:tcPr>
          <w:p>
            <w:pPr>
              <w:pStyle w:val="TableParagraph"/>
              <w:spacing w:line="193" w:lineRule="exact"/>
              <w:ind w:left="1125"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247" w:hRule="exact"/>
        </w:trPr>
        <w:tc>
          <w:tcPr>
            <w:tcW w:w="1539" w:type="dxa"/>
            <w:tcBorders>
              <w:top w:val="nil" w:sz="6" w:space="0" w:color="auto"/>
              <w:left w:val="nil" w:sz="6" w:space="0" w:color="auto"/>
              <w:bottom w:val="nil" w:sz="6" w:space="0" w:color="auto"/>
              <w:right w:val="nil" w:sz="6" w:space="0" w:color="auto"/>
            </w:tcBorders>
          </w:tcPr>
          <w:p>
            <w:pPr/>
          </w:p>
        </w:tc>
        <w:tc>
          <w:tcPr>
            <w:tcW w:w="1251" w:type="dxa"/>
            <w:tcBorders>
              <w:top w:val="single" w:sz="6" w:space="0" w:color="000000"/>
              <w:left w:val="nil" w:sz="6" w:space="0" w:color="auto"/>
              <w:bottom w:val="single" w:sz="6" w:space="0" w:color="000000"/>
              <w:right w:val="nil" w:sz="6" w:space="0" w:color="auto"/>
            </w:tcBorders>
          </w:tcPr>
          <w:p>
            <w:pPr>
              <w:pStyle w:val="TableParagraph"/>
              <w:spacing w:line="205" w:lineRule="exact"/>
              <w:ind w:right="68"/>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444"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146"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216" w:type="dxa"/>
            <w:tcBorders>
              <w:top w:val="single" w:sz="6" w:space="0" w:color="000000"/>
              <w:left w:val="nil" w:sz="6" w:space="0" w:color="auto"/>
              <w:bottom w:val="single" w:sz="6" w:space="0" w:color="000000"/>
              <w:right w:val="nil" w:sz="6" w:space="0" w:color="auto"/>
            </w:tcBorders>
          </w:tcPr>
          <w:p>
            <w:pPr>
              <w:pStyle w:val="TableParagraph"/>
              <w:spacing w:line="205" w:lineRule="exact"/>
              <w:ind w:right="81"/>
              <w:jc w:val="right"/>
              <w:rPr>
                <w:rFonts w:ascii="宋体" w:hAnsi="宋体" w:cs="宋体" w:eastAsia="宋体" w:hint="default"/>
                <w:sz w:val="18"/>
                <w:szCs w:val="18"/>
              </w:rPr>
            </w:pPr>
            <w:r>
              <w:rPr>
                <w:rFonts w:ascii="宋体" w:hAnsi="宋体" w:cs="宋体" w:eastAsia="宋体" w:hint="default"/>
                <w:sz w:val="18"/>
                <w:szCs w:val="18"/>
              </w:rPr>
              <w:t>账面价值</w:t>
            </w:r>
          </w:p>
        </w:tc>
        <w:tc>
          <w:tcPr>
            <w:tcW w:w="1243"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45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78"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206"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231" w:type="dxa"/>
            <w:tcBorders>
              <w:top w:val="single" w:sz="6" w:space="0" w:color="000000"/>
              <w:left w:val="nil" w:sz="6" w:space="0" w:color="auto"/>
              <w:bottom w:val="single" w:sz="6" w:space="0" w:color="000000"/>
              <w:right w:val="nil" w:sz="6" w:space="0" w:color="auto"/>
            </w:tcBorders>
          </w:tcPr>
          <w:p>
            <w:pPr>
              <w:pStyle w:val="TableParagraph"/>
              <w:spacing w:line="205" w:lineRule="exact"/>
              <w:ind w:right="43"/>
              <w:jc w:val="right"/>
              <w:rPr>
                <w:rFonts w:ascii="宋体" w:hAnsi="宋体" w:cs="宋体" w:eastAsia="宋体" w:hint="default"/>
                <w:sz w:val="18"/>
                <w:szCs w:val="18"/>
              </w:rPr>
            </w:pPr>
            <w:r>
              <w:rPr>
                <w:rFonts w:ascii="宋体" w:hAnsi="宋体" w:cs="宋体" w:eastAsia="宋体" w:hint="default"/>
                <w:sz w:val="18"/>
                <w:szCs w:val="18"/>
              </w:rPr>
              <w:t>账面价值</w:t>
            </w:r>
          </w:p>
        </w:tc>
      </w:tr>
      <w:tr>
        <w:trPr>
          <w:trHeight w:val="692" w:hRule="exact"/>
        </w:trPr>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32" w:lineRule="exact"/>
              <w:ind w:left="380" w:right="32" w:hanging="180"/>
              <w:jc w:val="left"/>
              <w:rPr>
                <w:rFonts w:ascii="宋体" w:hAnsi="宋体" w:cs="宋体" w:eastAsia="宋体" w:hint="default"/>
                <w:sz w:val="18"/>
                <w:szCs w:val="18"/>
              </w:rPr>
            </w:pPr>
            <w:r>
              <w:rPr>
                <w:rFonts w:ascii="宋体" w:hAnsi="宋体" w:cs="宋体" w:eastAsia="宋体" w:hint="default"/>
                <w:spacing w:val="6"/>
                <w:sz w:val="18"/>
                <w:szCs w:val="18"/>
              </w:rPr>
              <w:t>手机及其他通信</w:t>
            </w:r>
            <w:r>
              <w:rPr>
                <w:rFonts w:ascii="宋体" w:hAnsi="宋体" w:cs="宋体" w:eastAsia="宋体" w:hint="default"/>
                <w:sz w:val="18"/>
                <w:szCs w:val="18"/>
              </w:rPr>
              <w:t> 终端</w:t>
            </w:r>
          </w:p>
        </w:tc>
        <w:tc>
          <w:tcPr>
            <w:tcW w:w="1251"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5"/>
              <w:jc w:val="right"/>
              <w:rPr>
                <w:rFonts w:ascii="Arial" w:hAnsi="Arial" w:cs="Arial" w:eastAsia="Arial" w:hint="default"/>
                <w:sz w:val="18"/>
                <w:szCs w:val="18"/>
              </w:rPr>
            </w:pPr>
            <w:r>
              <w:rPr>
                <w:rFonts w:ascii="Arial"/>
                <w:spacing w:val="-1"/>
                <w:sz w:val="18"/>
              </w:rPr>
              <w:t>3,912,402,807</w:t>
            </w:r>
          </w:p>
        </w:tc>
        <w:tc>
          <w:tcPr>
            <w:tcW w:w="1444" w:type="dxa"/>
            <w:tcBorders>
              <w:top w:val="single" w:sz="6" w:space="0" w:color="000000"/>
              <w:left w:val="nil" w:sz="6" w:space="0" w:color="auto"/>
              <w:bottom w:val="nil" w:sz="6" w:space="0" w:color="auto"/>
              <w:right w:val="nil" w:sz="6" w:space="0" w:color="auto"/>
            </w:tcBorders>
          </w:tcPr>
          <w:p>
            <w:pPr>
              <w:pStyle w:val="TableParagraph"/>
              <w:spacing w:line="20" w:lineRule="exact"/>
              <w:ind w:left="69" w:right="0"/>
              <w:jc w:val="left"/>
              <w:rPr>
                <w:rFonts w:ascii="宋体" w:hAnsi="宋体" w:cs="宋体" w:eastAsia="宋体" w:hint="default"/>
                <w:sz w:val="2"/>
                <w:szCs w:val="2"/>
              </w:rPr>
            </w:pPr>
            <w:r>
              <w:rPr>
                <w:rFonts w:ascii="宋体" w:hAnsi="宋体" w:cs="宋体" w:eastAsia="宋体" w:hint="default"/>
                <w:sz w:val="2"/>
                <w:szCs w:val="2"/>
              </w:rPr>
              <w:pict>
                <v:group style="width:58.35pt;height:.75pt;mso-position-horizontal-relative:char;mso-position-vertical-relative:line" coordorigin="0,0" coordsize="1167,15">
                  <v:group style="position:absolute;left:7;top:7;width:1152;height:2" coordorigin="7,7" coordsize="1152,2">
                    <v:shape style="position:absolute;left:7;top:7;width:1152;height:2" coordorigin="7,7" coordsize="1152,0" path="m7,7l1159,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8" w:right="0"/>
              <w:jc w:val="left"/>
              <w:rPr>
                <w:rFonts w:ascii="Arial" w:hAnsi="Arial" w:cs="Arial" w:eastAsia="Arial" w:hint="default"/>
                <w:sz w:val="18"/>
                <w:szCs w:val="18"/>
              </w:rPr>
            </w:pPr>
            <w:r>
              <w:rPr>
                <w:rFonts w:ascii="Arial"/>
                <w:sz w:val="18"/>
              </w:rPr>
              <w:t>(255,852,310)</w:t>
            </w:r>
          </w:p>
        </w:tc>
        <w:tc>
          <w:tcPr>
            <w:tcW w:w="121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 w:right="72"/>
              <w:jc w:val="right"/>
              <w:rPr>
                <w:rFonts w:ascii="Arial" w:hAnsi="Arial" w:cs="Arial" w:eastAsia="Arial" w:hint="default"/>
                <w:sz w:val="18"/>
                <w:szCs w:val="18"/>
              </w:rPr>
            </w:pPr>
            <w:r>
              <w:rPr>
                <w:rFonts w:ascii="Arial"/>
                <w:spacing w:val="-1"/>
                <w:sz w:val="18"/>
              </w:rPr>
              <w:t>3,656,550,497</w:t>
            </w:r>
          </w:p>
        </w:tc>
        <w:tc>
          <w:tcPr>
            <w:tcW w:w="1243"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6" w:right="0"/>
              <w:jc w:val="left"/>
              <w:rPr>
                <w:rFonts w:ascii="Arial" w:hAnsi="Arial" w:cs="Arial" w:eastAsia="Arial" w:hint="default"/>
                <w:sz w:val="18"/>
                <w:szCs w:val="18"/>
              </w:rPr>
            </w:pPr>
            <w:r>
              <w:rPr>
                <w:rFonts w:ascii="Arial"/>
                <w:sz w:val="18"/>
              </w:rPr>
              <w:t>4,930,633,700</w:t>
            </w:r>
          </w:p>
        </w:tc>
        <w:tc>
          <w:tcPr>
            <w:tcW w:w="137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3" w:right="0"/>
              <w:jc w:val="left"/>
              <w:rPr>
                <w:rFonts w:ascii="Arial" w:hAnsi="Arial" w:cs="Arial" w:eastAsia="Arial" w:hint="default"/>
                <w:sz w:val="18"/>
                <w:szCs w:val="18"/>
              </w:rPr>
            </w:pPr>
            <w:r>
              <w:rPr>
                <w:rFonts w:ascii="Arial"/>
                <w:sz w:val="18"/>
              </w:rPr>
              <w:t>(383,090,890)</w:t>
            </w:r>
          </w:p>
        </w:tc>
        <w:tc>
          <w:tcPr>
            <w:tcW w:w="1231"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right"/>
              <w:rPr>
                <w:rFonts w:ascii="Arial" w:hAnsi="Arial" w:cs="Arial" w:eastAsia="Arial" w:hint="default"/>
                <w:sz w:val="18"/>
                <w:szCs w:val="18"/>
              </w:rPr>
            </w:pPr>
            <w:r>
              <w:rPr>
                <w:rFonts w:ascii="Arial"/>
                <w:spacing w:val="-1"/>
                <w:sz w:val="18"/>
              </w:rPr>
              <w:t>4,547,542,810</w:t>
            </w:r>
          </w:p>
        </w:tc>
      </w:tr>
      <w:tr>
        <w:trPr>
          <w:trHeight w:val="467" w:hRule="exact"/>
        </w:trPr>
        <w:tc>
          <w:tcPr>
            <w:tcW w:w="1539" w:type="dxa"/>
            <w:tcBorders>
              <w:top w:val="nil" w:sz="6" w:space="0" w:color="auto"/>
              <w:left w:val="nil" w:sz="6" w:space="0" w:color="auto"/>
              <w:bottom w:val="nil" w:sz="6" w:space="0" w:color="auto"/>
              <w:right w:val="nil" w:sz="6" w:space="0" w:color="auto"/>
            </w:tcBorders>
          </w:tcPr>
          <w:p>
            <w:pPr>
              <w:pStyle w:val="TableParagraph"/>
              <w:spacing w:line="200" w:lineRule="exact"/>
              <w:ind w:left="380" w:right="0" w:hanging="180"/>
              <w:jc w:val="left"/>
              <w:rPr>
                <w:rFonts w:ascii="宋体" w:hAnsi="宋体" w:cs="宋体" w:eastAsia="宋体" w:hint="default"/>
                <w:sz w:val="18"/>
                <w:szCs w:val="18"/>
              </w:rPr>
            </w:pPr>
            <w:r>
              <w:rPr>
                <w:rFonts w:ascii="Arial" w:hAnsi="Arial" w:cs="Arial" w:eastAsia="Arial" w:hint="default"/>
                <w:w w:val="100"/>
                <w:sz w:val="18"/>
                <w:szCs w:val="18"/>
              </w:rPr>
              <w:t>SIM</w:t>
            </w:r>
            <w:r>
              <w:rPr>
                <w:rFonts w:ascii="Arial" w:hAnsi="Arial" w:cs="Arial" w:eastAsia="Arial" w:hint="default"/>
                <w:spacing w:val="-8"/>
                <w:w w:val="100"/>
                <w:sz w:val="18"/>
                <w:szCs w:val="18"/>
              </w:rPr>
              <w:t> </w:t>
            </w:r>
            <w:r>
              <w:rPr>
                <w:rFonts w:ascii="宋体" w:hAnsi="宋体" w:cs="宋体" w:eastAsia="宋体" w:hint="default"/>
                <w:w w:val="100"/>
                <w:sz w:val="18"/>
                <w:szCs w:val="18"/>
              </w:rPr>
              <w:t>卡</w:t>
            </w:r>
            <w:r>
              <w:rPr>
                <w:rFonts w:ascii="宋体" w:hAnsi="宋体" w:cs="宋体" w:eastAsia="宋体" w:hint="default"/>
                <w:spacing w:val="-89"/>
                <w:w w:val="100"/>
                <w:sz w:val="18"/>
                <w:szCs w:val="18"/>
              </w:rPr>
              <w:t>、</w:t>
            </w:r>
            <w:r>
              <w:rPr>
                <w:rFonts w:ascii="Arial" w:hAnsi="Arial" w:cs="Arial" w:eastAsia="Arial" w:hint="default"/>
                <w:w w:val="100"/>
                <w:sz w:val="18"/>
                <w:szCs w:val="18"/>
              </w:rPr>
              <w:t>USIM</w:t>
            </w:r>
            <w:r>
              <w:rPr>
                <w:rFonts w:ascii="Arial" w:hAnsi="Arial" w:cs="Arial" w:eastAsia="Arial" w:hint="default"/>
                <w:spacing w:val="-8"/>
                <w:w w:val="100"/>
                <w:sz w:val="18"/>
                <w:szCs w:val="18"/>
              </w:rPr>
              <w:t> </w:t>
            </w:r>
            <w:r>
              <w:rPr>
                <w:rFonts w:ascii="宋体" w:hAnsi="宋体" w:cs="宋体" w:eastAsia="宋体" w:hint="default"/>
                <w:w w:val="100"/>
                <w:sz w:val="18"/>
                <w:szCs w:val="18"/>
              </w:rPr>
              <w:t>卡</w:t>
            </w:r>
          </w:p>
          <w:p>
            <w:pPr>
              <w:pStyle w:val="TableParagraph"/>
              <w:spacing w:line="228" w:lineRule="exact"/>
              <w:ind w:left="380" w:right="0"/>
              <w:jc w:val="left"/>
              <w:rPr>
                <w:rFonts w:ascii="宋体" w:hAnsi="宋体" w:cs="宋体" w:eastAsia="宋体" w:hint="default"/>
                <w:sz w:val="18"/>
                <w:szCs w:val="18"/>
              </w:rPr>
            </w:pPr>
            <w:r>
              <w:rPr>
                <w:rFonts w:ascii="宋体" w:hAnsi="宋体" w:cs="宋体" w:eastAsia="宋体" w:hint="default"/>
                <w:sz w:val="18"/>
                <w:szCs w:val="18"/>
              </w:rPr>
              <w:t>及预付电话卡</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Arial" w:hAnsi="Arial" w:cs="Arial" w:eastAsia="Arial" w:hint="default"/>
                <w:sz w:val="18"/>
                <w:szCs w:val="18"/>
              </w:rPr>
            </w:pPr>
            <w:r>
              <w:rPr>
                <w:rFonts w:ascii="Arial"/>
                <w:spacing w:val="-1"/>
                <w:sz w:val="18"/>
              </w:rPr>
              <w:t>241,203,742</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Arial" w:hAnsi="Arial" w:cs="Arial" w:eastAsia="Arial" w:hint="default"/>
                <w:sz w:val="18"/>
                <w:szCs w:val="18"/>
              </w:rPr>
            </w:pPr>
            <w:r>
              <w:rPr>
                <w:rFonts w:ascii="Arial"/>
                <w:sz w:val="18"/>
              </w:rPr>
              <w:t>(4,365,289)</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4"/>
              <w:jc w:val="right"/>
              <w:rPr>
                <w:rFonts w:ascii="Arial" w:hAnsi="Arial" w:cs="Arial" w:eastAsia="Arial" w:hint="default"/>
                <w:sz w:val="18"/>
                <w:szCs w:val="18"/>
              </w:rPr>
            </w:pPr>
            <w:r>
              <w:rPr>
                <w:rFonts w:ascii="Arial"/>
                <w:spacing w:val="-1"/>
                <w:sz w:val="18"/>
              </w:rPr>
              <w:t>236,838,453</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7" w:right="0"/>
              <w:jc w:val="left"/>
              <w:rPr>
                <w:rFonts w:ascii="Arial" w:hAnsi="Arial" w:cs="Arial" w:eastAsia="Arial" w:hint="default"/>
                <w:sz w:val="18"/>
                <w:szCs w:val="18"/>
              </w:rPr>
            </w:pPr>
            <w:r>
              <w:rPr>
                <w:rFonts w:ascii="Arial"/>
                <w:sz w:val="18"/>
              </w:rPr>
              <w:t>387,668,306</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2" w:right="0"/>
              <w:jc w:val="left"/>
              <w:rPr>
                <w:rFonts w:ascii="Arial" w:hAnsi="Arial" w:cs="Arial" w:eastAsia="Arial" w:hint="default"/>
                <w:sz w:val="18"/>
                <w:szCs w:val="18"/>
              </w:rPr>
            </w:pPr>
            <w:r>
              <w:rPr>
                <w:rFonts w:ascii="Arial"/>
                <w:sz w:val="18"/>
              </w:rPr>
              <w:t>(1,341,207)</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Arial" w:hAnsi="Arial" w:cs="Arial" w:eastAsia="Arial" w:hint="default"/>
                <w:sz w:val="18"/>
                <w:szCs w:val="18"/>
              </w:rPr>
            </w:pPr>
            <w:r>
              <w:rPr>
                <w:rFonts w:ascii="Arial"/>
                <w:spacing w:val="-1"/>
                <w:sz w:val="18"/>
              </w:rPr>
              <w:t>386,327,099</w:t>
            </w:r>
          </w:p>
        </w:tc>
      </w:tr>
      <w:tr>
        <w:trPr>
          <w:trHeight w:val="234" w:hRule="exact"/>
        </w:trPr>
        <w:tc>
          <w:tcPr>
            <w:tcW w:w="1539"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备品备件</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
              <w:jc w:val="right"/>
              <w:rPr>
                <w:rFonts w:ascii="Arial" w:hAnsi="Arial" w:cs="Arial" w:eastAsia="Arial" w:hint="default"/>
                <w:sz w:val="18"/>
                <w:szCs w:val="18"/>
              </w:rPr>
            </w:pPr>
            <w:r>
              <w:rPr>
                <w:rFonts w:ascii="Arial"/>
                <w:spacing w:val="-1"/>
                <w:sz w:val="18"/>
              </w:rPr>
              <w:t>174,532,645</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58" w:right="0"/>
              <w:jc w:val="left"/>
              <w:rPr>
                <w:rFonts w:ascii="Arial" w:hAnsi="Arial" w:cs="Arial" w:eastAsia="Arial" w:hint="default"/>
                <w:sz w:val="18"/>
                <w:szCs w:val="18"/>
              </w:rPr>
            </w:pPr>
            <w:r>
              <w:rPr>
                <w:rFonts w:ascii="Arial"/>
                <w:sz w:val="18"/>
              </w:rPr>
              <w:t>(536,781)</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4"/>
              <w:jc w:val="right"/>
              <w:rPr>
                <w:rFonts w:ascii="Arial" w:hAnsi="Arial" w:cs="Arial" w:eastAsia="Arial" w:hint="default"/>
                <w:sz w:val="18"/>
                <w:szCs w:val="18"/>
              </w:rPr>
            </w:pPr>
            <w:r>
              <w:rPr>
                <w:rFonts w:ascii="Arial"/>
                <w:spacing w:val="-1"/>
                <w:sz w:val="18"/>
              </w:rPr>
              <w:t>173,995,864</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25" w:right="0"/>
              <w:jc w:val="left"/>
              <w:rPr>
                <w:rFonts w:ascii="Arial" w:hAnsi="Arial" w:cs="Arial" w:eastAsia="Arial" w:hint="default"/>
                <w:sz w:val="18"/>
                <w:szCs w:val="18"/>
              </w:rPr>
            </w:pPr>
            <w:r>
              <w:rPr>
                <w:rFonts w:ascii="Arial"/>
                <w:sz w:val="18"/>
              </w:rPr>
              <w:t>217,040,125</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71" w:right="0"/>
              <w:jc w:val="left"/>
              <w:rPr>
                <w:rFonts w:ascii="Arial" w:hAnsi="Arial" w:cs="Arial" w:eastAsia="Arial" w:hint="default"/>
                <w:sz w:val="18"/>
                <w:szCs w:val="18"/>
              </w:rPr>
            </w:pPr>
            <w:r>
              <w:rPr>
                <w:rFonts w:ascii="Arial"/>
                <w:sz w:val="18"/>
              </w:rPr>
              <w:t>(527,419)</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
              <w:jc w:val="right"/>
              <w:rPr>
                <w:rFonts w:ascii="Arial" w:hAnsi="Arial" w:cs="Arial" w:eastAsia="Arial" w:hint="default"/>
                <w:sz w:val="18"/>
                <w:szCs w:val="18"/>
              </w:rPr>
            </w:pPr>
            <w:r>
              <w:rPr>
                <w:rFonts w:ascii="Arial"/>
                <w:spacing w:val="-1"/>
                <w:sz w:val="18"/>
              </w:rPr>
              <w:t>216,512,706</w:t>
            </w:r>
          </w:p>
        </w:tc>
      </w:tr>
      <w:tr>
        <w:trPr>
          <w:trHeight w:val="233" w:hRule="exact"/>
        </w:trPr>
        <w:tc>
          <w:tcPr>
            <w:tcW w:w="1539"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
              <w:jc w:val="right"/>
              <w:rPr>
                <w:rFonts w:ascii="Arial" w:hAnsi="Arial" w:cs="Arial" w:eastAsia="Arial" w:hint="default"/>
                <w:sz w:val="18"/>
                <w:szCs w:val="18"/>
              </w:rPr>
            </w:pPr>
            <w:r>
              <w:rPr>
                <w:rFonts w:ascii="Arial"/>
                <w:spacing w:val="-1"/>
                <w:sz w:val="18"/>
              </w:rPr>
              <w:t>176,435,981</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5"/>
              <w:jc w:val="right"/>
              <w:rPr>
                <w:rFonts w:ascii="Arial" w:hAnsi="Arial" w:cs="Arial" w:eastAsia="Arial" w:hint="default"/>
                <w:sz w:val="18"/>
                <w:szCs w:val="18"/>
              </w:rPr>
            </w:pPr>
            <w:r>
              <w:rPr>
                <w:rFonts w:ascii="Arial"/>
                <w:w w:val="99"/>
                <w:sz w:val="18"/>
              </w:rPr>
              <w:t>-</w:t>
            </w:r>
            <w:r>
              <w:rPr>
                <w:rFonts w:ascii="Arial"/>
                <w:sz w:val="18"/>
              </w:rPr>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4"/>
              <w:jc w:val="right"/>
              <w:rPr>
                <w:rFonts w:ascii="Arial" w:hAnsi="Arial" w:cs="Arial" w:eastAsia="Arial" w:hint="default"/>
                <w:sz w:val="18"/>
                <w:szCs w:val="18"/>
              </w:rPr>
            </w:pPr>
            <w:r>
              <w:rPr>
                <w:rFonts w:ascii="Arial"/>
                <w:spacing w:val="-1"/>
                <w:sz w:val="18"/>
              </w:rPr>
              <w:t>176,435,981</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25" w:right="0"/>
              <w:jc w:val="left"/>
              <w:rPr>
                <w:rFonts w:ascii="Arial" w:hAnsi="Arial" w:cs="Arial" w:eastAsia="Arial" w:hint="default"/>
                <w:sz w:val="18"/>
                <w:szCs w:val="18"/>
              </w:rPr>
            </w:pPr>
            <w:r>
              <w:rPr>
                <w:rFonts w:ascii="Arial"/>
                <w:sz w:val="18"/>
              </w:rPr>
              <w:t>297,492,334</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9"/>
              <w:jc w:val="right"/>
              <w:rPr>
                <w:rFonts w:ascii="Arial" w:hAnsi="Arial" w:cs="Arial" w:eastAsia="Arial" w:hint="default"/>
                <w:sz w:val="18"/>
                <w:szCs w:val="18"/>
              </w:rPr>
            </w:pPr>
            <w:r>
              <w:rPr>
                <w:rFonts w:ascii="Arial"/>
                <w:w w:val="99"/>
                <w:sz w:val="18"/>
              </w:rPr>
              <w:t>-</w:t>
            </w:r>
            <w:r>
              <w:rPr>
                <w:rFonts w:ascii="Arial"/>
                <w:sz w:val="18"/>
              </w:rPr>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
              <w:jc w:val="right"/>
              <w:rPr>
                <w:rFonts w:ascii="Arial" w:hAnsi="Arial" w:cs="Arial" w:eastAsia="Arial" w:hint="default"/>
                <w:sz w:val="18"/>
                <w:szCs w:val="18"/>
              </w:rPr>
            </w:pPr>
            <w:r>
              <w:rPr>
                <w:rFonts w:ascii="Arial"/>
                <w:spacing w:val="-1"/>
                <w:sz w:val="18"/>
              </w:rPr>
              <w:t>297,492,334</w:t>
            </w:r>
          </w:p>
        </w:tc>
      </w:tr>
      <w:tr>
        <w:trPr>
          <w:trHeight w:val="342" w:hRule="exact"/>
        </w:trPr>
        <w:tc>
          <w:tcPr>
            <w:tcW w:w="1539"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3"/>
                <w:sz w:val="18"/>
                <w:u w:val="single" w:color="000000"/>
              </w:rPr>
              <w:t> </w:t>
            </w:r>
            <w:r>
              <w:rPr>
                <w:rFonts w:ascii="Arial"/>
                <w:spacing w:val="-1"/>
                <w:sz w:val="18"/>
                <w:u w:val="single" w:color="000000"/>
              </w:rPr>
              <w:t>134,652,066</w:t>
            </w:r>
            <w:r>
              <w:rPr>
                <w:rFonts w:ascii="Arial"/>
                <w:spacing w:val="-1"/>
                <w:sz w:val="18"/>
              </w:rPr>
            </w:r>
          </w:p>
        </w:tc>
        <w:tc>
          <w:tcPr>
            <w:tcW w:w="1444" w:type="dxa"/>
            <w:tcBorders>
              <w:top w:val="nil" w:sz="6" w:space="0" w:color="auto"/>
              <w:left w:val="nil" w:sz="6" w:space="0" w:color="auto"/>
              <w:bottom w:val="nil" w:sz="6" w:space="0" w:color="auto"/>
              <w:right w:val="nil" w:sz="6" w:space="0" w:color="auto"/>
            </w:tcBorders>
          </w:tcPr>
          <w:p>
            <w:pPr>
              <w:pStyle w:val="TableParagraph"/>
              <w:tabs>
                <w:tab w:pos="1166" w:val="left" w:leader="none"/>
                <w:tab w:pos="1581" w:val="left" w:leader="none"/>
              </w:tabs>
              <w:spacing w:line="240" w:lineRule="auto" w:before="15"/>
              <w:ind w:left="76" w:right="-138"/>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t>  </w:t>
            </w:r>
            <w:r>
              <w:rPr>
                <w:rFonts w:ascii="Arial"/>
                <w:spacing w:val="-14"/>
                <w:sz w:val="18"/>
              </w:rPr>
              <w:t> </w:t>
            </w:r>
            <w:r>
              <w:rPr>
                <w:rFonts w:ascii="Arial"/>
                <w:spacing w:val="-14"/>
                <w:w w:val="100"/>
                <w:sz w:val="18"/>
              </w:rPr>
            </w:r>
            <w:r>
              <w:rPr>
                <w:rFonts w:ascii="Arial"/>
                <w:w w:val="100"/>
                <w:sz w:val="18"/>
                <w:u w:val="single" w:color="000000"/>
              </w:rPr>
              <w:t> </w:t>
            </w:r>
            <w:r>
              <w:rPr>
                <w:rFonts w:ascii="Arial"/>
                <w:sz w:val="18"/>
                <w:u w:val="single" w:color="000000"/>
              </w:rPr>
              <w:tab/>
            </w:r>
            <w:r>
              <w:rPr>
                <w:rFonts w:ascii="Arial"/>
                <w:sz w:val="18"/>
              </w:rPr>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4"/>
              <w:jc w:val="right"/>
              <w:rPr>
                <w:rFonts w:ascii="Arial" w:hAnsi="Arial" w:cs="Arial" w:eastAsia="Arial" w:hint="default"/>
                <w:sz w:val="18"/>
                <w:szCs w:val="18"/>
              </w:rPr>
            </w:pPr>
            <w:r>
              <w:rPr>
                <w:rFonts w:ascii="Arial"/>
                <w:w w:val="99"/>
                <w:sz w:val="18"/>
              </w:rPr>
            </w:r>
            <w:r>
              <w:rPr>
                <w:rFonts w:ascii="Arial"/>
                <w:spacing w:val="-1"/>
                <w:sz w:val="18"/>
                <w:u w:val="single" w:color="000000"/>
              </w:rPr>
              <w:t>134,652,066</w:t>
            </w:r>
            <w:r>
              <w:rPr>
                <w:rFonts w:ascii="Arial"/>
                <w:spacing w:val="-1"/>
                <w:sz w:val="18"/>
              </w:rPr>
            </w:r>
          </w:p>
        </w:tc>
        <w:tc>
          <w:tcPr>
            <w:tcW w:w="1243" w:type="dxa"/>
            <w:tcBorders>
              <w:top w:val="nil" w:sz="6" w:space="0" w:color="auto"/>
              <w:left w:val="nil" w:sz="6" w:space="0" w:color="auto"/>
              <w:bottom w:val="nil" w:sz="6" w:space="0" w:color="auto"/>
              <w:right w:val="nil" w:sz="6" w:space="0" w:color="auto"/>
            </w:tcBorders>
          </w:tcPr>
          <w:p>
            <w:pPr>
              <w:pStyle w:val="TableParagraph"/>
              <w:tabs>
                <w:tab w:pos="326" w:val="left" w:leader="none"/>
                <w:tab w:pos="2446" w:val="left" w:leader="none"/>
              </w:tabs>
              <w:spacing w:line="240" w:lineRule="auto" w:before="15"/>
              <w:ind w:right="-1203"/>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87,896,466</w:t>
              <w:tab/>
            </w:r>
            <w:r>
              <w:rPr>
                <w:rFonts w:ascii="Arial"/>
                <w:sz w:val="18"/>
              </w:rPr>
            </w:r>
          </w:p>
        </w:tc>
        <w:tc>
          <w:tcPr>
            <w:tcW w:w="1378" w:type="dxa"/>
            <w:tcBorders>
              <w:top w:val="nil" w:sz="6" w:space="0" w:color="auto"/>
              <w:left w:val="nil" w:sz="6" w:space="0" w:color="auto"/>
              <w:bottom w:val="nil" w:sz="6" w:space="0" w:color="auto"/>
              <w:right w:val="nil" w:sz="6" w:space="0" w:color="auto"/>
            </w:tcBorders>
          </w:tcPr>
          <w:p>
            <w:pPr>
              <w:pStyle w:val="TableParagraph"/>
              <w:tabs>
                <w:tab w:pos="503" w:val="left" w:leader="none"/>
              </w:tabs>
              <w:spacing w:line="240" w:lineRule="auto" w:before="15"/>
              <w:ind w:right="-329"/>
              <w:jc w:val="right"/>
              <w:rPr>
                <w:rFonts w:ascii="Arial" w:hAnsi="Arial" w:cs="Arial" w:eastAsia="Arial" w:hint="default"/>
                <w:sz w:val="18"/>
                <w:szCs w:val="18"/>
              </w:rPr>
            </w:pPr>
            <w:r>
              <w:rPr>
                <w:rFonts w:ascii="Arial"/>
                <w:w w:val="99"/>
                <w:sz w:val="18"/>
              </w:rPr>
            </w:r>
            <w:r>
              <w:rPr>
                <w:rFonts w:ascii="Arial"/>
                <w:w w:val="95"/>
                <w:sz w:val="18"/>
                <w:u w:val="single" w:color="000000"/>
              </w:rPr>
              <w:t>-</w:t>
              <w:tab/>
            </w:r>
            <w:r>
              <w:rPr>
                <w:rFonts w:ascii="Arial"/>
                <w:w w:val="95"/>
                <w:sz w:val="18"/>
              </w:rPr>
            </w:r>
            <w:r>
              <w:rPr>
                <w:rFonts w:ascii="Arial"/>
                <w:sz w:val="18"/>
              </w:rPr>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
              <w:jc w:val="right"/>
              <w:rPr>
                <w:rFonts w:ascii="Arial" w:hAnsi="Arial" w:cs="Arial" w:eastAsia="Arial" w:hint="default"/>
                <w:sz w:val="18"/>
                <w:szCs w:val="18"/>
              </w:rPr>
            </w:pPr>
            <w:r>
              <w:rPr>
                <w:rFonts w:ascii="Arial"/>
                <w:w w:val="99"/>
                <w:sz w:val="18"/>
              </w:rPr>
            </w:r>
            <w:r>
              <w:rPr>
                <w:rFonts w:ascii="Arial"/>
                <w:spacing w:val="-1"/>
                <w:sz w:val="18"/>
                <w:u w:val="single" w:color="000000"/>
              </w:rPr>
              <w:t>87,896,466</w:t>
            </w:r>
            <w:r>
              <w:rPr>
                <w:rFonts w:ascii="Arial"/>
                <w:spacing w:val="-1"/>
                <w:sz w:val="18"/>
              </w:rPr>
            </w:r>
          </w:p>
        </w:tc>
      </w:tr>
      <w:tr>
        <w:trPr>
          <w:trHeight w:val="348" w:hRule="exact"/>
        </w:trPr>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68"/>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1" w:type="dxa"/>
            <w:tcBorders>
              <w:top w:val="nil" w:sz="6" w:space="0" w:color="auto"/>
              <w:left w:val="nil" w:sz="6" w:space="0" w:color="auto"/>
              <w:bottom w:val="single" w:sz="12" w:space="0" w:color="000000"/>
              <w:right w:val="nil" w:sz="6" w:space="0" w:color="auto"/>
            </w:tcBorders>
          </w:tcPr>
          <w:p>
            <w:pPr>
              <w:pStyle w:val="TableParagraph"/>
              <w:spacing w:line="240" w:lineRule="auto" w:before="124"/>
              <w:ind w:right="10"/>
              <w:jc w:val="right"/>
              <w:rPr>
                <w:rFonts w:ascii="Arial" w:hAnsi="Arial" w:cs="Arial" w:eastAsia="Arial" w:hint="default"/>
                <w:sz w:val="18"/>
                <w:szCs w:val="18"/>
              </w:rPr>
            </w:pPr>
            <w:r>
              <w:rPr>
                <w:rFonts w:ascii="Arial"/>
                <w:spacing w:val="-1"/>
                <w:sz w:val="18"/>
              </w:rPr>
              <w:t>4,639,227,241</w:t>
            </w:r>
          </w:p>
        </w:tc>
        <w:tc>
          <w:tcPr>
            <w:tcW w:w="1444" w:type="dxa"/>
            <w:tcBorders>
              <w:top w:val="nil" w:sz="6" w:space="0" w:color="auto"/>
              <w:left w:val="nil" w:sz="6" w:space="0" w:color="auto"/>
              <w:bottom w:val="single" w:sz="12" w:space="0" w:color="000000"/>
              <w:right w:val="nil" w:sz="6" w:space="0" w:color="auto"/>
            </w:tcBorders>
          </w:tcPr>
          <w:p>
            <w:pPr>
              <w:pStyle w:val="TableParagraph"/>
              <w:spacing w:line="240" w:lineRule="auto" w:before="124"/>
              <w:ind w:left="108" w:right="0"/>
              <w:jc w:val="left"/>
              <w:rPr>
                <w:rFonts w:ascii="Arial" w:hAnsi="Arial" w:cs="Arial" w:eastAsia="Arial" w:hint="default"/>
                <w:sz w:val="18"/>
                <w:szCs w:val="18"/>
              </w:rPr>
            </w:pPr>
            <w:r>
              <w:rPr>
                <w:rFonts w:ascii="Arial"/>
                <w:sz w:val="18"/>
              </w:rPr>
              <w:t>(260,754,380)</w:t>
            </w:r>
          </w:p>
        </w:tc>
        <w:tc>
          <w:tcPr>
            <w:tcW w:w="1216" w:type="dxa"/>
            <w:tcBorders>
              <w:top w:val="nil" w:sz="6" w:space="0" w:color="auto"/>
              <w:left w:val="nil" w:sz="6" w:space="0" w:color="auto"/>
              <w:bottom w:val="single" w:sz="12" w:space="0" w:color="000000"/>
              <w:right w:val="nil" w:sz="6" w:space="0" w:color="auto"/>
            </w:tcBorders>
          </w:tcPr>
          <w:p>
            <w:pPr>
              <w:pStyle w:val="TableParagraph"/>
              <w:spacing w:line="240" w:lineRule="auto" w:before="124"/>
              <w:ind w:left="-11" w:right="72"/>
              <w:jc w:val="right"/>
              <w:rPr>
                <w:rFonts w:ascii="Arial" w:hAnsi="Arial" w:cs="Arial" w:eastAsia="Arial" w:hint="default"/>
                <w:sz w:val="18"/>
                <w:szCs w:val="18"/>
              </w:rPr>
            </w:pPr>
            <w:r>
              <w:rPr>
                <w:rFonts w:ascii="Arial"/>
                <w:spacing w:val="-1"/>
                <w:sz w:val="18"/>
              </w:rPr>
              <w:t>4,378,472,861</w:t>
            </w:r>
          </w:p>
        </w:tc>
        <w:tc>
          <w:tcPr>
            <w:tcW w:w="1243" w:type="dxa"/>
            <w:tcBorders>
              <w:top w:val="nil" w:sz="6" w:space="0" w:color="auto"/>
              <w:left w:val="nil" w:sz="6" w:space="0" w:color="auto"/>
              <w:bottom w:val="single" w:sz="12" w:space="0" w:color="000000"/>
              <w:right w:val="nil" w:sz="6" w:space="0" w:color="auto"/>
            </w:tcBorders>
          </w:tcPr>
          <w:p>
            <w:pPr>
              <w:pStyle w:val="TableParagraph"/>
              <w:spacing w:line="240" w:lineRule="auto" w:before="124"/>
              <w:ind w:left="19" w:right="0"/>
              <w:jc w:val="left"/>
              <w:rPr>
                <w:rFonts w:ascii="Arial" w:hAnsi="Arial" w:cs="Arial" w:eastAsia="Arial" w:hint="default"/>
                <w:sz w:val="18"/>
                <w:szCs w:val="18"/>
              </w:rPr>
            </w:pPr>
            <w:r>
              <w:rPr>
                <w:rFonts w:ascii="Arial"/>
                <w:sz w:val="18"/>
              </w:rPr>
              <w:t>5,920,730,931</w:t>
            </w:r>
          </w:p>
        </w:tc>
        <w:tc>
          <w:tcPr>
            <w:tcW w:w="1378" w:type="dxa"/>
            <w:tcBorders>
              <w:top w:val="nil" w:sz="6" w:space="0" w:color="auto"/>
              <w:left w:val="nil" w:sz="6" w:space="0" w:color="auto"/>
              <w:bottom w:val="single" w:sz="12" w:space="0" w:color="000000"/>
              <w:right w:val="nil" w:sz="6" w:space="0" w:color="auto"/>
            </w:tcBorders>
          </w:tcPr>
          <w:p>
            <w:pPr>
              <w:pStyle w:val="TableParagraph"/>
              <w:spacing w:line="240" w:lineRule="auto" w:before="124"/>
              <w:ind w:left="165" w:right="0"/>
              <w:jc w:val="left"/>
              <w:rPr>
                <w:rFonts w:ascii="Arial" w:hAnsi="Arial" w:cs="Arial" w:eastAsia="Arial" w:hint="default"/>
                <w:sz w:val="18"/>
                <w:szCs w:val="18"/>
              </w:rPr>
            </w:pPr>
            <w:r>
              <w:rPr>
                <w:rFonts w:ascii="Arial"/>
                <w:sz w:val="18"/>
              </w:rPr>
              <w:t>(384,959,516)</w:t>
            </w:r>
          </w:p>
        </w:tc>
        <w:tc>
          <w:tcPr>
            <w:tcW w:w="1231" w:type="dxa"/>
            <w:tcBorders>
              <w:top w:val="nil" w:sz="6" w:space="0" w:color="auto"/>
              <w:left w:val="nil" w:sz="6" w:space="0" w:color="auto"/>
              <w:bottom w:val="single" w:sz="12" w:space="0" w:color="000000"/>
              <w:right w:val="nil" w:sz="6" w:space="0" w:color="auto"/>
            </w:tcBorders>
          </w:tcPr>
          <w:p>
            <w:pPr>
              <w:pStyle w:val="TableParagraph"/>
              <w:spacing w:line="240" w:lineRule="auto" w:before="124"/>
              <w:ind w:right="43"/>
              <w:jc w:val="right"/>
              <w:rPr>
                <w:rFonts w:ascii="Arial" w:hAnsi="Arial" w:cs="Arial" w:eastAsia="Arial" w:hint="default"/>
                <w:sz w:val="18"/>
                <w:szCs w:val="18"/>
              </w:rPr>
            </w:pPr>
            <w:r>
              <w:rPr>
                <w:rFonts w:ascii="Arial"/>
                <w:spacing w:val="-1"/>
                <w:sz w:val="18"/>
              </w:rPr>
              <w:t>5,535,771,415</w:t>
            </w:r>
          </w:p>
        </w:tc>
      </w:tr>
    </w:tbl>
    <w:p>
      <w:pPr>
        <w:spacing w:line="240" w:lineRule="auto" w:before="11"/>
        <w:rPr>
          <w:rFonts w:ascii="宋体" w:hAnsi="宋体" w:cs="宋体" w:eastAsia="宋体" w:hint="default"/>
          <w:sz w:val="13"/>
          <w:szCs w:val="13"/>
        </w:rPr>
      </w:pPr>
    </w:p>
    <w:p>
      <w:pPr>
        <w:pStyle w:val="BodyText"/>
        <w:spacing w:line="240" w:lineRule="auto" w:before="32"/>
        <w:ind w:left="102" w:right="0"/>
        <w:jc w:val="left"/>
      </w:pPr>
      <w:r>
        <w:rPr>
          <w:rFonts w:ascii="Arial" w:hAnsi="Arial" w:cs="Arial" w:eastAsia="Arial" w:hint="default"/>
        </w:rPr>
        <w:t>(b) </w:t>
      </w:r>
      <w:r>
        <w:rPr>
          <w:rFonts w:ascii="Arial" w:hAnsi="Arial" w:cs="Arial" w:eastAsia="Arial" w:hint="default"/>
          <w:spacing w:val="3"/>
        </w:rPr>
        <w:t> </w:t>
      </w:r>
      <w:r>
        <w:rPr/>
        <w:t>存货跌价准备分析如下：</w:t>
      </w:r>
    </w:p>
    <w:p>
      <w:pPr>
        <w:spacing w:line="240" w:lineRule="auto" w:before="2"/>
        <w:rPr>
          <w:rFonts w:ascii="宋体" w:hAnsi="宋体" w:cs="宋体" w:eastAsia="宋体" w:hint="default"/>
          <w:sz w:val="23"/>
          <w:szCs w:val="23"/>
        </w:rPr>
      </w:pPr>
    </w:p>
    <w:tbl>
      <w:tblPr>
        <w:tblW w:w="0" w:type="auto"/>
        <w:jc w:val="left"/>
        <w:tblInd w:w="361" w:type="dxa"/>
        <w:tblLayout w:type="fixed"/>
        <w:tblCellMar>
          <w:top w:w="0" w:type="dxa"/>
          <w:left w:w="0" w:type="dxa"/>
          <w:bottom w:w="0" w:type="dxa"/>
          <w:right w:w="0" w:type="dxa"/>
        </w:tblCellMar>
        <w:tblLook w:val="01E0"/>
      </w:tblPr>
      <w:tblGrid>
        <w:gridCol w:w="2901"/>
        <w:gridCol w:w="1450"/>
        <w:gridCol w:w="118"/>
        <w:gridCol w:w="1486"/>
        <w:gridCol w:w="118"/>
        <w:gridCol w:w="1438"/>
        <w:gridCol w:w="101"/>
        <w:gridCol w:w="1628"/>
      </w:tblGrid>
      <w:tr>
        <w:trPr>
          <w:trHeight w:val="522" w:hRule="exact"/>
        </w:trPr>
        <w:tc>
          <w:tcPr>
            <w:tcW w:w="2901"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single" w:sz="6" w:space="0" w:color="000000"/>
              <w:right w:val="nil" w:sz="6" w:space="0" w:color="auto"/>
            </w:tcBorders>
          </w:tcPr>
          <w:p>
            <w:pPr>
              <w:pStyle w:val="TableParagraph"/>
              <w:spacing w:line="218" w:lineRule="exact"/>
              <w:ind w:left="695"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82" w:lineRule="exact"/>
              <w:ind w:left="381"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18"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1"/>
                <w:sz w:val="21"/>
                <w:szCs w:val="21"/>
              </w:rPr>
              <w:t>本年计提</w:t>
            </w:r>
          </w:p>
        </w:tc>
        <w:tc>
          <w:tcPr>
            <w:tcW w:w="118"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single" w:sz="6" w:space="0" w:color="000000"/>
              <w:right w:val="nil" w:sz="6" w:space="0" w:color="auto"/>
            </w:tcBorders>
          </w:tcPr>
          <w:p>
            <w:pPr>
              <w:pStyle w:val="TableParagraph"/>
              <w:spacing w:line="210" w:lineRule="exact"/>
              <w:ind w:right="17"/>
              <w:jc w:val="right"/>
              <w:rPr>
                <w:rFonts w:ascii="宋体" w:hAnsi="宋体" w:cs="宋体" w:eastAsia="宋体" w:hint="default"/>
                <w:sz w:val="21"/>
                <w:szCs w:val="21"/>
              </w:rPr>
            </w:pPr>
            <w:r>
              <w:rPr>
                <w:rFonts w:ascii="宋体" w:hAnsi="宋体" w:cs="宋体" w:eastAsia="宋体" w:hint="default"/>
                <w:spacing w:val="-1"/>
                <w:sz w:val="21"/>
                <w:szCs w:val="21"/>
              </w:rPr>
              <w:t>本年转回或转</w:t>
            </w:r>
          </w:p>
          <w:p>
            <w:pPr>
              <w:pStyle w:val="TableParagraph"/>
              <w:spacing w:line="274" w:lineRule="exact"/>
              <w:ind w:right="19"/>
              <w:jc w:val="right"/>
              <w:rPr>
                <w:rFonts w:ascii="宋体" w:hAnsi="宋体" w:cs="宋体" w:eastAsia="宋体" w:hint="default"/>
                <w:sz w:val="21"/>
                <w:szCs w:val="21"/>
              </w:rPr>
            </w:pPr>
            <w:r>
              <w:rPr>
                <w:rFonts w:ascii="宋体" w:hAnsi="宋体" w:cs="宋体" w:eastAsia="宋体" w:hint="default"/>
                <w:w w:val="100"/>
                <w:sz w:val="21"/>
                <w:szCs w:val="21"/>
              </w:rPr>
              <w:t>销</w:t>
            </w:r>
          </w:p>
        </w:tc>
        <w:tc>
          <w:tcPr>
            <w:tcW w:w="101"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single" w:sz="6" w:space="0" w:color="000000"/>
              <w:right w:val="nil" w:sz="6" w:space="0" w:color="auto"/>
            </w:tcBorders>
          </w:tcPr>
          <w:p>
            <w:pPr>
              <w:pStyle w:val="TableParagraph"/>
              <w:spacing w:line="218" w:lineRule="exact"/>
              <w:ind w:left="876"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82" w:lineRule="exact"/>
              <w:ind w:left="562"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610" w:hRule="exact"/>
        </w:trPr>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手机及其他通信终端</w:t>
            </w:r>
          </w:p>
        </w:tc>
        <w:tc>
          <w:tcPr>
            <w:tcW w:w="1450"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44"/>
              <w:jc w:val="right"/>
              <w:rPr>
                <w:rFonts w:ascii="Arial" w:hAnsi="Arial" w:cs="Arial" w:eastAsia="Arial" w:hint="default"/>
                <w:sz w:val="18"/>
                <w:szCs w:val="18"/>
              </w:rPr>
            </w:pPr>
            <w:r>
              <w:rPr>
                <w:rFonts w:ascii="Arial"/>
                <w:spacing w:val="-1"/>
                <w:sz w:val="18"/>
              </w:rPr>
              <w:t>(383,090,890)</w:t>
            </w:r>
          </w:p>
        </w:tc>
        <w:tc>
          <w:tcPr>
            <w:tcW w:w="118" w:type="dxa"/>
            <w:tcBorders>
              <w:top w:val="nil" w:sz="6" w:space="0" w:color="auto"/>
              <w:left w:val="nil" w:sz="6" w:space="0" w:color="auto"/>
              <w:bottom w:val="nil" w:sz="6" w:space="0" w:color="auto"/>
              <w:right w:val="nil" w:sz="6" w:space="0" w:color="auto"/>
            </w:tcBorders>
          </w:tcPr>
          <w:p>
            <w:pPr/>
          </w:p>
        </w:tc>
        <w:tc>
          <w:tcPr>
            <w:tcW w:w="148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54"/>
              <w:jc w:val="right"/>
              <w:rPr>
                <w:rFonts w:ascii="Arial" w:hAnsi="Arial" w:cs="Arial" w:eastAsia="Arial" w:hint="default"/>
                <w:sz w:val="18"/>
                <w:szCs w:val="18"/>
              </w:rPr>
            </w:pPr>
            <w:r>
              <w:rPr>
                <w:rFonts w:ascii="Arial"/>
                <w:spacing w:val="-1"/>
                <w:sz w:val="18"/>
              </w:rPr>
              <w:t>(478,346,672)</w:t>
            </w:r>
          </w:p>
        </w:tc>
        <w:tc>
          <w:tcPr>
            <w:tcW w:w="118" w:type="dxa"/>
            <w:tcBorders>
              <w:top w:val="nil" w:sz="6" w:space="0" w:color="auto"/>
              <w:left w:val="nil" w:sz="6" w:space="0" w:color="auto"/>
              <w:bottom w:val="nil" w:sz="6" w:space="0" w:color="auto"/>
              <w:right w:val="nil" w:sz="6" w:space="0" w:color="auto"/>
            </w:tcBorders>
          </w:tcPr>
          <w:p>
            <w:pPr/>
          </w:p>
        </w:tc>
        <w:tc>
          <w:tcPr>
            <w:tcW w:w="143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52"/>
              <w:jc w:val="right"/>
              <w:rPr>
                <w:rFonts w:ascii="Arial" w:hAnsi="Arial" w:cs="Arial" w:eastAsia="Arial" w:hint="default"/>
                <w:sz w:val="18"/>
                <w:szCs w:val="18"/>
              </w:rPr>
            </w:pPr>
            <w:r>
              <w:rPr>
                <w:rFonts w:ascii="Arial"/>
                <w:spacing w:val="-1"/>
                <w:sz w:val="18"/>
              </w:rPr>
              <w:t>605,585,252</w:t>
            </w:r>
          </w:p>
        </w:tc>
        <w:tc>
          <w:tcPr>
            <w:tcW w:w="101" w:type="dxa"/>
            <w:tcBorders>
              <w:top w:val="nil" w:sz="6" w:space="0" w:color="auto"/>
              <w:left w:val="nil" w:sz="6" w:space="0" w:color="auto"/>
              <w:bottom w:val="nil" w:sz="6" w:space="0" w:color="auto"/>
              <w:right w:val="nil" w:sz="6" w:space="0" w:color="auto"/>
            </w:tcBorders>
          </w:tcPr>
          <w:p>
            <w:pPr/>
          </w:p>
        </w:tc>
        <w:tc>
          <w:tcPr>
            <w:tcW w:w="162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49"/>
              <w:jc w:val="right"/>
              <w:rPr>
                <w:rFonts w:ascii="Arial" w:hAnsi="Arial" w:cs="Arial" w:eastAsia="Arial" w:hint="default"/>
                <w:sz w:val="18"/>
                <w:szCs w:val="18"/>
              </w:rPr>
            </w:pPr>
            <w:r>
              <w:rPr>
                <w:rFonts w:ascii="Arial"/>
                <w:spacing w:val="-1"/>
                <w:sz w:val="18"/>
              </w:rPr>
              <w:t>(255,852,310)</w:t>
            </w:r>
          </w:p>
        </w:tc>
      </w:tr>
      <w:tr>
        <w:trPr>
          <w:trHeight w:val="287" w:hRule="exact"/>
        </w:trPr>
        <w:tc>
          <w:tcPr>
            <w:tcW w:w="2901" w:type="dxa"/>
            <w:tcBorders>
              <w:top w:val="nil" w:sz="6" w:space="0" w:color="auto"/>
              <w:left w:val="nil" w:sz="6" w:space="0" w:color="auto"/>
              <w:bottom w:val="nil" w:sz="6" w:space="0" w:color="auto"/>
              <w:right w:val="nil" w:sz="6" w:space="0" w:color="auto"/>
            </w:tcBorders>
          </w:tcPr>
          <w:p>
            <w:pPr>
              <w:pStyle w:val="TableParagraph"/>
              <w:spacing w:line="243" w:lineRule="exact"/>
              <w:ind w:left="200" w:right="0"/>
              <w:jc w:val="left"/>
              <w:rPr>
                <w:rFonts w:ascii="宋体" w:hAnsi="宋体" w:cs="宋体" w:eastAsia="宋体" w:hint="default"/>
                <w:sz w:val="21"/>
                <w:szCs w:val="21"/>
              </w:rPr>
            </w:pPr>
            <w:r>
              <w:rPr>
                <w:rFonts w:ascii="Arial" w:hAnsi="Arial" w:cs="Arial" w:eastAsia="Arial" w:hint="default"/>
                <w:sz w:val="21"/>
                <w:szCs w:val="21"/>
              </w:rPr>
              <w:t>SIM </w:t>
            </w:r>
            <w:r>
              <w:rPr>
                <w:rFonts w:ascii="宋体" w:hAnsi="宋体" w:cs="宋体" w:eastAsia="宋体" w:hint="default"/>
                <w:spacing w:val="-13"/>
                <w:sz w:val="21"/>
                <w:szCs w:val="21"/>
              </w:rPr>
              <w:t>卡、</w:t>
            </w:r>
            <w:r>
              <w:rPr>
                <w:rFonts w:ascii="Arial" w:hAnsi="Arial" w:cs="Arial" w:eastAsia="Arial" w:hint="default"/>
                <w:spacing w:val="-13"/>
                <w:sz w:val="21"/>
                <w:szCs w:val="21"/>
              </w:rPr>
              <w:t>UIM</w:t>
            </w:r>
            <w:r>
              <w:rPr>
                <w:rFonts w:ascii="Arial" w:hAnsi="Arial" w:cs="Arial" w:eastAsia="Arial" w:hint="default"/>
                <w:spacing w:val="-8"/>
                <w:sz w:val="21"/>
                <w:szCs w:val="21"/>
              </w:rPr>
              <w:t> </w:t>
            </w:r>
            <w:r>
              <w:rPr>
                <w:rFonts w:ascii="宋体" w:hAnsi="宋体" w:cs="宋体" w:eastAsia="宋体" w:hint="default"/>
                <w:sz w:val="21"/>
                <w:szCs w:val="21"/>
              </w:rPr>
              <w:t>卡及预付电话卡</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2"/>
              <w:jc w:val="right"/>
              <w:rPr>
                <w:rFonts w:ascii="Arial" w:hAnsi="Arial" w:cs="Arial" w:eastAsia="Arial" w:hint="default"/>
                <w:sz w:val="18"/>
                <w:szCs w:val="18"/>
              </w:rPr>
            </w:pPr>
            <w:r>
              <w:rPr>
                <w:rFonts w:ascii="Arial"/>
                <w:spacing w:val="-1"/>
                <w:sz w:val="18"/>
              </w:rPr>
              <w:t>(1,341,207)</w:t>
            </w:r>
          </w:p>
        </w:tc>
        <w:tc>
          <w:tcPr>
            <w:tcW w:w="118"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2"/>
              <w:jc w:val="right"/>
              <w:rPr>
                <w:rFonts w:ascii="Arial" w:hAnsi="Arial" w:cs="Arial" w:eastAsia="Arial" w:hint="default"/>
                <w:sz w:val="18"/>
                <w:szCs w:val="18"/>
              </w:rPr>
            </w:pPr>
            <w:r>
              <w:rPr>
                <w:rFonts w:ascii="Arial"/>
                <w:spacing w:val="-1"/>
                <w:sz w:val="18"/>
              </w:rPr>
              <w:t>(4,539,749)</w:t>
            </w:r>
          </w:p>
        </w:tc>
        <w:tc>
          <w:tcPr>
            <w:tcW w:w="118"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0"/>
              <w:jc w:val="right"/>
              <w:rPr>
                <w:rFonts w:ascii="Arial" w:hAnsi="Arial" w:cs="Arial" w:eastAsia="Arial" w:hint="default"/>
                <w:sz w:val="18"/>
                <w:szCs w:val="18"/>
              </w:rPr>
            </w:pPr>
            <w:r>
              <w:rPr>
                <w:rFonts w:ascii="Arial"/>
                <w:spacing w:val="-1"/>
                <w:sz w:val="18"/>
              </w:rPr>
              <w:t>1,515,667</w:t>
            </w:r>
          </w:p>
        </w:tc>
        <w:tc>
          <w:tcPr>
            <w:tcW w:w="101"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9"/>
              <w:jc w:val="right"/>
              <w:rPr>
                <w:rFonts w:ascii="Arial" w:hAnsi="Arial" w:cs="Arial" w:eastAsia="Arial" w:hint="default"/>
                <w:sz w:val="18"/>
                <w:szCs w:val="18"/>
              </w:rPr>
            </w:pPr>
            <w:r>
              <w:rPr>
                <w:rFonts w:ascii="Arial"/>
                <w:spacing w:val="-1"/>
                <w:sz w:val="18"/>
              </w:rPr>
              <w:t>(4,365,289)</w:t>
            </w:r>
          </w:p>
        </w:tc>
      </w:tr>
      <w:tr>
        <w:trPr>
          <w:trHeight w:val="455" w:hRule="exact"/>
        </w:trPr>
        <w:tc>
          <w:tcPr>
            <w:tcW w:w="2901" w:type="dxa"/>
            <w:tcBorders>
              <w:top w:val="nil" w:sz="6" w:space="0" w:color="auto"/>
              <w:left w:val="nil" w:sz="6" w:space="0" w:color="auto"/>
              <w:bottom w:val="nil" w:sz="6" w:space="0" w:color="auto"/>
              <w:right w:val="nil" w:sz="6" w:space="0" w:color="auto"/>
            </w:tcBorders>
          </w:tcPr>
          <w:p>
            <w:pPr>
              <w:pStyle w:val="TableParagraph"/>
              <w:spacing w:line="244" w:lineRule="exact"/>
              <w:ind w:left="200" w:right="0"/>
              <w:jc w:val="left"/>
              <w:rPr>
                <w:rFonts w:ascii="宋体" w:hAnsi="宋体" w:cs="宋体" w:eastAsia="宋体" w:hint="default"/>
                <w:sz w:val="21"/>
                <w:szCs w:val="21"/>
              </w:rPr>
            </w:pPr>
            <w:r>
              <w:rPr>
                <w:rFonts w:ascii="宋体" w:hAnsi="宋体" w:cs="宋体" w:eastAsia="宋体" w:hint="default"/>
                <w:sz w:val="21"/>
                <w:szCs w:val="21"/>
              </w:rPr>
              <w:t>备品备件</w:t>
            </w:r>
          </w:p>
        </w:tc>
        <w:tc>
          <w:tcPr>
            <w:tcW w:w="1450" w:type="dxa"/>
            <w:tcBorders>
              <w:top w:val="nil" w:sz="6" w:space="0" w:color="auto"/>
              <w:left w:val="nil" w:sz="6" w:space="0" w:color="auto"/>
              <w:bottom w:val="nil" w:sz="6" w:space="0" w:color="auto"/>
              <w:right w:val="nil" w:sz="6" w:space="0" w:color="auto"/>
            </w:tcBorders>
          </w:tcPr>
          <w:p>
            <w:pPr>
              <w:pStyle w:val="TableParagraph"/>
              <w:tabs>
                <w:tab w:pos="631" w:val="left" w:leader="none"/>
              </w:tabs>
              <w:spacing w:line="240" w:lineRule="auto" w:before="67"/>
              <w:ind w:right="4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(527,419)</w:t>
            </w:r>
            <w:r>
              <w:rPr>
                <w:rFonts w:ascii="Arial"/>
                <w:spacing w:val="-1"/>
                <w:sz w:val="18"/>
              </w:rPr>
            </w:r>
          </w:p>
        </w:tc>
        <w:tc>
          <w:tcPr>
            <w:tcW w:w="118"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tabs>
                <w:tab w:pos="657" w:val="left" w:leader="none"/>
                <w:tab w:pos="1486" w:val="left" w:leader="none"/>
              </w:tabs>
              <w:spacing w:line="240" w:lineRule="auto" w:before="67"/>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(310,625)</w:t>
              <w:tab/>
            </w:r>
            <w:r>
              <w:rPr>
                <w:rFonts w:ascii="Arial"/>
                <w:spacing w:val="-1"/>
                <w:sz w:val="18"/>
              </w:rPr>
            </w:r>
          </w:p>
        </w:tc>
        <w:tc>
          <w:tcPr>
            <w:tcW w:w="118"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tabs>
                <w:tab w:pos="724" w:val="left" w:leader="none"/>
                <w:tab w:pos="1430" w:val="left" w:leader="none"/>
              </w:tabs>
              <w:spacing w:line="240" w:lineRule="auto" w:before="67"/>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301,263</w:t>
              <w:tab/>
            </w:r>
            <w:r>
              <w:rPr>
                <w:rFonts w:ascii="Arial"/>
                <w:spacing w:val="-1"/>
                <w:sz w:val="18"/>
              </w:rPr>
            </w:r>
          </w:p>
        </w:tc>
        <w:tc>
          <w:tcPr>
            <w:tcW w:w="101"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tabs>
                <w:tab w:pos="804" w:val="left" w:leader="none"/>
                <w:tab w:pos="1627" w:val="left" w:leader="none"/>
              </w:tabs>
              <w:spacing w:line="240" w:lineRule="auto" w:before="67"/>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(536,781)</w:t>
              <w:tab/>
            </w:r>
            <w:r>
              <w:rPr>
                <w:rFonts w:ascii="Arial"/>
                <w:spacing w:val="-1"/>
                <w:sz w:val="18"/>
              </w:rPr>
            </w:r>
          </w:p>
        </w:tc>
      </w:tr>
      <w:tr>
        <w:trPr>
          <w:trHeight w:val="453" w:hRule="exact"/>
        </w:trPr>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2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50" w:type="dxa"/>
            <w:tcBorders>
              <w:top w:val="nil" w:sz="6" w:space="0" w:color="auto"/>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44"/>
              <w:jc w:val="right"/>
              <w:rPr>
                <w:rFonts w:ascii="Arial" w:hAnsi="Arial" w:cs="Arial" w:eastAsia="Arial" w:hint="default"/>
                <w:sz w:val="18"/>
                <w:szCs w:val="18"/>
              </w:rPr>
            </w:pPr>
            <w:r>
              <w:rPr>
                <w:rFonts w:ascii="Arial"/>
                <w:spacing w:val="-1"/>
                <w:sz w:val="18"/>
              </w:rPr>
              <w:t>(384,959,516)</w:t>
            </w:r>
          </w:p>
        </w:tc>
        <w:tc>
          <w:tcPr>
            <w:tcW w:w="118"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52"/>
              <w:jc w:val="right"/>
              <w:rPr>
                <w:rFonts w:ascii="Arial" w:hAnsi="Arial" w:cs="Arial" w:eastAsia="Arial" w:hint="default"/>
                <w:sz w:val="18"/>
                <w:szCs w:val="18"/>
              </w:rPr>
            </w:pPr>
            <w:r>
              <w:rPr>
                <w:rFonts w:ascii="Arial"/>
                <w:spacing w:val="-1"/>
                <w:sz w:val="18"/>
              </w:rPr>
              <w:t>(483,197,046)</w:t>
            </w:r>
          </w:p>
        </w:tc>
        <w:tc>
          <w:tcPr>
            <w:tcW w:w="118"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52"/>
              <w:jc w:val="right"/>
              <w:rPr>
                <w:rFonts w:ascii="Arial" w:hAnsi="Arial" w:cs="Arial" w:eastAsia="Arial" w:hint="default"/>
                <w:sz w:val="18"/>
                <w:szCs w:val="18"/>
              </w:rPr>
            </w:pPr>
            <w:r>
              <w:rPr>
                <w:rFonts w:ascii="Arial"/>
                <w:spacing w:val="-1"/>
                <w:sz w:val="18"/>
              </w:rPr>
              <w:t>607,402,182</w:t>
            </w:r>
          </w:p>
        </w:tc>
        <w:tc>
          <w:tcPr>
            <w:tcW w:w="101"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49"/>
              <w:jc w:val="right"/>
              <w:rPr>
                <w:rFonts w:ascii="Arial" w:hAnsi="Arial" w:cs="Arial" w:eastAsia="Arial" w:hint="default"/>
                <w:sz w:val="18"/>
                <w:szCs w:val="18"/>
              </w:rPr>
            </w:pPr>
            <w:r>
              <w:rPr>
                <w:rFonts w:ascii="Arial"/>
                <w:spacing w:val="-1"/>
                <w:sz w:val="18"/>
              </w:rPr>
              <w:t>(260,754,380)</w:t>
            </w:r>
          </w:p>
        </w:tc>
      </w:tr>
    </w:tbl>
    <w:p>
      <w:pPr>
        <w:spacing w:line="240" w:lineRule="auto" w:before="11"/>
        <w:rPr>
          <w:rFonts w:ascii="宋体" w:hAnsi="宋体" w:cs="宋体" w:eastAsia="宋体" w:hint="default"/>
          <w:sz w:val="13"/>
          <w:szCs w:val="13"/>
        </w:rPr>
      </w:pPr>
    </w:p>
    <w:p>
      <w:pPr>
        <w:pStyle w:val="BodyText"/>
        <w:spacing w:line="286" w:lineRule="exact" w:before="61"/>
        <w:ind w:left="508" w:right="0" w:hanging="406"/>
        <w:jc w:val="left"/>
      </w:pPr>
      <w:r>
        <w:rPr>
          <w:rFonts w:ascii="Arial" w:hAnsi="Arial" w:cs="Arial" w:eastAsia="Arial" w:hint="default"/>
        </w:rPr>
        <w:t>(c)</w:t>
      </w:r>
      <w:r>
        <w:rPr>
          <w:rFonts w:ascii="Arial" w:hAnsi="Arial" w:cs="Arial" w:eastAsia="Arial" w:hint="default"/>
          <w:spacing w:val="26"/>
        </w:rPr>
        <w:t> </w:t>
      </w:r>
      <w:r>
        <w:rPr/>
        <w:t>存货跌价准备的计提主要是因为存货陈旧过时或销售价格下降。本年转销是由于部分在以前年</w:t>
      </w:r>
      <w:r>
        <w:rPr>
          <w:spacing w:val="-107"/>
        </w:rPr>
        <w:t> </w:t>
      </w:r>
      <w:r>
        <w:rPr>
          <w:spacing w:val="-107"/>
        </w:rPr>
      </w:r>
      <w:r>
        <w:rPr/>
        <w:t>度已计提跌价准备的存货于本年因出售而转出相应已计提的跌价准备。</w:t>
      </w:r>
    </w:p>
    <w:p>
      <w:pPr>
        <w:spacing w:line="240" w:lineRule="auto" w:before="1"/>
        <w:rPr>
          <w:rFonts w:ascii="宋体" w:hAnsi="宋体" w:cs="宋体" w:eastAsia="宋体" w:hint="default"/>
          <w:sz w:val="17"/>
          <w:szCs w:val="17"/>
        </w:rPr>
      </w:pPr>
    </w:p>
    <w:p>
      <w:pPr>
        <w:pStyle w:val="BodyText"/>
        <w:spacing w:line="240" w:lineRule="auto"/>
        <w:ind w:left="117" w:right="0"/>
        <w:jc w:val="left"/>
      </w:pPr>
      <w:r>
        <w:rPr>
          <w:rFonts w:ascii="Arial" w:hAnsi="Arial" w:cs="Arial" w:eastAsia="Arial" w:hint="default"/>
        </w:rPr>
        <w:t>7</w:t>
      </w:r>
      <w:r>
        <w:rPr/>
        <w:t>、</w:t>
      </w:r>
      <w:r>
        <w:rPr>
          <w:spacing w:val="-46"/>
        </w:rPr>
        <w:t> </w:t>
      </w:r>
      <w:r>
        <w:rPr/>
        <w:t>其他流动资产</w:t>
      </w:r>
    </w:p>
    <w:p>
      <w:pPr>
        <w:spacing w:line="240" w:lineRule="auto" w:before="3"/>
        <w:rPr>
          <w:rFonts w:ascii="宋体" w:hAnsi="宋体" w:cs="宋体" w:eastAsia="宋体" w:hint="default"/>
          <w:sz w:val="23"/>
          <w:szCs w:val="23"/>
        </w:rPr>
      </w:pPr>
    </w:p>
    <w:tbl>
      <w:tblPr>
        <w:tblW w:w="0" w:type="auto"/>
        <w:jc w:val="left"/>
        <w:tblInd w:w="361" w:type="dxa"/>
        <w:tblLayout w:type="fixed"/>
        <w:tblCellMar>
          <w:top w:w="0" w:type="dxa"/>
          <w:left w:w="0" w:type="dxa"/>
          <w:bottom w:w="0" w:type="dxa"/>
          <w:right w:w="0" w:type="dxa"/>
        </w:tblCellMar>
        <w:tblLook w:val="01E0"/>
      </w:tblPr>
      <w:tblGrid>
        <w:gridCol w:w="4461"/>
        <w:gridCol w:w="2302"/>
        <w:gridCol w:w="264"/>
        <w:gridCol w:w="2211"/>
      </w:tblGrid>
      <w:tr>
        <w:trPr>
          <w:trHeight w:val="262" w:hRule="exact"/>
        </w:trPr>
        <w:tc>
          <w:tcPr>
            <w:tcW w:w="4461"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single" w:sz="6" w:space="0" w:color="000000"/>
              <w:right w:val="nil" w:sz="6" w:space="0" w:color="auto"/>
            </w:tcBorders>
          </w:tcPr>
          <w:p>
            <w:pPr>
              <w:pStyle w:val="TableParagraph"/>
              <w:spacing w:line="236" w:lineRule="exact"/>
              <w:ind w:left="280"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264"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single" w:sz="6" w:space="0" w:color="000000"/>
              <w:right w:val="nil" w:sz="6" w:space="0" w:color="auto"/>
            </w:tcBorders>
          </w:tcPr>
          <w:p>
            <w:pPr>
              <w:pStyle w:val="TableParagraph"/>
              <w:spacing w:line="236" w:lineRule="exact"/>
              <w:ind w:right="19"/>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8" w:hRule="exact"/>
        </w:trPr>
        <w:tc>
          <w:tcPr>
            <w:tcW w:w="446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待抵扣增值税（附注五</w:t>
            </w:r>
            <w:r>
              <w:rPr>
                <w:rFonts w:ascii="Arial" w:hAnsi="Arial" w:cs="Arial" w:eastAsia="Arial" w:hint="default"/>
                <w:sz w:val="22"/>
                <w:szCs w:val="22"/>
              </w:rPr>
              <w:t>(20)</w:t>
            </w:r>
            <w:r>
              <w:rPr>
                <w:rFonts w:ascii="宋体" w:hAnsi="宋体" w:cs="宋体" w:eastAsia="宋体" w:hint="default"/>
                <w:sz w:val="22"/>
                <w:szCs w:val="22"/>
              </w:rPr>
              <w:t>）</w:t>
            </w:r>
          </w:p>
        </w:tc>
        <w:tc>
          <w:tcPr>
            <w:tcW w:w="230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Arial" w:hAnsi="Arial" w:cs="Arial" w:eastAsia="Arial" w:hint="default"/>
                <w:sz w:val="22"/>
                <w:szCs w:val="22"/>
              </w:rPr>
            </w:pPr>
            <w:r>
              <w:rPr>
                <w:rFonts w:ascii="Arial"/>
                <w:spacing w:val="-1"/>
                <w:sz w:val="22"/>
              </w:rPr>
              <w:t>514,585,246</w:t>
            </w:r>
          </w:p>
        </w:tc>
        <w:tc>
          <w:tcPr>
            <w:tcW w:w="264" w:type="dxa"/>
            <w:tcBorders>
              <w:top w:val="nil" w:sz="6" w:space="0" w:color="auto"/>
              <w:left w:val="nil" w:sz="6" w:space="0" w:color="auto"/>
              <w:bottom w:val="nil" w:sz="6" w:space="0" w:color="auto"/>
              <w:right w:val="nil" w:sz="6" w:space="0" w:color="auto"/>
            </w:tcBorders>
          </w:tcPr>
          <w:p>
            <w:pPr/>
          </w:p>
        </w:tc>
        <w:tc>
          <w:tcPr>
            <w:tcW w:w="2211"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0"/>
              <w:jc w:val="right"/>
              <w:rPr>
                <w:rFonts w:ascii="Arial" w:hAnsi="Arial" w:cs="Arial" w:eastAsia="Arial" w:hint="default"/>
                <w:sz w:val="22"/>
                <w:szCs w:val="22"/>
              </w:rPr>
            </w:pPr>
            <w:r>
              <w:rPr>
                <w:rFonts w:ascii="Arial"/>
                <w:spacing w:val="-1"/>
                <w:sz w:val="22"/>
              </w:rPr>
              <w:t>149,503,684</w:t>
            </w:r>
          </w:p>
        </w:tc>
      </w:tr>
      <w:tr>
        <w:trPr>
          <w:trHeight w:val="284" w:hRule="exact"/>
        </w:trPr>
        <w:tc>
          <w:tcPr>
            <w:tcW w:w="4461"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宋体" w:hAnsi="宋体" w:cs="宋体" w:eastAsia="宋体" w:hint="default"/>
                <w:sz w:val="22"/>
                <w:szCs w:val="22"/>
              </w:rPr>
              <w:t>预缴增值税（附注五</w:t>
            </w:r>
            <w:r>
              <w:rPr>
                <w:rFonts w:ascii="Arial" w:hAnsi="Arial" w:cs="Arial" w:eastAsia="Arial" w:hint="default"/>
                <w:sz w:val="22"/>
                <w:szCs w:val="22"/>
              </w:rPr>
              <w:t>(20)</w:t>
            </w:r>
            <w:r>
              <w:rPr>
                <w:rFonts w:ascii="宋体" w:hAnsi="宋体" w:cs="宋体" w:eastAsia="宋体" w:hint="default"/>
                <w:sz w:val="22"/>
                <w:szCs w:val="22"/>
              </w:rPr>
              <w:t>）</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Arial" w:hAnsi="Arial" w:cs="Arial" w:eastAsia="Arial" w:hint="default"/>
                <w:sz w:val="22"/>
                <w:szCs w:val="22"/>
              </w:rPr>
            </w:pPr>
            <w:r>
              <w:rPr>
                <w:rFonts w:ascii="Arial"/>
                <w:spacing w:val="-1"/>
                <w:sz w:val="22"/>
              </w:rPr>
              <w:t>405,755,858</w:t>
            </w:r>
          </w:p>
        </w:tc>
        <w:tc>
          <w:tcPr>
            <w:tcW w:w="264"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3"/>
              <w:jc w:val="right"/>
              <w:rPr>
                <w:rFonts w:ascii="Arial" w:hAnsi="Arial" w:cs="Arial" w:eastAsia="Arial" w:hint="default"/>
                <w:sz w:val="22"/>
                <w:szCs w:val="22"/>
              </w:rPr>
            </w:pPr>
            <w:r>
              <w:rPr>
                <w:rFonts w:ascii="Arial"/>
                <w:w w:val="100"/>
                <w:sz w:val="22"/>
              </w:rPr>
              <w:t>-</w:t>
            </w:r>
          </w:p>
        </w:tc>
      </w:tr>
      <w:tr>
        <w:trPr>
          <w:trHeight w:val="416" w:hRule="exact"/>
        </w:trPr>
        <w:tc>
          <w:tcPr>
            <w:tcW w:w="4461"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预缴企业所得税（附注五</w:t>
            </w:r>
            <w:r>
              <w:rPr>
                <w:rFonts w:ascii="Arial" w:hAnsi="Arial" w:cs="Arial" w:eastAsia="Arial" w:hint="default"/>
                <w:sz w:val="22"/>
                <w:szCs w:val="22"/>
              </w:rPr>
              <w:t>(20)</w:t>
            </w:r>
            <w:r>
              <w:rPr>
                <w:rFonts w:ascii="宋体" w:hAnsi="宋体" w:cs="宋体" w:eastAsia="宋体" w:hint="default"/>
                <w:sz w:val="22"/>
                <w:szCs w:val="22"/>
              </w:rPr>
              <w:t>）</w:t>
            </w:r>
          </w:p>
        </w:tc>
        <w:tc>
          <w:tcPr>
            <w:tcW w:w="2302" w:type="dxa"/>
            <w:tcBorders>
              <w:top w:val="nil" w:sz="6" w:space="0" w:color="auto"/>
              <w:left w:val="nil" w:sz="6" w:space="0" w:color="auto"/>
              <w:bottom w:val="nil" w:sz="6" w:space="0" w:color="auto"/>
              <w:right w:val="nil" w:sz="6" w:space="0" w:color="auto"/>
            </w:tcBorders>
          </w:tcPr>
          <w:p>
            <w:pPr>
              <w:pStyle w:val="TableParagraph"/>
              <w:tabs>
                <w:tab w:pos="969" w:val="left" w:leader="none"/>
                <w:tab w:pos="2301"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341,968,519</w:t>
              <w:tab/>
            </w:r>
            <w:r>
              <w:rPr>
                <w:rFonts w:ascii="Arial"/>
                <w:spacing w:val="-1"/>
                <w:sz w:val="22"/>
              </w:rPr>
            </w:r>
          </w:p>
        </w:tc>
        <w:tc>
          <w:tcPr>
            <w:tcW w:w="264"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Style w:val="TableParagraph"/>
              <w:tabs>
                <w:tab w:pos="986" w:val="left" w:leader="none"/>
                <w:tab w:pos="2203"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11,046,197</w:t>
              <w:tab/>
            </w:r>
            <w:r>
              <w:rPr>
                <w:rFonts w:ascii="Arial"/>
                <w:spacing w:val="-1"/>
                <w:sz w:val="22"/>
              </w:rPr>
            </w:r>
          </w:p>
        </w:tc>
      </w:tr>
      <w:tr>
        <w:trPr>
          <w:trHeight w:val="431" w:hRule="exact"/>
        </w:trPr>
        <w:tc>
          <w:tcPr>
            <w:tcW w:w="446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02"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103"/>
              <w:jc w:val="right"/>
              <w:rPr>
                <w:rFonts w:ascii="Arial" w:hAnsi="Arial" w:cs="Arial" w:eastAsia="Arial" w:hint="default"/>
                <w:sz w:val="22"/>
                <w:szCs w:val="22"/>
              </w:rPr>
            </w:pPr>
            <w:r>
              <w:rPr>
                <w:rFonts w:ascii="Arial"/>
                <w:spacing w:val="-1"/>
                <w:sz w:val="22"/>
              </w:rPr>
              <w:t>1,262,309,623</w:t>
            </w:r>
          </w:p>
        </w:tc>
        <w:tc>
          <w:tcPr>
            <w:tcW w:w="264"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110"/>
              <w:jc w:val="right"/>
              <w:rPr>
                <w:rFonts w:ascii="Arial" w:hAnsi="Arial" w:cs="Arial" w:eastAsia="Arial" w:hint="default"/>
                <w:sz w:val="22"/>
                <w:szCs w:val="22"/>
              </w:rPr>
            </w:pPr>
            <w:r>
              <w:rPr>
                <w:rFonts w:ascii="Arial"/>
                <w:spacing w:val="-1"/>
                <w:sz w:val="22"/>
              </w:rPr>
              <w:t>160,549,881</w:t>
            </w:r>
          </w:p>
        </w:tc>
      </w:tr>
    </w:tbl>
    <w:p>
      <w:pPr>
        <w:spacing w:after="0" w:line="240" w:lineRule="auto"/>
        <w:jc w:val="right"/>
        <w:rPr>
          <w:rFonts w:ascii="Arial" w:hAnsi="Arial" w:cs="Arial" w:eastAsia="Arial" w:hint="default"/>
          <w:sz w:val="22"/>
          <w:szCs w:val="22"/>
        </w:rPr>
        <w:sectPr>
          <w:headerReference w:type="default" r:id="rId76"/>
          <w:pgSz w:w="11910" w:h="16840"/>
          <w:pgMar w:header="1185" w:footer="923" w:top="3040" w:bottom="1120" w:left="1280" w:right="880"/>
        </w:sectPr>
      </w:pPr>
    </w:p>
    <w:p>
      <w:pPr>
        <w:spacing w:line="240" w:lineRule="auto" w:before="10"/>
        <w:rPr>
          <w:rFonts w:ascii="宋体" w:hAnsi="宋体" w:cs="宋体" w:eastAsia="宋体" w:hint="default"/>
          <w:sz w:val="16"/>
          <w:szCs w:val="16"/>
        </w:rPr>
      </w:pPr>
    </w:p>
    <w:p>
      <w:pPr>
        <w:pStyle w:val="BodyText"/>
        <w:spacing w:line="240" w:lineRule="auto" w:before="32"/>
        <w:ind w:left="142" w:right="0"/>
        <w:jc w:val="left"/>
      </w:pPr>
      <w:r>
        <w:rPr>
          <w:rFonts w:ascii="Arial" w:hAnsi="Arial" w:cs="Arial" w:eastAsia="Arial" w:hint="default"/>
        </w:rPr>
        <w:t>8</w:t>
      </w:r>
      <w:r>
        <w:rPr/>
        <w:t>、</w:t>
      </w:r>
      <w:r>
        <w:rPr>
          <w:spacing w:val="-34"/>
        </w:rPr>
        <w:t> </w:t>
      </w:r>
      <w:r>
        <w:rPr/>
        <w:t>可供出售金融资产</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2014"/>
        <w:gridCol w:w="1419"/>
        <w:gridCol w:w="135"/>
        <w:gridCol w:w="1205"/>
        <w:gridCol w:w="89"/>
        <w:gridCol w:w="1342"/>
        <w:gridCol w:w="1243"/>
        <w:gridCol w:w="1292"/>
        <w:gridCol w:w="1277"/>
      </w:tblGrid>
      <w:tr>
        <w:trPr>
          <w:trHeight w:val="193" w:hRule="exact"/>
        </w:trPr>
        <w:tc>
          <w:tcPr>
            <w:tcW w:w="4861" w:type="dxa"/>
            <w:gridSpan w:val="5"/>
            <w:tcBorders>
              <w:top w:val="nil" w:sz="6" w:space="0" w:color="auto"/>
              <w:left w:val="nil" w:sz="6" w:space="0" w:color="auto"/>
              <w:bottom w:val="nil" w:sz="6" w:space="0" w:color="auto"/>
              <w:right w:val="nil" w:sz="6" w:space="0" w:color="auto"/>
            </w:tcBorders>
          </w:tcPr>
          <w:p>
            <w:pPr>
              <w:pStyle w:val="TableParagraph"/>
              <w:spacing w:line="172" w:lineRule="exact"/>
              <w:ind w:right="86"/>
              <w:jc w:val="righ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12</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31</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342" w:type="dxa"/>
            <w:tcBorders>
              <w:top w:val="nil" w:sz="6" w:space="0" w:color="auto"/>
              <w:left w:val="nil" w:sz="6" w:space="0" w:color="auto"/>
              <w:bottom w:val="single" w:sz="6" w:space="0" w:color="000000"/>
              <w:right w:val="nil" w:sz="6" w:space="0" w:color="auto"/>
            </w:tcBorders>
          </w:tcPr>
          <w:p>
            <w:pPr/>
          </w:p>
        </w:tc>
        <w:tc>
          <w:tcPr>
            <w:tcW w:w="2535" w:type="dxa"/>
            <w:gridSpan w:val="2"/>
            <w:tcBorders>
              <w:top w:val="nil" w:sz="6" w:space="0" w:color="auto"/>
              <w:left w:val="nil" w:sz="6" w:space="0" w:color="auto"/>
              <w:bottom w:val="single" w:sz="6" w:space="0" w:color="000000"/>
              <w:right w:val="nil" w:sz="6" w:space="0" w:color="auto"/>
            </w:tcBorders>
          </w:tcPr>
          <w:p>
            <w:pPr>
              <w:pStyle w:val="TableParagraph"/>
              <w:spacing w:line="172" w:lineRule="exact"/>
              <w:ind w:left="1214" w:right="0"/>
              <w:jc w:val="left"/>
              <w:rPr>
                <w:rFonts w:ascii="Arial" w:hAnsi="Arial" w:cs="Arial" w:eastAsia="Arial" w:hint="default"/>
                <w:sz w:val="16"/>
                <w:szCs w:val="16"/>
              </w:rPr>
            </w:pPr>
            <w:r>
              <w:rPr>
                <w:rFonts w:ascii="Arial" w:hAnsi="Arial" w:cs="Arial" w:eastAsia="Arial" w:hint="default"/>
                <w:sz w:val="16"/>
                <w:szCs w:val="16"/>
              </w:rPr>
              <w:t>2013</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12</w:t>
            </w:r>
            <w:r>
              <w:rPr>
                <w:rFonts w:ascii="Arial" w:hAnsi="Arial" w:cs="Arial" w:eastAsia="Arial" w:hint="default"/>
                <w:spacing w:val="-8"/>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Arial" w:hAnsi="Arial" w:cs="Arial" w:eastAsia="Arial" w:hint="default"/>
                <w:sz w:val="16"/>
                <w:szCs w:val="16"/>
              </w:rPr>
              <w:t>31</w:t>
            </w:r>
          </w:p>
        </w:tc>
        <w:tc>
          <w:tcPr>
            <w:tcW w:w="1277" w:type="dxa"/>
            <w:tcBorders>
              <w:top w:val="nil" w:sz="6" w:space="0" w:color="auto"/>
              <w:left w:val="nil" w:sz="6" w:space="0" w:color="auto"/>
              <w:bottom w:val="single" w:sz="6" w:space="0" w:color="000000"/>
              <w:right w:val="nil" w:sz="6" w:space="0" w:color="auto"/>
            </w:tcBorders>
          </w:tcPr>
          <w:p>
            <w:pPr>
              <w:pStyle w:val="TableParagraph"/>
              <w:spacing w:line="161" w:lineRule="exact"/>
              <w:ind w:left="-87" w:right="0"/>
              <w:jc w:val="left"/>
              <w:rPr>
                <w:rFonts w:ascii="宋体" w:hAnsi="宋体" w:cs="宋体" w:eastAsia="宋体" w:hint="default"/>
                <w:sz w:val="16"/>
                <w:szCs w:val="16"/>
              </w:rPr>
            </w:pPr>
            <w:r>
              <w:rPr>
                <w:rFonts w:ascii="宋体" w:hAnsi="宋体" w:cs="宋体" w:eastAsia="宋体" w:hint="default"/>
                <w:w w:val="100"/>
                <w:sz w:val="16"/>
                <w:szCs w:val="16"/>
              </w:rPr>
              <w:t>日</w:t>
            </w:r>
          </w:p>
        </w:tc>
      </w:tr>
      <w:tr>
        <w:trPr>
          <w:trHeight w:val="223" w:hRule="exact"/>
        </w:trPr>
        <w:tc>
          <w:tcPr>
            <w:tcW w:w="2014" w:type="dxa"/>
            <w:tcBorders>
              <w:top w:val="nil" w:sz="6" w:space="0" w:color="auto"/>
              <w:left w:val="nil" w:sz="6" w:space="0" w:color="auto"/>
              <w:bottom w:val="nil" w:sz="6" w:space="0" w:color="auto"/>
              <w:right w:val="nil" w:sz="6" w:space="0" w:color="auto"/>
            </w:tcBorders>
          </w:tcPr>
          <w:p>
            <w:pPr/>
          </w:p>
        </w:tc>
        <w:tc>
          <w:tcPr>
            <w:tcW w:w="1419" w:type="dxa"/>
            <w:tcBorders>
              <w:top w:val="single" w:sz="6" w:space="0" w:color="000000"/>
              <w:left w:val="nil" w:sz="6" w:space="0" w:color="auto"/>
              <w:bottom w:val="single" w:sz="6" w:space="0" w:color="000000"/>
              <w:right w:val="nil" w:sz="6" w:space="0" w:color="auto"/>
            </w:tcBorders>
          </w:tcPr>
          <w:p>
            <w:pPr>
              <w:pStyle w:val="TableParagraph"/>
              <w:spacing w:line="183" w:lineRule="exact"/>
              <w:ind w:left="357"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35" w:type="dxa"/>
            <w:tcBorders>
              <w:top w:val="single" w:sz="6" w:space="0" w:color="000000"/>
              <w:left w:val="nil" w:sz="6" w:space="0" w:color="auto"/>
              <w:bottom w:val="nil" w:sz="6" w:space="0" w:color="auto"/>
              <w:right w:val="nil" w:sz="6" w:space="0" w:color="auto"/>
            </w:tcBorders>
          </w:tcPr>
          <w:p>
            <w:pPr/>
          </w:p>
        </w:tc>
        <w:tc>
          <w:tcPr>
            <w:tcW w:w="1205" w:type="dxa"/>
            <w:tcBorders>
              <w:top w:val="single" w:sz="6" w:space="0" w:color="000000"/>
              <w:left w:val="nil" w:sz="6" w:space="0" w:color="auto"/>
              <w:bottom w:val="single" w:sz="6" w:space="0" w:color="000000"/>
              <w:right w:val="nil" w:sz="6" w:space="0" w:color="auto"/>
            </w:tcBorders>
          </w:tcPr>
          <w:p>
            <w:pPr>
              <w:pStyle w:val="TableParagraph"/>
              <w:spacing w:line="183" w:lineRule="exact"/>
              <w:ind w:left="266" w:right="0"/>
              <w:jc w:val="left"/>
              <w:rPr>
                <w:rFonts w:ascii="宋体" w:hAnsi="宋体" w:cs="宋体" w:eastAsia="宋体" w:hint="default"/>
                <w:sz w:val="16"/>
                <w:szCs w:val="16"/>
              </w:rPr>
            </w:pPr>
            <w:r>
              <w:rPr>
                <w:rFonts w:ascii="宋体" w:hAnsi="宋体" w:cs="宋体" w:eastAsia="宋体" w:hint="default"/>
                <w:sz w:val="16"/>
                <w:szCs w:val="16"/>
              </w:rPr>
              <w:t>减值准备</w:t>
            </w:r>
          </w:p>
        </w:tc>
        <w:tc>
          <w:tcPr>
            <w:tcW w:w="89" w:type="dxa"/>
            <w:tcBorders>
              <w:top w:val="single" w:sz="6" w:space="0" w:color="000000"/>
              <w:left w:val="nil" w:sz="6" w:space="0" w:color="auto"/>
              <w:bottom w:val="nil" w:sz="6" w:space="0" w:color="auto"/>
              <w:right w:val="nil" w:sz="6" w:space="0" w:color="auto"/>
            </w:tcBorders>
          </w:tcPr>
          <w:p>
            <w:pPr/>
          </w:p>
        </w:tc>
        <w:tc>
          <w:tcPr>
            <w:tcW w:w="1342" w:type="dxa"/>
            <w:tcBorders>
              <w:top w:val="single" w:sz="6" w:space="0" w:color="000000"/>
              <w:left w:val="nil" w:sz="6" w:space="0" w:color="auto"/>
              <w:bottom w:val="single" w:sz="6" w:space="0" w:color="000000"/>
              <w:right w:val="nil" w:sz="6" w:space="0" w:color="auto"/>
            </w:tcBorders>
          </w:tcPr>
          <w:p>
            <w:pPr>
              <w:pStyle w:val="TableParagraph"/>
              <w:spacing w:line="183" w:lineRule="exact"/>
              <w:ind w:left="314" w:right="0"/>
              <w:jc w:val="left"/>
              <w:rPr>
                <w:rFonts w:ascii="宋体" w:hAnsi="宋体" w:cs="宋体" w:eastAsia="宋体" w:hint="default"/>
                <w:sz w:val="16"/>
                <w:szCs w:val="16"/>
              </w:rPr>
            </w:pPr>
            <w:r>
              <w:rPr>
                <w:rFonts w:ascii="宋体" w:hAnsi="宋体" w:cs="宋体" w:eastAsia="宋体" w:hint="default"/>
                <w:sz w:val="16"/>
                <w:szCs w:val="16"/>
              </w:rPr>
              <w:t>账面价值</w:t>
            </w:r>
          </w:p>
        </w:tc>
        <w:tc>
          <w:tcPr>
            <w:tcW w:w="1243" w:type="dxa"/>
            <w:tcBorders>
              <w:top w:val="single" w:sz="6" w:space="0" w:color="000000"/>
              <w:left w:val="nil" w:sz="6" w:space="0" w:color="auto"/>
              <w:bottom w:val="single" w:sz="6" w:space="0" w:color="000000"/>
              <w:right w:val="nil" w:sz="6" w:space="0" w:color="auto"/>
            </w:tcBorders>
          </w:tcPr>
          <w:p>
            <w:pPr>
              <w:pStyle w:val="TableParagraph"/>
              <w:spacing w:line="183" w:lineRule="exact"/>
              <w:ind w:left="271"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292" w:type="dxa"/>
            <w:tcBorders>
              <w:top w:val="single" w:sz="6" w:space="0" w:color="000000"/>
              <w:left w:val="nil" w:sz="6" w:space="0" w:color="auto"/>
              <w:bottom w:val="single" w:sz="6" w:space="0" w:color="000000"/>
              <w:right w:val="nil" w:sz="6" w:space="0" w:color="auto"/>
            </w:tcBorders>
          </w:tcPr>
          <w:p>
            <w:pPr>
              <w:pStyle w:val="TableParagraph"/>
              <w:spacing w:line="183" w:lineRule="exact"/>
              <w:ind w:left="367" w:right="0"/>
              <w:jc w:val="left"/>
              <w:rPr>
                <w:rFonts w:ascii="宋体" w:hAnsi="宋体" w:cs="宋体" w:eastAsia="宋体" w:hint="default"/>
                <w:sz w:val="16"/>
                <w:szCs w:val="16"/>
              </w:rPr>
            </w:pPr>
            <w:r>
              <w:rPr>
                <w:rFonts w:ascii="宋体" w:hAnsi="宋体" w:cs="宋体" w:eastAsia="宋体" w:hint="default"/>
                <w:sz w:val="16"/>
                <w:szCs w:val="16"/>
              </w:rPr>
              <w:t>减值准备</w:t>
            </w:r>
          </w:p>
        </w:tc>
        <w:tc>
          <w:tcPr>
            <w:tcW w:w="1277" w:type="dxa"/>
            <w:tcBorders>
              <w:top w:val="single" w:sz="6" w:space="0" w:color="000000"/>
              <w:left w:val="nil" w:sz="6" w:space="0" w:color="auto"/>
              <w:bottom w:val="single" w:sz="6" w:space="0" w:color="000000"/>
              <w:right w:val="nil" w:sz="6" w:space="0" w:color="auto"/>
            </w:tcBorders>
          </w:tcPr>
          <w:p>
            <w:pPr>
              <w:pStyle w:val="TableParagraph"/>
              <w:spacing w:line="183" w:lineRule="exact"/>
              <w:ind w:left="357" w:right="0"/>
              <w:jc w:val="left"/>
              <w:rPr>
                <w:rFonts w:ascii="宋体" w:hAnsi="宋体" w:cs="宋体" w:eastAsia="宋体" w:hint="default"/>
                <w:sz w:val="16"/>
                <w:szCs w:val="16"/>
              </w:rPr>
            </w:pPr>
            <w:r>
              <w:rPr>
                <w:rFonts w:ascii="宋体" w:hAnsi="宋体" w:cs="宋体" w:eastAsia="宋体" w:hint="default"/>
                <w:sz w:val="16"/>
                <w:szCs w:val="16"/>
              </w:rPr>
              <w:t>账面价值</w:t>
            </w:r>
          </w:p>
        </w:tc>
      </w:tr>
      <w:tr>
        <w:trPr>
          <w:trHeight w:val="420"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0" w:right="0"/>
              <w:jc w:val="left"/>
              <w:rPr>
                <w:rFonts w:ascii="宋体" w:hAnsi="宋体" w:cs="宋体" w:eastAsia="宋体" w:hint="default"/>
                <w:sz w:val="16"/>
                <w:szCs w:val="16"/>
              </w:rPr>
            </w:pPr>
            <w:r>
              <w:rPr>
                <w:rFonts w:ascii="宋体" w:hAnsi="宋体" w:cs="宋体" w:eastAsia="宋体" w:hint="default"/>
                <w:sz w:val="16"/>
                <w:szCs w:val="16"/>
              </w:rPr>
              <w:t>可供出售权益工具</w:t>
            </w:r>
          </w:p>
        </w:tc>
        <w:tc>
          <w:tcPr>
            <w:tcW w:w="1419" w:type="dxa"/>
            <w:tcBorders>
              <w:top w:val="single" w:sz="6" w:space="0" w:color="000000"/>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205" w:type="dxa"/>
            <w:tcBorders>
              <w:top w:val="single" w:sz="6" w:space="0" w:color="000000"/>
              <w:left w:val="nil" w:sz="6" w:space="0" w:color="auto"/>
              <w:bottom w:val="nil" w:sz="6" w:space="0" w:color="auto"/>
              <w:right w:val="nil" w:sz="6" w:space="0" w:color="auto"/>
            </w:tcBorders>
          </w:tcPr>
          <w:p>
            <w:pPr/>
          </w:p>
        </w:tc>
        <w:tc>
          <w:tcPr>
            <w:tcW w:w="89" w:type="dxa"/>
            <w:tcBorders>
              <w:top w:val="nil" w:sz="6" w:space="0" w:color="auto"/>
              <w:left w:val="nil" w:sz="6" w:space="0" w:color="auto"/>
              <w:bottom w:val="nil" w:sz="6" w:space="0" w:color="auto"/>
              <w:right w:val="nil" w:sz="6" w:space="0" w:color="auto"/>
            </w:tcBorders>
          </w:tcPr>
          <w:p>
            <w:pPr/>
          </w:p>
        </w:tc>
        <w:tc>
          <w:tcPr>
            <w:tcW w:w="1342" w:type="dxa"/>
            <w:tcBorders>
              <w:top w:val="single" w:sz="6" w:space="0" w:color="000000"/>
              <w:left w:val="nil" w:sz="6" w:space="0" w:color="auto"/>
              <w:bottom w:val="nil" w:sz="6" w:space="0" w:color="auto"/>
              <w:right w:val="nil" w:sz="6" w:space="0" w:color="auto"/>
            </w:tcBorders>
          </w:tcPr>
          <w:p>
            <w:pPr/>
          </w:p>
        </w:tc>
        <w:tc>
          <w:tcPr>
            <w:tcW w:w="1243" w:type="dxa"/>
            <w:tcBorders>
              <w:top w:val="single" w:sz="6" w:space="0" w:color="000000"/>
              <w:left w:val="nil" w:sz="6" w:space="0" w:color="auto"/>
              <w:bottom w:val="nil" w:sz="6" w:space="0" w:color="auto"/>
              <w:right w:val="nil" w:sz="6" w:space="0" w:color="auto"/>
            </w:tcBorders>
          </w:tcPr>
          <w:p>
            <w:pPr/>
          </w:p>
        </w:tc>
        <w:tc>
          <w:tcPr>
            <w:tcW w:w="1292" w:type="dxa"/>
            <w:tcBorders>
              <w:top w:val="single" w:sz="6" w:space="0" w:color="000000"/>
              <w:left w:val="nil" w:sz="6" w:space="0" w:color="auto"/>
              <w:bottom w:val="nil" w:sz="6" w:space="0" w:color="auto"/>
              <w:right w:val="nil" w:sz="6" w:space="0" w:color="auto"/>
            </w:tcBorders>
          </w:tcPr>
          <w:p>
            <w:pPr/>
          </w:p>
        </w:tc>
        <w:tc>
          <w:tcPr>
            <w:tcW w:w="1277" w:type="dxa"/>
            <w:tcBorders>
              <w:top w:val="single" w:sz="6" w:space="0" w:color="000000"/>
              <w:left w:val="nil" w:sz="6" w:space="0" w:color="auto"/>
              <w:bottom w:val="nil" w:sz="6" w:space="0" w:color="auto"/>
              <w:right w:val="nil" w:sz="6" w:space="0" w:color="auto"/>
            </w:tcBorders>
          </w:tcPr>
          <w:p>
            <w:pPr/>
          </w:p>
        </w:tc>
      </w:tr>
      <w:tr>
        <w:trPr>
          <w:trHeight w:val="242"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19" w:lineRule="exact"/>
              <w:ind w:left="456" w:right="0"/>
              <w:jc w:val="left"/>
              <w:rPr>
                <w:rFonts w:ascii="宋体" w:hAnsi="宋体" w:cs="宋体" w:eastAsia="宋体" w:hint="default"/>
                <w:sz w:val="16"/>
                <w:szCs w:val="16"/>
              </w:rPr>
            </w:pPr>
            <w:r>
              <w:rPr>
                <w:rFonts w:ascii="Arial" w:hAnsi="Arial" w:cs="Arial" w:eastAsia="Arial" w:hint="default"/>
                <w:sz w:val="16"/>
                <w:szCs w:val="16"/>
              </w:rPr>
              <w:t>-</w:t>
            </w:r>
            <w:r>
              <w:rPr>
                <w:rFonts w:ascii="宋体" w:hAnsi="宋体" w:cs="宋体" w:eastAsia="宋体" w:hint="default"/>
                <w:sz w:val="16"/>
                <w:szCs w:val="16"/>
              </w:rPr>
              <w:t>按公允价值计量的</w:t>
            </w:r>
          </w:p>
        </w:tc>
        <w:tc>
          <w:tcPr>
            <w:tcW w:w="1419"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89"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r>
      <w:tr>
        <w:trPr>
          <w:trHeight w:val="426"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186" w:lineRule="exact"/>
              <w:ind w:left="595" w:right="0"/>
              <w:jc w:val="left"/>
              <w:rPr>
                <w:rFonts w:ascii="宋体" w:hAnsi="宋体" w:cs="宋体" w:eastAsia="宋体" w:hint="default"/>
                <w:sz w:val="16"/>
                <w:szCs w:val="16"/>
              </w:rPr>
            </w:pPr>
            <w:r>
              <w:rPr>
                <w:rFonts w:ascii="宋体" w:hAnsi="宋体" w:cs="宋体" w:eastAsia="宋体" w:hint="default"/>
                <w:spacing w:val="11"/>
                <w:sz w:val="16"/>
                <w:szCs w:val="16"/>
              </w:rPr>
              <w:t>对交通银行的股票</w:t>
            </w:r>
            <w:r>
              <w:rPr>
                <w:rFonts w:ascii="宋体" w:hAnsi="宋体" w:cs="宋体" w:eastAsia="宋体" w:hint="default"/>
                <w:spacing w:val="-66"/>
                <w:sz w:val="16"/>
                <w:szCs w:val="16"/>
              </w:rPr>
              <w:t> </w:t>
            </w:r>
            <w:r>
              <w:rPr>
                <w:rFonts w:ascii="宋体" w:hAnsi="宋体" w:cs="宋体" w:eastAsia="宋体" w:hint="default"/>
                <w:sz w:val="16"/>
                <w:szCs w:val="16"/>
              </w:rPr>
            </w:r>
          </w:p>
          <w:p>
            <w:pPr>
              <w:pStyle w:val="TableParagraph"/>
              <w:spacing w:line="209" w:lineRule="exact"/>
              <w:ind w:right="210"/>
              <w:jc w:val="center"/>
              <w:rPr>
                <w:rFonts w:ascii="宋体" w:hAnsi="宋体" w:cs="宋体" w:eastAsia="宋体" w:hint="default"/>
                <w:sz w:val="16"/>
                <w:szCs w:val="16"/>
              </w:rPr>
            </w:pPr>
            <w:r>
              <w:rPr>
                <w:rFonts w:ascii="宋体" w:hAnsi="宋体" w:cs="宋体" w:eastAsia="宋体" w:hint="default"/>
                <w:sz w:val="16"/>
                <w:szCs w:val="16"/>
              </w:rPr>
              <w:t>投资</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70"/>
              <w:jc w:val="right"/>
              <w:rPr>
                <w:rFonts w:ascii="Arial" w:hAnsi="Arial" w:cs="Arial" w:eastAsia="Arial" w:hint="default"/>
                <w:sz w:val="16"/>
                <w:szCs w:val="16"/>
              </w:rPr>
            </w:pPr>
            <w:r>
              <w:rPr>
                <w:rFonts w:ascii="Arial"/>
                <w:spacing w:val="-1"/>
                <w:sz w:val="16"/>
              </w:rPr>
              <w:t>172,613,451</w:t>
            </w:r>
          </w:p>
        </w:tc>
        <w:tc>
          <w:tcPr>
            <w:tcW w:w="1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40"/>
              <w:jc w:val="right"/>
              <w:rPr>
                <w:rFonts w:ascii="Arial" w:hAnsi="Arial" w:cs="Arial" w:eastAsia="Arial" w:hint="default"/>
                <w:sz w:val="16"/>
                <w:szCs w:val="16"/>
              </w:rPr>
            </w:pPr>
            <w:r>
              <w:rPr>
                <w:rFonts w:ascii="Arial"/>
                <w:w w:val="100"/>
                <w:sz w:val="16"/>
              </w:rPr>
              <w:t>-</w:t>
            </w:r>
          </w:p>
        </w:tc>
        <w:tc>
          <w:tcPr>
            <w:tcW w:w="89"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72"/>
              <w:jc w:val="right"/>
              <w:rPr>
                <w:rFonts w:ascii="Arial" w:hAnsi="Arial" w:cs="Arial" w:eastAsia="Arial" w:hint="default"/>
                <w:sz w:val="16"/>
                <w:szCs w:val="16"/>
              </w:rPr>
            </w:pPr>
            <w:r>
              <w:rPr>
                <w:rFonts w:ascii="Arial"/>
                <w:spacing w:val="-1"/>
                <w:sz w:val="16"/>
              </w:rPr>
              <w:t>172,613,451</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
              <w:jc w:val="right"/>
              <w:rPr>
                <w:rFonts w:ascii="Arial" w:hAnsi="Arial" w:cs="Arial" w:eastAsia="Arial" w:hint="default"/>
                <w:sz w:val="16"/>
                <w:szCs w:val="16"/>
              </w:rPr>
            </w:pPr>
            <w:r>
              <w:rPr>
                <w:rFonts w:ascii="Arial"/>
                <w:spacing w:val="-1"/>
                <w:sz w:val="16"/>
              </w:rPr>
              <w:t>97,475,831</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1"/>
              <w:jc w:val="right"/>
              <w:rPr>
                <w:rFonts w:ascii="Arial" w:hAnsi="Arial" w:cs="Arial" w:eastAsia="Arial" w:hint="default"/>
                <w:sz w:val="16"/>
                <w:szCs w:val="16"/>
              </w:rPr>
            </w:pPr>
            <w:r>
              <w:rPr>
                <w:rFonts w:ascii="Arial"/>
                <w:w w:val="100"/>
                <w:sz w:val="16"/>
              </w:rPr>
              <w:t>-</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50"/>
              <w:jc w:val="right"/>
              <w:rPr>
                <w:rFonts w:ascii="Arial" w:hAnsi="Arial" w:cs="Arial" w:eastAsia="Arial" w:hint="default"/>
                <w:sz w:val="16"/>
                <w:szCs w:val="16"/>
              </w:rPr>
            </w:pPr>
            <w:r>
              <w:rPr>
                <w:rFonts w:ascii="Arial"/>
                <w:spacing w:val="-1"/>
                <w:sz w:val="16"/>
              </w:rPr>
              <w:t>97,475,831</w:t>
            </w:r>
          </w:p>
        </w:tc>
      </w:tr>
      <w:tr>
        <w:trPr>
          <w:trHeight w:val="415"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176" w:lineRule="exact"/>
              <w:ind w:left="579" w:right="0"/>
              <w:jc w:val="center"/>
              <w:rPr>
                <w:rFonts w:ascii="宋体" w:hAnsi="宋体" w:cs="宋体" w:eastAsia="宋体" w:hint="default"/>
                <w:sz w:val="16"/>
                <w:szCs w:val="16"/>
              </w:rPr>
            </w:pPr>
            <w:r>
              <w:rPr>
                <w:rFonts w:ascii="宋体" w:hAnsi="宋体" w:cs="宋体" w:eastAsia="宋体" w:hint="default"/>
                <w:spacing w:val="11"/>
                <w:sz w:val="16"/>
                <w:szCs w:val="16"/>
              </w:rPr>
              <w:t>对西班牙电信的股</w:t>
            </w:r>
            <w:r>
              <w:rPr>
                <w:rFonts w:ascii="宋体" w:hAnsi="宋体" w:cs="宋体" w:eastAsia="宋体" w:hint="default"/>
                <w:spacing w:val="-66"/>
                <w:sz w:val="16"/>
                <w:szCs w:val="16"/>
              </w:rPr>
              <w:t> </w:t>
            </w:r>
            <w:r>
              <w:rPr>
                <w:rFonts w:ascii="宋体" w:hAnsi="宋体" w:cs="宋体" w:eastAsia="宋体" w:hint="default"/>
                <w:sz w:val="16"/>
                <w:szCs w:val="16"/>
              </w:rPr>
            </w:r>
          </w:p>
          <w:p>
            <w:pPr>
              <w:pStyle w:val="TableParagraph"/>
              <w:spacing w:line="220" w:lineRule="exact"/>
              <w:ind w:left="557" w:right="0"/>
              <w:jc w:val="center"/>
              <w:rPr>
                <w:rFonts w:ascii="宋体" w:hAnsi="宋体" w:cs="宋体" w:eastAsia="宋体" w:hint="default"/>
                <w:sz w:val="16"/>
                <w:szCs w:val="16"/>
              </w:rPr>
            </w:pPr>
            <w:r>
              <w:rPr>
                <w:rFonts w:ascii="宋体" w:hAnsi="宋体" w:cs="宋体" w:eastAsia="宋体" w:hint="default"/>
                <w:sz w:val="16"/>
                <w:szCs w:val="16"/>
              </w:rPr>
              <w:t>票投资（注</w:t>
            </w:r>
            <w:r>
              <w:rPr>
                <w:rFonts w:ascii="宋体" w:hAnsi="宋体" w:cs="宋体" w:eastAsia="宋体" w:hint="default"/>
                <w:spacing w:val="-39"/>
                <w:sz w:val="16"/>
                <w:szCs w:val="16"/>
              </w:rPr>
              <w:t> </w:t>
            </w:r>
            <w:r>
              <w:rPr>
                <w:rFonts w:ascii="Arial" w:hAnsi="Arial" w:cs="Arial" w:eastAsia="Arial" w:hint="default"/>
                <w:sz w:val="16"/>
                <w:szCs w:val="16"/>
              </w:rPr>
              <w:t>1</w:t>
            </w:r>
            <w:r>
              <w:rPr>
                <w:rFonts w:ascii="宋体" w:hAnsi="宋体" w:cs="宋体" w:eastAsia="宋体" w:hint="default"/>
                <w:sz w:val="16"/>
                <w:szCs w:val="16"/>
              </w:rPr>
              <w:t>）</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24" w:right="0"/>
              <w:jc w:val="left"/>
              <w:rPr>
                <w:rFonts w:ascii="Arial" w:hAnsi="Arial" w:cs="Arial" w:eastAsia="Arial" w:hint="default"/>
                <w:sz w:val="16"/>
                <w:szCs w:val="16"/>
              </w:rPr>
            </w:pPr>
            <w:r>
              <w:rPr>
                <w:rFonts w:ascii="Arial"/>
                <w:sz w:val="16"/>
              </w:rPr>
              <w:t>5,705,885,892</w:t>
            </w:r>
          </w:p>
        </w:tc>
        <w:tc>
          <w:tcPr>
            <w:tcW w:w="1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45"/>
              <w:jc w:val="right"/>
              <w:rPr>
                <w:rFonts w:ascii="Arial" w:hAnsi="Arial" w:cs="Arial" w:eastAsia="Arial" w:hint="default"/>
                <w:sz w:val="16"/>
                <w:szCs w:val="16"/>
              </w:rPr>
            </w:pPr>
            <w:r>
              <w:rPr>
                <w:rFonts w:ascii="Arial"/>
                <w:w w:val="100"/>
                <w:sz w:val="16"/>
              </w:rPr>
              <w:t>-</w:t>
            </w:r>
          </w:p>
        </w:tc>
        <w:tc>
          <w:tcPr>
            <w:tcW w:w="89"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70"/>
              <w:jc w:val="right"/>
              <w:rPr>
                <w:rFonts w:ascii="Arial" w:hAnsi="Arial" w:cs="Arial" w:eastAsia="Arial" w:hint="default"/>
                <w:sz w:val="16"/>
                <w:szCs w:val="16"/>
              </w:rPr>
            </w:pPr>
            <w:r>
              <w:rPr>
                <w:rFonts w:ascii="Arial"/>
                <w:spacing w:val="-1"/>
                <w:sz w:val="16"/>
              </w:rPr>
              <w:t>5,705,885,892</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7"/>
              <w:jc w:val="right"/>
              <w:rPr>
                <w:rFonts w:ascii="Arial" w:hAnsi="Arial" w:cs="Arial" w:eastAsia="Arial" w:hint="default"/>
                <w:sz w:val="16"/>
                <w:szCs w:val="16"/>
              </w:rPr>
            </w:pPr>
            <w:r>
              <w:rPr>
                <w:rFonts w:ascii="Arial"/>
                <w:spacing w:val="-1"/>
                <w:sz w:val="16"/>
              </w:rPr>
              <w:t>6,399,625,166</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1"/>
              <w:jc w:val="right"/>
              <w:rPr>
                <w:rFonts w:ascii="Arial" w:hAnsi="Arial" w:cs="Arial" w:eastAsia="Arial" w:hint="default"/>
                <w:sz w:val="16"/>
                <w:szCs w:val="16"/>
              </w:rPr>
            </w:pPr>
            <w:r>
              <w:rPr>
                <w:rFonts w:ascii="Arial"/>
                <w:w w:val="100"/>
                <w:sz w:val="16"/>
              </w:rPr>
              <w:t>-</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36"/>
              <w:jc w:val="right"/>
              <w:rPr>
                <w:rFonts w:ascii="Arial" w:hAnsi="Arial" w:cs="Arial" w:eastAsia="Arial" w:hint="default"/>
                <w:sz w:val="16"/>
                <w:szCs w:val="16"/>
              </w:rPr>
            </w:pPr>
            <w:r>
              <w:rPr>
                <w:rFonts w:ascii="Arial"/>
                <w:spacing w:val="-1"/>
                <w:sz w:val="16"/>
              </w:rPr>
              <w:t>6,399,625,166</w:t>
            </w:r>
          </w:p>
        </w:tc>
      </w:tr>
      <w:tr>
        <w:trPr>
          <w:trHeight w:val="305"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176" w:lineRule="exact"/>
              <w:ind w:left="595"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419" w:type="dxa"/>
            <w:tcBorders>
              <w:top w:val="nil" w:sz="6" w:space="0" w:color="auto"/>
              <w:left w:val="nil" w:sz="6" w:space="0" w:color="auto"/>
              <w:bottom w:val="nil" w:sz="6" w:space="0" w:color="auto"/>
              <w:right w:val="nil" w:sz="6" w:space="0" w:color="auto"/>
            </w:tcBorders>
          </w:tcPr>
          <w:p>
            <w:pPr>
              <w:pStyle w:val="TableParagraph"/>
              <w:tabs>
                <w:tab w:pos="544" w:val="left" w:leader="none"/>
                <w:tab w:pos="1418" w:val="left" w:leader="none"/>
              </w:tabs>
              <w:spacing w:line="240" w:lineRule="auto" w:before="13"/>
              <w:ind w:right="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r>
            <w:r>
              <w:rPr>
                <w:rFonts w:ascii="Arial"/>
                <w:spacing w:val="-1"/>
                <w:sz w:val="16"/>
                <w:u w:val="single" w:color="000000"/>
              </w:rPr>
              <w:t>23,480,271</w:t>
              <w:tab/>
            </w:r>
            <w:r>
              <w:rPr>
                <w:rFonts w:ascii="Arial"/>
                <w:spacing w:val="-1"/>
                <w:sz w:val="16"/>
              </w:rPr>
            </w:r>
          </w:p>
        </w:tc>
        <w:tc>
          <w:tcPr>
            <w:tcW w:w="1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tabs>
                <w:tab w:pos="1096" w:val="left" w:leader="none"/>
              </w:tabs>
              <w:spacing w:line="240" w:lineRule="auto" w:before="13"/>
              <w:ind w:right="45"/>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r>
            <w:r>
              <w:rPr>
                <w:rFonts w:ascii="Arial"/>
                <w:sz w:val="16"/>
              </w:rPr>
            </w:r>
          </w:p>
        </w:tc>
        <w:tc>
          <w:tcPr>
            <w:tcW w:w="89"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tabs>
                <w:tab w:pos="465" w:val="left" w:leader="none"/>
              </w:tabs>
              <w:spacing w:line="240" w:lineRule="auto" w:before="13"/>
              <w:ind w:right="72"/>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r>
            <w:r>
              <w:rPr>
                <w:rFonts w:ascii="Arial"/>
                <w:spacing w:val="-1"/>
                <w:sz w:val="16"/>
                <w:u w:val="single" w:color="000000"/>
              </w:rPr>
              <w:t>23,480,271</w:t>
            </w:r>
            <w:r>
              <w:rPr>
                <w:rFonts w:ascii="Arial"/>
                <w:spacing w:val="-1"/>
                <w:sz w:val="16"/>
              </w:rPr>
            </w:r>
          </w:p>
        </w:tc>
        <w:tc>
          <w:tcPr>
            <w:tcW w:w="1243" w:type="dxa"/>
            <w:tcBorders>
              <w:top w:val="nil" w:sz="6" w:space="0" w:color="auto"/>
              <w:left w:val="nil" w:sz="6" w:space="0" w:color="auto"/>
              <w:bottom w:val="nil" w:sz="6" w:space="0" w:color="auto"/>
              <w:right w:val="nil" w:sz="6" w:space="0" w:color="auto"/>
            </w:tcBorders>
          </w:tcPr>
          <w:p>
            <w:pPr>
              <w:pStyle w:val="TableParagraph"/>
              <w:tabs>
                <w:tab w:pos="1178" w:val="left" w:leader="none"/>
              </w:tabs>
              <w:spacing w:line="240" w:lineRule="auto" w:before="13"/>
              <w:ind w:right="9"/>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r>
            <w:r>
              <w:rPr>
                <w:rFonts w:ascii="Arial"/>
                <w:sz w:val="16"/>
              </w:rPr>
            </w:r>
          </w:p>
        </w:tc>
        <w:tc>
          <w:tcPr>
            <w:tcW w:w="1292" w:type="dxa"/>
            <w:tcBorders>
              <w:top w:val="nil" w:sz="6" w:space="0" w:color="auto"/>
              <w:left w:val="nil" w:sz="6" w:space="0" w:color="auto"/>
              <w:bottom w:val="nil" w:sz="6" w:space="0" w:color="auto"/>
              <w:right w:val="nil" w:sz="6" w:space="0" w:color="auto"/>
            </w:tcBorders>
          </w:tcPr>
          <w:p>
            <w:pPr>
              <w:pStyle w:val="TableParagraph"/>
              <w:tabs>
                <w:tab w:pos="1147" w:val="left" w:leader="none"/>
              </w:tabs>
              <w:spacing w:line="240" w:lineRule="auto" w:before="13"/>
              <w:ind w:right="11"/>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r>
            <w:r>
              <w:rPr>
                <w:rFonts w:ascii="Arial"/>
                <w:sz w:val="16"/>
              </w:rPr>
            </w:r>
          </w:p>
        </w:tc>
        <w:tc>
          <w:tcPr>
            <w:tcW w:w="1277" w:type="dxa"/>
            <w:tcBorders>
              <w:top w:val="nil" w:sz="6" w:space="0" w:color="auto"/>
              <w:left w:val="nil" w:sz="6" w:space="0" w:color="auto"/>
              <w:bottom w:val="nil" w:sz="6" w:space="0" w:color="auto"/>
              <w:right w:val="nil" w:sz="6" w:space="0" w:color="auto"/>
            </w:tcBorders>
          </w:tcPr>
          <w:p>
            <w:pPr>
              <w:pStyle w:val="TableParagraph"/>
              <w:tabs>
                <w:tab w:pos="1094" w:val="left" w:leader="none"/>
              </w:tabs>
              <w:spacing w:line="240" w:lineRule="auto" w:before="13"/>
              <w:ind w:right="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tab/>
            </w:r>
            <w:r>
              <w:rPr>
                <w:rFonts w:ascii="Arial"/>
                <w:sz w:val="16"/>
              </w:rPr>
            </w:r>
          </w:p>
        </w:tc>
      </w:tr>
      <w:tr>
        <w:trPr>
          <w:trHeight w:val="312"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00"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419"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left="324" w:right="0"/>
              <w:jc w:val="left"/>
              <w:rPr>
                <w:rFonts w:ascii="Arial" w:hAnsi="Arial" w:cs="Arial" w:eastAsia="Arial" w:hint="default"/>
                <w:sz w:val="16"/>
                <w:szCs w:val="16"/>
              </w:rPr>
            </w:pPr>
            <w:r>
              <w:rPr>
                <w:rFonts w:ascii="Arial"/>
                <w:sz w:val="16"/>
              </w:rPr>
              <w:t>5,901,979,614</w:t>
            </w:r>
          </w:p>
        </w:tc>
        <w:tc>
          <w:tcPr>
            <w:tcW w:w="1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right="40"/>
              <w:jc w:val="right"/>
              <w:rPr>
                <w:rFonts w:ascii="Arial" w:hAnsi="Arial" w:cs="Arial" w:eastAsia="Arial" w:hint="default"/>
                <w:sz w:val="16"/>
                <w:szCs w:val="16"/>
              </w:rPr>
            </w:pPr>
            <w:r>
              <w:rPr>
                <w:rFonts w:ascii="Arial"/>
                <w:w w:val="100"/>
                <w:sz w:val="16"/>
              </w:rPr>
              <w:t>-</w:t>
            </w:r>
          </w:p>
        </w:tc>
        <w:tc>
          <w:tcPr>
            <w:tcW w:w="89"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right="70"/>
              <w:jc w:val="right"/>
              <w:rPr>
                <w:rFonts w:ascii="Arial" w:hAnsi="Arial" w:cs="Arial" w:eastAsia="Arial" w:hint="default"/>
                <w:sz w:val="16"/>
                <w:szCs w:val="16"/>
              </w:rPr>
            </w:pPr>
            <w:r>
              <w:rPr>
                <w:rFonts w:ascii="Arial"/>
                <w:spacing w:val="-1"/>
                <w:sz w:val="16"/>
              </w:rPr>
              <w:t>5,901,979,614</w:t>
            </w:r>
          </w:p>
        </w:tc>
        <w:tc>
          <w:tcPr>
            <w:tcW w:w="1243"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right="29"/>
              <w:jc w:val="right"/>
              <w:rPr>
                <w:rFonts w:ascii="Arial" w:hAnsi="Arial" w:cs="Arial" w:eastAsia="Arial" w:hint="default"/>
                <w:sz w:val="16"/>
                <w:szCs w:val="16"/>
              </w:rPr>
            </w:pPr>
            <w:r>
              <w:rPr>
                <w:rFonts w:ascii="Arial"/>
                <w:spacing w:val="-1"/>
                <w:sz w:val="16"/>
              </w:rPr>
              <w:t>6,497,100,997</w:t>
            </w:r>
          </w:p>
        </w:tc>
        <w:tc>
          <w:tcPr>
            <w:tcW w:w="1292"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right="1"/>
              <w:jc w:val="right"/>
              <w:rPr>
                <w:rFonts w:ascii="Arial" w:hAnsi="Arial" w:cs="Arial" w:eastAsia="Arial" w:hint="default"/>
                <w:sz w:val="16"/>
                <w:szCs w:val="16"/>
              </w:rPr>
            </w:pPr>
            <w:r>
              <w:rPr>
                <w:rFonts w:ascii="Arial"/>
                <w:w w:val="100"/>
                <w:sz w:val="16"/>
              </w:rPr>
              <w:t>-</w:t>
            </w:r>
          </w:p>
        </w:tc>
        <w:tc>
          <w:tcPr>
            <w:tcW w:w="1277"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right="36"/>
              <w:jc w:val="right"/>
              <w:rPr>
                <w:rFonts w:ascii="Arial" w:hAnsi="Arial" w:cs="Arial" w:eastAsia="Arial" w:hint="default"/>
                <w:sz w:val="16"/>
                <w:szCs w:val="16"/>
              </w:rPr>
            </w:pPr>
            <w:r>
              <w:rPr>
                <w:rFonts w:ascii="Arial"/>
                <w:spacing w:val="-1"/>
                <w:sz w:val="16"/>
              </w:rPr>
              <w:t>6,497,100,997</w:t>
            </w:r>
          </w:p>
        </w:tc>
      </w:tr>
    </w:tbl>
    <w:p>
      <w:pPr>
        <w:spacing w:line="240" w:lineRule="auto" w:before="13"/>
        <w:rPr>
          <w:rFonts w:ascii="宋体" w:hAnsi="宋体" w:cs="宋体" w:eastAsia="宋体" w:hint="default"/>
          <w:sz w:val="13"/>
          <w:szCs w:val="13"/>
        </w:rPr>
      </w:pPr>
    </w:p>
    <w:p>
      <w:pPr>
        <w:pStyle w:val="BodyText"/>
        <w:spacing w:line="232" w:lineRule="auto" w:before="40"/>
        <w:ind w:left="1206" w:right="477" w:hanging="605"/>
        <w:jc w:val="both"/>
      </w:pPr>
      <w:r>
        <w:rPr/>
        <w:t>注</w:t>
      </w:r>
      <w:r>
        <w:rPr>
          <w:spacing w:val="-4"/>
        </w:rPr>
        <w:t> </w:t>
      </w:r>
      <w:r>
        <w:rPr>
          <w:rFonts w:ascii="Arial" w:hAnsi="Arial" w:cs="Arial" w:eastAsia="Arial" w:hint="default"/>
        </w:rPr>
        <w:t>1</w:t>
      </w:r>
      <w:r>
        <w:rPr/>
        <w:t>：如附注三</w:t>
      </w:r>
      <w:r>
        <w:rPr>
          <w:rFonts w:ascii="Arial" w:hAnsi="Arial" w:cs="Arial" w:eastAsia="Arial" w:hint="default"/>
        </w:rPr>
        <w:t>(33)(b)</w:t>
      </w:r>
      <w:r>
        <w:rPr/>
        <w:t>所述，联通红筹公司持有的西班牙电信股票在马德里证券交易所上市交</w:t>
      </w:r>
      <w:r>
        <w:rPr>
          <w:w w:val="100"/>
        </w:rPr>
        <w:t> </w:t>
      </w:r>
      <w:r>
        <w:rPr/>
        <w:t>易，故其股票有活跃市场之报价，其股票的公允价值也能够可靠计量。另外，本集团并</w:t>
      </w:r>
      <w:r>
        <w:rPr>
          <w:w w:val="100"/>
        </w:rPr>
        <w:t> </w:t>
      </w:r>
      <w:r>
        <w:rPr/>
        <w:t>非为短期交易目的而持有该股票，所以本集团将持有的对西班牙电信股票的投资划分为</w:t>
      </w:r>
      <w:r>
        <w:rPr>
          <w:w w:val="100"/>
        </w:rPr>
        <w:t> </w:t>
      </w:r>
      <w:r>
        <w:rPr>
          <w:spacing w:val="-3"/>
        </w:rPr>
        <w:t>非货币性外币可供出售金融资产。其中第一次投资的初始投资成本约人民币 </w:t>
      </w:r>
      <w:r>
        <w:rPr>
          <w:rFonts w:ascii="Arial" w:hAnsi="Arial" w:cs="Arial" w:eastAsia="Arial" w:hint="default"/>
        </w:rPr>
        <w:t>79.52</w:t>
      </w:r>
      <w:r>
        <w:rPr>
          <w:rFonts w:ascii="Arial" w:hAnsi="Arial" w:cs="Arial" w:eastAsia="Arial" w:hint="default"/>
          <w:spacing w:val="-6"/>
        </w:rPr>
        <w:t> </w:t>
      </w:r>
      <w:r>
        <w:rPr/>
        <w:t>亿元，</w:t>
      </w:r>
    </w:p>
    <w:p>
      <w:pPr>
        <w:pStyle w:val="BodyText"/>
        <w:spacing w:line="232" w:lineRule="auto"/>
        <w:ind w:left="1206" w:right="0"/>
        <w:jc w:val="left"/>
      </w:pPr>
      <w:r>
        <w:rPr/>
        <w:t>第二次投资的初始投资成本约人民币</w:t>
      </w:r>
      <w:r>
        <w:rPr>
          <w:spacing w:val="-56"/>
        </w:rPr>
        <w:t> </w:t>
      </w:r>
      <w:r>
        <w:rPr>
          <w:rFonts w:ascii="Arial" w:hAnsi="Arial" w:cs="Arial" w:eastAsia="Arial" w:hint="default"/>
        </w:rPr>
        <w:t>33.67</w:t>
      </w:r>
      <w:r>
        <w:rPr>
          <w:rFonts w:ascii="Arial" w:hAnsi="Arial" w:cs="Arial" w:eastAsia="Arial" w:hint="default"/>
          <w:spacing w:val="-10"/>
        </w:rPr>
        <w:t> </w:t>
      </w:r>
      <w:r>
        <w:rPr>
          <w:spacing w:val="-3"/>
        </w:rPr>
        <w:t>亿元。于</w:t>
      </w:r>
      <w:r>
        <w:rPr>
          <w:spacing w:val="-56"/>
        </w:rPr>
        <w:t> </w:t>
      </w:r>
      <w:r>
        <w:rPr>
          <w:rFonts w:ascii="Arial" w:hAnsi="Arial" w:cs="Arial" w:eastAsia="Arial" w:hint="default"/>
        </w:rPr>
        <w:t>2012</w:t>
      </w:r>
      <w:r>
        <w:rPr>
          <w:rFonts w:ascii="Arial" w:hAnsi="Arial" w:cs="Arial" w:eastAsia="Arial" w:hint="default"/>
          <w:spacing w:val="-8"/>
        </w:rPr>
        <w:t> </w:t>
      </w:r>
      <w:r>
        <w:rPr/>
        <w:t>年</w:t>
      </w:r>
      <w:r>
        <w:rPr>
          <w:spacing w:val="-56"/>
        </w:rPr>
        <w:t> </w:t>
      </w:r>
      <w:r>
        <w:rPr>
          <w:rFonts w:ascii="Arial" w:hAnsi="Arial" w:cs="Arial" w:eastAsia="Arial" w:hint="default"/>
        </w:rPr>
        <w:t>5</w:t>
      </w:r>
      <w:r>
        <w:rPr>
          <w:rFonts w:ascii="Arial" w:hAnsi="Arial" w:cs="Arial" w:eastAsia="Arial" w:hint="default"/>
          <w:spacing w:val="-8"/>
        </w:rPr>
        <w:t> </w:t>
      </w:r>
      <w:r>
        <w:rPr/>
        <w:t>月</w:t>
      </w:r>
      <w:r>
        <w:rPr>
          <w:spacing w:val="-56"/>
        </w:rPr>
        <w:t> </w:t>
      </w:r>
      <w:r>
        <w:rPr>
          <w:rFonts w:ascii="Arial" w:hAnsi="Arial" w:cs="Arial" w:eastAsia="Arial" w:hint="default"/>
        </w:rPr>
        <w:t>14</w:t>
      </w:r>
      <w:r>
        <w:rPr>
          <w:rFonts w:ascii="Arial" w:hAnsi="Arial" w:cs="Arial" w:eastAsia="Arial" w:hint="default"/>
          <w:spacing w:val="-8"/>
        </w:rPr>
        <w:t> </w:t>
      </w:r>
      <w:r>
        <w:rPr/>
        <w:t>日，西班牙电信宣</w:t>
      </w:r>
      <w:r>
        <w:rPr>
          <w:w w:val="100"/>
        </w:rPr>
        <w:t> </w:t>
      </w:r>
      <w:r>
        <w:rPr>
          <w:spacing w:val="-3"/>
        </w:rPr>
        <w:t>告派发现金股利以及可选结算方式的股利收益权。上述股利收益权有三种可选结算方式，</w:t>
      </w:r>
      <w:r>
        <w:rPr>
          <w:spacing w:val="-42"/>
        </w:rPr>
        <w:t> </w:t>
      </w:r>
      <w:r>
        <w:rPr>
          <w:spacing w:val="-42"/>
        </w:rPr>
      </w:r>
      <w:r>
        <w:rPr/>
        <w:t>包括</w:t>
      </w:r>
      <w:r>
        <w:rPr>
          <w:rFonts w:ascii="Arial" w:hAnsi="Arial" w:cs="Arial" w:eastAsia="Arial" w:hint="default"/>
        </w:rPr>
        <w:t>(1)</w:t>
      </w:r>
      <w:r>
        <w:rPr/>
        <w:t>以每</w:t>
      </w:r>
      <w:r>
        <w:rPr>
          <w:spacing w:val="-48"/>
        </w:rPr>
        <w:t> </w:t>
      </w:r>
      <w:r>
        <w:rPr>
          <w:rFonts w:ascii="Arial" w:hAnsi="Arial" w:cs="Arial" w:eastAsia="Arial" w:hint="default"/>
        </w:rPr>
        <w:t>38</w:t>
      </w:r>
      <w:r>
        <w:rPr>
          <w:rFonts w:ascii="Arial" w:hAnsi="Arial" w:cs="Arial" w:eastAsia="Arial" w:hint="default"/>
          <w:spacing w:val="-2"/>
        </w:rPr>
        <w:t> </w:t>
      </w:r>
      <w:r>
        <w:rPr/>
        <w:t>股送</w:t>
      </w:r>
      <w:r>
        <w:rPr>
          <w:spacing w:val="-47"/>
        </w:rPr>
        <w:t> </w:t>
      </w:r>
      <w:r>
        <w:rPr>
          <w:rFonts w:ascii="Arial" w:hAnsi="Arial" w:cs="Arial" w:eastAsia="Arial" w:hint="default"/>
        </w:rPr>
        <w:t>1 </w:t>
      </w:r>
      <w:r>
        <w:rPr/>
        <w:t>股的比例获得股票股利、</w:t>
      </w:r>
      <w:r>
        <w:rPr>
          <w:rFonts w:ascii="Arial" w:hAnsi="Arial" w:cs="Arial" w:eastAsia="Arial" w:hint="default"/>
        </w:rPr>
        <w:t>(2)</w:t>
      </w:r>
      <w:r>
        <w:rPr/>
        <w:t>以每股</w:t>
      </w:r>
      <w:r>
        <w:rPr>
          <w:spacing w:val="-48"/>
        </w:rPr>
        <w:t> </w:t>
      </w:r>
      <w:r>
        <w:rPr>
          <w:rFonts w:ascii="Arial" w:hAnsi="Arial" w:cs="Arial" w:eastAsia="Arial" w:hint="default"/>
        </w:rPr>
        <w:t>0.285 </w:t>
      </w:r>
      <w:r>
        <w:rPr/>
        <w:t>欧元的价格由西班牙电</w:t>
      </w:r>
      <w:r>
        <w:rPr>
          <w:w w:val="100"/>
        </w:rPr>
        <w:t> </w:t>
      </w:r>
      <w:r>
        <w:rPr/>
        <w:t>信回购该股利收益权以及</w:t>
      </w:r>
      <w:r>
        <w:rPr>
          <w:rFonts w:ascii="Arial" w:hAnsi="Arial" w:cs="Arial" w:eastAsia="Arial" w:hint="default"/>
        </w:rPr>
        <w:t>(3)</w:t>
      </w:r>
      <w:r>
        <w:rPr/>
        <w:t>向市场出售该股利收益权。联通红筹公司选择以股票股利方</w:t>
      </w:r>
      <w:r>
        <w:rPr>
          <w:spacing w:val="-91"/>
        </w:rPr>
        <w:t> </w:t>
      </w:r>
      <w:r>
        <w:rPr>
          <w:spacing w:val="-91"/>
        </w:rPr>
      </w:r>
      <w:r>
        <w:rPr>
          <w:spacing w:val="-4"/>
        </w:rPr>
        <w:t>式进行结算，从而取得</w:t>
      </w:r>
      <w:r>
        <w:rPr>
          <w:spacing w:val="-47"/>
        </w:rPr>
        <w:t> </w:t>
      </w:r>
      <w:r>
        <w:rPr>
          <w:rFonts w:ascii="Arial" w:hAnsi="Arial" w:cs="Arial" w:eastAsia="Arial" w:hint="default"/>
        </w:rPr>
        <w:t>165</w:t>
      </w:r>
      <w:r>
        <w:rPr>
          <w:rFonts w:ascii="Arial" w:hAnsi="Arial" w:cs="Arial" w:eastAsia="Arial" w:hint="default"/>
          <w:spacing w:val="1"/>
        </w:rPr>
        <w:t> </w:t>
      </w:r>
      <w:r>
        <w:rPr>
          <w:spacing w:val="-3"/>
        </w:rPr>
        <w:t>万股西班牙电信股份，公允价值约为人民币</w:t>
      </w:r>
      <w:r>
        <w:rPr>
          <w:spacing w:val="-47"/>
        </w:rPr>
        <w:t> </w:t>
      </w:r>
      <w:r>
        <w:rPr>
          <w:rFonts w:ascii="Arial" w:hAnsi="Arial" w:cs="Arial" w:eastAsia="Arial" w:hint="default"/>
        </w:rPr>
        <w:t>1.46</w:t>
      </w:r>
      <w:r>
        <w:rPr>
          <w:rFonts w:ascii="Arial" w:hAnsi="Arial" w:cs="Arial" w:eastAsia="Arial" w:hint="default"/>
          <w:spacing w:val="1"/>
        </w:rPr>
        <w:t> </w:t>
      </w:r>
      <w:r>
        <w:rPr>
          <w:spacing w:val="-5"/>
        </w:rPr>
        <w:t>亿元。对于</w:t>
      </w:r>
      <w:r>
        <w:rPr>
          <w:spacing w:val="-92"/>
        </w:rPr>
        <w:t> </w:t>
      </w:r>
      <w:r>
        <w:rPr>
          <w:spacing w:val="-92"/>
        </w:rPr>
      </w:r>
      <w:r>
        <w:rPr/>
        <w:t>上述股利收益权，除股票股利外，西班牙电信股东还可选择相当于现金股利的替代结算</w:t>
      </w:r>
      <w:r>
        <w:rPr>
          <w:spacing w:val="-43"/>
        </w:rPr>
        <w:t> </w:t>
      </w:r>
      <w:r>
        <w:rPr>
          <w:spacing w:val="-43"/>
        </w:rPr>
      </w:r>
      <w:r>
        <w:rPr/>
        <w:t>方式，故管理层认为上述以股票股利方式结算的西班牙电信股票可视同通过现金股利方</w:t>
      </w:r>
      <w:r>
        <w:rPr>
          <w:spacing w:val="-46"/>
        </w:rPr>
        <w:t> </w:t>
      </w:r>
      <w:r>
        <w:rPr>
          <w:spacing w:val="-46"/>
        </w:rPr>
      </w:r>
      <w:r>
        <w:rPr/>
        <w:t>式收到股利后购买的西班牙电信股票，其公允价值被确认为可供出售金融资产，并于利</w:t>
      </w:r>
      <w:r>
        <w:rPr>
          <w:spacing w:val="-46"/>
        </w:rPr>
        <w:t> </w:t>
      </w:r>
      <w:r>
        <w:rPr>
          <w:spacing w:val="-46"/>
        </w:rPr>
      </w:r>
      <w:r>
        <w:rPr/>
        <w:t>润表内确认相应的投资收益。</w:t>
      </w:r>
    </w:p>
    <w:p>
      <w:pPr>
        <w:spacing w:line="240" w:lineRule="auto" w:before="5"/>
        <w:rPr>
          <w:rFonts w:ascii="宋体" w:hAnsi="宋体" w:cs="宋体" w:eastAsia="宋体" w:hint="default"/>
          <w:sz w:val="19"/>
          <w:szCs w:val="19"/>
        </w:rPr>
      </w:pPr>
    </w:p>
    <w:p>
      <w:pPr>
        <w:pStyle w:val="BodyText"/>
        <w:spacing w:line="293" w:lineRule="exact"/>
        <w:ind w:left="1206" w:right="0"/>
        <w:jc w:val="left"/>
      </w:pPr>
      <w:r>
        <w:rPr>
          <w:rFonts w:ascii="Arial" w:hAnsi="Arial" w:cs="Arial" w:eastAsia="Arial" w:hint="default"/>
        </w:rPr>
        <w:t>2014 </w:t>
      </w:r>
      <w:r>
        <w:rPr/>
        <w:t>年度，该可供出售权益工具的公允价值减少约人民币 </w:t>
      </w:r>
      <w:r>
        <w:rPr>
          <w:rFonts w:ascii="Arial" w:hAnsi="Arial" w:cs="Arial" w:eastAsia="Arial" w:hint="default"/>
        </w:rPr>
        <w:t>6.94</w:t>
      </w:r>
      <w:r>
        <w:rPr>
          <w:rFonts w:ascii="Arial" w:hAnsi="Arial" w:cs="Arial" w:eastAsia="Arial" w:hint="default"/>
          <w:spacing w:val="12"/>
        </w:rPr>
        <w:t> </w:t>
      </w:r>
      <w:r>
        <w:rPr/>
        <w:t>亿元，扣除所得税影响</w:t>
      </w:r>
    </w:p>
    <w:p>
      <w:pPr>
        <w:pStyle w:val="BodyText"/>
        <w:spacing w:line="284" w:lineRule="exact"/>
        <w:ind w:left="1206" w:right="0"/>
        <w:jc w:val="left"/>
      </w:pPr>
      <w:r>
        <w:rPr/>
        <w:t>后的净额按持股比例计算约人民币 </w:t>
      </w:r>
      <w:r>
        <w:rPr>
          <w:rFonts w:ascii="Arial" w:hAnsi="Arial" w:cs="Arial" w:eastAsia="Arial" w:hint="default"/>
        </w:rPr>
        <w:t>1.74</w:t>
      </w:r>
      <w:r>
        <w:rPr>
          <w:rFonts w:ascii="Arial" w:hAnsi="Arial" w:cs="Arial" w:eastAsia="Arial" w:hint="default"/>
          <w:spacing w:val="-34"/>
        </w:rPr>
        <w:t> </w:t>
      </w:r>
      <w:r>
        <w:rPr>
          <w:spacing w:val="-3"/>
        </w:rPr>
        <w:t>亿元被计入本集团其他综合收益项下（见附注五</w:t>
      </w:r>
    </w:p>
    <w:p>
      <w:pPr>
        <w:pStyle w:val="BodyText"/>
        <w:spacing w:line="295" w:lineRule="exact"/>
        <w:ind w:left="1206" w:right="0"/>
        <w:jc w:val="left"/>
      </w:pPr>
      <w:r>
        <w:rPr>
          <w:rFonts w:ascii="Arial" w:hAnsi="Arial" w:cs="Arial" w:eastAsia="Arial" w:hint="default"/>
        </w:rPr>
        <w:t>(33)</w:t>
      </w:r>
      <w:r>
        <w:rPr/>
        <w:t>）。</w:t>
      </w:r>
    </w:p>
    <w:p>
      <w:pPr>
        <w:spacing w:line="240" w:lineRule="auto" w:before="1"/>
        <w:rPr>
          <w:rFonts w:ascii="宋体" w:hAnsi="宋体" w:cs="宋体" w:eastAsia="宋体" w:hint="default"/>
          <w:sz w:val="18"/>
          <w:szCs w:val="18"/>
        </w:rPr>
      </w:pPr>
    </w:p>
    <w:p>
      <w:pPr>
        <w:pStyle w:val="BodyText"/>
        <w:spacing w:line="293" w:lineRule="exact"/>
        <w:ind w:left="1206" w:right="0"/>
        <w:jc w:val="left"/>
      </w:pPr>
      <w:r>
        <w:rPr>
          <w:w w:val="100"/>
        </w:rPr>
        <w:t>于</w:t>
      </w:r>
      <w:r>
        <w:rPr>
          <w:spacing w:val="-58"/>
        </w:rPr>
        <w:t> </w:t>
      </w:r>
      <w:r>
        <w:rPr>
          <w:rFonts w:ascii="Arial" w:hAnsi="Arial" w:cs="Arial" w:eastAsia="Arial" w:hint="default"/>
          <w:spacing w:val="-1"/>
          <w:w w:val="100"/>
        </w:rPr>
        <w:t>201</w:t>
      </w:r>
      <w:r>
        <w:rPr>
          <w:rFonts w:ascii="Arial" w:hAnsi="Arial" w:cs="Arial" w:eastAsia="Arial" w:hint="default"/>
          <w:w w:val="100"/>
        </w:rPr>
        <w:t>4</w:t>
      </w:r>
      <w:r>
        <w:rPr>
          <w:rFonts w:ascii="Arial" w:hAnsi="Arial" w:cs="Arial" w:eastAsia="Arial" w:hint="default"/>
          <w:spacing w:val="-9"/>
        </w:rPr>
        <w:t> </w:t>
      </w:r>
      <w:r>
        <w:rPr>
          <w:w w:val="100"/>
        </w:rPr>
        <w:t>年</w:t>
      </w:r>
      <w:r>
        <w:rPr>
          <w:spacing w:val="-58"/>
        </w:rPr>
        <w:t> </w:t>
      </w:r>
      <w:r>
        <w:rPr>
          <w:rFonts w:ascii="Arial" w:hAnsi="Arial" w:cs="Arial" w:eastAsia="Arial" w:hint="default"/>
          <w:spacing w:val="-1"/>
          <w:w w:val="100"/>
        </w:rPr>
        <w:t>1</w:t>
      </w:r>
      <w:r>
        <w:rPr>
          <w:rFonts w:ascii="Arial" w:hAnsi="Arial" w:cs="Arial" w:eastAsia="Arial" w:hint="default"/>
          <w:w w:val="100"/>
        </w:rPr>
        <w:t>2</w:t>
      </w:r>
      <w:r>
        <w:rPr>
          <w:rFonts w:ascii="Arial" w:hAnsi="Arial" w:cs="Arial" w:eastAsia="Arial" w:hint="default"/>
          <w:spacing w:val="-9"/>
        </w:rPr>
        <w:t> </w:t>
      </w:r>
      <w:r>
        <w:rPr>
          <w:w w:val="100"/>
        </w:rPr>
        <w:t>月</w:t>
      </w:r>
      <w:r>
        <w:rPr>
          <w:spacing w:val="-57"/>
        </w:rPr>
        <w:t> </w:t>
      </w:r>
      <w:r>
        <w:rPr>
          <w:rFonts w:ascii="Arial" w:hAnsi="Arial" w:cs="Arial" w:eastAsia="Arial" w:hint="default"/>
          <w:spacing w:val="-1"/>
          <w:w w:val="100"/>
        </w:rPr>
        <w:t>3</w:t>
      </w:r>
      <w:r>
        <w:rPr>
          <w:rFonts w:ascii="Arial" w:hAnsi="Arial" w:cs="Arial" w:eastAsia="Arial" w:hint="default"/>
          <w:w w:val="100"/>
        </w:rPr>
        <w:t>1</w:t>
      </w:r>
      <w:r>
        <w:rPr>
          <w:rFonts w:ascii="Arial" w:hAnsi="Arial" w:cs="Arial" w:eastAsia="Arial" w:hint="default"/>
          <w:spacing w:val="-9"/>
        </w:rPr>
        <w:t> </w:t>
      </w:r>
      <w:r>
        <w:rPr>
          <w:w w:val="100"/>
        </w:rPr>
        <w:t>日</w:t>
      </w:r>
      <w:r>
        <w:rPr>
          <w:spacing w:val="-113"/>
          <w:w w:val="100"/>
        </w:rPr>
        <w:t>，</w:t>
      </w:r>
      <w:r>
        <w:rPr>
          <w:w w:val="100"/>
        </w:rPr>
        <w:t>西班牙</w:t>
      </w:r>
      <w:r>
        <w:rPr>
          <w:spacing w:val="-3"/>
          <w:w w:val="100"/>
        </w:rPr>
        <w:t>电</w:t>
      </w:r>
      <w:r>
        <w:rPr>
          <w:w w:val="100"/>
        </w:rPr>
        <w:t>信以</w:t>
      </w:r>
      <w:r>
        <w:rPr>
          <w:spacing w:val="-3"/>
          <w:w w:val="100"/>
        </w:rPr>
        <w:t>欧</w:t>
      </w:r>
      <w:r>
        <w:rPr>
          <w:w w:val="100"/>
        </w:rPr>
        <w:t>元计</w:t>
      </w:r>
      <w:r>
        <w:rPr>
          <w:spacing w:val="-3"/>
          <w:w w:val="100"/>
        </w:rPr>
        <w:t>价的</w:t>
      </w:r>
      <w:r>
        <w:rPr>
          <w:w w:val="100"/>
        </w:rPr>
        <w:t>股价较</w:t>
      </w:r>
      <w:r>
        <w:rPr>
          <w:spacing w:val="-57"/>
        </w:rPr>
        <w:t> </w:t>
      </w:r>
      <w:r>
        <w:rPr>
          <w:rFonts w:ascii="Arial" w:hAnsi="Arial" w:cs="Arial" w:eastAsia="Arial" w:hint="default"/>
          <w:spacing w:val="-1"/>
          <w:w w:val="100"/>
        </w:rPr>
        <w:t>201</w:t>
      </w:r>
      <w:r>
        <w:rPr>
          <w:rFonts w:ascii="Arial" w:hAnsi="Arial" w:cs="Arial" w:eastAsia="Arial" w:hint="default"/>
          <w:w w:val="100"/>
        </w:rPr>
        <w:t>3</w:t>
      </w:r>
      <w:r>
        <w:rPr>
          <w:rFonts w:ascii="Arial" w:hAnsi="Arial" w:cs="Arial" w:eastAsia="Arial" w:hint="default"/>
          <w:spacing w:val="-9"/>
        </w:rPr>
        <w:t> </w:t>
      </w:r>
      <w:r>
        <w:rPr>
          <w:w w:val="100"/>
        </w:rPr>
        <w:t>年</w:t>
      </w:r>
      <w:r>
        <w:rPr>
          <w:spacing w:val="-58"/>
        </w:rPr>
        <w:t> </w:t>
      </w:r>
      <w:r>
        <w:rPr>
          <w:rFonts w:ascii="Arial" w:hAnsi="Arial" w:cs="Arial" w:eastAsia="Arial" w:hint="default"/>
          <w:spacing w:val="-1"/>
          <w:w w:val="100"/>
        </w:rPr>
        <w:t>1</w:t>
      </w:r>
      <w:r>
        <w:rPr>
          <w:rFonts w:ascii="Arial" w:hAnsi="Arial" w:cs="Arial" w:eastAsia="Arial" w:hint="default"/>
          <w:w w:val="100"/>
        </w:rPr>
        <w:t>2</w:t>
      </w:r>
      <w:r>
        <w:rPr>
          <w:rFonts w:ascii="Arial" w:hAnsi="Arial" w:cs="Arial" w:eastAsia="Arial" w:hint="default"/>
          <w:spacing w:val="-9"/>
        </w:rPr>
        <w:t> </w:t>
      </w:r>
      <w:r>
        <w:rPr>
          <w:w w:val="100"/>
        </w:rPr>
        <w:t>月</w:t>
      </w:r>
      <w:r>
        <w:rPr>
          <w:spacing w:val="-58"/>
        </w:rPr>
        <w:t> </w:t>
      </w:r>
      <w:r>
        <w:rPr>
          <w:rFonts w:ascii="Arial" w:hAnsi="Arial" w:cs="Arial" w:eastAsia="Arial" w:hint="default"/>
          <w:spacing w:val="-1"/>
          <w:w w:val="100"/>
        </w:rPr>
        <w:t>3</w:t>
      </w:r>
      <w:r>
        <w:rPr>
          <w:rFonts w:ascii="Arial" w:hAnsi="Arial" w:cs="Arial" w:eastAsia="Arial" w:hint="default"/>
          <w:w w:val="100"/>
        </w:rPr>
        <w:t>1</w:t>
      </w:r>
      <w:r>
        <w:rPr>
          <w:rFonts w:ascii="Arial" w:hAnsi="Arial" w:cs="Arial" w:eastAsia="Arial" w:hint="default"/>
          <w:spacing w:val="-11"/>
        </w:rPr>
        <w:t> </w:t>
      </w:r>
      <w:r>
        <w:rPr>
          <w:w w:val="100"/>
        </w:rPr>
        <w:t>日上涨</w:t>
      </w:r>
      <w:r>
        <w:rPr>
          <w:spacing w:val="-58"/>
        </w:rPr>
        <w:t> </w:t>
      </w:r>
      <w:r>
        <w:rPr>
          <w:rFonts w:ascii="Arial" w:hAnsi="Arial" w:cs="Arial" w:eastAsia="Arial" w:hint="default"/>
          <w:w w:val="100"/>
        </w:rPr>
        <w:t>0.</w:t>
      </w:r>
      <w:r>
        <w:rPr>
          <w:rFonts w:ascii="Arial" w:hAnsi="Arial" w:cs="Arial" w:eastAsia="Arial" w:hint="default"/>
          <w:spacing w:val="-3"/>
          <w:w w:val="100"/>
        </w:rPr>
        <w:t>7</w:t>
      </w:r>
      <w:r>
        <w:rPr>
          <w:rFonts w:ascii="Arial" w:hAnsi="Arial" w:cs="Arial" w:eastAsia="Arial" w:hint="default"/>
          <w:w w:val="100"/>
        </w:rPr>
        <w:t>%</w:t>
      </w:r>
      <w:r>
        <w:rPr>
          <w:w w:val="100"/>
        </w:rPr>
        <w:t>。</w:t>
      </w:r>
    </w:p>
    <w:p>
      <w:pPr>
        <w:pStyle w:val="BodyText"/>
        <w:spacing w:line="284" w:lineRule="exact"/>
        <w:ind w:left="1206" w:right="0"/>
        <w:jc w:val="left"/>
      </w:pPr>
      <w:r>
        <w:rPr>
          <w:rFonts w:ascii="Arial" w:hAnsi="Arial" w:cs="Arial" w:eastAsia="Arial" w:hint="default"/>
          <w:spacing w:val="-1"/>
        </w:rPr>
        <w:t>2014</w:t>
      </w:r>
      <w:r>
        <w:rPr>
          <w:rFonts w:ascii="Arial" w:hAnsi="Arial" w:cs="Arial" w:eastAsia="Arial" w:hint="default"/>
          <w:spacing w:val="30"/>
        </w:rPr>
        <w:t> </w:t>
      </w:r>
      <w:r>
        <w:rPr>
          <w:spacing w:val="-2"/>
        </w:rPr>
        <w:t>年，西班牙电信经营运作稳定，用户数进一步增加。虽然受汇率影响，营业收入以</w:t>
      </w:r>
    </w:p>
    <w:p>
      <w:pPr>
        <w:pStyle w:val="BodyText"/>
        <w:spacing w:line="228" w:lineRule="auto" w:before="4"/>
        <w:ind w:left="1206" w:right="469"/>
        <w:jc w:val="left"/>
      </w:pPr>
      <w:r>
        <w:rPr>
          <w:spacing w:val="-1"/>
          <w:w w:val="100"/>
        </w:rPr>
        <w:t>及息税折旧摊销前盈余较</w:t>
      </w:r>
      <w:r>
        <w:rPr>
          <w:spacing w:val="-52"/>
          <w:w w:val="100"/>
        </w:rPr>
        <w:t> </w:t>
      </w:r>
      <w:r>
        <w:rPr>
          <w:rFonts w:ascii="Arial" w:hAnsi="Arial" w:cs="Arial" w:eastAsia="Arial" w:hint="default"/>
          <w:spacing w:val="-1"/>
          <w:w w:val="100"/>
        </w:rPr>
        <w:t>2013</w:t>
      </w:r>
      <w:r>
        <w:rPr>
          <w:rFonts w:ascii="Arial" w:hAnsi="Arial" w:cs="Arial" w:eastAsia="Arial" w:hint="default"/>
          <w:spacing w:val="-4"/>
          <w:w w:val="100"/>
        </w:rPr>
        <w:t> </w:t>
      </w:r>
      <w:r>
        <w:rPr>
          <w:spacing w:val="-5"/>
          <w:w w:val="100"/>
        </w:rPr>
        <w:t>年出现一定幅度下降，但其经营业绩和业务规模未发生重</w:t>
      </w:r>
      <w:r>
        <w:rPr>
          <w:spacing w:val="-103"/>
          <w:w w:val="100"/>
        </w:rPr>
        <w:t> </w:t>
      </w:r>
      <w:r>
        <w:rPr>
          <w:spacing w:val="-103"/>
          <w:w w:val="100"/>
        </w:rPr>
      </w:r>
      <w:r>
        <w:rPr>
          <w:spacing w:val="-3"/>
        </w:rPr>
        <w:t>大不利变化。根据附注三</w:t>
      </w:r>
      <w:r>
        <w:rPr>
          <w:rFonts w:ascii="Arial" w:hAnsi="Arial" w:cs="Arial" w:eastAsia="Arial" w:hint="default"/>
          <w:spacing w:val="-3"/>
        </w:rPr>
        <w:t>(8)(a)(3)</w:t>
      </w:r>
      <w:r>
        <w:rPr>
          <w:spacing w:val="-3"/>
        </w:rPr>
        <w:t>的会计政策，西班牙电信未出现营业收入连续三年减少</w:t>
      </w:r>
      <w:r>
        <w:rPr>
          <w:spacing w:val="-63"/>
        </w:rPr>
        <w:t> </w:t>
      </w:r>
      <w:r>
        <w:rPr>
          <w:spacing w:val="-63"/>
        </w:rPr>
      </w:r>
      <w:r>
        <w:rPr>
          <w:rFonts w:ascii="Arial" w:hAnsi="Arial" w:cs="Arial" w:eastAsia="Arial" w:hint="default"/>
          <w:spacing w:val="-1"/>
          <w:w w:val="100"/>
        </w:rPr>
        <w:t>10%</w:t>
      </w:r>
      <w:r>
        <w:rPr>
          <w:spacing w:val="-1"/>
          <w:w w:val="100"/>
        </w:rPr>
        <w:t>以上或息税折旧摊销前盈余连续三年减少</w:t>
      </w:r>
      <w:r>
        <w:rPr>
          <w:spacing w:val="-48"/>
          <w:w w:val="100"/>
        </w:rPr>
        <w:t> </w:t>
      </w:r>
      <w:r>
        <w:rPr>
          <w:rFonts w:ascii="Arial" w:hAnsi="Arial" w:cs="Arial" w:eastAsia="Arial" w:hint="default"/>
          <w:spacing w:val="-6"/>
          <w:w w:val="100"/>
        </w:rPr>
        <w:t>20%</w:t>
      </w:r>
      <w:r>
        <w:rPr>
          <w:spacing w:val="-6"/>
          <w:w w:val="100"/>
        </w:rPr>
        <w:t>以上的情况。综合考虑各相关因素后，</w:t>
      </w:r>
      <w:r>
        <w:rPr>
          <w:w w:val="100"/>
        </w:rPr>
        <w:t> </w:t>
      </w:r>
      <w:r>
        <w:rPr/>
        <w:t>管理层基于已制订的可供出售金融资产减值判断的量化标准认为，此项可供出售金融资</w:t>
      </w:r>
      <w:r>
        <w:rPr>
          <w:spacing w:val="-46"/>
        </w:rPr>
        <w:t> </w:t>
      </w:r>
      <w:r>
        <w:rPr>
          <w:spacing w:val="-46"/>
        </w:rPr>
      </w:r>
      <w:r>
        <w:rPr/>
        <w:t>产于</w:t>
      </w:r>
      <w:r>
        <w:rPr>
          <w:spacing w:val="-56"/>
        </w:rPr>
        <w:t> </w:t>
      </w:r>
      <w:r>
        <w:rPr>
          <w:rFonts w:ascii="Arial" w:hAnsi="Arial" w:cs="Arial" w:eastAsia="Arial" w:hint="default"/>
        </w:rPr>
        <w:t>2014</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10"/>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日尚无需进行减值的会计处理。</w:t>
      </w:r>
    </w:p>
    <w:p>
      <w:pPr>
        <w:spacing w:after="0" w:line="228" w:lineRule="auto"/>
        <w:jc w:val="left"/>
        <w:sectPr>
          <w:headerReference w:type="default" r:id="rId77"/>
          <w:pgSz w:w="11910" w:h="16840"/>
          <w:pgMar w:header="1185" w:footer="923" w:top="3040" w:bottom="1120" w:left="1240" w:right="440"/>
        </w:sectPr>
      </w:pPr>
    </w:p>
    <w:p>
      <w:pPr>
        <w:spacing w:line="240" w:lineRule="auto" w:before="2"/>
        <w:rPr>
          <w:rFonts w:ascii="宋体" w:hAnsi="宋体" w:cs="宋体" w:eastAsia="宋体" w:hint="default"/>
          <w:sz w:val="14"/>
          <w:szCs w:val="14"/>
        </w:rPr>
      </w:pPr>
    </w:p>
    <w:p>
      <w:pPr>
        <w:pStyle w:val="BodyText"/>
        <w:spacing w:line="240" w:lineRule="auto" w:before="32"/>
        <w:ind w:left="102" w:right="0"/>
        <w:jc w:val="left"/>
      </w:pPr>
      <w:r>
        <w:rPr>
          <w:rFonts w:ascii="Arial" w:hAnsi="Arial" w:cs="Arial" w:eastAsia="Arial" w:hint="default"/>
        </w:rPr>
        <w:t>8</w:t>
      </w:r>
      <w:r>
        <w:rPr/>
        <w:t>、</w:t>
      </w:r>
      <w:r>
        <w:rPr>
          <w:spacing w:val="-34"/>
        </w:rPr>
        <w:t> </w:t>
      </w:r>
      <w:r>
        <w:rPr/>
        <w:t>可供出售金融资产（续）</w:t>
      </w:r>
    </w:p>
    <w:p>
      <w:pPr>
        <w:spacing w:line="240" w:lineRule="auto" w:before="5"/>
        <w:rPr>
          <w:rFonts w:ascii="宋体" w:hAnsi="宋体" w:cs="宋体" w:eastAsia="宋体" w:hint="default"/>
          <w:sz w:val="15"/>
          <w:szCs w:val="15"/>
        </w:rPr>
      </w:pPr>
    </w:p>
    <w:p>
      <w:pPr>
        <w:pStyle w:val="BodyText"/>
        <w:spacing w:line="282" w:lineRule="exact" w:before="32"/>
        <w:ind w:left="102" w:right="0"/>
        <w:jc w:val="left"/>
      </w:pPr>
      <w:r>
        <w:rPr/>
        <w:t>年末按公允价值计量的可供出售金融资产：</w:t>
      </w:r>
    </w:p>
    <w:p>
      <w:pPr>
        <w:pStyle w:val="BodyText"/>
        <w:spacing w:line="282" w:lineRule="exact"/>
        <w:ind w:left="0" w:right="468"/>
        <w:jc w:val="right"/>
      </w:pPr>
      <w:r>
        <w:rPr>
          <w:spacing w:val="-1"/>
        </w:rPr>
        <w:t>可供出售权益工具</w:t>
      </w:r>
    </w:p>
    <w:p>
      <w:pPr>
        <w:spacing w:line="240" w:lineRule="auto" w:before="13"/>
        <w:rPr>
          <w:rFonts w:ascii="宋体" w:hAnsi="宋体" w:cs="宋体" w:eastAsia="宋体" w:hint="default"/>
          <w:sz w:val="14"/>
          <w:szCs w:val="14"/>
        </w:rPr>
      </w:pPr>
    </w:p>
    <w:p>
      <w:pPr>
        <w:pStyle w:val="BodyText"/>
        <w:tabs>
          <w:tab w:pos="7646" w:val="left" w:leader="none"/>
        </w:tabs>
        <w:spacing w:line="289" w:lineRule="exact" w:before="32"/>
        <w:ind w:left="954" w:right="0"/>
        <w:jc w:val="left"/>
        <w:rPr>
          <w:rFonts w:ascii="Arial" w:hAnsi="Arial" w:cs="Arial" w:eastAsia="Arial" w:hint="default"/>
        </w:rPr>
      </w:pPr>
      <w:r>
        <w:rPr>
          <w:spacing w:val="-1"/>
        </w:rPr>
        <w:t>权益工具的成本</w:t>
        <w:tab/>
      </w:r>
      <w:r>
        <w:rPr>
          <w:rFonts w:ascii="Arial" w:hAnsi="Arial" w:cs="Arial" w:eastAsia="Arial" w:hint="default"/>
          <w:spacing w:val="-1"/>
        </w:rPr>
        <w:t>11,514,884,320</w:t>
      </w:r>
    </w:p>
    <w:p>
      <w:pPr>
        <w:pStyle w:val="BodyText"/>
        <w:tabs>
          <w:tab w:pos="7769" w:val="left" w:leader="none"/>
        </w:tabs>
        <w:spacing w:line="274" w:lineRule="exact"/>
        <w:ind w:left="954" w:right="0"/>
        <w:jc w:val="left"/>
        <w:rPr>
          <w:rFonts w:ascii="Arial" w:hAnsi="Arial" w:cs="Arial" w:eastAsia="Arial" w:hint="default"/>
        </w:rPr>
      </w:pPr>
      <w:r>
        <w:rPr/>
        <w:t>公允价值</w:t>
        <w:tab/>
      </w:r>
      <w:r>
        <w:rPr>
          <w:rFonts w:ascii="Arial" w:hAnsi="Arial" w:cs="Arial" w:eastAsia="Arial" w:hint="default"/>
        </w:rPr>
        <w:t>5,878,499,343</w:t>
      </w:r>
    </w:p>
    <w:p>
      <w:pPr>
        <w:pStyle w:val="BodyText"/>
        <w:tabs>
          <w:tab w:pos="7694" w:val="left" w:leader="none"/>
        </w:tabs>
        <w:spacing w:line="274" w:lineRule="exact"/>
        <w:ind w:left="954" w:right="0"/>
        <w:jc w:val="left"/>
        <w:rPr>
          <w:rFonts w:ascii="Arial" w:hAnsi="Arial" w:cs="Arial" w:eastAsia="Arial" w:hint="default"/>
        </w:rPr>
      </w:pPr>
      <w:r>
        <w:rPr>
          <w:spacing w:val="-1"/>
        </w:rPr>
        <w:t>累计计入其他综合收益及少数股东权益的公允价值变动金额</w:t>
        <w:tab/>
      </w:r>
      <w:r>
        <w:rPr>
          <w:rFonts w:ascii="Arial" w:hAnsi="Arial" w:cs="Arial" w:eastAsia="Arial" w:hint="default"/>
          <w:spacing w:val="-1"/>
        </w:rPr>
        <w:t>(5,636,384,977)</w:t>
      </w:r>
    </w:p>
    <w:p>
      <w:pPr>
        <w:pStyle w:val="BodyText"/>
        <w:tabs>
          <w:tab w:pos="9101" w:val="left" w:leader="none"/>
        </w:tabs>
        <w:spacing w:line="289" w:lineRule="exact"/>
        <w:ind w:left="954" w:right="0"/>
        <w:jc w:val="left"/>
        <w:rPr>
          <w:rFonts w:ascii="Arial" w:hAnsi="Arial" w:cs="Arial" w:eastAsia="Arial" w:hint="default"/>
        </w:rPr>
      </w:pPr>
      <w:r>
        <w:rPr>
          <w:spacing w:val="-1"/>
        </w:rPr>
        <w:t>已计提减值金额</w:t>
        <w:tab/>
      </w:r>
      <w:r>
        <w:rPr>
          <w:rFonts w:ascii="Arial" w:hAnsi="Arial" w:cs="Arial" w:eastAsia="Arial" w:hint="default"/>
        </w:rPr>
        <w:t>-</w:t>
      </w:r>
    </w:p>
    <w:p>
      <w:pPr>
        <w:spacing w:line="240" w:lineRule="auto" w:before="2"/>
        <w:rPr>
          <w:rFonts w:ascii="Arial" w:hAnsi="Arial" w:cs="Arial" w:eastAsia="Arial" w:hint="default"/>
          <w:sz w:val="20"/>
          <w:szCs w:val="20"/>
        </w:rPr>
      </w:pPr>
    </w:p>
    <w:p>
      <w:pPr>
        <w:pStyle w:val="BodyText"/>
        <w:spacing w:line="240" w:lineRule="auto"/>
        <w:ind w:left="102" w:right="0"/>
        <w:jc w:val="left"/>
      </w:pPr>
      <w:r>
        <w:rPr>
          <w:rFonts w:ascii="Arial" w:hAnsi="Arial" w:cs="Arial" w:eastAsia="Arial" w:hint="default"/>
        </w:rPr>
        <w:t>9</w:t>
      </w:r>
      <w:r>
        <w:rPr/>
        <w:t>、长期股权投资</w:t>
      </w:r>
    </w:p>
    <w:p>
      <w:pPr>
        <w:spacing w:line="240" w:lineRule="auto" w:before="0"/>
        <w:rPr>
          <w:rFonts w:ascii="宋体" w:hAnsi="宋体" w:cs="宋体" w:eastAsia="宋体" w:hint="default"/>
          <w:sz w:val="23"/>
          <w:szCs w:val="23"/>
        </w:rPr>
      </w:pPr>
    </w:p>
    <w:tbl>
      <w:tblPr>
        <w:tblW w:w="0" w:type="auto"/>
        <w:jc w:val="left"/>
        <w:tblInd w:w="253" w:type="dxa"/>
        <w:tblLayout w:type="fixed"/>
        <w:tblCellMar>
          <w:top w:w="0" w:type="dxa"/>
          <w:left w:w="0" w:type="dxa"/>
          <w:bottom w:w="0" w:type="dxa"/>
          <w:right w:w="0" w:type="dxa"/>
        </w:tblCellMar>
        <w:tblLook w:val="01E0"/>
      </w:tblPr>
      <w:tblGrid>
        <w:gridCol w:w="3757"/>
        <w:gridCol w:w="2715"/>
        <w:gridCol w:w="384"/>
        <w:gridCol w:w="2429"/>
      </w:tblGrid>
      <w:tr>
        <w:trPr>
          <w:trHeight w:val="264" w:hRule="exact"/>
        </w:trPr>
        <w:tc>
          <w:tcPr>
            <w:tcW w:w="3757" w:type="dxa"/>
            <w:tcBorders>
              <w:top w:val="nil" w:sz="6" w:space="0" w:color="auto"/>
              <w:left w:val="nil" w:sz="6" w:space="0" w:color="auto"/>
              <w:bottom w:val="nil" w:sz="6" w:space="0" w:color="auto"/>
              <w:right w:val="nil" w:sz="6" w:space="0" w:color="auto"/>
            </w:tcBorders>
          </w:tcPr>
          <w:p>
            <w:pPr/>
          </w:p>
        </w:tc>
        <w:tc>
          <w:tcPr>
            <w:tcW w:w="2715" w:type="dxa"/>
            <w:tcBorders>
              <w:top w:val="nil" w:sz="6" w:space="0" w:color="auto"/>
              <w:left w:val="nil" w:sz="6" w:space="0" w:color="auto"/>
              <w:bottom w:val="single" w:sz="6" w:space="0" w:color="000000"/>
              <w:right w:val="nil" w:sz="6" w:space="0" w:color="auto"/>
            </w:tcBorders>
          </w:tcPr>
          <w:p>
            <w:pPr>
              <w:pStyle w:val="TableParagraph"/>
              <w:spacing w:line="236" w:lineRule="exact"/>
              <w:ind w:right="103"/>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384"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single" w:sz="6" w:space="0" w:color="000000"/>
              <w:right w:val="nil" w:sz="6" w:space="0" w:color="auto"/>
            </w:tcBorders>
          </w:tcPr>
          <w:p>
            <w:pPr>
              <w:pStyle w:val="TableParagraph"/>
              <w:spacing w:line="236" w:lineRule="exact"/>
              <w:ind w:right="103"/>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7" w:hRule="exact"/>
        </w:trPr>
        <w:tc>
          <w:tcPr>
            <w:tcW w:w="37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合营企业</w:t>
            </w:r>
          </w:p>
        </w:tc>
        <w:tc>
          <w:tcPr>
            <w:tcW w:w="2715"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Arial" w:hAnsi="Arial" w:cs="Arial" w:eastAsia="Arial" w:hint="default"/>
                <w:sz w:val="22"/>
                <w:szCs w:val="22"/>
              </w:rPr>
            </w:pPr>
            <w:r>
              <w:rPr>
                <w:rFonts w:ascii="Arial"/>
                <w:spacing w:val="-1"/>
                <w:sz w:val="22"/>
              </w:rPr>
              <w:t>20,000,000</w:t>
            </w:r>
          </w:p>
        </w:tc>
        <w:tc>
          <w:tcPr>
            <w:tcW w:w="384" w:type="dxa"/>
            <w:tcBorders>
              <w:top w:val="nil" w:sz="6" w:space="0" w:color="auto"/>
              <w:left w:val="nil" w:sz="6" w:space="0" w:color="auto"/>
              <w:bottom w:val="nil" w:sz="6" w:space="0" w:color="auto"/>
              <w:right w:val="nil" w:sz="6" w:space="0" w:color="auto"/>
            </w:tcBorders>
          </w:tcPr>
          <w:p>
            <w:pPr/>
          </w:p>
        </w:tc>
        <w:tc>
          <w:tcPr>
            <w:tcW w:w="2429"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6"/>
              <w:jc w:val="right"/>
              <w:rPr>
                <w:rFonts w:ascii="Arial" w:hAnsi="Arial" w:cs="Arial" w:eastAsia="Arial" w:hint="default"/>
                <w:sz w:val="22"/>
                <w:szCs w:val="22"/>
              </w:rPr>
            </w:pPr>
            <w:r>
              <w:rPr>
                <w:rFonts w:ascii="Arial"/>
                <w:w w:val="100"/>
                <w:sz w:val="22"/>
              </w:rPr>
              <w:t>-</w:t>
            </w:r>
          </w:p>
        </w:tc>
      </w:tr>
      <w:tr>
        <w:trPr>
          <w:trHeight w:val="286" w:hRule="exact"/>
        </w:trPr>
        <w:tc>
          <w:tcPr>
            <w:tcW w:w="3757"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联营企业</w:t>
            </w:r>
          </w:p>
        </w:tc>
        <w:tc>
          <w:tcPr>
            <w:tcW w:w="271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3"/>
              <w:jc w:val="right"/>
              <w:rPr>
                <w:rFonts w:ascii="Arial" w:hAnsi="Arial" w:cs="Arial" w:eastAsia="Arial" w:hint="default"/>
                <w:sz w:val="22"/>
                <w:szCs w:val="22"/>
              </w:rPr>
            </w:pPr>
            <w:r>
              <w:rPr>
                <w:rFonts w:ascii="Arial"/>
                <w:spacing w:val="-1"/>
                <w:sz w:val="22"/>
              </w:rPr>
              <w:t>3,036,537,978</w:t>
            </w:r>
          </w:p>
        </w:tc>
        <w:tc>
          <w:tcPr>
            <w:tcW w:w="384"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2"/>
              <w:jc w:val="right"/>
              <w:rPr>
                <w:rFonts w:ascii="Arial" w:hAnsi="Arial" w:cs="Arial" w:eastAsia="Arial" w:hint="default"/>
                <w:sz w:val="22"/>
                <w:szCs w:val="22"/>
              </w:rPr>
            </w:pPr>
            <w:r>
              <w:rPr>
                <w:rFonts w:ascii="Arial"/>
                <w:spacing w:val="-1"/>
                <w:sz w:val="22"/>
              </w:rPr>
              <w:t>29,660,859</w:t>
            </w:r>
          </w:p>
        </w:tc>
      </w:tr>
      <w:tr>
        <w:trPr>
          <w:trHeight w:val="291" w:hRule="exact"/>
        </w:trPr>
        <w:tc>
          <w:tcPr>
            <w:tcW w:w="3757"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其他长期股权投资</w:t>
            </w:r>
          </w:p>
        </w:tc>
        <w:tc>
          <w:tcPr>
            <w:tcW w:w="2715" w:type="dxa"/>
            <w:tcBorders>
              <w:top w:val="nil" w:sz="6" w:space="0" w:color="auto"/>
              <w:left w:val="nil" w:sz="6" w:space="0" w:color="auto"/>
              <w:bottom w:val="nil" w:sz="6" w:space="0" w:color="auto"/>
              <w:right w:val="nil" w:sz="6" w:space="0" w:color="auto"/>
            </w:tcBorders>
          </w:tcPr>
          <w:p>
            <w:pPr>
              <w:pStyle w:val="TableParagraph"/>
              <w:tabs>
                <w:tab w:pos="2532" w:val="left" w:leader="none"/>
                <w:tab w:pos="2714" w:val="left" w:leader="none"/>
              </w:tabs>
              <w:spacing w:line="240" w:lineRule="auto" w:before="19"/>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tab/>
            </w:r>
            <w:r>
              <w:rPr>
                <w:rFonts w:ascii="Arial"/>
                <w:sz w:val="22"/>
              </w:rPr>
            </w:r>
          </w:p>
        </w:tc>
        <w:tc>
          <w:tcPr>
            <w:tcW w:w="384"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nil" w:sz="6" w:space="0" w:color="auto"/>
              <w:right w:val="nil" w:sz="6" w:space="0" w:color="auto"/>
            </w:tcBorders>
          </w:tcPr>
          <w:p>
            <w:pPr>
              <w:pStyle w:val="TableParagraph"/>
              <w:tabs>
                <w:tab w:pos="1212" w:val="left" w:leader="none"/>
                <w:tab w:pos="2421" w:val="left" w:leader="none"/>
              </w:tabs>
              <w:spacing w:line="240" w:lineRule="auto" w:before="19"/>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23,480,271</w:t>
              <w:tab/>
            </w:r>
            <w:r>
              <w:rPr>
                <w:rFonts w:ascii="Arial"/>
                <w:spacing w:val="-1"/>
                <w:sz w:val="22"/>
              </w:rPr>
            </w:r>
          </w:p>
        </w:tc>
      </w:tr>
      <w:tr>
        <w:trPr>
          <w:trHeight w:val="388" w:hRule="exact"/>
        </w:trPr>
        <w:tc>
          <w:tcPr>
            <w:tcW w:w="6472" w:type="dxa"/>
            <w:gridSpan w:val="2"/>
            <w:tcBorders>
              <w:top w:val="nil" w:sz="6" w:space="0" w:color="auto"/>
              <w:left w:val="nil" w:sz="6" w:space="0" w:color="auto"/>
              <w:bottom w:val="nil" w:sz="6" w:space="0" w:color="auto"/>
              <w:right w:val="nil" w:sz="6" w:space="0" w:color="auto"/>
            </w:tcBorders>
          </w:tcPr>
          <w:p>
            <w:pPr>
              <w:pStyle w:val="TableParagraph"/>
              <w:spacing w:line="250" w:lineRule="exact"/>
              <w:ind w:right="103"/>
              <w:jc w:val="right"/>
              <w:rPr>
                <w:rFonts w:ascii="Arial" w:hAnsi="Arial" w:cs="Arial" w:eastAsia="Arial" w:hint="default"/>
                <w:sz w:val="22"/>
                <w:szCs w:val="22"/>
              </w:rPr>
            </w:pPr>
            <w:r>
              <w:rPr>
                <w:rFonts w:ascii="Arial"/>
                <w:spacing w:val="-1"/>
                <w:sz w:val="22"/>
              </w:rPr>
              <w:t>3,056,537,978</w:t>
            </w:r>
          </w:p>
        </w:tc>
        <w:tc>
          <w:tcPr>
            <w:tcW w:w="384"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nil" w:sz="6" w:space="0" w:color="auto"/>
              <w:right w:val="nil" w:sz="6" w:space="0" w:color="auto"/>
            </w:tcBorders>
          </w:tcPr>
          <w:p>
            <w:pPr>
              <w:pStyle w:val="TableParagraph"/>
              <w:spacing w:line="250" w:lineRule="exact"/>
              <w:ind w:right="105"/>
              <w:jc w:val="right"/>
              <w:rPr>
                <w:rFonts w:ascii="Arial" w:hAnsi="Arial" w:cs="Arial" w:eastAsia="Arial" w:hint="default"/>
                <w:sz w:val="22"/>
                <w:szCs w:val="22"/>
              </w:rPr>
            </w:pPr>
            <w:r>
              <w:rPr>
                <w:rFonts w:ascii="Arial"/>
                <w:spacing w:val="-1"/>
                <w:sz w:val="22"/>
              </w:rPr>
              <w:t>53,141,130</w:t>
            </w:r>
          </w:p>
        </w:tc>
      </w:tr>
      <w:tr>
        <w:trPr>
          <w:trHeight w:val="520" w:hRule="exact"/>
        </w:trPr>
        <w:tc>
          <w:tcPr>
            <w:tcW w:w="375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00" w:right="0"/>
              <w:jc w:val="left"/>
              <w:rPr>
                <w:rFonts w:ascii="宋体" w:hAnsi="宋体" w:cs="宋体" w:eastAsia="宋体" w:hint="default"/>
                <w:sz w:val="22"/>
                <w:szCs w:val="22"/>
              </w:rPr>
            </w:pPr>
            <w:r>
              <w:rPr>
                <w:rFonts w:ascii="宋体" w:hAnsi="宋体" w:cs="宋体" w:eastAsia="宋体" w:hint="default"/>
                <w:sz w:val="22"/>
                <w:szCs w:val="22"/>
              </w:rPr>
              <w:t>减：长期股权投资减值准备</w:t>
            </w:r>
          </w:p>
        </w:tc>
        <w:tc>
          <w:tcPr>
            <w:tcW w:w="2715" w:type="dxa"/>
            <w:tcBorders>
              <w:top w:val="nil" w:sz="6" w:space="0" w:color="auto"/>
              <w:left w:val="nil" w:sz="6" w:space="0" w:color="auto"/>
              <w:bottom w:val="nil" w:sz="6" w:space="0" w:color="auto"/>
              <w:right w:val="nil" w:sz="6" w:space="0" w:color="auto"/>
            </w:tcBorders>
          </w:tcPr>
          <w:p>
            <w:pPr>
              <w:pStyle w:val="TableParagraph"/>
              <w:tabs>
                <w:tab w:pos="2532" w:val="left" w:leader="none"/>
                <w:tab w:pos="2714" w:val="left" w:leader="none"/>
              </w:tabs>
              <w:spacing w:line="240" w:lineRule="auto" w:before="146"/>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tab/>
            </w:r>
            <w:r>
              <w:rPr>
                <w:rFonts w:ascii="Arial"/>
                <w:sz w:val="22"/>
              </w:rPr>
            </w:r>
          </w:p>
        </w:tc>
        <w:tc>
          <w:tcPr>
            <w:tcW w:w="384"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nil" w:sz="6" w:space="0" w:color="auto"/>
              <w:right w:val="nil" w:sz="6" w:space="0" w:color="auto"/>
            </w:tcBorders>
          </w:tcPr>
          <w:p>
            <w:pPr>
              <w:pStyle w:val="TableParagraph"/>
              <w:tabs>
                <w:tab w:pos="2239" w:val="left" w:leader="none"/>
                <w:tab w:pos="2421" w:val="left" w:leader="none"/>
              </w:tabs>
              <w:spacing w:line="240" w:lineRule="auto" w:before="146"/>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tab/>
            </w:r>
            <w:r>
              <w:rPr>
                <w:rFonts w:ascii="Arial"/>
                <w:sz w:val="22"/>
              </w:rPr>
            </w:r>
          </w:p>
        </w:tc>
      </w:tr>
      <w:tr>
        <w:trPr>
          <w:trHeight w:val="406" w:hRule="exact"/>
        </w:trPr>
        <w:tc>
          <w:tcPr>
            <w:tcW w:w="375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715" w:type="dxa"/>
            <w:tcBorders>
              <w:top w:val="nil" w:sz="6" w:space="0" w:color="auto"/>
              <w:left w:val="nil" w:sz="6" w:space="0" w:color="auto"/>
              <w:bottom w:val="single" w:sz="17" w:space="0" w:color="000000"/>
              <w:right w:val="nil" w:sz="6" w:space="0" w:color="auto"/>
            </w:tcBorders>
          </w:tcPr>
          <w:p>
            <w:pPr>
              <w:pStyle w:val="TableParagraph"/>
              <w:spacing w:line="240" w:lineRule="auto" w:before="128"/>
              <w:ind w:right="103"/>
              <w:jc w:val="right"/>
              <w:rPr>
                <w:rFonts w:ascii="Arial" w:hAnsi="Arial" w:cs="Arial" w:eastAsia="Arial" w:hint="default"/>
                <w:sz w:val="22"/>
                <w:szCs w:val="22"/>
              </w:rPr>
            </w:pPr>
            <w:r>
              <w:rPr>
                <w:rFonts w:ascii="Arial"/>
                <w:spacing w:val="-1"/>
                <w:sz w:val="22"/>
              </w:rPr>
              <w:t>3,056,537,978</w:t>
            </w:r>
          </w:p>
        </w:tc>
        <w:tc>
          <w:tcPr>
            <w:tcW w:w="384"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single" w:sz="17" w:space="0" w:color="000000"/>
              <w:right w:val="nil" w:sz="6" w:space="0" w:color="auto"/>
            </w:tcBorders>
          </w:tcPr>
          <w:p>
            <w:pPr>
              <w:pStyle w:val="TableParagraph"/>
              <w:spacing w:line="240" w:lineRule="auto" w:before="128"/>
              <w:ind w:right="102"/>
              <w:jc w:val="right"/>
              <w:rPr>
                <w:rFonts w:ascii="Arial" w:hAnsi="Arial" w:cs="Arial" w:eastAsia="Arial" w:hint="default"/>
                <w:sz w:val="22"/>
                <w:szCs w:val="22"/>
              </w:rPr>
            </w:pPr>
            <w:r>
              <w:rPr>
                <w:rFonts w:ascii="Arial"/>
                <w:spacing w:val="-1"/>
                <w:sz w:val="22"/>
              </w:rPr>
              <w:t>53,141,130</w:t>
            </w:r>
          </w:p>
        </w:tc>
      </w:tr>
    </w:tbl>
    <w:p>
      <w:pPr>
        <w:spacing w:line="240" w:lineRule="auto" w:before="1"/>
        <w:rPr>
          <w:rFonts w:ascii="宋体" w:hAnsi="宋体" w:cs="宋体" w:eastAsia="宋体" w:hint="default"/>
          <w:sz w:val="26"/>
          <w:szCs w:val="26"/>
        </w:rPr>
      </w:pPr>
    </w:p>
    <w:p>
      <w:pPr>
        <w:pStyle w:val="BodyText"/>
        <w:spacing w:line="240" w:lineRule="auto" w:before="32"/>
        <w:ind w:left="438" w:right="0"/>
        <w:jc w:val="left"/>
      </w:pPr>
      <w:r>
        <w:rPr/>
        <w:t>本集团不存在长期股权投资变现的重大限制。</w:t>
      </w:r>
    </w:p>
    <w:p>
      <w:pPr>
        <w:spacing w:after="0" w:line="240" w:lineRule="auto"/>
        <w:jc w:val="left"/>
        <w:sectPr>
          <w:headerReference w:type="default" r:id="rId78"/>
          <w:pgSz w:w="11910" w:h="16840"/>
          <w:pgMar w:header="1185" w:footer="923" w:top="3080" w:bottom="1120" w:left="1280" w:right="980"/>
        </w:sectPr>
      </w:pPr>
    </w:p>
    <w:p>
      <w:pPr>
        <w:pStyle w:val="BodyText"/>
        <w:spacing w:line="240" w:lineRule="auto" w:before="10"/>
        <w:ind w:left="106" w:right="11262"/>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1"/>
        <w:rPr>
          <w:rFonts w:ascii="黑体" w:hAnsi="黑体" w:cs="黑体" w:eastAsia="黑体" w:hint="default"/>
          <w:sz w:val="19"/>
          <w:szCs w:val="19"/>
        </w:rPr>
      </w:pPr>
    </w:p>
    <w:p>
      <w:pPr>
        <w:pStyle w:val="BodyText"/>
        <w:spacing w:line="287" w:lineRule="exact"/>
        <w:ind w:left="106" w:right="11262"/>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left="106" w:right="11262"/>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tabs>
          <w:tab w:pos="557" w:val="left" w:leader="none"/>
        </w:tabs>
        <w:spacing w:line="448" w:lineRule="auto"/>
        <w:ind w:left="106" w:right="11262"/>
        <w:jc w:val="left"/>
        <w:rPr>
          <w:rFonts w:ascii="黑体" w:hAnsi="黑体" w:cs="黑体" w:eastAsia="黑体" w:hint="default"/>
        </w:rPr>
      </w:pPr>
      <w:r>
        <w:rPr>
          <w:rFonts w:ascii="黑体" w:hAnsi="黑体" w:cs="黑体" w:eastAsia="黑体" w:hint="default"/>
          <w:spacing w:val="-1"/>
        </w:rPr>
        <w:t>（除特别注明外，金额单位为人民币元）</w:t>
      </w:r>
      <w:r>
        <w:rPr>
          <w:rFonts w:ascii="黑体" w:hAnsi="黑体" w:cs="黑体" w:eastAsia="黑体" w:hint="default"/>
          <w:spacing w:val="-92"/>
        </w:rPr>
        <w:t> </w:t>
      </w:r>
      <w:r>
        <w:rPr>
          <w:rFonts w:ascii="黑体" w:hAnsi="黑体" w:cs="黑体" w:eastAsia="黑体" w:hint="default"/>
          <w:spacing w:val="-92"/>
        </w:rPr>
      </w:r>
      <w:r>
        <w:rPr>
          <w:rFonts w:ascii="黑体" w:hAnsi="黑体" w:cs="黑体" w:eastAsia="黑体" w:hint="default"/>
        </w:rPr>
        <w:t>五</w:t>
        <w:tab/>
        <w:t>合并财务报表项目附注（续）</w:t>
      </w:r>
    </w:p>
    <w:p>
      <w:pPr>
        <w:pStyle w:val="BodyText"/>
        <w:spacing w:line="424" w:lineRule="auto" w:before="60"/>
        <w:ind w:left="564" w:right="8869" w:hanging="423"/>
        <w:jc w:val="left"/>
      </w:pPr>
      <w:r>
        <w:rPr>
          <w:rFonts w:ascii="Arial" w:hAnsi="Arial" w:cs="Arial" w:eastAsia="Arial" w:hint="default"/>
        </w:rPr>
        <w:t>9</w:t>
      </w:r>
      <w:r>
        <w:rPr/>
        <w:t>、</w:t>
      </w:r>
      <w:r>
        <w:rPr>
          <w:spacing w:val="-31"/>
        </w:rPr>
        <w:t> </w:t>
      </w:r>
      <w:r>
        <w:rPr/>
        <w:t>长期股权投资（续）</w:t>
      </w:r>
      <w:r>
        <w:rPr>
          <w:w w:val="100"/>
        </w:rPr>
        <w:t> </w:t>
      </w:r>
      <w:r>
        <w:rPr>
          <w:spacing w:val="-1"/>
        </w:rPr>
        <w:t>合营及联营企业本年变动情况分析如下：</w:t>
      </w:r>
    </w:p>
    <w:p>
      <w:pPr>
        <w:spacing w:after="0" w:line="424" w:lineRule="auto"/>
        <w:jc w:val="left"/>
        <w:sectPr>
          <w:headerReference w:type="default" r:id="rId79"/>
          <w:footerReference w:type="default" r:id="rId80"/>
          <w:pgSz w:w="16840" w:h="11910" w:orient="landscape"/>
          <w:pgMar w:header="0" w:footer="0" w:top="1100" w:bottom="280" w:left="460" w:right="1040"/>
        </w:sect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3"/>
        <w:rPr>
          <w:rFonts w:ascii="宋体" w:hAnsi="宋体" w:cs="宋体" w:eastAsia="宋体" w:hint="default"/>
          <w:sz w:val="11"/>
          <w:szCs w:val="11"/>
        </w:rPr>
      </w:pPr>
    </w:p>
    <w:p>
      <w:pPr>
        <w:spacing w:before="0"/>
        <w:ind w:left="624" w:right="-13" w:firstLine="0"/>
        <w:jc w:val="left"/>
        <w:rPr>
          <w:rFonts w:ascii="宋体" w:hAnsi="宋体" w:cs="宋体" w:eastAsia="宋体" w:hint="default"/>
          <w:sz w:val="16"/>
          <w:szCs w:val="16"/>
        </w:rPr>
      </w:pPr>
      <w:r>
        <w:rPr>
          <w:rFonts w:ascii="宋体" w:hAnsi="宋体" w:cs="宋体" w:eastAsia="宋体" w:hint="default"/>
          <w:spacing w:val="-1"/>
          <w:sz w:val="16"/>
          <w:szCs w:val="16"/>
        </w:rPr>
        <w:t>被投资单位</w:t>
      </w:r>
    </w:p>
    <w:p>
      <w:pPr>
        <w:spacing w:line="240" w:lineRule="auto" w:before="4"/>
        <w:rPr>
          <w:rFonts w:ascii="宋体" w:hAnsi="宋体" w:cs="宋体" w:eastAsia="宋体" w:hint="default"/>
          <w:sz w:val="20"/>
          <w:szCs w:val="20"/>
        </w:rPr>
      </w:pPr>
      <w:r>
        <w:rPr/>
        <w:br w:type="column"/>
      </w:r>
      <w:r>
        <w:rPr>
          <w:rFonts w:ascii="宋体"/>
          <w:sz w:val="20"/>
        </w:rPr>
      </w:r>
    </w:p>
    <w:p>
      <w:pPr>
        <w:spacing w:before="0"/>
        <w:ind w:left="624" w:right="-11" w:firstLine="0"/>
        <w:jc w:val="left"/>
        <w:rPr>
          <w:rFonts w:ascii="宋体" w:hAnsi="宋体" w:cs="宋体" w:eastAsia="宋体" w:hint="default"/>
          <w:sz w:val="16"/>
          <w:szCs w:val="16"/>
        </w:rPr>
      </w:pPr>
      <w:r>
        <w:rPr/>
        <w:pict>
          <v:group style="position:absolute;margin-left:205.339996pt;margin-top:11.623758pt;width:178pt;height:.5pt;mso-position-horizontal-relative:page;mso-position-vertical-relative:paragraph;z-index:1432" coordorigin="4107,232" coordsize="3560,10">
            <v:group style="position:absolute;left:4112;top:237;width:1115;height:2" coordorigin="4112,237" coordsize="1115,2">
              <v:shape style="position:absolute;left:4112;top:237;width:1115;height:2" coordorigin="4112,237" coordsize="1115,0" path="m4112,237l5226,237e" filled="false" stroked="true" strokeweight=".48pt" strokecolor="#000000">
                <v:path arrowok="t"/>
              </v:shape>
            </v:group>
            <v:group style="position:absolute;left:5226;top:237;width:10;height:2" coordorigin="5226,237" coordsize="10,2">
              <v:shape style="position:absolute;left:5226;top:237;width:10;height:2" coordorigin="5226,237" coordsize="10,0" path="m5226,237l5235,237e" filled="false" stroked="true" strokeweight=".48pt" strokecolor="#000000">
                <v:path arrowok="t"/>
              </v:shape>
            </v:group>
            <v:group style="position:absolute;left:5235;top:237;width:10;height:2" coordorigin="5235,237" coordsize="10,2">
              <v:shape style="position:absolute;left:5235;top:237;width:10;height:2" coordorigin="5235,237" coordsize="10,0" path="m5235,237l5245,237e" filled="false" stroked="true" strokeweight=".48pt" strokecolor="#000000">
                <v:path arrowok="t"/>
              </v:shape>
            </v:group>
            <v:group style="position:absolute;left:5245;top:237;width:10;height:2" coordorigin="5245,237" coordsize="10,2">
              <v:shape style="position:absolute;left:5245;top:237;width:10;height:2" coordorigin="5245,237" coordsize="10,0" path="m5245,237l5255,237e" filled="false" stroked="true" strokeweight=".48pt" strokecolor="#000000">
                <v:path arrowok="t"/>
              </v:shape>
            </v:group>
            <v:group style="position:absolute;left:5255;top:237;width:1347;height:2" coordorigin="5255,237" coordsize="1347,2">
              <v:shape style="position:absolute;left:5255;top:237;width:1347;height:2" coordorigin="5255,237" coordsize="1347,0" path="m5255,237l6601,237e" filled="false" stroked="true" strokeweight=".48pt" strokecolor="#000000">
                <v:path arrowok="t"/>
              </v:shape>
            </v:group>
            <v:group style="position:absolute;left:6601;top:237;width:10;height:2" coordorigin="6601,237" coordsize="10,2">
              <v:shape style="position:absolute;left:6601;top:237;width:10;height:2" coordorigin="6601,237" coordsize="10,0" path="m6601,237l6611,237e" filled="false" stroked="true" strokeweight=".48pt" strokecolor="#000000">
                <v:path arrowok="t"/>
              </v:shape>
            </v:group>
            <v:group style="position:absolute;left:6611;top:237;width:10;height:2" coordorigin="6611,237" coordsize="10,2">
              <v:shape style="position:absolute;left:6611;top:237;width:10;height:2" coordorigin="6611,237" coordsize="10,0" path="m6611,237l6620,237e" filled="false" stroked="true" strokeweight=".48pt" strokecolor="#000000">
                <v:path arrowok="t"/>
              </v:shape>
            </v:group>
            <v:group style="position:absolute;left:6620;top:237;width:10;height:2" coordorigin="6620,237" coordsize="10,2">
              <v:shape style="position:absolute;left:6620;top:237;width:10;height:2" coordorigin="6620,237" coordsize="10,0" path="m6620,237l6630,237e" filled="false" stroked="true" strokeweight=".48pt" strokecolor="#000000">
                <v:path arrowok="t"/>
              </v:shape>
            </v:group>
            <v:group style="position:absolute;left:6630;top:237;width:1032;height:2" coordorigin="6630,237" coordsize="1032,2">
              <v:shape style="position:absolute;left:6630;top:237;width:1032;height:2" coordorigin="6630,237" coordsize="1032,0" path="m6630,237l7662,237e" filled="false" stroked="true" strokeweight=".48pt" strokecolor="#000000">
                <v:path arrowok="t"/>
              </v:shape>
            </v:group>
            <w10:wrap type="none"/>
          </v:group>
        </w:pict>
      </w:r>
      <w:r>
        <w:rPr/>
        <w:pict>
          <v:shape style="position:absolute;margin-left:205.580002pt;margin-top:6.994383pt;width:563.65pt;height:20.7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50"/>
                    <w:gridCol w:w="142"/>
                    <w:gridCol w:w="1045"/>
                    <w:gridCol w:w="1146"/>
                    <w:gridCol w:w="142"/>
                    <w:gridCol w:w="992"/>
                    <w:gridCol w:w="144"/>
                    <w:gridCol w:w="708"/>
                    <w:gridCol w:w="142"/>
                    <w:gridCol w:w="850"/>
                    <w:gridCol w:w="144"/>
                    <w:gridCol w:w="1275"/>
                    <w:gridCol w:w="142"/>
                    <w:gridCol w:w="852"/>
                  </w:tblGrid>
                  <w:tr>
                    <w:trPr>
                      <w:trHeight w:val="185" w:hRule="exact"/>
                    </w:trPr>
                    <w:tc>
                      <w:tcPr>
                        <w:tcW w:w="3692" w:type="dxa"/>
                        <w:gridSpan w:val="2"/>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Style w:val="TableParagraph"/>
                          <w:spacing w:line="161" w:lineRule="exact"/>
                          <w:ind w:left="230" w:right="0"/>
                          <w:jc w:val="left"/>
                          <w:rPr>
                            <w:rFonts w:ascii="宋体" w:hAnsi="宋体" w:cs="宋体" w:eastAsia="宋体" w:hint="default"/>
                            <w:sz w:val="16"/>
                            <w:szCs w:val="16"/>
                          </w:rPr>
                        </w:pPr>
                        <w:r>
                          <w:rPr>
                            <w:rFonts w:ascii="宋体" w:hAnsi="宋体" w:cs="宋体" w:eastAsia="宋体" w:hint="default"/>
                            <w:sz w:val="16"/>
                            <w:szCs w:val="16"/>
                          </w:rPr>
                          <w:t>下确认的</w:t>
                        </w:r>
                      </w:p>
                    </w:tc>
                    <w:tc>
                      <w:tcPr>
                        <w:tcW w:w="1146"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Style w:val="TableParagraph"/>
                          <w:spacing w:line="161" w:lineRule="exact"/>
                          <w:ind w:left="12" w:right="0"/>
                          <w:jc w:val="center"/>
                          <w:rPr>
                            <w:rFonts w:ascii="宋体" w:hAnsi="宋体" w:cs="宋体" w:eastAsia="宋体" w:hint="default"/>
                            <w:sz w:val="16"/>
                            <w:szCs w:val="16"/>
                          </w:rPr>
                        </w:pPr>
                        <w:r>
                          <w:rPr>
                            <w:rFonts w:ascii="宋体" w:hAnsi="宋体" w:cs="宋体" w:eastAsia="宋体" w:hint="default"/>
                            <w:sz w:val="16"/>
                            <w:szCs w:val="16"/>
                          </w:rPr>
                          <w:t>现金股利</w:t>
                        </w: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161" w:lineRule="exact"/>
                          <w:ind w:right="156"/>
                          <w:jc w:val="right"/>
                          <w:rPr>
                            <w:rFonts w:ascii="宋体" w:hAnsi="宋体" w:cs="宋体" w:eastAsia="宋体" w:hint="default"/>
                            <w:sz w:val="16"/>
                            <w:szCs w:val="16"/>
                          </w:rPr>
                        </w:pPr>
                        <w:r>
                          <w:rPr>
                            <w:rFonts w:ascii="宋体" w:hAnsi="宋体" w:cs="宋体" w:eastAsia="宋体" w:hint="default"/>
                            <w:sz w:val="16"/>
                            <w:szCs w:val="16"/>
                          </w:rPr>
                          <w:t>计提减值</w:t>
                        </w:r>
                      </w:p>
                    </w:tc>
                    <w:tc>
                      <w:tcPr>
                        <w:tcW w:w="144"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161" w:lineRule="exact"/>
                          <w:ind w:left="40" w:right="0"/>
                          <w:jc w:val="left"/>
                          <w:rPr>
                            <w:rFonts w:ascii="宋体" w:hAnsi="宋体" w:cs="宋体" w:eastAsia="宋体" w:hint="default"/>
                            <w:sz w:val="16"/>
                            <w:szCs w:val="16"/>
                          </w:rPr>
                        </w:pPr>
                        <w:r>
                          <w:rPr>
                            <w:rFonts w:ascii="宋体" w:hAnsi="宋体" w:cs="宋体" w:eastAsia="宋体" w:hint="default"/>
                            <w:sz w:val="16"/>
                            <w:szCs w:val="16"/>
                          </w:rPr>
                          <w:t>减值准备</w:t>
                        </w:r>
                      </w:p>
                    </w:tc>
                  </w:tr>
                  <w:tr>
                    <w:trPr>
                      <w:trHeight w:val="215" w:hRule="exact"/>
                    </w:trPr>
                    <w:tc>
                      <w:tcPr>
                        <w:tcW w:w="3550" w:type="dxa"/>
                        <w:tcBorders>
                          <w:top w:val="nil" w:sz="6" w:space="0" w:color="auto"/>
                          <w:left w:val="nil" w:sz="6" w:space="0" w:color="auto"/>
                          <w:bottom w:val="single" w:sz="6" w:space="0" w:color="000000"/>
                          <w:right w:val="nil" w:sz="6" w:space="0" w:color="auto"/>
                        </w:tcBorders>
                      </w:tcPr>
                      <w:p>
                        <w:pPr>
                          <w:pStyle w:val="TableParagraph"/>
                          <w:tabs>
                            <w:tab w:pos="1445" w:val="left" w:leader="none"/>
                            <w:tab w:pos="2635" w:val="left" w:leader="none"/>
                          </w:tabs>
                          <w:spacing w:line="185" w:lineRule="exact"/>
                          <w:ind w:left="237" w:right="0"/>
                          <w:jc w:val="left"/>
                          <w:rPr>
                            <w:rFonts w:ascii="宋体" w:hAnsi="宋体" w:cs="宋体" w:eastAsia="宋体" w:hint="default"/>
                            <w:sz w:val="16"/>
                            <w:szCs w:val="16"/>
                          </w:rPr>
                        </w:pPr>
                        <w:r>
                          <w:rPr>
                            <w:rFonts w:ascii="宋体" w:hAnsi="宋体" w:cs="宋体" w:eastAsia="宋体" w:hint="default"/>
                            <w:sz w:val="16"/>
                            <w:szCs w:val="16"/>
                          </w:rPr>
                          <w:t>年初余额</w:t>
                          <w:tab/>
                          <w:t>增加投资</w:t>
                          <w:tab/>
                          <w:t>减少投资</w:t>
                        </w:r>
                      </w:p>
                    </w:tc>
                    <w:tc>
                      <w:tcPr>
                        <w:tcW w:w="142"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single" w:sz="6" w:space="0" w:color="000000"/>
                          <w:right w:val="nil" w:sz="6" w:space="0" w:color="auto"/>
                        </w:tcBorders>
                      </w:tcPr>
                      <w:p>
                        <w:pPr>
                          <w:pStyle w:val="TableParagraph"/>
                          <w:spacing w:line="185" w:lineRule="exact"/>
                          <w:ind w:left="230" w:right="0"/>
                          <w:jc w:val="left"/>
                          <w:rPr>
                            <w:rFonts w:ascii="宋体" w:hAnsi="宋体" w:cs="宋体" w:eastAsia="宋体" w:hint="default"/>
                            <w:sz w:val="16"/>
                            <w:szCs w:val="16"/>
                          </w:rPr>
                        </w:pPr>
                        <w:r>
                          <w:rPr>
                            <w:rFonts w:ascii="宋体" w:hAnsi="宋体" w:cs="宋体" w:eastAsia="宋体" w:hint="default"/>
                            <w:sz w:val="16"/>
                            <w:szCs w:val="16"/>
                          </w:rPr>
                          <w:t>投资收益</w:t>
                        </w:r>
                      </w:p>
                    </w:tc>
                    <w:tc>
                      <w:tcPr>
                        <w:tcW w:w="1146" w:type="dxa"/>
                        <w:tcBorders>
                          <w:top w:val="nil" w:sz="6" w:space="0" w:color="auto"/>
                          <w:left w:val="nil" w:sz="6" w:space="0" w:color="auto"/>
                          <w:bottom w:val="single" w:sz="6" w:space="0" w:color="000000"/>
                          <w:right w:val="nil" w:sz="6" w:space="0" w:color="auto"/>
                        </w:tcBorders>
                      </w:tcPr>
                      <w:p>
                        <w:pPr>
                          <w:pStyle w:val="TableParagraph"/>
                          <w:spacing w:line="185" w:lineRule="exact"/>
                          <w:ind w:left="171" w:right="0"/>
                          <w:jc w:val="left"/>
                          <w:rPr>
                            <w:rFonts w:ascii="宋体" w:hAnsi="宋体" w:cs="宋体" w:eastAsia="宋体" w:hint="default"/>
                            <w:sz w:val="16"/>
                            <w:szCs w:val="16"/>
                          </w:rPr>
                        </w:pPr>
                        <w:r>
                          <w:rPr>
                            <w:rFonts w:ascii="宋体" w:hAnsi="宋体" w:cs="宋体" w:eastAsia="宋体" w:hint="default"/>
                            <w:sz w:val="16"/>
                            <w:szCs w:val="16"/>
                          </w:rPr>
                          <w:t>其他综合收益</w:t>
                        </w: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single" w:sz="6" w:space="0" w:color="000000"/>
                          <w:right w:val="nil" w:sz="6" w:space="0" w:color="auto"/>
                        </w:tcBorders>
                      </w:tcPr>
                      <w:p>
                        <w:pPr>
                          <w:pStyle w:val="TableParagraph"/>
                          <w:spacing w:line="185" w:lineRule="exact"/>
                          <w:ind w:left="16" w:right="0"/>
                          <w:jc w:val="left"/>
                          <w:rPr>
                            <w:rFonts w:ascii="宋体" w:hAnsi="宋体" w:cs="宋体" w:eastAsia="宋体" w:hint="default"/>
                            <w:sz w:val="16"/>
                            <w:szCs w:val="16"/>
                          </w:rPr>
                        </w:pPr>
                        <w:r>
                          <w:rPr>
                            <w:rFonts w:ascii="宋体" w:hAnsi="宋体" w:cs="宋体" w:eastAsia="宋体" w:hint="default"/>
                            <w:sz w:val="16"/>
                            <w:szCs w:val="16"/>
                          </w:rPr>
                          <w:t>其他权益变动</w:t>
                        </w:r>
                      </w:p>
                    </w:tc>
                    <w:tc>
                      <w:tcPr>
                        <w:tcW w:w="144"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single" w:sz="6" w:space="0" w:color="000000"/>
                          <w:right w:val="nil" w:sz="6" w:space="0" w:color="auto"/>
                        </w:tcBorders>
                      </w:tcPr>
                      <w:p>
                        <w:pPr>
                          <w:pStyle w:val="TableParagraph"/>
                          <w:spacing w:line="185" w:lineRule="exact"/>
                          <w:ind w:left="14" w:right="0"/>
                          <w:jc w:val="center"/>
                          <w:rPr>
                            <w:rFonts w:ascii="宋体" w:hAnsi="宋体" w:cs="宋体" w:eastAsia="宋体" w:hint="default"/>
                            <w:sz w:val="16"/>
                            <w:szCs w:val="16"/>
                          </w:rPr>
                        </w:pPr>
                        <w:r>
                          <w:rPr>
                            <w:rFonts w:ascii="宋体" w:hAnsi="宋体" w:cs="宋体" w:eastAsia="宋体" w:hint="default"/>
                            <w:sz w:val="16"/>
                            <w:szCs w:val="16"/>
                          </w:rPr>
                          <w:t>或利润</w:t>
                        </w: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single" w:sz="6" w:space="0" w:color="000000"/>
                          <w:right w:val="nil" w:sz="6" w:space="0" w:color="auto"/>
                        </w:tcBorders>
                      </w:tcPr>
                      <w:p>
                        <w:pPr>
                          <w:pStyle w:val="TableParagraph"/>
                          <w:spacing w:line="185" w:lineRule="exact"/>
                          <w:ind w:right="156"/>
                          <w:jc w:val="right"/>
                          <w:rPr>
                            <w:rFonts w:ascii="宋体" w:hAnsi="宋体" w:cs="宋体" w:eastAsia="宋体" w:hint="default"/>
                            <w:sz w:val="16"/>
                            <w:szCs w:val="16"/>
                          </w:rPr>
                        </w:pPr>
                        <w:r>
                          <w:rPr>
                            <w:rFonts w:ascii="宋体" w:hAnsi="宋体" w:cs="宋体" w:eastAsia="宋体" w:hint="default"/>
                            <w:sz w:val="16"/>
                            <w:szCs w:val="16"/>
                          </w:rPr>
                          <w:t>准备</w:t>
                        </w:r>
                      </w:p>
                    </w:tc>
                    <w:tc>
                      <w:tcPr>
                        <w:tcW w:w="144"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single" w:sz="4" w:space="0" w:color="000000"/>
                          <w:right w:val="nil" w:sz="6" w:space="0" w:color="auto"/>
                        </w:tcBorders>
                      </w:tcPr>
                      <w:p>
                        <w:pPr>
                          <w:pStyle w:val="TableParagraph"/>
                          <w:spacing w:line="185" w:lineRule="exact"/>
                          <w:ind w:left="316" w:right="0"/>
                          <w:jc w:val="left"/>
                          <w:rPr>
                            <w:rFonts w:ascii="宋体" w:hAnsi="宋体" w:cs="宋体" w:eastAsia="宋体" w:hint="default"/>
                            <w:sz w:val="16"/>
                            <w:szCs w:val="16"/>
                          </w:rPr>
                        </w:pPr>
                        <w:r>
                          <w:rPr>
                            <w:rFonts w:ascii="宋体" w:hAnsi="宋体" w:cs="宋体" w:eastAsia="宋体" w:hint="default"/>
                            <w:sz w:val="16"/>
                            <w:szCs w:val="16"/>
                          </w:rPr>
                          <w:t>年末余额</w:t>
                        </w:r>
                      </w:p>
                    </w:tc>
                    <w:tc>
                      <w:tcPr>
                        <w:tcW w:w="142"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single" w:sz="6" w:space="0" w:color="000000"/>
                          <w:right w:val="nil" w:sz="6" w:space="0" w:color="auto"/>
                        </w:tcBorders>
                      </w:tcPr>
                      <w:p>
                        <w:pPr>
                          <w:pStyle w:val="TableParagraph"/>
                          <w:spacing w:line="185" w:lineRule="exact"/>
                          <w:ind w:left="40" w:right="0"/>
                          <w:jc w:val="left"/>
                          <w:rPr>
                            <w:rFonts w:ascii="宋体" w:hAnsi="宋体" w:cs="宋体" w:eastAsia="宋体" w:hint="default"/>
                            <w:sz w:val="16"/>
                            <w:szCs w:val="16"/>
                          </w:rPr>
                        </w:pPr>
                        <w:r>
                          <w:rPr>
                            <w:rFonts w:ascii="宋体" w:hAnsi="宋体" w:cs="宋体" w:eastAsia="宋体" w:hint="default"/>
                            <w:sz w:val="16"/>
                            <w:szCs w:val="16"/>
                          </w:rPr>
                          <w:t>期末余额</w:t>
                        </w:r>
                      </w:p>
                    </w:tc>
                  </w:tr>
                </w:tbl>
                <w:p>
                  <w:pPr/>
                </w:p>
              </w:txbxContent>
            </v:textbox>
            <w10:wrap type="none"/>
          </v:shape>
        </w:pict>
      </w:r>
      <w:r>
        <w:rPr>
          <w:rFonts w:ascii="宋体" w:hAnsi="宋体" w:cs="宋体" w:eastAsia="宋体" w:hint="default"/>
          <w:spacing w:val="-1"/>
          <w:sz w:val="16"/>
          <w:szCs w:val="16"/>
        </w:rPr>
        <w:t>本年增减变动</w:t>
      </w:r>
    </w:p>
    <w:p>
      <w:pPr>
        <w:spacing w:line="240" w:lineRule="auto" w:before="6"/>
        <w:rPr>
          <w:rFonts w:ascii="宋体" w:hAnsi="宋体" w:cs="宋体" w:eastAsia="宋体" w:hint="default"/>
          <w:sz w:val="11"/>
          <w:szCs w:val="11"/>
        </w:rPr>
      </w:pPr>
      <w:r>
        <w:rPr/>
        <w:br w:type="column"/>
      </w:r>
      <w:r>
        <w:rPr>
          <w:rFonts w:ascii="宋体"/>
          <w:sz w:val="11"/>
        </w:rPr>
      </w:r>
    </w:p>
    <w:p>
      <w:pPr>
        <w:spacing w:before="0"/>
        <w:ind w:left="624" w:right="-17" w:firstLine="0"/>
        <w:jc w:val="left"/>
        <w:rPr>
          <w:rFonts w:ascii="宋体" w:hAnsi="宋体" w:cs="宋体" w:eastAsia="宋体" w:hint="default"/>
          <w:sz w:val="16"/>
          <w:szCs w:val="16"/>
        </w:rPr>
      </w:pPr>
      <w:r>
        <w:rPr>
          <w:rFonts w:ascii="宋体" w:hAnsi="宋体" w:cs="宋体" w:eastAsia="宋体" w:hint="default"/>
          <w:sz w:val="16"/>
          <w:szCs w:val="16"/>
        </w:rPr>
        <w:t>权益法</w:t>
      </w:r>
    </w:p>
    <w:p>
      <w:pPr>
        <w:spacing w:line="240" w:lineRule="auto" w:before="6"/>
        <w:rPr>
          <w:rFonts w:ascii="宋体" w:hAnsi="宋体" w:cs="宋体" w:eastAsia="宋体" w:hint="default"/>
          <w:sz w:val="11"/>
          <w:szCs w:val="11"/>
        </w:rPr>
      </w:pPr>
      <w:r>
        <w:rPr/>
        <w:br w:type="column"/>
      </w:r>
      <w:r>
        <w:rPr>
          <w:rFonts w:ascii="宋体"/>
          <w:sz w:val="11"/>
        </w:rPr>
      </w:r>
    </w:p>
    <w:p>
      <w:pPr>
        <w:spacing w:before="0"/>
        <w:ind w:left="624" w:right="0" w:firstLine="0"/>
        <w:jc w:val="left"/>
        <w:rPr>
          <w:rFonts w:ascii="宋体" w:hAnsi="宋体" w:cs="宋体" w:eastAsia="宋体" w:hint="default"/>
          <w:sz w:val="16"/>
          <w:szCs w:val="16"/>
        </w:rPr>
      </w:pPr>
      <w:r>
        <w:rPr>
          <w:rFonts w:ascii="宋体" w:hAnsi="宋体" w:cs="宋体" w:eastAsia="宋体" w:hint="default"/>
          <w:sz w:val="16"/>
          <w:szCs w:val="16"/>
        </w:rPr>
        <w:t>宣告发放</w:t>
      </w:r>
    </w:p>
    <w:p>
      <w:pPr>
        <w:spacing w:after="0"/>
        <w:jc w:val="left"/>
        <w:rPr>
          <w:rFonts w:ascii="宋体" w:hAnsi="宋体" w:cs="宋体" w:eastAsia="宋体" w:hint="default"/>
          <w:sz w:val="16"/>
          <w:szCs w:val="16"/>
        </w:rPr>
        <w:sectPr>
          <w:type w:val="continuous"/>
          <w:pgSz w:w="16840" w:h="11910" w:orient="landscape"/>
          <w:pgMar w:top="1580" w:bottom="280" w:left="460" w:right="1040"/>
          <w:cols w:num="4" w:equalWidth="0">
            <w:col w:w="1427" w:space="2964"/>
            <w:col w:w="1588" w:space="1050"/>
            <w:col w:w="1108" w:space="2090"/>
            <w:col w:w="5113"/>
          </w:cols>
        </w:sectPr>
      </w:pPr>
    </w:p>
    <w:p>
      <w:pPr>
        <w:spacing w:line="20" w:lineRule="exact"/>
        <w:ind w:left="617" w:right="0" w:firstLine="0"/>
        <w:rPr>
          <w:rFonts w:ascii="宋体" w:hAnsi="宋体" w:cs="宋体" w:eastAsia="宋体" w:hint="default"/>
          <w:sz w:val="2"/>
          <w:szCs w:val="2"/>
        </w:rPr>
      </w:pPr>
      <w:r>
        <w:rPr>
          <w:rFonts w:ascii="宋体" w:hAnsi="宋体" w:cs="宋体" w:eastAsia="宋体" w:hint="default"/>
          <w:sz w:val="2"/>
          <w:szCs w:val="2"/>
        </w:rPr>
        <w:pict>
          <v:group style="width:145pt;height:.75pt;mso-position-horizontal-relative:char;mso-position-vertical-relative:line" coordorigin="0,0" coordsize="2900,15">
            <v:group style="position:absolute;left:7;top:7;width:2886;height:2" coordorigin="7,7" coordsize="2886,2">
              <v:shape style="position:absolute;left:7;top:7;width:2886;height:2" coordorigin="7,7" coordsize="2886,0" path="m7,7l2892,7e" filled="false" stroked="true" strokeweight=".71999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9"/>
          <w:szCs w:val="9"/>
        </w:rPr>
      </w:pPr>
    </w:p>
    <w:p>
      <w:pPr>
        <w:spacing w:line="208" w:lineRule="exact" w:before="51"/>
        <w:ind w:left="624" w:right="11262" w:firstLine="0"/>
        <w:jc w:val="left"/>
        <w:rPr>
          <w:rFonts w:ascii="宋体" w:hAnsi="宋体" w:cs="宋体" w:eastAsia="宋体" w:hint="default"/>
          <w:sz w:val="16"/>
          <w:szCs w:val="16"/>
        </w:rPr>
      </w:pPr>
      <w:r>
        <w:rPr>
          <w:rFonts w:ascii="宋体" w:hAnsi="宋体" w:cs="宋体" w:eastAsia="宋体" w:hint="default"/>
          <w:sz w:val="16"/>
          <w:szCs w:val="16"/>
        </w:rPr>
        <w:t>合营企业</w:t>
      </w:r>
    </w:p>
    <w:p>
      <w:pPr>
        <w:tabs>
          <w:tab w:pos="3651" w:val="left" w:leader="none"/>
          <w:tab w:pos="4712" w:val="left" w:leader="none"/>
          <w:tab w:pos="5296" w:val="left" w:leader="none"/>
          <w:tab w:pos="7148" w:val="left" w:leader="none"/>
          <w:tab w:pos="8440" w:val="left" w:leader="none"/>
          <w:tab w:pos="9426" w:val="left" w:leader="none"/>
          <w:tab w:pos="10615" w:val="left" w:leader="none"/>
          <w:tab w:pos="11467" w:val="left" w:leader="none"/>
          <w:tab w:pos="12461" w:val="left" w:leader="none"/>
          <w:tab w:pos="13130" w:val="left" w:leader="none"/>
          <w:tab w:pos="14873" w:val="left" w:leader="none"/>
        </w:tabs>
        <w:spacing w:line="223" w:lineRule="exact" w:before="0"/>
        <w:ind w:left="624" w:right="0" w:firstLine="0"/>
        <w:jc w:val="left"/>
        <w:rPr>
          <w:rFonts w:ascii="Arial" w:hAnsi="Arial" w:cs="Arial" w:eastAsia="Arial" w:hint="default"/>
          <w:sz w:val="16"/>
          <w:szCs w:val="16"/>
        </w:rPr>
      </w:pPr>
      <w:r>
        <w:rPr>
          <w:rFonts w:ascii="宋体" w:hAnsi="宋体" w:cs="宋体" w:eastAsia="宋体" w:hint="default"/>
          <w:spacing w:val="-1"/>
          <w:position w:val="1"/>
          <w:sz w:val="16"/>
          <w:szCs w:val="16"/>
        </w:rPr>
        <w:t>深圳市联招信息科技有限公司</w:t>
        <w:tab/>
      </w:r>
      <w:r>
        <w:rPr>
          <w:rFonts w:ascii="Arial" w:hAnsi="Arial" w:cs="Arial" w:eastAsia="Arial" w:hint="default"/>
          <w:spacing w:val="-1"/>
          <w:sz w:val="16"/>
          <w:szCs w:val="16"/>
        </w:rPr>
      </w:r>
      <w:r>
        <w:rPr>
          <w:rFonts w:ascii="Arial" w:hAnsi="Arial" w:cs="Arial" w:eastAsia="Arial" w:hint="default"/>
          <w:spacing w:val="-1"/>
          <w:sz w:val="16"/>
          <w:szCs w:val="16"/>
          <w:u w:val="single" w:color="000000"/>
        </w:rPr>
        <w:t> </w:t>
        <w:tab/>
      </w:r>
      <w:r>
        <w:rPr>
          <w:rFonts w:ascii="Arial" w:hAnsi="Arial" w:cs="Arial" w:eastAsia="Arial" w:hint="default"/>
          <w:sz w:val="16"/>
          <w:szCs w:val="16"/>
          <w:u w:val="single" w:color="000000"/>
        </w:rPr>
        <w:t>-</w:t>
        <w:tab/>
      </w:r>
      <w:r>
        <w:rPr>
          <w:rFonts w:ascii="Arial" w:hAnsi="Arial" w:cs="Arial" w:eastAsia="Arial" w:hint="default"/>
          <w:spacing w:val="-1"/>
          <w:sz w:val="16"/>
          <w:szCs w:val="16"/>
          <w:u w:val="single" w:color="000000"/>
        </w:rPr>
        <w:t>20,000,000</w:t>
        <w:tab/>
      </w:r>
      <w:r>
        <w:rPr>
          <w:rFonts w:ascii="Arial" w:hAnsi="Arial" w:cs="Arial" w:eastAsia="Arial" w:hint="default"/>
          <w:sz w:val="16"/>
          <w:szCs w:val="16"/>
          <w:u w:val="single" w:color="000000"/>
        </w:rPr>
        <w:t>-</w:t>
      </w:r>
      <w:r>
        <w:rPr>
          <w:rFonts w:ascii="Arial" w:hAnsi="Arial" w:cs="Arial" w:eastAsia="Arial" w:hint="default"/>
          <w:sz w:val="16"/>
          <w:szCs w:val="16"/>
        </w:rPr>
      </w:r>
      <w:r>
        <w:rPr>
          <w:rFonts w:ascii="Arial" w:hAnsi="Arial" w:cs="Arial" w:eastAsia="Arial" w:hint="default"/>
          <w:sz w:val="16"/>
          <w:szCs w:val="16"/>
          <w:u w:val="single" w:color="000000"/>
        </w:rPr>
        <w:t> </w:t>
        <w:tab/>
        <w:t>-</w:t>
      </w:r>
      <w:r>
        <w:rPr>
          <w:rFonts w:ascii="Arial" w:hAnsi="Arial" w:cs="Arial" w:eastAsia="Arial" w:hint="default"/>
          <w:sz w:val="16"/>
          <w:szCs w:val="16"/>
        </w:rPr>
      </w:r>
      <w:r>
        <w:rPr>
          <w:rFonts w:ascii="Arial" w:hAnsi="Arial" w:cs="Arial" w:eastAsia="Arial" w:hint="default"/>
          <w:sz w:val="16"/>
          <w:szCs w:val="16"/>
          <w:u w:val="single" w:color="000000"/>
        </w:rPr>
        <w:t> </w:t>
        <w:tab/>
        <w:t>-</w:t>
      </w:r>
      <w:r>
        <w:rPr>
          <w:rFonts w:ascii="Arial" w:hAnsi="Arial" w:cs="Arial" w:eastAsia="Arial" w:hint="default"/>
          <w:sz w:val="16"/>
          <w:szCs w:val="16"/>
        </w:rPr>
      </w:r>
      <w:r>
        <w:rPr>
          <w:rFonts w:ascii="Arial" w:hAnsi="Arial" w:cs="Arial" w:eastAsia="Arial" w:hint="default"/>
          <w:sz w:val="16"/>
          <w:szCs w:val="16"/>
          <w:u w:val="single" w:color="000000"/>
        </w:rPr>
        <w:t> </w:t>
        <w:tab/>
        <w:t>-</w:t>
      </w:r>
      <w:r>
        <w:rPr>
          <w:rFonts w:ascii="Arial" w:hAnsi="Arial" w:cs="Arial" w:eastAsia="Arial" w:hint="default"/>
          <w:sz w:val="16"/>
          <w:szCs w:val="16"/>
        </w:rPr>
      </w:r>
      <w:r>
        <w:rPr>
          <w:rFonts w:ascii="Arial" w:hAnsi="Arial" w:cs="Arial" w:eastAsia="Arial" w:hint="default"/>
          <w:sz w:val="16"/>
          <w:szCs w:val="16"/>
          <w:u w:val="single" w:color="000000"/>
        </w:rPr>
        <w:t> </w:t>
        <w:tab/>
        <w:t>-</w:t>
      </w:r>
      <w:r>
        <w:rPr>
          <w:rFonts w:ascii="Arial" w:hAnsi="Arial" w:cs="Arial" w:eastAsia="Arial" w:hint="default"/>
          <w:sz w:val="16"/>
          <w:szCs w:val="16"/>
        </w:rPr>
      </w:r>
      <w:r>
        <w:rPr>
          <w:rFonts w:ascii="Arial" w:hAnsi="Arial" w:cs="Arial" w:eastAsia="Arial" w:hint="default"/>
          <w:sz w:val="16"/>
          <w:szCs w:val="16"/>
          <w:u w:val="single" w:color="000000"/>
        </w:rPr>
        <w:t> </w:t>
        <w:tab/>
        <w:t>-</w:t>
      </w:r>
      <w:r>
        <w:rPr>
          <w:rFonts w:ascii="Arial" w:hAnsi="Arial" w:cs="Arial" w:eastAsia="Arial" w:hint="default"/>
          <w:sz w:val="16"/>
          <w:szCs w:val="16"/>
        </w:rPr>
      </w:r>
      <w:r>
        <w:rPr>
          <w:rFonts w:ascii="Arial" w:hAnsi="Arial" w:cs="Arial" w:eastAsia="Arial" w:hint="default"/>
          <w:sz w:val="16"/>
          <w:szCs w:val="16"/>
          <w:u w:val="single" w:color="000000"/>
        </w:rPr>
        <w:t> </w:t>
        <w:tab/>
      </w:r>
      <w:r>
        <w:rPr>
          <w:rFonts w:ascii="Arial" w:hAnsi="Arial" w:cs="Arial" w:eastAsia="Arial" w:hint="default"/>
          <w:spacing w:val="-1"/>
          <w:sz w:val="16"/>
          <w:szCs w:val="16"/>
          <w:u w:val="single" w:color="000000"/>
        </w:rPr>
        <w:t>20,000,000</w:t>
      </w:r>
      <w:r>
        <w:rPr>
          <w:rFonts w:ascii="Arial" w:hAnsi="Arial" w:cs="Arial" w:eastAsia="Arial" w:hint="default"/>
          <w:spacing w:val="-1"/>
          <w:sz w:val="16"/>
          <w:szCs w:val="16"/>
        </w:rPr>
      </w:r>
      <w:r>
        <w:rPr>
          <w:rFonts w:ascii="Arial" w:hAnsi="Arial" w:cs="Arial" w:eastAsia="Arial" w:hint="default"/>
          <w:spacing w:val="-1"/>
          <w:sz w:val="16"/>
          <w:szCs w:val="16"/>
          <w:u w:val="single" w:color="000000"/>
        </w:rPr>
        <w:t> </w:t>
        <w:tab/>
      </w:r>
      <w:r>
        <w:rPr>
          <w:rFonts w:ascii="Arial" w:hAnsi="Arial" w:cs="Arial" w:eastAsia="Arial" w:hint="default"/>
          <w:sz w:val="16"/>
          <w:szCs w:val="16"/>
          <w:u w:val="single" w:color="000000"/>
        </w:rPr>
        <w:t>-</w:t>
      </w:r>
      <w:r>
        <w:rPr>
          <w:rFonts w:ascii="Arial" w:hAnsi="Arial" w:cs="Arial" w:eastAsia="Arial" w:hint="default"/>
          <w:sz w:val="16"/>
          <w:szCs w:val="16"/>
        </w:rPr>
      </w:r>
    </w:p>
    <w:p>
      <w:pPr>
        <w:tabs>
          <w:tab w:pos="5296" w:val="left" w:leader="none"/>
          <w:tab w:pos="13130" w:val="left" w:leader="none"/>
        </w:tabs>
        <w:spacing w:line="225" w:lineRule="exact" w:before="0"/>
        <w:ind w:left="624" w:right="0" w:firstLine="0"/>
        <w:jc w:val="left"/>
        <w:rPr>
          <w:rFonts w:ascii="Arial" w:hAnsi="Arial" w:cs="Arial" w:eastAsia="Arial" w:hint="default"/>
          <w:sz w:val="16"/>
          <w:szCs w:val="16"/>
        </w:rPr>
      </w:pPr>
      <w:r>
        <w:rPr>
          <w:rFonts w:ascii="宋体" w:hAnsi="宋体" w:cs="宋体" w:eastAsia="宋体" w:hint="default"/>
          <w:position w:val="1"/>
          <w:sz w:val="16"/>
          <w:szCs w:val="16"/>
        </w:rPr>
        <w:t>小计</w:t>
        <w:tab/>
      </w:r>
      <w:r>
        <w:rPr>
          <w:rFonts w:ascii="Arial" w:hAnsi="Arial" w:cs="Arial" w:eastAsia="Arial" w:hint="default"/>
          <w:spacing w:val="-1"/>
          <w:sz w:val="16"/>
          <w:szCs w:val="16"/>
        </w:rPr>
        <w:t>20,000,000</w:t>
        <w:tab/>
        <w:t>20,000,000</w:t>
      </w:r>
    </w:p>
    <w:p>
      <w:pPr>
        <w:spacing w:line="240" w:lineRule="auto" w:before="6"/>
        <w:rPr>
          <w:rFonts w:ascii="Arial" w:hAnsi="Arial" w:cs="Arial" w:eastAsia="Arial" w:hint="default"/>
          <w:sz w:val="9"/>
          <w:szCs w:val="9"/>
        </w:rPr>
      </w:pPr>
    </w:p>
    <w:p>
      <w:pPr>
        <w:spacing w:line="209" w:lineRule="exact" w:before="51"/>
        <w:ind w:left="624" w:right="11262" w:firstLine="0"/>
        <w:jc w:val="left"/>
        <w:rPr>
          <w:rFonts w:ascii="宋体" w:hAnsi="宋体" w:cs="宋体" w:eastAsia="宋体" w:hint="default"/>
          <w:sz w:val="16"/>
          <w:szCs w:val="16"/>
        </w:rPr>
      </w:pPr>
      <w:r>
        <w:rPr>
          <w:rFonts w:ascii="宋体" w:hAnsi="宋体" w:cs="宋体" w:eastAsia="宋体" w:hint="default"/>
          <w:sz w:val="16"/>
          <w:szCs w:val="16"/>
        </w:rPr>
        <w:t>联营企业</w:t>
      </w:r>
    </w:p>
    <w:p>
      <w:pPr>
        <w:tabs>
          <w:tab w:pos="3963" w:val="left" w:leader="none"/>
          <w:tab w:pos="6044" w:val="left" w:leader="none"/>
          <w:tab w:pos="7148" w:val="left" w:leader="none"/>
          <w:tab w:pos="7780" w:val="left" w:leader="none"/>
          <w:tab w:pos="9426" w:val="left" w:leader="none"/>
          <w:tab w:pos="10615" w:val="left" w:leader="none"/>
          <w:tab w:pos="11467" w:val="left" w:leader="none"/>
          <w:tab w:pos="12461" w:val="left" w:leader="none"/>
          <w:tab w:pos="13130" w:val="left" w:leader="none"/>
          <w:tab w:pos="14873" w:val="left" w:leader="none"/>
        </w:tabs>
        <w:spacing w:line="218" w:lineRule="exact" w:before="0"/>
        <w:ind w:left="624" w:right="0" w:firstLine="0"/>
        <w:jc w:val="left"/>
        <w:rPr>
          <w:rFonts w:ascii="Arial" w:hAnsi="Arial" w:cs="Arial" w:eastAsia="Arial" w:hint="default"/>
          <w:sz w:val="16"/>
          <w:szCs w:val="16"/>
        </w:rPr>
      </w:pPr>
      <w:r>
        <w:rPr>
          <w:rFonts w:ascii="宋体" w:hAnsi="宋体" w:cs="宋体" w:eastAsia="宋体" w:hint="default"/>
          <w:spacing w:val="-1"/>
          <w:position w:val="1"/>
          <w:sz w:val="16"/>
          <w:szCs w:val="16"/>
        </w:rPr>
        <w:t>广联视通新媒体有限公司</w:t>
        <w:tab/>
      </w:r>
      <w:r>
        <w:rPr>
          <w:rFonts w:ascii="Arial" w:hAnsi="Arial" w:cs="Arial" w:eastAsia="Arial" w:hint="default"/>
          <w:spacing w:val="-1"/>
          <w:sz w:val="16"/>
          <w:szCs w:val="16"/>
        </w:rPr>
        <w:t>29,660,859</w:t>
        <w:tab/>
      </w:r>
      <w:r>
        <w:rPr>
          <w:rFonts w:ascii="Arial" w:hAnsi="Arial" w:cs="Arial" w:eastAsia="Arial" w:hint="default"/>
          <w:sz w:val="16"/>
          <w:szCs w:val="16"/>
        </w:rPr>
        <w:t>-</w:t>
        <w:tab/>
        <w:t>-</w:t>
        <w:tab/>
      </w:r>
      <w:r>
        <w:rPr>
          <w:rFonts w:ascii="Arial" w:hAnsi="Arial" w:cs="Arial" w:eastAsia="Arial" w:hint="default"/>
          <w:spacing w:val="-1"/>
          <w:sz w:val="16"/>
          <w:szCs w:val="16"/>
        </w:rPr>
        <w:t>6,786,296</w:t>
        <w:tab/>
      </w:r>
      <w:r>
        <w:rPr>
          <w:rFonts w:ascii="Arial" w:hAnsi="Arial" w:cs="Arial" w:eastAsia="Arial" w:hint="default"/>
          <w:sz w:val="16"/>
          <w:szCs w:val="16"/>
        </w:rPr>
        <w:t>-</w:t>
        <w:tab/>
        <w:t>-</w:t>
        <w:tab/>
        <w:t>-</w:t>
        <w:tab/>
        <w:t>-</w:t>
        <w:tab/>
      </w:r>
      <w:r>
        <w:rPr>
          <w:rFonts w:ascii="Arial" w:hAnsi="Arial" w:cs="Arial" w:eastAsia="Arial" w:hint="default"/>
          <w:spacing w:val="-1"/>
          <w:sz w:val="16"/>
          <w:szCs w:val="16"/>
        </w:rPr>
        <w:t>36,447,155</w:t>
        <w:tab/>
      </w:r>
      <w:r>
        <w:rPr>
          <w:rFonts w:ascii="Arial" w:hAnsi="Arial" w:cs="Arial" w:eastAsia="Arial" w:hint="default"/>
          <w:sz w:val="16"/>
          <w:szCs w:val="16"/>
        </w:rPr>
        <w:t>-</w:t>
      </w:r>
    </w:p>
    <w:p>
      <w:pPr>
        <w:tabs>
          <w:tab w:pos="4712" w:val="left" w:leader="none"/>
          <w:tab w:pos="5075" w:val="left" w:leader="none"/>
          <w:tab w:pos="7148" w:val="left" w:leader="none"/>
          <w:tab w:pos="7586" w:val="left" w:leader="none"/>
          <w:tab w:pos="9426" w:val="left" w:leader="none"/>
          <w:tab w:pos="10615" w:val="left" w:leader="none"/>
          <w:tab w:pos="11467" w:val="left" w:leader="none"/>
          <w:tab w:pos="12461" w:val="left" w:leader="none"/>
          <w:tab w:pos="12909" w:val="left" w:leader="none"/>
          <w:tab w:pos="14873" w:val="left" w:leader="none"/>
        </w:tabs>
        <w:spacing w:line="207" w:lineRule="exact" w:before="0"/>
        <w:ind w:left="624" w:right="0" w:firstLine="0"/>
        <w:jc w:val="left"/>
        <w:rPr>
          <w:rFonts w:ascii="Arial" w:hAnsi="Arial" w:cs="Arial" w:eastAsia="Arial" w:hint="default"/>
          <w:sz w:val="16"/>
          <w:szCs w:val="16"/>
        </w:rPr>
      </w:pPr>
      <w:r>
        <w:rPr>
          <w:rFonts w:ascii="宋体" w:hAnsi="宋体" w:cs="宋体" w:eastAsia="宋体" w:hint="default"/>
          <w:spacing w:val="-1"/>
          <w:position w:val="1"/>
          <w:sz w:val="16"/>
          <w:szCs w:val="16"/>
        </w:rPr>
        <w:t>中国铁塔股份有限公司（注</w:t>
      </w:r>
      <w:r>
        <w:rPr>
          <w:rFonts w:ascii="宋体" w:hAnsi="宋体" w:cs="宋体" w:eastAsia="宋体" w:hint="default"/>
          <w:spacing w:val="-25"/>
          <w:position w:val="1"/>
          <w:sz w:val="16"/>
          <w:szCs w:val="16"/>
        </w:rPr>
        <w:t> </w:t>
      </w:r>
      <w:r>
        <w:rPr>
          <w:rFonts w:ascii="Arial" w:hAnsi="Arial" w:cs="Arial" w:eastAsia="Arial" w:hint="default"/>
          <w:spacing w:val="-2"/>
          <w:position w:val="1"/>
          <w:sz w:val="16"/>
          <w:szCs w:val="16"/>
        </w:rPr>
        <w:t>1</w:t>
      </w:r>
      <w:r>
        <w:rPr>
          <w:rFonts w:ascii="宋体" w:hAnsi="宋体" w:cs="宋体" w:eastAsia="宋体" w:hint="default"/>
          <w:spacing w:val="-2"/>
          <w:position w:val="1"/>
          <w:sz w:val="16"/>
          <w:szCs w:val="16"/>
        </w:rPr>
        <w:t>）</w:t>
        <w:tab/>
      </w:r>
      <w:r>
        <w:rPr>
          <w:rFonts w:ascii="Arial" w:hAnsi="Arial" w:cs="Arial" w:eastAsia="Arial" w:hint="default"/>
          <w:sz w:val="16"/>
          <w:szCs w:val="16"/>
        </w:rPr>
        <w:t>-</w:t>
        <w:tab/>
      </w:r>
      <w:r>
        <w:rPr>
          <w:rFonts w:ascii="Arial" w:hAnsi="Arial" w:cs="Arial" w:eastAsia="Arial" w:hint="default"/>
          <w:spacing w:val="-1"/>
          <w:sz w:val="16"/>
          <w:szCs w:val="16"/>
        </w:rPr>
        <w:t>3,010,000,000</w:t>
        <w:tab/>
      </w:r>
      <w:r>
        <w:rPr>
          <w:rFonts w:ascii="Arial" w:hAnsi="Arial" w:cs="Arial" w:eastAsia="Arial" w:hint="default"/>
          <w:sz w:val="16"/>
          <w:szCs w:val="16"/>
        </w:rPr>
        <w:t>-</w:t>
        <w:tab/>
      </w:r>
      <w:r>
        <w:rPr>
          <w:rFonts w:ascii="Arial" w:hAnsi="Arial" w:cs="Arial" w:eastAsia="Arial" w:hint="default"/>
          <w:spacing w:val="-1"/>
          <w:sz w:val="16"/>
          <w:szCs w:val="16"/>
        </w:rPr>
        <w:t>(34,354,678)</w:t>
        <w:tab/>
      </w:r>
      <w:r>
        <w:rPr>
          <w:rFonts w:ascii="Arial" w:hAnsi="Arial" w:cs="Arial" w:eastAsia="Arial" w:hint="default"/>
          <w:sz w:val="16"/>
          <w:szCs w:val="16"/>
        </w:rPr>
        <w:t>-</w:t>
        <w:tab/>
        <w:t>-</w:t>
        <w:tab/>
        <w:t>-</w:t>
        <w:tab/>
        <w:t>-</w:t>
        <w:tab/>
      </w:r>
      <w:r>
        <w:rPr>
          <w:rFonts w:ascii="Arial" w:hAnsi="Arial" w:cs="Arial" w:eastAsia="Arial" w:hint="default"/>
          <w:spacing w:val="-1"/>
          <w:sz w:val="16"/>
          <w:szCs w:val="16"/>
        </w:rPr>
        <w:t>2,975,645,322</w:t>
        <w:tab/>
      </w:r>
      <w:r>
        <w:rPr>
          <w:rFonts w:ascii="Arial" w:hAnsi="Arial" w:cs="Arial" w:eastAsia="Arial" w:hint="default"/>
          <w:sz w:val="16"/>
          <w:szCs w:val="16"/>
        </w:rPr>
        <w:t>-</w:t>
      </w:r>
    </w:p>
    <w:p>
      <w:pPr>
        <w:tabs>
          <w:tab w:pos="3651" w:val="left" w:leader="none"/>
          <w:tab w:pos="4712" w:val="left" w:leader="none"/>
          <w:tab w:pos="5296" w:val="left" w:leader="none"/>
          <w:tab w:pos="7148" w:val="left" w:leader="none"/>
          <w:tab w:pos="7809" w:val="left" w:leader="none"/>
          <w:tab w:pos="9426" w:val="left" w:leader="none"/>
          <w:tab w:pos="10615" w:val="left" w:leader="none"/>
          <w:tab w:pos="11467" w:val="left" w:leader="none"/>
          <w:tab w:pos="12461" w:val="left" w:leader="none"/>
          <w:tab w:pos="13130" w:val="left" w:leader="none"/>
          <w:tab w:pos="14873" w:val="left" w:leader="none"/>
        </w:tabs>
        <w:spacing w:line="219" w:lineRule="exact" w:before="0"/>
        <w:ind w:left="624" w:right="0" w:firstLine="0"/>
        <w:jc w:val="left"/>
        <w:rPr>
          <w:rFonts w:ascii="Arial" w:hAnsi="Arial" w:cs="Arial" w:eastAsia="Arial" w:hint="default"/>
          <w:sz w:val="16"/>
          <w:szCs w:val="16"/>
        </w:rPr>
      </w:pPr>
      <w:r>
        <w:rPr>
          <w:rFonts w:ascii="宋体" w:hAnsi="宋体" w:cs="宋体" w:eastAsia="宋体" w:hint="default"/>
          <w:spacing w:val="-1"/>
          <w:position w:val="1"/>
          <w:sz w:val="16"/>
          <w:szCs w:val="16"/>
        </w:rPr>
        <w:t>联通创新创业投资</w:t>
      </w:r>
      <w:r>
        <w:rPr>
          <w:rFonts w:ascii="Arial" w:hAnsi="Arial" w:cs="Arial" w:eastAsia="Arial" w:hint="default"/>
          <w:spacing w:val="-1"/>
          <w:position w:val="1"/>
          <w:sz w:val="16"/>
          <w:szCs w:val="16"/>
        </w:rPr>
        <w:t>(</w:t>
      </w:r>
      <w:r>
        <w:rPr>
          <w:rFonts w:ascii="宋体" w:hAnsi="宋体" w:cs="宋体" w:eastAsia="宋体" w:hint="default"/>
          <w:spacing w:val="-1"/>
          <w:position w:val="1"/>
          <w:sz w:val="16"/>
          <w:szCs w:val="16"/>
        </w:rPr>
        <w:t>上海</w:t>
      </w:r>
      <w:r>
        <w:rPr>
          <w:rFonts w:ascii="Arial" w:hAnsi="Arial" w:cs="Arial" w:eastAsia="Arial" w:hint="default"/>
          <w:spacing w:val="-1"/>
          <w:position w:val="1"/>
          <w:sz w:val="16"/>
          <w:szCs w:val="16"/>
        </w:rPr>
        <w:t>)</w:t>
      </w:r>
      <w:r>
        <w:rPr>
          <w:rFonts w:ascii="宋体" w:hAnsi="宋体" w:cs="宋体" w:eastAsia="宋体" w:hint="default"/>
          <w:spacing w:val="-1"/>
          <w:position w:val="1"/>
          <w:sz w:val="16"/>
          <w:szCs w:val="16"/>
        </w:rPr>
        <w:t>有限公司</w:t>
        <w:tab/>
      </w:r>
      <w:r>
        <w:rPr>
          <w:rFonts w:ascii="Arial" w:hAnsi="Arial" w:cs="Arial" w:eastAsia="Arial" w:hint="default"/>
          <w:spacing w:val="-1"/>
          <w:sz w:val="16"/>
          <w:szCs w:val="16"/>
        </w:rPr>
      </w:r>
      <w:r>
        <w:rPr>
          <w:rFonts w:ascii="Arial" w:hAnsi="Arial" w:cs="Arial" w:eastAsia="Arial" w:hint="default"/>
          <w:spacing w:val="-1"/>
          <w:sz w:val="16"/>
          <w:szCs w:val="16"/>
          <w:u w:val="single" w:color="000000"/>
        </w:rPr>
        <w:t> </w:t>
        <w:tab/>
      </w:r>
      <w:r>
        <w:rPr>
          <w:rFonts w:ascii="Arial" w:hAnsi="Arial" w:cs="Arial" w:eastAsia="Arial" w:hint="default"/>
          <w:sz w:val="16"/>
          <w:szCs w:val="16"/>
          <w:u w:val="single" w:color="000000"/>
        </w:rPr>
        <w:t>-</w:t>
        <w:tab/>
      </w:r>
      <w:r>
        <w:rPr>
          <w:rFonts w:ascii="Arial" w:hAnsi="Arial" w:cs="Arial" w:eastAsia="Arial" w:hint="default"/>
          <w:spacing w:val="-1"/>
          <w:sz w:val="16"/>
          <w:szCs w:val="16"/>
          <w:u w:val="single" w:color="000000"/>
        </w:rPr>
        <w:t>25,000,000</w:t>
        <w:tab/>
      </w:r>
      <w:r>
        <w:rPr>
          <w:rFonts w:ascii="Arial" w:hAnsi="Arial" w:cs="Arial" w:eastAsia="Arial" w:hint="default"/>
          <w:sz w:val="16"/>
          <w:szCs w:val="16"/>
          <w:u w:val="single" w:color="000000"/>
        </w:rPr>
        <w:t>-</w:t>
      </w:r>
      <w:r>
        <w:rPr>
          <w:rFonts w:ascii="Arial" w:hAnsi="Arial" w:cs="Arial" w:eastAsia="Arial" w:hint="default"/>
          <w:sz w:val="16"/>
          <w:szCs w:val="16"/>
        </w:rPr>
      </w:r>
      <w:r>
        <w:rPr>
          <w:rFonts w:ascii="Arial" w:hAnsi="Arial" w:cs="Arial" w:eastAsia="Arial" w:hint="default"/>
          <w:sz w:val="16"/>
          <w:szCs w:val="16"/>
          <w:u w:val="single" w:color="000000"/>
        </w:rPr>
        <w:t> </w:t>
        <w:tab/>
      </w:r>
      <w:r>
        <w:rPr>
          <w:rFonts w:ascii="Arial" w:hAnsi="Arial" w:cs="Arial" w:eastAsia="Arial" w:hint="default"/>
          <w:spacing w:val="-1"/>
          <w:sz w:val="16"/>
          <w:szCs w:val="16"/>
          <w:u w:val="single" w:color="000000"/>
        </w:rPr>
        <w:t>(554,499)</w:t>
      </w:r>
      <w:r>
        <w:rPr>
          <w:rFonts w:ascii="Arial" w:hAnsi="Arial" w:cs="Arial" w:eastAsia="Arial" w:hint="default"/>
          <w:spacing w:val="-1"/>
          <w:sz w:val="16"/>
          <w:szCs w:val="16"/>
        </w:rPr>
      </w:r>
      <w:r>
        <w:rPr>
          <w:rFonts w:ascii="Arial" w:hAnsi="Arial" w:cs="Arial" w:eastAsia="Arial" w:hint="default"/>
          <w:spacing w:val="-1"/>
          <w:sz w:val="16"/>
          <w:szCs w:val="16"/>
          <w:u w:val="single" w:color="000000"/>
        </w:rPr>
        <w:t> </w:t>
        <w:tab/>
      </w:r>
      <w:r>
        <w:rPr>
          <w:rFonts w:ascii="Arial" w:hAnsi="Arial" w:cs="Arial" w:eastAsia="Arial" w:hint="default"/>
          <w:sz w:val="16"/>
          <w:szCs w:val="16"/>
          <w:u w:val="single" w:color="000000"/>
        </w:rPr>
        <w:t>-</w:t>
      </w:r>
      <w:r>
        <w:rPr>
          <w:rFonts w:ascii="Arial" w:hAnsi="Arial" w:cs="Arial" w:eastAsia="Arial" w:hint="default"/>
          <w:sz w:val="16"/>
          <w:szCs w:val="16"/>
        </w:rPr>
      </w:r>
      <w:r>
        <w:rPr>
          <w:rFonts w:ascii="Arial" w:hAnsi="Arial" w:cs="Arial" w:eastAsia="Arial" w:hint="default"/>
          <w:sz w:val="16"/>
          <w:szCs w:val="16"/>
          <w:u w:val="single" w:color="000000"/>
        </w:rPr>
        <w:t> </w:t>
        <w:tab/>
        <w:t>-</w:t>
      </w:r>
      <w:r>
        <w:rPr>
          <w:rFonts w:ascii="Arial" w:hAnsi="Arial" w:cs="Arial" w:eastAsia="Arial" w:hint="default"/>
          <w:sz w:val="16"/>
          <w:szCs w:val="16"/>
        </w:rPr>
      </w:r>
      <w:r>
        <w:rPr>
          <w:rFonts w:ascii="Arial" w:hAnsi="Arial" w:cs="Arial" w:eastAsia="Arial" w:hint="default"/>
          <w:sz w:val="16"/>
          <w:szCs w:val="16"/>
          <w:u w:val="single" w:color="000000"/>
        </w:rPr>
        <w:t> </w:t>
        <w:tab/>
        <w:t>-</w:t>
      </w:r>
      <w:r>
        <w:rPr>
          <w:rFonts w:ascii="Arial" w:hAnsi="Arial" w:cs="Arial" w:eastAsia="Arial" w:hint="default"/>
          <w:sz w:val="16"/>
          <w:szCs w:val="16"/>
        </w:rPr>
      </w:r>
      <w:r>
        <w:rPr>
          <w:rFonts w:ascii="Arial" w:hAnsi="Arial" w:cs="Arial" w:eastAsia="Arial" w:hint="default"/>
          <w:sz w:val="16"/>
          <w:szCs w:val="16"/>
          <w:u w:val="single" w:color="000000"/>
        </w:rPr>
        <w:t> </w:t>
        <w:tab/>
        <w:t>-</w:t>
      </w:r>
      <w:r>
        <w:rPr>
          <w:rFonts w:ascii="Arial" w:hAnsi="Arial" w:cs="Arial" w:eastAsia="Arial" w:hint="default"/>
          <w:sz w:val="16"/>
          <w:szCs w:val="16"/>
        </w:rPr>
      </w:r>
      <w:r>
        <w:rPr>
          <w:rFonts w:ascii="Arial" w:hAnsi="Arial" w:cs="Arial" w:eastAsia="Arial" w:hint="default"/>
          <w:sz w:val="16"/>
          <w:szCs w:val="16"/>
          <w:u w:val="single" w:color="000000"/>
        </w:rPr>
        <w:t> </w:t>
        <w:tab/>
      </w:r>
      <w:r>
        <w:rPr>
          <w:rFonts w:ascii="Arial" w:hAnsi="Arial" w:cs="Arial" w:eastAsia="Arial" w:hint="default"/>
          <w:spacing w:val="-1"/>
          <w:sz w:val="16"/>
          <w:szCs w:val="16"/>
          <w:u w:val="single" w:color="000000"/>
        </w:rPr>
        <w:t>24,445,501</w:t>
      </w:r>
      <w:r>
        <w:rPr>
          <w:rFonts w:ascii="Arial" w:hAnsi="Arial" w:cs="Arial" w:eastAsia="Arial" w:hint="default"/>
          <w:spacing w:val="-1"/>
          <w:sz w:val="16"/>
          <w:szCs w:val="16"/>
        </w:rPr>
      </w:r>
      <w:r>
        <w:rPr>
          <w:rFonts w:ascii="Arial" w:hAnsi="Arial" w:cs="Arial" w:eastAsia="Arial" w:hint="default"/>
          <w:spacing w:val="-1"/>
          <w:sz w:val="16"/>
          <w:szCs w:val="16"/>
          <w:u w:val="single" w:color="000000"/>
        </w:rPr>
        <w:t> </w:t>
        <w:tab/>
      </w:r>
      <w:r>
        <w:rPr>
          <w:rFonts w:ascii="Arial" w:hAnsi="Arial" w:cs="Arial" w:eastAsia="Arial" w:hint="default"/>
          <w:sz w:val="16"/>
          <w:szCs w:val="16"/>
          <w:u w:val="single" w:color="000000"/>
        </w:rPr>
        <w:t>-</w:t>
      </w:r>
      <w:r>
        <w:rPr>
          <w:rFonts w:ascii="Arial" w:hAnsi="Arial" w:cs="Arial" w:eastAsia="Arial" w:hint="default"/>
          <w:sz w:val="16"/>
          <w:szCs w:val="16"/>
        </w:rPr>
      </w:r>
    </w:p>
    <w:p>
      <w:pPr>
        <w:spacing w:before="34"/>
        <w:ind w:left="0" w:right="404" w:firstLine="0"/>
        <w:jc w:val="right"/>
        <w:rPr>
          <w:rFonts w:ascii="Arial" w:hAnsi="Arial" w:cs="Arial" w:eastAsia="Arial" w:hint="default"/>
          <w:sz w:val="16"/>
          <w:szCs w:val="16"/>
        </w:rPr>
      </w:pPr>
      <w:r>
        <w:rPr/>
        <w:pict>
          <v:shape style="position:absolute;margin-left:52.490002pt;margin-top:1.808983pt;width:718.65pt;height:31.9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47"/>
                    <w:gridCol w:w="1276"/>
                    <w:gridCol w:w="2236"/>
                    <w:gridCol w:w="1812"/>
                    <w:gridCol w:w="4973"/>
                    <w:gridCol w:w="123"/>
                    <w:gridCol w:w="816"/>
                    <w:gridCol w:w="89"/>
                  </w:tblGrid>
                  <w:tr>
                    <w:trPr>
                      <w:trHeight w:val="285" w:hRule="exact"/>
                    </w:trPr>
                    <w:tc>
                      <w:tcPr>
                        <w:tcW w:w="3047"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1276" w:type="dxa"/>
                        <w:tcBorders>
                          <w:top w:val="nil" w:sz="6" w:space="0" w:color="auto"/>
                          <w:left w:val="nil" w:sz="6" w:space="0" w:color="auto"/>
                          <w:bottom w:val="nil" w:sz="6" w:space="0" w:color="auto"/>
                          <w:right w:val="nil" w:sz="6" w:space="0" w:color="auto"/>
                        </w:tcBorders>
                      </w:tcPr>
                      <w:p>
                        <w:pPr>
                          <w:pStyle w:val="TableParagraph"/>
                          <w:spacing w:line="182" w:lineRule="exact"/>
                          <w:ind w:right="145"/>
                          <w:jc w:val="right"/>
                          <w:rPr>
                            <w:rFonts w:ascii="Arial" w:hAnsi="Arial" w:cs="Arial" w:eastAsia="Arial" w:hint="default"/>
                            <w:sz w:val="16"/>
                            <w:szCs w:val="16"/>
                          </w:rPr>
                        </w:pPr>
                        <w:r>
                          <w:rPr>
                            <w:rFonts w:ascii="Arial"/>
                            <w:spacing w:val="-1"/>
                            <w:sz w:val="16"/>
                          </w:rPr>
                          <w:t>29,660,859</w:t>
                        </w:r>
                      </w:p>
                    </w:tc>
                    <w:tc>
                      <w:tcPr>
                        <w:tcW w:w="2236" w:type="dxa"/>
                        <w:tcBorders>
                          <w:top w:val="nil" w:sz="6" w:space="0" w:color="auto"/>
                          <w:left w:val="nil" w:sz="6" w:space="0" w:color="auto"/>
                          <w:bottom w:val="nil" w:sz="6" w:space="0" w:color="auto"/>
                          <w:right w:val="nil" w:sz="6" w:space="0" w:color="auto"/>
                        </w:tcBorders>
                      </w:tcPr>
                      <w:p>
                        <w:pPr>
                          <w:pStyle w:val="TableParagraph"/>
                          <w:spacing w:line="182" w:lineRule="exact"/>
                          <w:ind w:left="147" w:right="0"/>
                          <w:jc w:val="left"/>
                          <w:rPr>
                            <w:rFonts w:ascii="Arial" w:hAnsi="Arial" w:cs="Arial" w:eastAsia="Arial" w:hint="default"/>
                            <w:sz w:val="16"/>
                            <w:szCs w:val="16"/>
                          </w:rPr>
                        </w:pPr>
                        <w:r>
                          <w:rPr>
                            <w:rFonts w:ascii="Arial"/>
                            <w:sz w:val="16"/>
                          </w:rPr>
                          <w:t>3,035,000,000</w:t>
                        </w:r>
                      </w:p>
                    </w:tc>
                    <w:tc>
                      <w:tcPr>
                        <w:tcW w:w="1812" w:type="dxa"/>
                        <w:tcBorders>
                          <w:top w:val="nil" w:sz="6" w:space="0" w:color="auto"/>
                          <w:left w:val="nil" w:sz="6" w:space="0" w:color="auto"/>
                          <w:bottom w:val="nil" w:sz="6" w:space="0" w:color="auto"/>
                          <w:right w:val="nil" w:sz="6" w:space="0" w:color="auto"/>
                        </w:tcBorders>
                      </w:tcPr>
                      <w:p>
                        <w:pPr>
                          <w:pStyle w:val="TableParagraph"/>
                          <w:tabs>
                            <w:tab w:pos="439" w:val="left" w:leader="none"/>
                          </w:tabs>
                          <w:spacing w:line="182" w:lineRule="exact"/>
                          <w:ind w:right="0"/>
                          <w:jc w:val="left"/>
                          <w:rPr>
                            <w:rFonts w:ascii="Arial" w:hAnsi="Arial" w:cs="Arial" w:eastAsia="Arial" w:hint="default"/>
                            <w:sz w:val="16"/>
                            <w:szCs w:val="16"/>
                          </w:rPr>
                        </w:pPr>
                        <w:r>
                          <w:rPr>
                            <w:rFonts w:ascii="Arial"/>
                            <w:sz w:val="16"/>
                          </w:rPr>
                          <w:t>-</w:t>
                          <w:tab/>
                          <w:t>(28,122,881)</w:t>
                        </w:r>
                      </w:p>
                    </w:tc>
                    <w:tc>
                      <w:tcPr>
                        <w:tcW w:w="4973" w:type="dxa"/>
                        <w:tcBorders>
                          <w:top w:val="nil" w:sz="6" w:space="0" w:color="auto"/>
                          <w:left w:val="nil" w:sz="6" w:space="0" w:color="auto"/>
                          <w:bottom w:val="nil" w:sz="6" w:space="0" w:color="auto"/>
                          <w:right w:val="nil" w:sz="6" w:space="0" w:color="auto"/>
                        </w:tcBorders>
                      </w:tcPr>
                      <w:p>
                        <w:pPr>
                          <w:pStyle w:val="TableParagraph"/>
                          <w:tabs>
                            <w:tab w:pos="1188" w:val="left" w:leader="none"/>
                            <w:tab w:pos="2040" w:val="left" w:leader="none"/>
                            <w:tab w:pos="3034" w:val="left" w:leader="none"/>
                            <w:tab w:pos="3482" w:val="left" w:leader="none"/>
                          </w:tabs>
                          <w:spacing w:line="182" w:lineRule="exact"/>
                          <w:ind w:right="0"/>
                          <w:jc w:val="right"/>
                          <w:rPr>
                            <w:rFonts w:ascii="Arial" w:hAnsi="Arial" w:cs="Arial" w:eastAsia="Arial" w:hint="default"/>
                            <w:sz w:val="16"/>
                            <w:szCs w:val="16"/>
                          </w:rPr>
                        </w:pPr>
                        <w:r>
                          <w:rPr>
                            <w:rFonts w:ascii="Arial"/>
                            <w:sz w:val="16"/>
                          </w:rPr>
                          <w:t>-</w:t>
                          <w:tab/>
                          <w:t>-</w:t>
                          <w:tab/>
                          <w:t>-</w:t>
                          <w:tab/>
                          <w:t>-</w:t>
                          <w:tab/>
                        </w:r>
                        <w:r>
                          <w:rPr>
                            <w:rFonts w:ascii="Arial"/>
                            <w:spacing w:val="-1"/>
                            <w:sz w:val="16"/>
                          </w:rPr>
                          <w:t>3,036,537,978</w:t>
                        </w:r>
                      </w:p>
                    </w:tc>
                    <w:tc>
                      <w:tcPr>
                        <w:tcW w:w="1027" w:type="dxa"/>
                        <w:gridSpan w:val="3"/>
                        <w:tcBorders>
                          <w:top w:val="nil" w:sz="6" w:space="0" w:color="auto"/>
                          <w:left w:val="nil" w:sz="6" w:space="0" w:color="auto"/>
                          <w:bottom w:val="nil" w:sz="6" w:space="0" w:color="auto"/>
                          <w:right w:val="nil" w:sz="6" w:space="0" w:color="auto"/>
                        </w:tcBorders>
                      </w:tcPr>
                      <w:p>
                        <w:pPr/>
                      </w:p>
                    </w:tc>
                  </w:tr>
                  <w:tr>
                    <w:trPr>
                      <w:trHeight w:val="309" w:hRule="exact"/>
                    </w:trPr>
                    <w:tc>
                      <w:tcPr>
                        <w:tcW w:w="304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276" w:type="dxa"/>
                        <w:tcBorders>
                          <w:top w:val="nil" w:sz="6" w:space="0" w:color="auto"/>
                          <w:left w:val="nil" w:sz="6" w:space="0" w:color="auto"/>
                          <w:bottom w:val="single" w:sz="17" w:space="0" w:color="000000"/>
                          <w:right w:val="nil" w:sz="6" w:space="0" w:color="auto"/>
                        </w:tcBorders>
                      </w:tcPr>
                      <w:p>
                        <w:pPr>
                          <w:pStyle w:val="TableParagraph"/>
                          <w:spacing w:line="240" w:lineRule="auto" w:before="104"/>
                          <w:ind w:right="145"/>
                          <w:jc w:val="right"/>
                          <w:rPr>
                            <w:rFonts w:ascii="Arial" w:hAnsi="Arial" w:cs="Arial" w:eastAsia="Arial" w:hint="default"/>
                            <w:sz w:val="16"/>
                            <w:szCs w:val="16"/>
                          </w:rPr>
                        </w:pPr>
                        <w:r>
                          <w:rPr>
                            <w:rFonts w:ascii="Arial"/>
                            <w:spacing w:val="-1"/>
                            <w:sz w:val="16"/>
                          </w:rPr>
                          <w:t>29,660,859</w:t>
                        </w:r>
                      </w:p>
                    </w:tc>
                    <w:tc>
                      <w:tcPr>
                        <w:tcW w:w="2236" w:type="dxa"/>
                        <w:tcBorders>
                          <w:top w:val="nil" w:sz="6" w:space="0" w:color="auto"/>
                          <w:left w:val="nil" w:sz="6" w:space="0" w:color="auto"/>
                          <w:bottom w:val="single" w:sz="17" w:space="0" w:color="000000"/>
                          <w:right w:val="nil" w:sz="6" w:space="0" w:color="auto"/>
                        </w:tcBorders>
                      </w:tcPr>
                      <w:p>
                        <w:pPr>
                          <w:pStyle w:val="TableParagraph"/>
                          <w:spacing w:line="240" w:lineRule="auto" w:before="104"/>
                          <w:ind w:left="147" w:right="0"/>
                          <w:jc w:val="left"/>
                          <w:rPr>
                            <w:rFonts w:ascii="Arial" w:hAnsi="Arial" w:cs="Arial" w:eastAsia="Arial" w:hint="default"/>
                            <w:sz w:val="16"/>
                            <w:szCs w:val="16"/>
                          </w:rPr>
                        </w:pPr>
                        <w:r>
                          <w:rPr>
                            <w:rFonts w:ascii="Arial"/>
                            <w:sz w:val="16"/>
                          </w:rPr>
                          <w:t>3,055,000,000</w:t>
                        </w:r>
                      </w:p>
                    </w:tc>
                    <w:tc>
                      <w:tcPr>
                        <w:tcW w:w="1812" w:type="dxa"/>
                        <w:tcBorders>
                          <w:top w:val="nil" w:sz="6" w:space="0" w:color="auto"/>
                          <w:left w:val="nil" w:sz="6" w:space="0" w:color="auto"/>
                          <w:bottom w:val="single" w:sz="17" w:space="0" w:color="000000"/>
                          <w:right w:val="nil" w:sz="6" w:space="0" w:color="auto"/>
                        </w:tcBorders>
                      </w:tcPr>
                      <w:p>
                        <w:pPr>
                          <w:pStyle w:val="TableParagraph"/>
                          <w:tabs>
                            <w:tab w:pos="439" w:val="left" w:leader="none"/>
                          </w:tabs>
                          <w:spacing w:line="240" w:lineRule="auto" w:before="104"/>
                          <w:ind w:right="0"/>
                          <w:jc w:val="left"/>
                          <w:rPr>
                            <w:rFonts w:ascii="Arial" w:hAnsi="Arial" w:cs="Arial" w:eastAsia="Arial" w:hint="default"/>
                            <w:sz w:val="16"/>
                            <w:szCs w:val="16"/>
                          </w:rPr>
                        </w:pPr>
                        <w:r>
                          <w:rPr>
                            <w:rFonts w:ascii="Arial"/>
                            <w:sz w:val="16"/>
                          </w:rPr>
                          <w:t>-</w:t>
                          <w:tab/>
                          <w:t>(28,122,881)</w:t>
                        </w:r>
                      </w:p>
                    </w:tc>
                    <w:tc>
                      <w:tcPr>
                        <w:tcW w:w="4973" w:type="dxa"/>
                        <w:tcBorders>
                          <w:top w:val="nil" w:sz="6" w:space="0" w:color="auto"/>
                          <w:left w:val="nil" w:sz="6" w:space="0" w:color="auto"/>
                          <w:bottom w:val="single" w:sz="12" w:space="0" w:color="000000"/>
                          <w:right w:val="nil" w:sz="6" w:space="0" w:color="auto"/>
                        </w:tcBorders>
                      </w:tcPr>
                      <w:p>
                        <w:pPr>
                          <w:pStyle w:val="TableParagraph"/>
                          <w:tabs>
                            <w:tab w:pos="1188" w:val="left" w:leader="none"/>
                            <w:tab w:pos="2040" w:val="left" w:leader="none"/>
                            <w:tab w:pos="3034" w:val="left" w:leader="none"/>
                            <w:tab w:pos="3482" w:val="left" w:leader="none"/>
                          </w:tabs>
                          <w:spacing w:line="240" w:lineRule="auto" w:before="104"/>
                          <w:ind w:right="0"/>
                          <w:jc w:val="right"/>
                          <w:rPr>
                            <w:rFonts w:ascii="Arial" w:hAnsi="Arial" w:cs="Arial" w:eastAsia="Arial" w:hint="default"/>
                            <w:sz w:val="16"/>
                            <w:szCs w:val="16"/>
                          </w:rPr>
                        </w:pPr>
                        <w:r>
                          <w:rPr>
                            <w:rFonts w:ascii="Arial"/>
                            <w:sz w:val="16"/>
                          </w:rPr>
                          <w:t>-</w:t>
                          <w:tab/>
                          <w:t>-</w:t>
                          <w:tab/>
                          <w:t>-</w:t>
                          <w:tab/>
                          <w:t>-</w:t>
                          <w:tab/>
                        </w:r>
                        <w:r>
                          <w:rPr>
                            <w:rFonts w:ascii="Arial"/>
                            <w:spacing w:val="-1"/>
                            <w:sz w:val="16"/>
                          </w:rPr>
                          <w:t>3,056,537,978</w:t>
                        </w:r>
                      </w:p>
                    </w:tc>
                    <w:tc>
                      <w:tcPr>
                        <w:tcW w:w="123"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single" w:sz="12" w:space="0" w:color="000000"/>
                          <w:right w:val="nil" w:sz="6" w:space="0" w:color="auto"/>
                        </w:tcBorders>
                      </w:tcPr>
                      <w:p>
                        <w:pPr/>
                      </w:p>
                    </w:tc>
                    <w:tc>
                      <w:tcPr>
                        <w:tcW w:w="89" w:type="dxa"/>
                        <w:tcBorders>
                          <w:top w:val="nil" w:sz="6" w:space="0" w:color="auto"/>
                          <w:left w:val="nil" w:sz="6" w:space="0" w:color="auto"/>
                          <w:bottom w:val="single" w:sz="12" w:space="0" w:color="000000"/>
                          <w:right w:val="nil" w:sz="6" w:space="0" w:color="auto"/>
                        </w:tcBorders>
                      </w:tcPr>
                      <w:p>
                        <w:pPr/>
                      </w:p>
                    </w:tc>
                  </w:tr>
                </w:tbl>
                <w:p>
                  <w:pPr/>
                </w:p>
              </w:txbxContent>
            </v:textbox>
            <w10:wrap type="none"/>
          </v:shape>
        </w:pict>
      </w:r>
      <w:r>
        <w:rPr>
          <w:rFonts w:ascii="Arial"/>
          <w:w w:val="100"/>
          <w:sz w:val="16"/>
        </w:rPr>
        <w:t>-</w:t>
      </w:r>
    </w:p>
    <w:p>
      <w:pPr>
        <w:spacing w:line="240" w:lineRule="auto" w:before="1"/>
        <w:rPr>
          <w:rFonts w:ascii="Arial" w:hAnsi="Arial" w:cs="Arial" w:eastAsia="Arial" w:hint="default"/>
          <w:sz w:val="11"/>
          <w:szCs w:val="11"/>
        </w:rPr>
      </w:pPr>
    </w:p>
    <w:p>
      <w:pPr>
        <w:spacing w:before="80"/>
        <w:ind w:left="0" w:right="404" w:firstLine="0"/>
        <w:jc w:val="right"/>
        <w:rPr>
          <w:rFonts w:ascii="Arial" w:hAnsi="Arial" w:cs="Arial" w:eastAsia="Arial" w:hint="default"/>
          <w:sz w:val="16"/>
          <w:szCs w:val="16"/>
        </w:rPr>
      </w:pPr>
      <w:r>
        <w:rPr>
          <w:rFonts w:ascii="Arial"/>
          <w:w w:val="100"/>
          <w:sz w:val="16"/>
        </w:rPr>
        <w:t>-</w:t>
      </w:r>
    </w:p>
    <w:p>
      <w:pPr>
        <w:spacing w:line="43" w:lineRule="exact"/>
        <w:ind w:left="9655" w:right="0" w:firstLine="0"/>
        <w:rPr>
          <w:rFonts w:ascii="Arial" w:hAnsi="Arial" w:cs="Arial" w:eastAsia="Arial" w:hint="default"/>
          <w:sz w:val="4"/>
          <w:szCs w:val="4"/>
        </w:rPr>
      </w:pPr>
      <w:r>
        <w:rPr>
          <w:rFonts w:ascii="Arial"/>
          <w:position w:val="0"/>
          <w:sz w:val="4"/>
        </w:rPr>
        <w:pict>
          <v:group style="width:51.05pt;height:2.2pt;mso-position-horizontal-relative:char;mso-position-vertical-relative:line" coordorigin="0,0" coordsize="1021,44">
            <v:group style="position:absolute;left:7;top:36;width:1007;height:2" coordorigin="7,36" coordsize="1007,2">
              <v:shape style="position:absolute;left:7;top:36;width:1007;height:2" coordorigin="7,36" coordsize="1007,0" path="m7,36l1013,36e" filled="false" stroked="true" strokeweight=".72pt" strokecolor="#000000">
                <v:path arrowok="t"/>
              </v:shape>
            </v:group>
            <v:group style="position:absolute;left:7;top:7;width:1007;height:2" coordorigin="7,7" coordsize="1007,2">
              <v:shape style="position:absolute;left:7;top:7;width:1007;height:2" coordorigin="7,7" coordsize="1007,0" path="m7,7l1013,7e" filled="false" stroked="true" strokeweight=".72pt" strokecolor="#000000">
                <v:path arrowok="t"/>
              </v:shape>
            </v:group>
          </v:group>
        </w:pict>
      </w:r>
      <w:r>
        <w:rPr>
          <w:rFonts w:ascii="Arial"/>
          <w:position w:val="0"/>
          <w:sz w:val="4"/>
        </w:rPr>
      </w:r>
      <w:r>
        <w:rPr>
          <w:rFonts w:ascii="Times New Roman"/>
          <w:spacing w:val="107"/>
          <w:position w:val="0"/>
          <w:sz w:val="2"/>
        </w:rPr>
        <w:t> </w:t>
      </w:r>
      <w:r>
        <w:rPr>
          <w:rFonts w:ascii="Arial"/>
          <w:spacing w:val="107"/>
          <w:position w:val="1"/>
          <w:sz w:val="2"/>
        </w:rPr>
        <w:pict>
          <v:group style="width:36.6pt;height:1.45pt;mso-position-horizontal-relative:char;mso-position-vertical-relative:line" coordorigin="0,0" coordsize="732,29">
            <v:group style="position:absolute;left:5;top:24;width:723;height:2" coordorigin="5,24" coordsize="723,2">
              <v:shape style="position:absolute;left:5;top:24;width:723;height:2" coordorigin="5,24" coordsize="723,0" path="m5,24l727,24e" filled="false" stroked="true" strokeweight=".48001pt" strokecolor="#000000">
                <v:path arrowok="t"/>
              </v:shape>
            </v:group>
            <v:group style="position:absolute;left:5;top:5;width:723;height:2" coordorigin="5,5" coordsize="723,2">
              <v:shape style="position:absolute;left:5;top:5;width:723;height:2" coordorigin="5,5" coordsize="723,0" path="m5,5l727,5e" filled="false" stroked="true" strokeweight=".48001pt" strokecolor="#000000">
                <v:path arrowok="t"/>
              </v:shape>
            </v:group>
          </v:group>
        </w:pict>
      </w:r>
      <w:r>
        <w:rPr>
          <w:rFonts w:ascii="Arial"/>
          <w:spacing w:val="107"/>
          <w:position w:val="1"/>
          <w:sz w:val="2"/>
        </w:rPr>
      </w:r>
      <w:r>
        <w:rPr>
          <w:rFonts w:ascii="Times New Roman"/>
          <w:spacing w:val="95"/>
          <w:position w:val="1"/>
          <w:sz w:val="4"/>
        </w:rPr>
        <w:t> </w:t>
      </w:r>
      <w:r>
        <w:rPr>
          <w:rFonts w:ascii="Arial"/>
          <w:spacing w:val="95"/>
          <w:position w:val="0"/>
          <w:sz w:val="4"/>
        </w:rPr>
        <w:pict>
          <v:group style="width:43.95pt;height:2.2pt;mso-position-horizontal-relative:char;mso-position-vertical-relative:line" coordorigin="0,0" coordsize="879,44">
            <v:group style="position:absolute;left:7;top:36;width:864;height:2" coordorigin="7,36" coordsize="864,2">
              <v:shape style="position:absolute;left:7;top:36;width:864;height:2" coordorigin="7,36" coordsize="864,0" path="m7,36l871,36e" filled="false" stroked="true" strokeweight=".72pt" strokecolor="#000000">
                <v:path arrowok="t"/>
              </v:shape>
            </v:group>
            <v:group style="position:absolute;left:7;top:7;width:864;height:2" coordorigin="7,7" coordsize="864,2">
              <v:shape style="position:absolute;left:7;top:7;width:864;height:2" coordorigin="7,7" coordsize="864,0" path="m7,7l871,7e" filled="false" stroked="true" strokeweight=".72pt" strokecolor="#000000">
                <v:path arrowok="t"/>
              </v:shape>
            </v:group>
          </v:group>
        </w:pict>
      </w:r>
      <w:r>
        <w:rPr>
          <w:rFonts w:ascii="Arial"/>
          <w:spacing w:val="95"/>
          <w:position w:val="0"/>
          <w:sz w:val="4"/>
        </w:rPr>
      </w:r>
    </w:p>
    <w:p>
      <w:pPr>
        <w:spacing w:line="240" w:lineRule="auto" w:before="3"/>
        <w:rPr>
          <w:rFonts w:ascii="Arial" w:hAnsi="Arial" w:cs="Arial" w:eastAsia="Arial" w:hint="default"/>
          <w:sz w:val="10"/>
          <w:szCs w:val="10"/>
        </w:rPr>
      </w:pPr>
    </w:p>
    <w:p>
      <w:pPr>
        <w:pStyle w:val="BodyText"/>
        <w:spacing w:line="295" w:lineRule="exact" w:before="32"/>
        <w:ind w:left="658" w:right="0"/>
        <w:jc w:val="left"/>
      </w:pPr>
      <w:r>
        <w:rPr/>
        <w:t>注</w:t>
      </w:r>
      <w:r>
        <w:rPr>
          <w:spacing w:val="-57"/>
        </w:rPr>
        <w:t> </w:t>
      </w:r>
      <w:r>
        <w:rPr>
          <w:rFonts w:ascii="Arial" w:hAnsi="Arial" w:cs="Arial" w:eastAsia="Arial" w:hint="default"/>
        </w:rPr>
        <w:t>1</w:t>
      </w:r>
      <w:r>
        <w:rPr/>
        <w:t>：</w:t>
      </w:r>
      <w:r>
        <w:rPr>
          <w:spacing w:val="5"/>
        </w:rPr>
        <w:t> </w:t>
      </w:r>
      <w:r>
        <w:rPr/>
        <w:t>本集团所属运营公司与中国移动有限公司之附属公司和中国电信股份有限公司于</w:t>
      </w:r>
      <w:r>
        <w:rPr>
          <w:spacing w:val="-56"/>
        </w:rPr>
        <w:t> </w:t>
      </w:r>
      <w:r>
        <w:rPr>
          <w:rFonts w:ascii="Arial" w:hAnsi="Arial" w:cs="Arial" w:eastAsia="Arial" w:hint="default"/>
        </w:rPr>
        <w:t>2014</w:t>
      </w:r>
      <w:r>
        <w:rPr>
          <w:rFonts w:ascii="Arial" w:hAnsi="Arial" w:cs="Arial" w:eastAsia="Arial" w:hint="default"/>
          <w:spacing w:val="-9"/>
        </w:rPr>
        <w:t> </w:t>
      </w:r>
      <w:r>
        <w:rPr/>
        <w:t>年</w:t>
      </w:r>
      <w:r>
        <w:rPr>
          <w:spacing w:val="-57"/>
        </w:rPr>
        <w:t> </w:t>
      </w:r>
      <w:r>
        <w:rPr>
          <w:rFonts w:ascii="Arial" w:hAnsi="Arial" w:cs="Arial" w:eastAsia="Arial" w:hint="default"/>
        </w:rPr>
        <w:t>7</w:t>
      </w:r>
      <w:r>
        <w:rPr>
          <w:rFonts w:ascii="Arial" w:hAnsi="Arial" w:cs="Arial" w:eastAsia="Arial" w:hint="default"/>
          <w:spacing w:val="-11"/>
        </w:rPr>
        <w:t> </w:t>
      </w:r>
      <w:r>
        <w:rPr/>
        <w:t>月</w:t>
      </w:r>
      <w:r>
        <w:rPr>
          <w:spacing w:val="-57"/>
        </w:rPr>
        <w:t> </w:t>
      </w:r>
      <w:r>
        <w:rPr>
          <w:rFonts w:ascii="Arial" w:hAnsi="Arial" w:cs="Arial" w:eastAsia="Arial" w:hint="default"/>
        </w:rPr>
        <w:t>11</w:t>
      </w:r>
      <w:r>
        <w:rPr>
          <w:rFonts w:ascii="Arial" w:hAnsi="Arial" w:cs="Arial" w:eastAsia="Arial" w:hint="default"/>
          <w:spacing w:val="-9"/>
        </w:rPr>
        <w:t> </w:t>
      </w:r>
      <w:r>
        <w:rPr/>
        <w:t>日签署了《中国通信设施服务股份有限公司发</w:t>
      </w:r>
    </w:p>
    <w:p>
      <w:pPr>
        <w:pStyle w:val="BodyText"/>
        <w:spacing w:line="286" w:lineRule="exact"/>
        <w:ind w:left="1395" w:right="0"/>
        <w:jc w:val="left"/>
      </w:pPr>
      <w:r>
        <w:rPr>
          <w:spacing w:val="-2"/>
        </w:rPr>
        <w:t>起人协议》，共同发起设立中国通信设施服务股份有限公司。根据发起人协议，联通运营公司拟以现金方式按每股面值人民币</w:t>
      </w:r>
      <w:r>
        <w:rPr/>
        <w:t> </w:t>
      </w:r>
      <w:r>
        <w:rPr>
          <w:rFonts w:ascii="Arial" w:hAnsi="Arial" w:cs="Arial" w:eastAsia="Arial" w:hint="default"/>
        </w:rPr>
        <w:t>1</w:t>
      </w:r>
      <w:r>
        <w:rPr>
          <w:rFonts w:ascii="Arial" w:hAnsi="Arial" w:cs="Arial" w:eastAsia="Arial" w:hint="default"/>
          <w:spacing w:val="-4"/>
        </w:rPr>
        <w:t> </w:t>
      </w:r>
      <w:r>
        <w:rPr>
          <w:spacing w:val="-1"/>
        </w:rPr>
        <w:t>元认缴中国通信</w:t>
      </w:r>
    </w:p>
    <w:p>
      <w:pPr>
        <w:pStyle w:val="BodyText"/>
        <w:spacing w:line="286" w:lineRule="exact"/>
        <w:ind w:left="1395" w:right="0"/>
        <w:jc w:val="left"/>
      </w:pPr>
      <w:r>
        <w:rPr/>
        <w:t>设施服务股份有限公司</w:t>
      </w:r>
      <w:r>
        <w:rPr>
          <w:spacing w:val="-59"/>
        </w:rPr>
        <w:t> </w:t>
      </w:r>
      <w:r>
        <w:rPr>
          <w:rFonts w:ascii="Arial" w:hAnsi="Arial" w:cs="Arial" w:eastAsia="Arial" w:hint="default"/>
        </w:rPr>
        <w:t>30.1</w:t>
      </w:r>
      <w:r>
        <w:rPr>
          <w:rFonts w:ascii="Arial" w:hAnsi="Arial" w:cs="Arial" w:eastAsia="Arial" w:hint="default"/>
          <w:spacing w:val="-10"/>
        </w:rPr>
        <w:t> </w:t>
      </w:r>
      <w:r>
        <w:rPr/>
        <w:t>亿股股份，占中国通信设施服务股份有限公司注册资本的</w:t>
      </w:r>
      <w:r>
        <w:rPr>
          <w:spacing w:val="-59"/>
        </w:rPr>
        <w:t> </w:t>
      </w:r>
      <w:r>
        <w:rPr>
          <w:rFonts w:ascii="Arial" w:hAnsi="Arial" w:cs="Arial" w:eastAsia="Arial" w:hint="default"/>
        </w:rPr>
        <w:t>30.1%</w:t>
      </w:r>
      <w:r>
        <w:rPr/>
        <w:t>。于</w:t>
      </w:r>
      <w:r>
        <w:rPr>
          <w:spacing w:val="-59"/>
        </w:rPr>
        <w:t> </w:t>
      </w:r>
      <w:r>
        <w:rPr>
          <w:rFonts w:ascii="Arial" w:hAnsi="Arial" w:cs="Arial" w:eastAsia="Arial" w:hint="default"/>
        </w:rPr>
        <w:t>2014</w:t>
      </w:r>
      <w:r>
        <w:rPr>
          <w:rFonts w:ascii="Arial" w:hAnsi="Arial" w:cs="Arial" w:eastAsia="Arial" w:hint="default"/>
          <w:spacing w:val="-11"/>
        </w:rPr>
        <w:t> </w:t>
      </w:r>
      <w:r>
        <w:rPr/>
        <w:t>年</w:t>
      </w:r>
      <w:r>
        <w:rPr>
          <w:spacing w:val="-59"/>
        </w:rPr>
        <w:t> </w:t>
      </w:r>
      <w:r>
        <w:rPr>
          <w:rFonts w:ascii="Arial" w:hAnsi="Arial" w:cs="Arial" w:eastAsia="Arial" w:hint="default"/>
        </w:rPr>
        <w:t>7</w:t>
      </w:r>
      <w:r>
        <w:rPr>
          <w:rFonts w:ascii="Arial" w:hAnsi="Arial" w:cs="Arial" w:eastAsia="Arial" w:hint="default"/>
          <w:spacing w:val="-11"/>
        </w:rPr>
        <w:t> </w:t>
      </w:r>
      <w:r>
        <w:rPr/>
        <w:t>月</w:t>
      </w:r>
      <w:r>
        <w:rPr>
          <w:spacing w:val="-59"/>
        </w:rPr>
        <w:t> </w:t>
      </w:r>
      <w:r>
        <w:rPr>
          <w:rFonts w:ascii="Arial" w:hAnsi="Arial" w:cs="Arial" w:eastAsia="Arial" w:hint="default"/>
        </w:rPr>
        <w:t>15</w:t>
      </w:r>
      <w:r>
        <w:rPr>
          <w:rFonts w:ascii="Arial" w:hAnsi="Arial" w:cs="Arial" w:eastAsia="Arial" w:hint="default"/>
          <w:spacing w:val="-11"/>
        </w:rPr>
        <w:t> </w:t>
      </w:r>
      <w:r>
        <w:rPr/>
        <w:t>日，中国通信设施服务股份有</w:t>
      </w:r>
    </w:p>
    <w:p>
      <w:pPr>
        <w:pStyle w:val="BodyText"/>
        <w:spacing w:line="286" w:lineRule="exact" w:before="19"/>
        <w:ind w:left="1395" w:right="0"/>
        <w:jc w:val="left"/>
      </w:pPr>
      <w:r>
        <w:rPr/>
        <w:t>限公司正式成立并于</w:t>
      </w:r>
      <w:r>
        <w:rPr>
          <w:spacing w:val="-46"/>
        </w:rPr>
        <w:t> </w:t>
      </w:r>
      <w:r>
        <w:rPr>
          <w:rFonts w:ascii="Arial" w:hAnsi="Arial" w:cs="Arial" w:eastAsia="Arial" w:hint="default"/>
        </w:rPr>
        <w:t>2014</w:t>
      </w:r>
      <w:r>
        <w:rPr>
          <w:rFonts w:ascii="Arial" w:hAnsi="Arial" w:cs="Arial" w:eastAsia="Arial" w:hint="default"/>
          <w:spacing w:val="2"/>
        </w:rPr>
        <w:t> </w:t>
      </w:r>
      <w:r>
        <w:rPr/>
        <w:t>年</w:t>
      </w:r>
      <w:r>
        <w:rPr>
          <w:spacing w:val="-46"/>
        </w:rPr>
        <w:t> </w:t>
      </w:r>
      <w:r>
        <w:rPr>
          <w:rFonts w:ascii="Arial" w:hAnsi="Arial" w:cs="Arial" w:eastAsia="Arial" w:hint="default"/>
        </w:rPr>
        <w:t>9</w:t>
      </w:r>
      <w:r>
        <w:rPr>
          <w:rFonts w:ascii="Arial" w:hAnsi="Arial" w:cs="Arial" w:eastAsia="Arial" w:hint="default"/>
          <w:spacing w:val="2"/>
        </w:rPr>
        <w:t> </w:t>
      </w:r>
      <w:r>
        <w:rPr/>
        <w:t>月</w:t>
      </w:r>
      <w:r>
        <w:rPr>
          <w:spacing w:val="-46"/>
        </w:rPr>
        <w:t> </w:t>
      </w:r>
      <w:r>
        <w:rPr>
          <w:rFonts w:ascii="Arial" w:hAnsi="Arial" w:cs="Arial" w:eastAsia="Arial" w:hint="default"/>
        </w:rPr>
        <w:t>2</w:t>
      </w:r>
      <w:r>
        <w:rPr>
          <w:rFonts w:ascii="Arial" w:hAnsi="Arial" w:cs="Arial" w:eastAsia="Arial" w:hint="default"/>
          <w:spacing w:val="2"/>
        </w:rPr>
        <w:t> </w:t>
      </w:r>
      <w:r>
        <w:rPr>
          <w:spacing w:val="-3"/>
        </w:rPr>
        <w:t>日进行了工商变更登记手续，正式更名为</w:t>
      </w:r>
      <w:r>
        <w:rPr>
          <w:rFonts w:ascii="Arial" w:hAnsi="Arial" w:cs="Arial" w:eastAsia="Arial" w:hint="default"/>
          <w:spacing w:val="-3"/>
        </w:rPr>
        <w:t>“</w:t>
      </w:r>
      <w:r>
        <w:rPr>
          <w:spacing w:val="-3"/>
        </w:rPr>
        <w:t>中国铁塔股份有限公司</w:t>
      </w:r>
      <w:r>
        <w:rPr>
          <w:rFonts w:ascii="Arial" w:hAnsi="Arial" w:cs="Arial" w:eastAsia="Arial" w:hint="default"/>
          <w:spacing w:val="-3"/>
        </w:rPr>
        <w:t>”</w:t>
      </w:r>
      <w:r>
        <w:rPr>
          <w:spacing w:val="-3"/>
        </w:rPr>
        <w:t>（</w:t>
      </w:r>
      <w:r>
        <w:rPr>
          <w:rFonts w:ascii="Arial" w:hAnsi="Arial" w:cs="Arial" w:eastAsia="Arial" w:hint="default"/>
          <w:spacing w:val="-3"/>
        </w:rPr>
        <w:t>“</w:t>
      </w:r>
      <w:r>
        <w:rPr>
          <w:spacing w:val="-3"/>
        </w:rPr>
        <w:t>铁塔公司</w:t>
      </w:r>
      <w:r>
        <w:rPr>
          <w:rFonts w:ascii="Arial" w:hAnsi="Arial" w:cs="Arial" w:eastAsia="Arial" w:hint="default"/>
          <w:spacing w:val="-3"/>
        </w:rPr>
        <w:t>”</w:t>
      </w:r>
      <w:r>
        <w:rPr>
          <w:spacing w:val="-3"/>
        </w:rPr>
        <w:t>）。根据公司章程，投资各方</w:t>
      </w:r>
      <w:r>
        <w:rPr>
          <w:spacing w:val="-105"/>
        </w:rPr>
        <w:t> </w:t>
      </w:r>
      <w:r>
        <w:rPr>
          <w:spacing w:val="-105"/>
        </w:rPr>
      </w:r>
      <w:r>
        <w:rPr/>
        <w:t>根据持股比例享有权利承担义务，故铁塔公司视为本集团的联营企业。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77"/>
        <w:ind w:left="7503" w:right="7503" w:firstLine="0"/>
        <w:jc w:val="center"/>
        <w:rPr>
          <w:rFonts w:ascii="Arial" w:hAnsi="Arial" w:cs="Arial" w:eastAsia="Arial" w:hint="default"/>
          <w:sz w:val="18"/>
          <w:szCs w:val="18"/>
        </w:rPr>
      </w:pPr>
      <w:r>
        <w:rPr>
          <w:rFonts w:ascii="Arial"/>
          <w:sz w:val="18"/>
        </w:rPr>
        <w:t>99</w:t>
      </w:r>
    </w:p>
    <w:p>
      <w:pPr>
        <w:spacing w:after="0"/>
        <w:jc w:val="center"/>
        <w:rPr>
          <w:rFonts w:ascii="Arial" w:hAnsi="Arial" w:cs="Arial" w:eastAsia="Arial" w:hint="default"/>
          <w:sz w:val="18"/>
          <w:szCs w:val="18"/>
        </w:rPr>
        <w:sectPr>
          <w:type w:val="continuous"/>
          <w:pgSz w:w="16840" w:h="11910" w:orient="landscape"/>
          <w:pgMar w:top="1580" w:bottom="280" w:left="460" w:right="1040"/>
        </w:sectPr>
      </w:pPr>
    </w:p>
    <w:p>
      <w:pPr>
        <w:spacing w:line="240" w:lineRule="auto" w:before="9"/>
        <w:rPr>
          <w:rFonts w:ascii="Arial" w:hAnsi="Arial" w:cs="Arial" w:eastAsia="Arial" w:hint="default"/>
          <w:sz w:val="21"/>
          <w:szCs w:val="21"/>
        </w:rPr>
      </w:pPr>
    </w:p>
    <w:p>
      <w:pPr>
        <w:pStyle w:val="BodyText"/>
        <w:spacing w:line="240" w:lineRule="auto" w:before="32"/>
        <w:ind w:left="102" w:right="1679"/>
        <w:jc w:val="left"/>
      </w:pPr>
      <w:r>
        <w:rPr>
          <w:rFonts w:ascii="Arial" w:hAnsi="Arial" w:cs="Arial" w:eastAsia="Arial" w:hint="default"/>
        </w:rPr>
        <w:t>10</w:t>
      </w:r>
      <w:r>
        <w:rPr/>
        <w:t>、固定资产</w:t>
      </w:r>
    </w:p>
    <w:p>
      <w:pPr>
        <w:spacing w:line="240" w:lineRule="auto" w:before="12"/>
        <w:rPr>
          <w:rFonts w:ascii="宋体" w:hAnsi="宋体" w:cs="宋体" w:eastAsia="宋体" w:hint="default"/>
          <w:sz w:val="17"/>
          <w:szCs w:val="17"/>
        </w:rPr>
      </w:pPr>
    </w:p>
    <w:p>
      <w:pPr>
        <w:pStyle w:val="BodyText"/>
        <w:tabs>
          <w:tab w:pos="582" w:val="left" w:leader="none"/>
        </w:tabs>
        <w:spacing w:line="240" w:lineRule="auto"/>
        <w:ind w:left="102" w:right="1679"/>
        <w:jc w:val="left"/>
      </w:pPr>
      <w:r>
        <w:rPr>
          <w:rFonts w:ascii="Arial" w:hAnsi="Arial" w:cs="Arial" w:eastAsia="Arial" w:hint="default"/>
        </w:rPr>
        <w:t>(a)</w:t>
        <w:tab/>
      </w:r>
      <w:r>
        <w:rPr/>
        <w:t>固定资产情况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tbl>
      <w:tblPr>
        <w:tblW w:w="0" w:type="auto"/>
        <w:jc w:val="left"/>
        <w:tblInd w:w="291" w:type="dxa"/>
        <w:tblLayout w:type="fixed"/>
        <w:tblCellMar>
          <w:top w:w="0" w:type="dxa"/>
          <w:left w:w="0" w:type="dxa"/>
          <w:bottom w:w="0" w:type="dxa"/>
          <w:right w:w="0" w:type="dxa"/>
        </w:tblCellMar>
        <w:tblLook w:val="01E0"/>
      </w:tblPr>
      <w:tblGrid>
        <w:gridCol w:w="2079"/>
        <w:gridCol w:w="1776"/>
        <w:gridCol w:w="142"/>
        <w:gridCol w:w="1702"/>
        <w:gridCol w:w="142"/>
        <w:gridCol w:w="1558"/>
        <w:gridCol w:w="134"/>
        <w:gridCol w:w="1700"/>
      </w:tblGrid>
      <w:tr>
        <w:trPr>
          <w:trHeight w:val="251" w:hRule="exact"/>
        </w:trPr>
        <w:tc>
          <w:tcPr>
            <w:tcW w:w="2079"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single" w:sz="6" w:space="0" w:color="000000"/>
              <w:right w:val="nil" w:sz="6" w:space="0" w:color="auto"/>
            </w:tcBorders>
          </w:tcPr>
          <w:p>
            <w:pPr>
              <w:pStyle w:val="TableParagraph"/>
              <w:spacing w:line="211" w:lineRule="exact"/>
              <w:ind w:left="326"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6" w:space="0" w:color="000000"/>
              <w:right w:val="nil" w:sz="6" w:space="0" w:color="auto"/>
            </w:tcBorders>
          </w:tcPr>
          <w:p>
            <w:pPr>
              <w:pStyle w:val="TableParagraph"/>
              <w:spacing w:line="211" w:lineRule="exact"/>
              <w:ind w:left="393" w:right="0"/>
              <w:jc w:val="left"/>
              <w:rPr>
                <w:rFonts w:ascii="宋体" w:hAnsi="宋体" w:cs="宋体" w:eastAsia="宋体" w:hint="default"/>
                <w:sz w:val="21"/>
                <w:szCs w:val="21"/>
              </w:rPr>
            </w:pPr>
            <w:r>
              <w:rPr>
                <w:rFonts w:ascii="宋体" w:hAnsi="宋体" w:cs="宋体" w:eastAsia="宋体" w:hint="default"/>
                <w:sz w:val="21"/>
                <w:szCs w:val="21"/>
              </w:rPr>
              <w:t>通信设备</w:t>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6" w:space="0" w:color="000000"/>
              <w:right w:val="nil" w:sz="6" w:space="0" w:color="auto"/>
            </w:tcBorders>
          </w:tcPr>
          <w:p>
            <w:pPr>
              <w:pStyle w:val="TableParagraph"/>
              <w:spacing w:line="211" w:lineRule="exact"/>
              <w:ind w:left="7"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34"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single" w:sz="6" w:space="0" w:color="000000"/>
              <w:right w:val="nil" w:sz="6" w:space="0" w:color="auto"/>
            </w:tcBorders>
          </w:tcPr>
          <w:p>
            <w:pPr>
              <w:pStyle w:val="TableParagraph"/>
              <w:spacing w:line="211" w:lineRule="exact"/>
              <w:ind w:right="64"/>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642"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原值</w:t>
            </w:r>
          </w:p>
        </w:tc>
        <w:tc>
          <w:tcPr>
            <w:tcW w:w="1776" w:type="dxa"/>
            <w:tcBorders>
              <w:top w:val="single" w:sz="6"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single" w:sz="6"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single" w:sz="6" w:space="0" w:color="000000"/>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700" w:type="dxa"/>
            <w:tcBorders>
              <w:top w:val="single" w:sz="6" w:space="0" w:color="000000"/>
              <w:left w:val="nil" w:sz="6" w:space="0" w:color="auto"/>
              <w:bottom w:val="nil" w:sz="6" w:space="0" w:color="auto"/>
              <w:right w:val="nil" w:sz="6" w:space="0" w:color="auto"/>
            </w:tcBorders>
          </w:tcPr>
          <w:p>
            <w:pPr/>
          </w:p>
        </w:tc>
      </w:tr>
      <w:tr>
        <w:trPr>
          <w:trHeight w:val="405"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96"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17"/>
                <w:szCs w:val="17"/>
              </w:rPr>
            </w:pPr>
            <w:r>
              <w:rPr>
                <w:rFonts w:ascii="Arial"/>
                <w:spacing w:val="-1"/>
                <w:sz w:val="17"/>
              </w:rPr>
              <w:t>65,385,283,534</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4" w:right="0"/>
              <w:jc w:val="left"/>
              <w:rPr>
                <w:rFonts w:ascii="Arial" w:hAnsi="Arial" w:cs="Arial" w:eastAsia="Arial" w:hint="default"/>
                <w:sz w:val="17"/>
                <w:szCs w:val="17"/>
              </w:rPr>
            </w:pPr>
            <w:r>
              <w:rPr>
                <w:rFonts w:ascii="Arial"/>
                <w:sz w:val="17"/>
              </w:rPr>
              <w:t>852,388,511,951</w:t>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68" w:right="0"/>
              <w:jc w:val="left"/>
              <w:rPr>
                <w:rFonts w:ascii="Arial" w:hAnsi="Arial" w:cs="Arial" w:eastAsia="Arial" w:hint="default"/>
                <w:sz w:val="17"/>
                <w:szCs w:val="17"/>
              </w:rPr>
            </w:pPr>
            <w:r>
              <w:rPr>
                <w:rFonts w:ascii="Arial"/>
                <w:sz w:val="17"/>
              </w:rPr>
              <w:t>18,693,240,640</w:t>
            </w:r>
          </w:p>
        </w:tc>
        <w:tc>
          <w:tcPr>
            <w:tcW w:w="134"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5" w:right="0"/>
              <w:jc w:val="left"/>
              <w:rPr>
                <w:rFonts w:ascii="Arial" w:hAnsi="Arial" w:cs="Arial" w:eastAsia="Arial" w:hint="default"/>
                <w:sz w:val="17"/>
                <w:szCs w:val="17"/>
              </w:rPr>
            </w:pPr>
            <w:r>
              <w:rPr>
                <w:rFonts w:ascii="Arial"/>
                <w:sz w:val="17"/>
              </w:rPr>
              <w:t>936,467,036,125</w:t>
            </w:r>
          </w:p>
        </w:tc>
      </w:tr>
      <w:tr>
        <w:trPr>
          <w:trHeight w:val="272"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29" w:lineRule="exact"/>
              <w:ind w:left="396"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8"/>
              <w:jc w:val="right"/>
              <w:rPr>
                <w:rFonts w:ascii="Arial" w:hAnsi="Arial" w:cs="Arial" w:eastAsia="Arial" w:hint="default"/>
                <w:sz w:val="17"/>
                <w:szCs w:val="17"/>
              </w:rPr>
            </w:pPr>
            <w:r>
              <w:rPr>
                <w:rFonts w:ascii="Arial"/>
                <w:spacing w:val="-1"/>
                <w:sz w:val="17"/>
              </w:rPr>
              <w:t>3,955,833,305</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410" w:right="0"/>
              <w:jc w:val="left"/>
              <w:rPr>
                <w:rFonts w:ascii="Arial" w:hAnsi="Arial" w:cs="Arial" w:eastAsia="Arial" w:hint="default"/>
                <w:sz w:val="17"/>
                <w:szCs w:val="17"/>
              </w:rPr>
            </w:pPr>
            <w:r>
              <w:rPr>
                <w:rFonts w:ascii="Arial"/>
                <w:sz w:val="17"/>
              </w:rPr>
              <w:t>72,628,847,079</w:t>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2" w:right="0"/>
              <w:jc w:val="left"/>
              <w:rPr>
                <w:rFonts w:ascii="Arial" w:hAnsi="Arial" w:cs="Arial" w:eastAsia="Arial" w:hint="default"/>
                <w:sz w:val="17"/>
                <w:szCs w:val="17"/>
              </w:rPr>
            </w:pPr>
            <w:r>
              <w:rPr>
                <w:rFonts w:ascii="Arial"/>
                <w:sz w:val="17"/>
              </w:rPr>
              <w:t>1,354,597,935</w:t>
            </w:r>
          </w:p>
        </w:tc>
        <w:tc>
          <w:tcPr>
            <w:tcW w:w="134"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410" w:right="0"/>
              <w:jc w:val="left"/>
              <w:rPr>
                <w:rFonts w:ascii="Arial" w:hAnsi="Arial" w:cs="Arial" w:eastAsia="Arial" w:hint="default"/>
                <w:sz w:val="17"/>
                <w:szCs w:val="17"/>
              </w:rPr>
            </w:pPr>
            <w:r>
              <w:rPr>
                <w:rFonts w:ascii="Arial"/>
                <w:sz w:val="17"/>
              </w:rPr>
              <w:t>77,939,278,319</w:t>
            </w:r>
          </w:p>
        </w:tc>
      </w:tr>
      <w:tr>
        <w:trPr>
          <w:trHeight w:val="272"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45" w:lineRule="exact"/>
              <w:ind w:left="624"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购置</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Arial" w:hAnsi="Arial" w:cs="Arial" w:eastAsia="Arial" w:hint="default"/>
                <w:sz w:val="17"/>
                <w:szCs w:val="17"/>
              </w:rPr>
            </w:pPr>
            <w:r>
              <w:rPr>
                <w:rFonts w:ascii="Arial"/>
                <w:spacing w:val="-1"/>
                <w:sz w:val="17"/>
              </w:rPr>
              <w:t>107,834,488</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1"/>
              <w:jc w:val="right"/>
              <w:rPr>
                <w:rFonts w:ascii="Arial" w:hAnsi="Arial" w:cs="Arial" w:eastAsia="Arial" w:hint="default"/>
                <w:sz w:val="17"/>
                <w:szCs w:val="17"/>
              </w:rPr>
            </w:pPr>
            <w:r>
              <w:rPr>
                <w:rFonts w:ascii="Arial"/>
                <w:spacing w:val="-1"/>
                <w:sz w:val="17"/>
              </w:rPr>
              <w:t>183,565,478</w:t>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Arial" w:hAnsi="Arial" w:cs="Arial" w:eastAsia="Arial" w:hint="default"/>
                <w:sz w:val="17"/>
                <w:szCs w:val="17"/>
              </w:rPr>
            </w:pPr>
            <w:r>
              <w:rPr>
                <w:rFonts w:ascii="Arial"/>
                <w:spacing w:val="-1"/>
                <w:sz w:val="17"/>
              </w:rPr>
              <w:t>350,531,746</w:t>
            </w:r>
          </w:p>
        </w:tc>
        <w:tc>
          <w:tcPr>
            <w:tcW w:w="134"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Arial" w:hAnsi="Arial" w:cs="Arial" w:eastAsia="Arial" w:hint="default"/>
                <w:sz w:val="17"/>
                <w:szCs w:val="17"/>
              </w:rPr>
            </w:pPr>
            <w:r>
              <w:rPr>
                <w:rFonts w:ascii="Arial"/>
                <w:spacing w:val="-1"/>
                <w:sz w:val="17"/>
              </w:rPr>
              <w:t>641,931,712</w:t>
            </w:r>
          </w:p>
        </w:tc>
      </w:tr>
      <w:tr>
        <w:trPr>
          <w:trHeight w:val="272"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44" w:lineRule="exact"/>
              <w:ind w:left="624"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在建工程转入</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8"/>
              <w:jc w:val="right"/>
              <w:rPr>
                <w:rFonts w:ascii="Arial" w:hAnsi="Arial" w:cs="Arial" w:eastAsia="Arial" w:hint="default"/>
                <w:sz w:val="17"/>
                <w:szCs w:val="17"/>
              </w:rPr>
            </w:pPr>
            <w:r>
              <w:rPr>
                <w:rFonts w:ascii="Arial"/>
                <w:spacing w:val="-1"/>
                <w:sz w:val="17"/>
              </w:rPr>
              <w:t>3,847,998,817</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410" w:right="0"/>
              <w:jc w:val="left"/>
              <w:rPr>
                <w:rFonts w:ascii="Arial" w:hAnsi="Arial" w:cs="Arial" w:eastAsia="Arial" w:hint="default"/>
                <w:sz w:val="17"/>
                <w:szCs w:val="17"/>
              </w:rPr>
            </w:pPr>
            <w:r>
              <w:rPr>
                <w:rFonts w:ascii="Arial"/>
                <w:sz w:val="17"/>
              </w:rPr>
              <w:t>72,445,281,601</w:t>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2" w:right="0"/>
              <w:jc w:val="left"/>
              <w:rPr>
                <w:rFonts w:ascii="Arial" w:hAnsi="Arial" w:cs="Arial" w:eastAsia="Arial" w:hint="default"/>
                <w:sz w:val="17"/>
                <w:szCs w:val="17"/>
              </w:rPr>
            </w:pPr>
            <w:r>
              <w:rPr>
                <w:rFonts w:ascii="Arial"/>
                <w:sz w:val="17"/>
              </w:rPr>
              <w:t>1,004,066,189</w:t>
            </w:r>
          </w:p>
        </w:tc>
        <w:tc>
          <w:tcPr>
            <w:tcW w:w="134"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410" w:right="0"/>
              <w:jc w:val="left"/>
              <w:rPr>
                <w:rFonts w:ascii="Arial" w:hAnsi="Arial" w:cs="Arial" w:eastAsia="Arial" w:hint="default"/>
                <w:sz w:val="17"/>
                <w:szCs w:val="17"/>
              </w:rPr>
            </w:pPr>
            <w:r>
              <w:rPr>
                <w:rFonts w:ascii="Arial"/>
                <w:sz w:val="17"/>
              </w:rPr>
              <w:t>77,297,346,607</w:t>
            </w:r>
          </w:p>
        </w:tc>
      </w:tr>
      <w:tr>
        <w:trPr>
          <w:trHeight w:val="280"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30" w:lineRule="exact"/>
              <w:ind w:left="396" w:right="0"/>
              <w:jc w:val="left"/>
              <w:rPr>
                <w:rFonts w:ascii="宋体" w:hAnsi="宋体" w:cs="宋体" w:eastAsia="宋体" w:hint="default"/>
                <w:sz w:val="21"/>
                <w:szCs w:val="21"/>
              </w:rPr>
            </w:pPr>
            <w:r>
              <w:rPr>
                <w:rFonts w:ascii="宋体" w:hAnsi="宋体" w:cs="宋体" w:eastAsia="宋体" w:hint="default"/>
                <w:sz w:val="21"/>
                <w:szCs w:val="21"/>
              </w:rPr>
              <w:t>本年处置或报废</w:t>
            </w:r>
          </w:p>
        </w:tc>
        <w:tc>
          <w:tcPr>
            <w:tcW w:w="1776" w:type="dxa"/>
            <w:tcBorders>
              <w:top w:val="nil" w:sz="6" w:space="0" w:color="auto"/>
              <w:left w:val="nil" w:sz="6" w:space="0" w:color="auto"/>
              <w:bottom w:val="nil" w:sz="6" w:space="0" w:color="auto"/>
              <w:right w:val="nil" w:sz="6" w:space="0" w:color="auto"/>
            </w:tcBorders>
          </w:tcPr>
          <w:p>
            <w:pPr>
              <w:pStyle w:val="TableParagraph"/>
              <w:tabs>
                <w:tab w:pos="674" w:val="left" w:leader="none"/>
              </w:tabs>
              <w:spacing w:line="240" w:lineRule="auto" w:before="62"/>
              <w:ind w:right="43"/>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(103,244,199)</w:t>
            </w:r>
            <w:r>
              <w:rPr>
                <w:rFonts w:ascii="Arial"/>
                <w:spacing w:val="-1"/>
                <w:sz w:val="17"/>
              </w:rPr>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tabs>
                <w:tab w:pos="359" w:val="left" w:leader="none"/>
                <w:tab w:pos="1702" w:val="left" w:leader="none"/>
              </w:tabs>
              <w:spacing w:line="240" w:lineRule="auto" w:before="62"/>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(37,972,352,611)</w:t>
              <w:tab/>
            </w:r>
            <w:r>
              <w:rPr>
                <w:rFonts w:ascii="Arial"/>
                <w:spacing w:val="-1"/>
                <w:sz w:val="17"/>
              </w:rPr>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tabs>
                <w:tab w:pos="455" w:val="left" w:leader="none"/>
              </w:tabs>
              <w:spacing w:line="240" w:lineRule="auto" w:before="62"/>
              <w:ind w:right="0"/>
              <w:jc w:val="lef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t>(914,633,266)</w:t>
            </w:r>
            <w:r>
              <w:rPr>
                <w:rFonts w:ascii="Arial"/>
                <w:sz w:val="17"/>
              </w:rPr>
            </w:r>
          </w:p>
        </w:tc>
        <w:tc>
          <w:tcPr>
            <w:tcW w:w="134"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tabs>
                <w:tab w:pos="360" w:val="left" w:leader="none"/>
                <w:tab w:pos="1699" w:val="left" w:leader="none"/>
              </w:tabs>
              <w:spacing w:line="240" w:lineRule="auto" w:before="62"/>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(38,990,230,076)</w:t>
              <w:tab/>
            </w:r>
            <w:r>
              <w:rPr>
                <w:rFonts w:ascii="Arial"/>
                <w:spacing w:val="-1"/>
                <w:sz w:val="17"/>
              </w:rPr>
            </w:r>
          </w:p>
        </w:tc>
      </w:tr>
      <w:tr>
        <w:trPr>
          <w:trHeight w:val="408"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36" w:lineRule="exact"/>
              <w:ind w:left="396"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776" w:type="dxa"/>
            <w:tcBorders>
              <w:top w:val="nil" w:sz="6" w:space="0" w:color="auto"/>
              <w:left w:val="nil" w:sz="6" w:space="0" w:color="auto"/>
              <w:bottom w:val="nil" w:sz="6" w:space="0" w:color="auto"/>
              <w:right w:val="nil" w:sz="6" w:space="0" w:color="auto"/>
            </w:tcBorders>
          </w:tcPr>
          <w:p>
            <w:pPr>
              <w:pStyle w:val="TableParagraph"/>
              <w:tabs>
                <w:tab w:pos="487" w:val="left" w:leader="none"/>
                <w:tab w:pos="1776" w:val="left" w:leader="none"/>
              </w:tabs>
              <w:spacing w:line="240" w:lineRule="auto" w:before="68"/>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69,237,872,640</w:t>
              <w:tab/>
            </w:r>
            <w:r>
              <w:rPr>
                <w:rFonts w:ascii="Arial"/>
                <w:spacing w:val="-1"/>
                <w:sz w:val="17"/>
              </w:rPr>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tabs>
                <w:tab w:pos="314" w:val="left" w:leader="none"/>
                <w:tab w:pos="1702" w:val="left" w:leader="none"/>
              </w:tabs>
              <w:spacing w:line="240" w:lineRule="auto" w:before="68"/>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887,045,006,419</w:t>
              <w:tab/>
            </w:r>
            <w:r>
              <w:rPr>
                <w:rFonts w:ascii="Arial"/>
                <w:spacing w:val="-1"/>
                <w:sz w:val="17"/>
              </w:rPr>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tabs>
                <w:tab w:pos="268" w:val="left" w:leader="none"/>
                <w:tab w:pos="1557" w:val="left" w:leader="none"/>
              </w:tabs>
              <w:spacing w:line="240" w:lineRule="auto" w:before="68"/>
              <w:ind w:right="0"/>
              <w:jc w:val="lef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t>19,133,205,309</w:t>
              <w:tab/>
            </w:r>
            <w:r>
              <w:rPr>
                <w:rFonts w:ascii="Arial"/>
                <w:sz w:val="17"/>
              </w:rPr>
            </w:r>
          </w:p>
        </w:tc>
        <w:tc>
          <w:tcPr>
            <w:tcW w:w="134"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tabs>
                <w:tab w:pos="314" w:val="left" w:leader="none"/>
                <w:tab w:pos="1699" w:val="left" w:leader="none"/>
              </w:tabs>
              <w:spacing w:line="240" w:lineRule="auto" w:before="68"/>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975,416,084,368</w:t>
              <w:tab/>
            </w:r>
            <w:r>
              <w:rPr>
                <w:rFonts w:ascii="Arial"/>
                <w:spacing w:val="-1"/>
                <w:sz w:val="17"/>
              </w:rPr>
            </w:r>
          </w:p>
        </w:tc>
      </w:tr>
      <w:tr>
        <w:trPr>
          <w:trHeight w:val="510"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776"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r>
      <w:tr>
        <w:trPr>
          <w:trHeight w:val="409"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96"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5"/>
              <w:jc w:val="right"/>
              <w:rPr>
                <w:rFonts w:ascii="Arial" w:hAnsi="Arial" w:cs="Arial" w:eastAsia="Arial" w:hint="default"/>
                <w:sz w:val="17"/>
                <w:szCs w:val="17"/>
              </w:rPr>
            </w:pPr>
            <w:r>
              <w:rPr>
                <w:rFonts w:ascii="Arial"/>
                <w:spacing w:val="-1"/>
                <w:sz w:val="17"/>
              </w:rPr>
              <w:t>(23,767,998,641)</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8"/>
              <w:jc w:val="right"/>
              <w:rPr>
                <w:rFonts w:ascii="Arial" w:hAnsi="Arial" w:cs="Arial" w:eastAsia="Arial" w:hint="default"/>
                <w:sz w:val="17"/>
                <w:szCs w:val="17"/>
              </w:rPr>
            </w:pPr>
            <w:r>
              <w:rPr>
                <w:rFonts w:ascii="Arial"/>
                <w:spacing w:val="-2"/>
                <w:sz w:val="17"/>
              </w:rPr>
              <w:t>(517,506,705,218)</w:t>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5"/>
              <w:jc w:val="right"/>
              <w:rPr>
                <w:rFonts w:ascii="Arial" w:hAnsi="Arial" w:cs="Arial" w:eastAsia="Arial" w:hint="default"/>
                <w:sz w:val="17"/>
                <w:szCs w:val="17"/>
              </w:rPr>
            </w:pPr>
            <w:r>
              <w:rPr>
                <w:rFonts w:ascii="Arial"/>
                <w:spacing w:val="-1"/>
                <w:sz w:val="17"/>
              </w:rPr>
              <w:t>(12,820,734,433)</w:t>
            </w:r>
          </w:p>
        </w:tc>
        <w:tc>
          <w:tcPr>
            <w:tcW w:w="134"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66" w:right="0"/>
              <w:jc w:val="left"/>
              <w:rPr>
                <w:rFonts w:ascii="Arial" w:hAnsi="Arial" w:cs="Arial" w:eastAsia="Arial" w:hint="default"/>
                <w:sz w:val="17"/>
                <w:szCs w:val="17"/>
              </w:rPr>
            </w:pPr>
            <w:r>
              <w:rPr>
                <w:rFonts w:ascii="Arial"/>
                <w:sz w:val="17"/>
              </w:rPr>
              <w:t>(554,095,438,292)</w:t>
            </w:r>
          </w:p>
        </w:tc>
      </w:tr>
      <w:tr>
        <w:trPr>
          <w:trHeight w:val="280"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34" w:lineRule="exact"/>
              <w:ind w:left="396" w:right="0"/>
              <w:jc w:val="left"/>
              <w:rPr>
                <w:rFonts w:ascii="宋体" w:hAnsi="宋体" w:cs="宋体" w:eastAsia="宋体" w:hint="default"/>
                <w:sz w:val="21"/>
                <w:szCs w:val="21"/>
              </w:rPr>
            </w:pPr>
            <w:r>
              <w:rPr>
                <w:rFonts w:ascii="宋体" w:hAnsi="宋体" w:cs="宋体" w:eastAsia="宋体" w:hint="default"/>
                <w:sz w:val="21"/>
                <w:szCs w:val="21"/>
              </w:rPr>
              <w:t>本年计提</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3"/>
              <w:jc w:val="right"/>
              <w:rPr>
                <w:rFonts w:ascii="Arial" w:hAnsi="Arial" w:cs="Arial" w:eastAsia="Arial" w:hint="default"/>
                <w:sz w:val="17"/>
                <w:szCs w:val="17"/>
              </w:rPr>
            </w:pPr>
            <w:r>
              <w:rPr>
                <w:rFonts w:ascii="Arial"/>
                <w:spacing w:val="-1"/>
                <w:sz w:val="17"/>
              </w:rPr>
              <w:t>(3,193,627,821)</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8"/>
              <w:jc w:val="right"/>
              <w:rPr>
                <w:rFonts w:ascii="Arial" w:hAnsi="Arial" w:cs="Arial" w:eastAsia="Arial" w:hint="default"/>
                <w:sz w:val="17"/>
                <w:szCs w:val="17"/>
              </w:rPr>
            </w:pPr>
            <w:r>
              <w:rPr>
                <w:rFonts w:ascii="Arial"/>
                <w:spacing w:val="-1"/>
                <w:sz w:val="17"/>
              </w:rPr>
              <w:t>(64,293,906,735)</w:t>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3"/>
              <w:jc w:val="right"/>
              <w:rPr>
                <w:rFonts w:ascii="Arial" w:hAnsi="Arial" w:cs="Arial" w:eastAsia="Arial" w:hint="default"/>
                <w:sz w:val="17"/>
                <w:szCs w:val="17"/>
              </w:rPr>
            </w:pPr>
            <w:r>
              <w:rPr>
                <w:rFonts w:ascii="Arial"/>
                <w:spacing w:val="-1"/>
                <w:sz w:val="17"/>
              </w:rPr>
              <w:t>(1,587,452,217)</w:t>
            </w:r>
          </w:p>
        </w:tc>
        <w:tc>
          <w:tcPr>
            <w:tcW w:w="134"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60" w:right="0"/>
              <w:jc w:val="left"/>
              <w:rPr>
                <w:rFonts w:ascii="Arial" w:hAnsi="Arial" w:cs="Arial" w:eastAsia="Arial" w:hint="default"/>
                <w:sz w:val="17"/>
                <w:szCs w:val="17"/>
              </w:rPr>
            </w:pPr>
            <w:r>
              <w:rPr>
                <w:rFonts w:ascii="Arial"/>
                <w:sz w:val="17"/>
              </w:rPr>
              <w:t>(69,074,986,773)</w:t>
            </w:r>
          </w:p>
        </w:tc>
      </w:tr>
      <w:tr>
        <w:trPr>
          <w:trHeight w:val="283"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33" w:lineRule="exact"/>
              <w:ind w:left="396" w:right="0"/>
              <w:jc w:val="left"/>
              <w:rPr>
                <w:rFonts w:ascii="宋体" w:hAnsi="宋体" w:cs="宋体" w:eastAsia="宋体" w:hint="default"/>
                <w:sz w:val="21"/>
                <w:szCs w:val="21"/>
              </w:rPr>
            </w:pPr>
            <w:r>
              <w:rPr>
                <w:rFonts w:ascii="宋体" w:hAnsi="宋体" w:cs="宋体" w:eastAsia="宋体" w:hint="default"/>
                <w:sz w:val="21"/>
                <w:szCs w:val="21"/>
              </w:rPr>
              <w:t>本年处置或报废</w:t>
            </w:r>
          </w:p>
        </w:tc>
        <w:tc>
          <w:tcPr>
            <w:tcW w:w="1776" w:type="dxa"/>
            <w:tcBorders>
              <w:top w:val="nil" w:sz="6" w:space="0" w:color="auto"/>
              <w:left w:val="nil" w:sz="6" w:space="0" w:color="auto"/>
              <w:bottom w:val="nil" w:sz="6" w:space="0" w:color="auto"/>
              <w:right w:val="nil" w:sz="6" w:space="0" w:color="auto"/>
            </w:tcBorders>
          </w:tcPr>
          <w:p>
            <w:pPr>
              <w:pStyle w:val="TableParagraph"/>
              <w:tabs>
                <w:tab w:pos="881" w:val="left" w:leader="none"/>
              </w:tabs>
              <w:spacing w:line="240" w:lineRule="auto" w:before="65"/>
              <w:ind w:right="43"/>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90,681,809</w:t>
            </w:r>
            <w:r>
              <w:rPr>
                <w:rFonts w:ascii="Arial"/>
                <w:spacing w:val="-1"/>
                <w:sz w:val="17"/>
              </w:rPr>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tabs>
                <w:tab w:pos="475" w:val="left" w:leader="none"/>
                <w:tab w:pos="1702" w:val="left" w:leader="none"/>
              </w:tabs>
              <w:spacing w:line="240" w:lineRule="auto" w:before="65"/>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35,155,371,246</w:t>
              <w:tab/>
            </w:r>
            <w:r>
              <w:rPr>
                <w:rFonts w:ascii="Arial"/>
                <w:spacing w:val="-1"/>
                <w:sz w:val="17"/>
              </w:rPr>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tabs>
                <w:tab w:pos="568" w:val="left" w:leader="none"/>
                <w:tab w:pos="1557" w:val="left" w:leader="none"/>
              </w:tabs>
              <w:spacing w:line="240" w:lineRule="auto" w:before="65"/>
              <w:ind w:right="0"/>
              <w:jc w:val="lef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t>879,666,467</w:t>
              <w:tab/>
            </w:r>
            <w:r>
              <w:rPr>
                <w:rFonts w:ascii="Arial"/>
                <w:sz w:val="17"/>
              </w:rPr>
            </w:r>
          </w:p>
        </w:tc>
        <w:tc>
          <w:tcPr>
            <w:tcW w:w="134"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tabs>
                <w:tab w:pos="410" w:val="left" w:leader="none"/>
                <w:tab w:pos="1699" w:val="left" w:leader="none"/>
              </w:tabs>
              <w:spacing w:line="240" w:lineRule="auto" w:before="65"/>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36,125,719,522</w:t>
              <w:tab/>
            </w:r>
            <w:r>
              <w:rPr>
                <w:rFonts w:ascii="Arial"/>
                <w:spacing w:val="-1"/>
                <w:sz w:val="17"/>
              </w:rPr>
            </w:r>
          </w:p>
        </w:tc>
      </w:tr>
      <w:tr>
        <w:trPr>
          <w:trHeight w:val="408"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37" w:lineRule="exact"/>
              <w:ind w:left="396"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776" w:type="dxa"/>
            <w:tcBorders>
              <w:top w:val="nil" w:sz="6" w:space="0" w:color="auto"/>
              <w:left w:val="nil" w:sz="6" w:space="0" w:color="auto"/>
              <w:bottom w:val="nil" w:sz="6" w:space="0" w:color="auto"/>
              <w:right w:val="nil" w:sz="6" w:space="0" w:color="auto"/>
            </w:tcBorders>
          </w:tcPr>
          <w:p>
            <w:pPr>
              <w:pStyle w:val="TableParagraph"/>
              <w:tabs>
                <w:tab w:pos="437" w:val="left" w:leader="none"/>
                <w:tab w:pos="1776" w:val="left" w:leader="none"/>
              </w:tabs>
              <w:spacing w:line="240" w:lineRule="auto" w:before="70"/>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(26,870,944,653)</w:t>
              <w:tab/>
            </w:r>
            <w:r>
              <w:rPr>
                <w:rFonts w:ascii="Arial"/>
                <w:spacing w:val="-1"/>
                <w:sz w:val="17"/>
              </w:rPr>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tabs>
                <w:tab w:pos="266" w:val="left" w:leader="none"/>
                <w:tab w:pos="1702" w:val="left" w:leader="none"/>
              </w:tabs>
              <w:spacing w:line="240" w:lineRule="auto" w:before="70"/>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2"/>
                <w:sz w:val="17"/>
                <w:u w:val="single" w:color="000000"/>
              </w:rPr>
              <w:t>(546,645,240,707)</w:t>
              <w:tab/>
            </w:r>
            <w:r>
              <w:rPr>
                <w:rFonts w:ascii="Arial"/>
                <w:spacing w:val="-2"/>
                <w:sz w:val="17"/>
              </w:rPr>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tabs>
                <w:tab w:pos="1557" w:val="left" w:leader="none"/>
              </w:tabs>
              <w:spacing w:line="240" w:lineRule="auto" w:before="70"/>
              <w:ind w:right="0"/>
              <w:jc w:val="lef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   </w:t>
            </w:r>
            <w:r>
              <w:rPr>
                <w:rFonts w:ascii="Arial"/>
                <w:spacing w:val="-18"/>
                <w:sz w:val="17"/>
                <w:u w:val="single" w:color="000000"/>
              </w:rPr>
              <w:t> </w:t>
            </w:r>
            <w:r>
              <w:rPr>
                <w:rFonts w:ascii="Arial"/>
                <w:sz w:val="17"/>
                <w:u w:val="single" w:color="000000"/>
              </w:rPr>
              <w:t>(13,528,520,183)</w:t>
              <w:tab/>
            </w:r>
            <w:r>
              <w:rPr>
                <w:rFonts w:ascii="Arial"/>
                <w:sz w:val="17"/>
              </w:rPr>
            </w:r>
          </w:p>
        </w:tc>
        <w:tc>
          <w:tcPr>
            <w:tcW w:w="134"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tabs>
                <w:tab w:pos="266" w:val="left" w:leader="none"/>
                <w:tab w:pos="1699" w:val="left" w:leader="none"/>
              </w:tabs>
              <w:spacing w:line="240" w:lineRule="auto" w:before="70"/>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2"/>
                <w:sz w:val="17"/>
                <w:u w:val="single" w:color="000000"/>
              </w:rPr>
              <w:t>(587,044,705,543)</w:t>
              <w:tab/>
            </w:r>
            <w:r>
              <w:rPr>
                <w:rFonts w:ascii="Arial"/>
                <w:spacing w:val="-2"/>
                <w:sz w:val="17"/>
              </w:rPr>
            </w:r>
          </w:p>
        </w:tc>
      </w:tr>
      <w:tr>
        <w:trPr>
          <w:trHeight w:val="509"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76"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r>
      <w:tr>
        <w:trPr>
          <w:trHeight w:val="409"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96"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4"/>
              <w:jc w:val="right"/>
              <w:rPr>
                <w:rFonts w:ascii="Arial" w:hAnsi="Arial" w:cs="Arial" w:eastAsia="Arial" w:hint="default"/>
                <w:sz w:val="17"/>
                <w:szCs w:val="17"/>
              </w:rPr>
            </w:pPr>
            <w:r>
              <w:rPr>
                <w:rFonts w:ascii="Arial"/>
                <w:spacing w:val="-2"/>
                <w:sz w:val="17"/>
              </w:rPr>
              <w:t>(40,840)</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8"/>
              <w:jc w:val="right"/>
              <w:rPr>
                <w:rFonts w:ascii="Arial" w:hAnsi="Arial" w:cs="Arial" w:eastAsia="Arial" w:hint="default"/>
                <w:sz w:val="17"/>
                <w:szCs w:val="17"/>
              </w:rPr>
            </w:pPr>
            <w:r>
              <w:rPr>
                <w:rFonts w:ascii="Arial"/>
                <w:spacing w:val="-1"/>
                <w:sz w:val="17"/>
              </w:rPr>
              <w:t>(11,693,745,672)</w:t>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3"/>
              <w:jc w:val="right"/>
              <w:rPr>
                <w:rFonts w:ascii="Arial" w:hAnsi="Arial" w:cs="Arial" w:eastAsia="Arial" w:hint="default"/>
                <w:sz w:val="17"/>
                <w:szCs w:val="17"/>
              </w:rPr>
            </w:pPr>
            <w:r>
              <w:rPr>
                <w:rFonts w:ascii="Arial"/>
                <w:spacing w:val="-1"/>
                <w:sz w:val="17"/>
              </w:rPr>
              <w:t>(3,429,905)</w:t>
            </w:r>
          </w:p>
        </w:tc>
        <w:tc>
          <w:tcPr>
            <w:tcW w:w="134"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60" w:right="0"/>
              <w:jc w:val="left"/>
              <w:rPr>
                <w:rFonts w:ascii="Arial" w:hAnsi="Arial" w:cs="Arial" w:eastAsia="Arial" w:hint="default"/>
                <w:sz w:val="17"/>
                <w:szCs w:val="17"/>
              </w:rPr>
            </w:pPr>
            <w:r>
              <w:rPr>
                <w:rFonts w:ascii="Arial"/>
                <w:sz w:val="17"/>
              </w:rPr>
              <w:t>(11,697,216,417)</w:t>
            </w:r>
          </w:p>
        </w:tc>
      </w:tr>
      <w:tr>
        <w:trPr>
          <w:trHeight w:val="281"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34" w:lineRule="exact"/>
              <w:ind w:left="396" w:right="0"/>
              <w:jc w:val="left"/>
              <w:rPr>
                <w:rFonts w:ascii="宋体" w:hAnsi="宋体" w:cs="宋体" w:eastAsia="宋体" w:hint="default"/>
                <w:sz w:val="21"/>
                <w:szCs w:val="21"/>
              </w:rPr>
            </w:pPr>
            <w:r>
              <w:rPr>
                <w:rFonts w:ascii="宋体" w:hAnsi="宋体" w:cs="宋体" w:eastAsia="宋体" w:hint="default"/>
                <w:sz w:val="21"/>
                <w:szCs w:val="21"/>
              </w:rPr>
              <w:t>本年计提</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6"/>
              <w:jc w:val="right"/>
              <w:rPr>
                <w:rFonts w:ascii="Arial" w:hAnsi="Arial" w:cs="Arial" w:eastAsia="Arial" w:hint="default"/>
                <w:sz w:val="17"/>
                <w:szCs w:val="17"/>
              </w:rPr>
            </w:pPr>
            <w:r>
              <w:rPr>
                <w:rFonts w:ascii="Arial"/>
                <w:w w:val="100"/>
                <w:sz w:val="17"/>
              </w:rPr>
              <w:t>-</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5"/>
              <w:jc w:val="right"/>
              <w:rPr>
                <w:rFonts w:ascii="Arial" w:hAnsi="Arial" w:cs="Arial" w:eastAsia="Arial" w:hint="default"/>
                <w:sz w:val="17"/>
                <w:szCs w:val="17"/>
              </w:rPr>
            </w:pPr>
            <w:r>
              <w:rPr>
                <w:rFonts w:ascii="Arial"/>
                <w:spacing w:val="-1"/>
                <w:sz w:val="17"/>
              </w:rPr>
              <w:t>(9,654,860)</w:t>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5"/>
              <w:jc w:val="right"/>
              <w:rPr>
                <w:rFonts w:ascii="Arial" w:hAnsi="Arial" w:cs="Arial" w:eastAsia="Arial" w:hint="default"/>
                <w:sz w:val="17"/>
                <w:szCs w:val="17"/>
              </w:rPr>
            </w:pPr>
            <w:r>
              <w:rPr>
                <w:rFonts w:ascii="Arial"/>
                <w:spacing w:val="-2"/>
                <w:sz w:val="17"/>
              </w:rPr>
              <w:t>(38,438)</w:t>
            </w:r>
          </w:p>
        </w:tc>
        <w:tc>
          <w:tcPr>
            <w:tcW w:w="134"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2"/>
              <w:jc w:val="right"/>
              <w:rPr>
                <w:rFonts w:ascii="Arial" w:hAnsi="Arial" w:cs="Arial" w:eastAsia="Arial" w:hint="default"/>
                <w:sz w:val="17"/>
                <w:szCs w:val="17"/>
              </w:rPr>
            </w:pPr>
            <w:r>
              <w:rPr>
                <w:rFonts w:ascii="Arial"/>
                <w:spacing w:val="-1"/>
                <w:sz w:val="17"/>
              </w:rPr>
              <w:t>(9,693,298)</w:t>
            </w:r>
          </w:p>
        </w:tc>
      </w:tr>
      <w:tr>
        <w:trPr>
          <w:trHeight w:val="284"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34" w:lineRule="exact"/>
              <w:ind w:left="396" w:right="0"/>
              <w:jc w:val="left"/>
              <w:rPr>
                <w:rFonts w:ascii="宋体" w:hAnsi="宋体" w:cs="宋体" w:eastAsia="宋体" w:hint="default"/>
                <w:sz w:val="21"/>
                <w:szCs w:val="21"/>
              </w:rPr>
            </w:pPr>
            <w:r>
              <w:rPr>
                <w:rFonts w:ascii="宋体" w:hAnsi="宋体" w:cs="宋体" w:eastAsia="宋体" w:hint="default"/>
                <w:sz w:val="21"/>
                <w:szCs w:val="21"/>
              </w:rPr>
              <w:t>本年处置或报废</w:t>
            </w:r>
          </w:p>
        </w:tc>
        <w:tc>
          <w:tcPr>
            <w:tcW w:w="1776" w:type="dxa"/>
            <w:tcBorders>
              <w:top w:val="nil" w:sz="6" w:space="0" w:color="auto"/>
              <w:left w:val="nil" w:sz="6" w:space="0" w:color="auto"/>
              <w:bottom w:val="nil" w:sz="6" w:space="0" w:color="auto"/>
              <w:right w:val="nil" w:sz="6" w:space="0" w:color="auto"/>
            </w:tcBorders>
          </w:tcPr>
          <w:p>
            <w:pPr>
              <w:pStyle w:val="TableParagraph"/>
              <w:tabs>
                <w:tab w:pos="1610" w:val="left" w:leader="none"/>
              </w:tabs>
              <w:spacing w:line="240" w:lineRule="auto" w:before="66"/>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t>-</w:t>
              <w:tab/>
            </w:r>
            <w:r>
              <w:rPr>
                <w:rFonts w:ascii="Arial"/>
                <w:sz w:val="17"/>
              </w:rPr>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tabs>
                <w:tab w:pos="503" w:val="left" w:leader="none"/>
                <w:tab w:pos="1702" w:val="left" w:leader="none"/>
              </w:tabs>
              <w:spacing w:line="240" w:lineRule="auto" w:before="66"/>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1,100,289,435</w:t>
              <w:tab/>
            </w:r>
            <w:r>
              <w:rPr>
                <w:rFonts w:ascii="Arial"/>
                <w:spacing w:val="-1"/>
                <w:sz w:val="17"/>
              </w:rPr>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tabs>
                <w:tab w:pos="835" w:val="left" w:leader="none"/>
                <w:tab w:pos="1557" w:val="left" w:leader="none"/>
              </w:tabs>
              <w:spacing w:line="240" w:lineRule="auto" w:before="66"/>
              <w:ind w:right="0"/>
              <w:jc w:val="lef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t>274,912</w:t>
              <w:tab/>
            </w:r>
            <w:r>
              <w:rPr>
                <w:rFonts w:ascii="Arial"/>
                <w:sz w:val="17"/>
              </w:rPr>
            </w:r>
          </w:p>
        </w:tc>
        <w:tc>
          <w:tcPr>
            <w:tcW w:w="134"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tabs>
                <w:tab w:pos="504" w:val="left" w:leader="none"/>
                <w:tab w:pos="1699" w:val="left" w:leader="none"/>
              </w:tabs>
              <w:spacing w:line="240" w:lineRule="auto" w:before="66"/>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1,100,564,347</w:t>
              <w:tab/>
            </w:r>
            <w:r>
              <w:rPr>
                <w:rFonts w:ascii="Arial"/>
                <w:spacing w:val="-1"/>
                <w:sz w:val="17"/>
              </w:rPr>
            </w:r>
          </w:p>
        </w:tc>
      </w:tr>
      <w:tr>
        <w:trPr>
          <w:trHeight w:val="408"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36" w:lineRule="exact"/>
              <w:ind w:left="396"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776" w:type="dxa"/>
            <w:tcBorders>
              <w:top w:val="nil" w:sz="6" w:space="0" w:color="auto"/>
              <w:left w:val="nil" w:sz="6" w:space="0" w:color="auto"/>
              <w:bottom w:val="nil" w:sz="6" w:space="0" w:color="auto"/>
              <w:right w:val="nil" w:sz="6" w:space="0" w:color="auto"/>
            </w:tcBorders>
          </w:tcPr>
          <w:p>
            <w:pPr>
              <w:pStyle w:val="TableParagraph"/>
              <w:tabs>
                <w:tab w:pos="1099" w:val="left" w:leader="none"/>
                <w:tab w:pos="1776" w:val="left" w:leader="none"/>
              </w:tabs>
              <w:spacing w:line="240" w:lineRule="auto" w:before="68"/>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2"/>
                <w:sz w:val="17"/>
                <w:u w:val="single" w:color="000000"/>
              </w:rPr>
              <w:t>(40,840)</w:t>
              <w:tab/>
            </w:r>
            <w:r>
              <w:rPr>
                <w:rFonts w:ascii="Arial"/>
                <w:spacing w:val="-2"/>
                <w:sz w:val="17"/>
              </w:rPr>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tabs>
                <w:tab w:pos="359" w:val="left" w:leader="none"/>
                <w:tab w:pos="1702" w:val="left" w:leader="none"/>
              </w:tabs>
              <w:spacing w:line="240" w:lineRule="auto" w:before="68"/>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(10,603,111,097)</w:t>
              <w:tab/>
            </w:r>
            <w:r>
              <w:rPr>
                <w:rFonts w:ascii="Arial"/>
                <w:spacing w:val="-1"/>
                <w:sz w:val="17"/>
              </w:rPr>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tabs>
                <w:tab w:pos="645" w:val="left" w:leader="none"/>
              </w:tabs>
              <w:spacing w:line="240" w:lineRule="auto" w:before="68"/>
              <w:ind w:right="0"/>
              <w:jc w:val="lef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t>(3,193,431)</w:t>
            </w:r>
            <w:r>
              <w:rPr>
                <w:rFonts w:ascii="Arial"/>
                <w:sz w:val="17"/>
              </w:rPr>
            </w:r>
          </w:p>
        </w:tc>
        <w:tc>
          <w:tcPr>
            <w:tcW w:w="134"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tabs>
                <w:tab w:pos="360" w:val="left" w:leader="none"/>
                <w:tab w:pos="1699" w:val="left" w:leader="none"/>
              </w:tabs>
              <w:spacing w:line="240" w:lineRule="auto" w:before="68"/>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(10,606,345,368)</w:t>
              <w:tab/>
            </w:r>
            <w:r>
              <w:rPr>
                <w:rFonts w:ascii="Arial"/>
                <w:spacing w:val="-1"/>
                <w:sz w:val="17"/>
              </w:rPr>
            </w:r>
          </w:p>
        </w:tc>
      </w:tr>
      <w:tr>
        <w:trPr>
          <w:trHeight w:val="510"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0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76"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r>
      <w:tr>
        <w:trPr>
          <w:trHeight w:val="546"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84" w:right="0"/>
              <w:jc w:val="left"/>
              <w:rPr>
                <w:rFonts w:ascii="宋体" w:hAnsi="宋体" w:cs="宋体" w:eastAsia="宋体" w:hint="default"/>
                <w:sz w:val="21"/>
                <w:szCs w:val="21"/>
              </w:rPr>
            </w:pPr>
            <w:r>
              <w:rPr>
                <w:rFonts w:ascii="宋体" w:hAnsi="宋体" w:cs="宋体" w:eastAsia="宋体" w:hint="default"/>
                <w:sz w:val="21"/>
                <w:szCs w:val="21"/>
              </w:rPr>
              <w:t>年末</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tabs>
                <w:tab w:pos="487" w:val="left" w:leader="none"/>
                <w:tab w:pos="1776" w:val="left" w:leader="none"/>
              </w:tabs>
              <w:spacing w:line="240" w:lineRule="auto"/>
              <w:ind w:right="0"/>
              <w:jc w:val="right"/>
              <w:rPr>
                <w:rFonts w:ascii="Arial" w:hAnsi="Arial" w:cs="Arial" w:eastAsia="Arial" w:hint="default"/>
                <w:sz w:val="17"/>
                <w:szCs w:val="17"/>
              </w:rPr>
            </w:pPr>
            <w:r>
              <w:rPr>
                <w:rFonts w:ascii="Arial"/>
                <w:w w:val="100"/>
                <w:sz w:val="17"/>
              </w:rPr>
            </w:r>
            <w:r>
              <w:rPr>
                <w:rFonts w:ascii="Arial"/>
                <w:w w:val="100"/>
                <w:sz w:val="17"/>
                <w:u w:val="thick" w:color="000000"/>
              </w:rPr>
              <w:t> </w:t>
            </w:r>
            <w:r>
              <w:rPr>
                <w:rFonts w:ascii="Arial"/>
                <w:sz w:val="17"/>
                <w:u w:val="thick" w:color="000000"/>
              </w:rPr>
              <w:tab/>
            </w:r>
            <w:r>
              <w:rPr>
                <w:rFonts w:ascii="Arial"/>
                <w:spacing w:val="-1"/>
                <w:sz w:val="17"/>
                <w:u w:val="thick" w:color="000000"/>
              </w:rPr>
              <w:t>42,366,887,147</w:t>
              <w:tab/>
            </w:r>
            <w:r>
              <w:rPr>
                <w:rFonts w:ascii="Arial"/>
                <w:spacing w:val="-1"/>
                <w:sz w:val="17"/>
              </w:rPr>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tabs>
                <w:tab w:pos="314" w:val="left" w:leader="none"/>
                <w:tab w:pos="1702" w:val="left" w:leader="none"/>
              </w:tabs>
              <w:spacing w:line="240" w:lineRule="auto"/>
              <w:ind w:right="0"/>
              <w:jc w:val="right"/>
              <w:rPr>
                <w:rFonts w:ascii="Arial" w:hAnsi="Arial" w:cs="Arial" w:eastAsia="Arial" w:hint="default"/>
                <w:sz w:val="17"/>
                <w:szCs w:val="17"/>
              </w:rPr>
            </w:pPr>
            <w:r>
              <w:rPr>
                <w:rFonts w:ascii="Arial"/>
                <w:w w:val="100"/>
                <w:sz w:val="17"/>
              </w:rPr>
            </w:r>
            <w:r>
              <w:rPr>
                <w:rFonts w:ascii="Arial"/>
                <w:w w:val="100"/>
                <w:sz w:val="17"/>
                <w:u w:val="thick" w:color="000000"/>
              </w:rPr>
              <w:t> </w:t>
            </w:r>
            <w:r>
              <w:rPr>
                <w:rFonts w:ascii="Arial"/>
                <w:sz w:val="17"/>
                <w:u w:val="thick" w:color="000000"/>
              </w:rPr>
              <w:tab/>
            </w:r>
            <w:r>
              <w:rPr>
                <w:rFonts w:ascii="Arial"/>
                <w:spacing w:val="-1"/>
                <w:sz w:val="17"/>
                <w:u w:val="thick" w:color="000000"/>
              </w:rPr>
              <w:t>329,796,654,615</w:t>
              <w:tab/>
            </w:r>
            <w:r>
              <w:rPr>
                <w:rFonts w:ascii="Arial"/>
                <w:spacing w:val="-1"/>
                <w:sz w:val="17"/>
              </w:rPr>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tabs>
                <w:tab w:pos="362" w:val="left" w:leader="none"/>
                <w:tab w:pos="1557" w:val="left" w:leader="none"/>
              </w:tabs>
              <w:spacing w:line="240" w:lineRule="auto"/>
              <w:ind w:right="0"/>
              <w:jc w:val="left"/>
              <w:rPr>
                <w:rFonts w:ascii="Arial" w:hAnsi="Arial" w:cs="Arial" w:eastAsia="Arial" w:hint="default"/>
                <w:sz w:val="17"/>
                <w:szCs w:val="17"/>
              </w:rPr>
            </w:pPr>
            <w:r>
              <w:rPr>
                <w:rFonts w:ascii="Arial"/>
                <w:w w:val="100"/>
                <w:sz w:val="17"/>
              </w:rPr>
            </w:r>
            <w:r>
              <w:rPr>
                <w:rFonts w:ascii="Arial"/>
                <w:w w:val="100"/>
                <w:sz w:val="17"/>
                <w:u w:val="thick" w:color="000000"/>
              </w:rPr>
              <w:t> </w:t>
            </w:r>
            <w:r>
              <w:rPr>
                <w:rFonts w:ascii="Arial"/>
                <w:sz w:val="17"/>
                <w:u w:val="thick" w:color="000000"/>
              </w:rPr>
              <w:tab/>
              <w:t>5,601,491,695</w:t>
              <w:tab/>
            </w:r>
            <w:r>
              <w:rPr>
                <w:rFonts w:ascii="Arial"/>
                <w:sz w:val="17"/>
              </w:rPr>
            </w:r>
          </w:p>
        </w:tc>
        <w:tc>
          <w:tcPr>
            <w:tcW w:w="134"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tabs>
                <w:tab w:pos="314" w:val="left" w:leader="none"/>
                <w:tab w:pos="1699" w:val="left" w:leader="none"/>
              </w:tabs>
              <w:spacing w:line="240" w:lineRule="auto"/>
              <w:ind w:right="0"/>
              <w:jc w:val="right"/>
              <w:rPr>
                <w:rFonts w:ascii="Arial" w:hAnsi="Arial" w:cs="Arial" w:eastAsia="Arial" w:hint="default"/>
                <w:sz w:val="17"/>
                <w:szCs w:val="17"/>
              </w:rPr>
            </w:pPr>
            <w:r>
              <w:rPr>
                <w:rFonts w:ascii="Arial"/>
                <w:w w:val="100"/>
                <w:sz w:val="17"/>
              </w:rPr>
            </w:r>
            <w:r>
              <w:rPr>
                <w:rFonts w:ascii="Arial"/>
                <w:w w:val="100"/>
                <w:sz w:val="17"/>
                <w:u w:val="thick" w:color="000000"/>
              </w:rPr>
              <w:t> </w:t>
            </w:r>
            <w:r>
              <w:rPr>
                <w:rFonts w:ascii="Arial"/>
                <w:sz w:val="17"/>
                <w:u w:val="thick" w:color="000000"/>
              </w:rPr>
              <w:tab/>
            </w:r>
            <w:r>
              <w:rPr>
                <w:rFonts w:ascii="Arial"/>
                <w:spacing w:val="-1"/>
                <w:sz w:val="17"/>
                <w:u w:val="thick" w:color="000000"/>
              </w:rPr>
              <w:t>377,765,033,457</w:t>
              <w:tab/>
            </w:r>
            <w:r>
              <w:rPr>
                <w:rFonts w:ascii="Arial"/>
                <w:spacing w:val="-1"/>
                <w:sz w:val="17"/>
              </w:rPr>
            </w:r>
          </w:p>
        </w:tc>
      </w:tr>
      <w:tr>
        <w:trPr>
          <w:trHeight w:val="425"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84" w:right="0"/>
              <w:jc w:val="left"/>
              <w:rPr>
                <w:rFonts w:ascii="宋体" w:hAnsi="宋体" w:cs="宋体" w:eastAsia="宋体" w:hint="default"/>
                <w:sz w:val="21"/>
                <w:szCs w:val="21"/>
              </w:rPr>
            </w:pPr>
            <w:r>
              <w:rPr>
                <w:rFonts w:ascii="宋体" w:hAnsi="宋体" w:cs="宋体" w:eastAsia="宋体" w:hint="default"/>
                <w:sz w:val="21"/>
                <w:szCs w:val="21"/>
              </w:rPr>
              <w:t>年初</w:t>
            </w:r>
          </w:p>
        </w:tc>
        <w:tc>
          <w:tcPr>
            <w:tcW w:w="1776" w:type="dxa"/>
            <w:tcBorders>
              <w:top w:val="nil" w:sz="6" w:space="0" w:color="auto"/>
              <w:left w:val="nil" w:sz="6" w:space="0" w:color="auto"/>
              <w:bottom w:val="single" w:sz="17"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7"/>
                <w:szCs w:val="17"/>
              </w:rPr>
            </w:pPr>
            <w:r>
              <w:rPr>
                <w:rFonts w:ascii="Arial"/>
                <w:spacing w:val="-1"/>
                <w:sz w:val="17"/>
              </w:rPr>
              <w:t>41,617,244,053</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14" w:right="0"/>
              <w:jc w:val="left"/>
              <w:rPr>
                <w:rFonts w:ascii="Arial" w:hAnsi="Arial" w:cs="Arial" w:eastAsia="Arial" w:hint="default"/>
                <w:sz w:val="17"/>
                <w:szCs w:val="17"/>
              </w:rPr>
            </w:pPr>
            <w:r>
              <w:rPr>
                <w:rFonts w:ascii="Arial"/>
                <w:sz w:val="17"/>
              </w:rPr>
              <w:t>323,188,061,061</w:t>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62" w:right="0"/>
              <w:jc w:val="left"/>
              <w:rPr>
                <w:rFonts w:ascii="Arial" w:hAnsi="Arial" w:cs="Arial" w:eastAsia="Arial" w:hint="default"/>
                <w:sz w:val="17"/>
                <w:szCs w:val="17"/>
              </w:rPr>
            </w:pPr>
            <w:r>
              <w:rPr>
                <w:rFonts w:ascii="Arial"/>
                <w:sz w:val="17"/>
              </w:rPr>
              <w:t>5,869,076,302</w:t>
            </w:r>
          </w:p>
        </w:tc>
        <w:tc>
          <w:tcPr>
            <w:tcW w:w="134"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single" w:sz="17"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15" w:right="0"/>
              <w:jc w:val="left"/>
              <w:rPr>
                <w:rFonts w:ascii="Arial" w:hAnsi="Arial" w:cs="Arial" w:eastAsia="Arial" w:hint="default"/>
                <w:sz w:val="17"/>
                <w:szCs w:val="17"/>
              </w:rPr>
            </w:pPr>
            <w:r>
              <w:rPr>
                <w:rFonts w:ascii="Arial"/>
                <w:sz w:val="17"/>
              </w:rPr>
              <w:t>370,674,381,416</w:t>
            </w:r>
          </w:p>
        </w:tc>
      </w:tr>
    </w:tbl>
    <w:p>
      <w:pPr>
        <w:spacing w:line="240" w:lineRule="auto" w:before="11"/>
        <w:rPr>
          <w:rFonts w:ascii="宋体" w:hAnsi="宋体" w:cs="宋体" w:eastAsia="宋体" w:hint="default"/>
          <w:sz w:val="13"/>
          <w:szCs w:val="13"/>
        </w:rPr>
      </w:pPr>
    </w:p>
    <w:p>
      <w:pPr>
        <w:pStyle w:val="BodyText"/>
        <w:spacing w:line="240" w:lineRule="auto" w:before="32"/>
        <w:ind w:left="462" w:right="1679"/>
        <w:jc w:val="left"/>
      </w:pPr>
      <w:r>
        <w:rPr/>
        <w:t>于</w:t>
      </w:r>
      <w:r>
        <w:rPr>
          <w:spacing w:val="-59"/>
        </w:rPr>
        <w:t> </w:t>
      </w:r>
      <w:r>
        <w:rPr>
          <w:rFonts w:ascii="Arial" w:hAnsi="Arial" w:cs="Arial" w:eastAsia="Arial" w:hint="default"/>
        </w:rPr>
        <w:t>2014</w:t>
      </w:r>
      <w:r>
        <w:rPr>
          <w:rFonts w:ascii="Arial" w:hAnsi="Arial" w:cs="Arial" w:eastAsia="Arial" w:hint="default"/>
          <w:spacing w:val="-11"/>
        </w:rPr>
        <w:t> </w:t>
      </w:r>
      <w:r>
        <w:rPr/>
        <w:t>年度，本集团的部分资产减值准备随资产报废处置而转出。</w:t>
      </w:r>
    </w:p>
    <w:p>
      <w:pPr>
        <w:spacing w:after="0" w:line="240" w:lineRule="auto"/>
        <w:jc w:val="left"/>
        <w:sectPr>
          <w:footerReference w:type="default" r:id="rId81"/>
          <w:pgSz w:w="11910" w:h="16840"/>
          <w:pgMar w:footer="923" w:header="0" w:top="3080" w:bottom="1120" w:left="1280" w:right="1000"/>
          <w:pgNumType w:start="100"/>
        </w:sectPr>
      </w:pPr>
    </w:p>
    <w:p>
      <w:pPr>
        <w:spacing w:line="240" w:lineRule="auto" w:before="2"/>
        <w:rPr>
          <w:rFonts w:ascii="宋体" w:hAnsi="宋体" w:cs="宋体" w:eastAsia="宋体" w:hint="default"/>
          <w:sz w:val="19"/>
          <w:szCs w:val="19"/>
        </w:rPr>
      </w:pPr>
    </w:p>
    <w:p>
      <w:pPr>
        <w:pStyle w:val="BodyText"/>
        <w:spacing w:line="240" w:lineRule="auto" w:before="32"/>
        <w:ind w:left="102" w:right="1639"/>
        <w:jc w:val="left"/>
      </w:pPr>
      <w:r>
        <w:rPr>
          <w:rFonts w:ascii="Arial" w:hAnsi="Arial" w:cs="Arial" w:eastAsia="Arial" w:hint="default"/>
        </w:rPr>
        <w:t>10</w:t>
      </w:r>
      <w:r>
        <w:rPr/>
        <w:t>、固定资产（续）</w:t>
      </w:r>
    </w:p>
    <w:p>
      <w:pPr>
        <w:spacing w:line="240" w:lineRule="auto" w:before="12"/>
        <w:rPr>
          <w:rFonts w:ascii="宋体" w:hAnsi="宋体" w:cs="宋体" w:eastAsia="宋体" w:hint="default"/>
          <w:sz w:val="17"/>
          <w:szCs w:val="17"/>
        </w:rPr>
      </w:pPr>
    </w:p>
    <w:p>
      <w:pPr>
        <w:pStyle w:val="BodyText"/>
        <w:spacing w:line="240" w:lineRule="auto"/>
        <w:ind w:left="102" w:right="1639"/>
        <w:jc w:val="left"/>
      </w:pPr>
      <w:r>
        <w:rPr>
          <w:rFonts w:ascii="Arial" w:hAnsi="Arial" w:cs="Arial" w:eastAsia="Arial" w:hint="default"/>
        </w:rPr>
        <w:t>(b) </w:t>
      </w:r>
      <w:r>
        <w:rPr>
          <w:rFonts w:ascii="Arial" w:hAnsi="Arial" w:cs="Arial" w:eastAsia="Arial" w:hint="default"/>
          <w:spacing w:val="29"/>
        </w:rPr>
        <w:t> </w:t>
      </w:r>
      <w:r>
        <w:rPr/>
        <w:t>融资租入的固定资产</w:t>
      </w:r>
    </w:p>
    <w:p>
      <w:pPr>
        <w:spacing w:line="240" w:lineRule="auto" w:before="12"/>
        <w:rPr>
          <w:rFonts w:ascii="宋体" w:hAnsi="宋体" w:cs="宋体" w:eastAsia="宋体" w:hint="default"/>
          <w:sz w:val="17"/>
          <w:szCs w:val="17"/>
        </w:rPr>
      </w:pPr>
    </w:p>
    <w:p>
      <w:pPr>
        <w:pStyle w:val="BodyText"/>
        <w:spacing w:line="295" w:lineRule="exact"/>
        <w:ind w:left="498" w:right="110"/>
        <w:jc w:val="left"/>
      </w:pPr>
      <w:r>
        <w:rPr/>
        <w:t>于</w:t>
      </w:r>
      <w:r>
        <w:rPr>
          <w:spacing w:val="-56"/>
        </w:rPr>
        <w:t> </w:t>
      </w:r>
      <w:r>
        <w:rPr>
          <w:rFonts w:ascii="Arial" w:hAnsi="Arial" w:cs="Arial" w:eastAsia="Arial" w:hint="default"/>
        </w:rPr>
        <w:t>2014</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日，账面价值约人民币</w:t>
      </w:r>
      <w:r>
        <w:rPr>
          <w:spacing w:val="-56"/>
        </w:rPr>
        <w:t> </w:t>
      </w:r>
      <w:r>
        <w:rPr>
          <w:rFonts w:ascii="Arial" w:hAnsi="Arial" w:cs="Arial" w:eastAsia="Arial" w:hint="default"/>
        </w:rPr>
        <w:t>3.68</w:t>
      </w:r>
      <w:r>
        <w:rPr>
          <w:rFonts w:ascii="Arial" w:hAnsi="Arial" w:cs="Arial" w:eastAsia="Arial" w:hint="default"/>
          <w:spacing w:val="-10"/>
        </w:rPr>
        <w:t> </w:t>
      </w:r>
      <w:r>
        <w:rPr/>
        <w:t>亿元（原价约人民币</w:t>
      </w:r>
      <w:r>
        <w:rPr>
          <w:spacing w:val="-56"/>
        </w:rPr>
        <w:t> </w:t>
      </w:r>
      <w:r>
        <w:rPr>
          <w:rFonts w:ascii="Arial" w:hAnsi="Arial" w:cs="Arial" w:eastAsia="Arial" w:hint="default"/>
        </w:rPr>
        <w:t>5.67</w:t>
      </w:r>
      <w:r>
        <w:rPr>
          <w:rFonts w:ascii="Arial" w:hAnsi="Arial" w:cs="Arial" w:eastAsia="Arial" w:hint="default"/>
          <w:spacing w:val="-7"/>
        </w:rPr>
        <w:t> </w:t>
      </w:r>
      <w:r>
        <w:rPr/>
        <w:t>亿元）的固定资产</w:t>
      </w:r>
    </w:p>
    <w:p>
      <w:pPr>
        <w:pStyle w:val="BodyText"/>
        <w:spacing w:line="286" w:lineRule="exact" w:before="19"/>
        <w:ind w:left="498" w:right="110"/>
        <w:jc w:val="left"/>
      </w:pPr>
      <w:r>
        <w:rPr>
          <w:spacing w:val="-3"/>
        </w:rPr>
        <w:t>系融资租入（</w:t>
      </w:r>
      <w:r>
        <w:rPr>
          <w:rFonts w:ascii="Arial" w:hAnsi="Arial" w:cs="Arial" w:eastAsia="Arial" w:hint="default"/>
          <w:spacing w:val="-3"/>
        </w:rPr>
        <w:t>2013</w:t>
      </w:r>
      <w:r>
        <w:rPr>
          <w:rFonts w:ascii="Arial" w:hAnsi="Arial" w:cs="Arial" w:eastAsia="Arial" w:hint="default"/>
          <w:spacing w:val="-2"/>
        </w:rPr>
        <w:t> </w:t>
      </w:r>
      <w:r>
        <w:rPr/>
        <w:t>年</w:t>
      </w:r>
      <w:r>
        <w:rPr>
          <w:spacing w:val="-50"/>
        </w:rPr>
        <w:t> </w:t>
      </w:r>
      <w:r>
        <w:rPr>
          <w:rFonts w:ascii="Arial" w:hAnsi="Arial" w:cs="Arial" w:eastAsia="Arial" w:hint="default"/>
        </w:rPr>
        <w:t>12</w:t>
      </w:r>
      <w:r>
        <w:rPr>
          <w:rFonts w:ascii="Arial" w:hAnsi="Arial" w:cs="Arial" w:eastAsia="Arial" w:hint="default"/>
          <w:spacing w:val="-4"/>
        </w:rPr>
        <w:t> </w:t>
      </w:r>
      <w:r>
        <w:rPr/>
        <w:t>月</w:t>
      </w:r>
      <w:r>
        <w:rPr>
          <w:spacing w:val="-50"/>
        </w:rPr>
        <w:t> </w:t>
      </w:r>
      <w:r>
        <w:rPr>
          <w:rFonts w:ascii="Arial" w:hAnsi="Arial" w:cs="Arial" w:eastAsia="Arial" w:hint="default"/>
        </w:rPr>
        <w:t>31</w:t>
      </w:r>
      <w:r>
        <w:rPr>
          <w:rFonts w:ascii="Arial" w:hAnsi="Arial" w:cs="Arial" w:eastAsia="Arial" w:hint="default"/>
          <w:spacing w:val="-2"/>
        </w:rPr>
        <w:t> </w:t>
      </w:r>
      <w:r>
        <w:rPr>
          <w:spacing w:val="-3"/>
        </w:rPr>
        <w:t>日：账面价值约人民币</w:t>
      </w:r>
      <w:r>
        <w:rPr>
          <w:spacing w:val="-50"/>
        </w:rPr>
        <w:t> </w:t>
      </w:r>
      <w:r>
        <w:rPr>
          <w:rFonts w:ascii="Arial" w:hAnsi="Arial" w:cs="Arial" w:eastAsia="Arial" w:hint="default"/>
        </w:rPr>
        <w:t>3.34</w:t>
      </w:r>
      <w:r>
        <w:rPr>
          <w:rFonts w:ascii="Arial" w:hAnsi="Arial" w:cs="Arial" w:eastAsia="Arial" w:hint="default"/>
          <w:spacing w:val="-4"/>
        </w:rPr>
        <w:t> </w:t>
      </w:r>
      <w:r>
        <w:rPr>
          <w:spacing w:val="-3"/>
        </w:rPr>
        <w:t>亿元，原价约人民币</w:t>
      </w:r>
      <w:r>
        <w:rPr>
          <w:spacing w:val="-50"/>
        </w:rPr>
        <w:t> </w:t>
      </w:r>
      <w:r>
        <w:rPr>
          <w:rFonts w:ascii="Arial" w:hAnsi="Arial" w:cs="Arial" w:eastAsia="Arial" w:hint="default"/>
        </w:rPr>
        <w:t>4.40</w:t>
      </w:r>
      <w:r>
        <w:rPr>
          <w:rFonts w:ascii="Arial" w:hAnsi="Arial" w:cs="Arial" w:eastAsia="Arial" w:hint="default"/>
          <w:spacing w:val="-2"/>
        </w:rPr>
        <w:t> </w:t>
      </w:r>
      <w:r>
        <w:rPr>
          <w:spacing w:val="-5"/>
        </w:rPr>
        <w:t>亿元。具</w:t>
      </w:r>
      <w:r>
        <w:rPr>
          <w:w w:val="100"/>
        </w:rPr>
        <w:t> </w:t>
      </w:r>
      <w:r>
        <w:rPr/>
        <w:t>体分析如下（单位：人民币百万元）：</w:t>
      </w:r>
    </w:p>
    <w:p>
      <w:pPr>
        <w:spacing w:line="240" w:lineRule="auto" w:before="3"/>
        <w:rPr>
          <w:rFonts w:ascii="宋体" w:hAnsi="宋体" w:cs="宋体" w:eastAsia="宋体" w:hint="default"/>
          <w:sz w:val="22"/>
          <w:szCs w:val="22"/>
        </w:rPr>
      </w:pPr>
    </w:p>
    <w:tbl>
      <w:tblPr>
        <w:tblW w:w="0" w:type="auto"/>
        <w:jc w:val="left"/>
        <w:tblInd w:w="453" w:type="dxa"/>
        <w:tblLayout w:type="fixed"/>
        <w:tblCellMar>
          <w:top w:w="0" w:type="dxa"/>
          <w:left w:w="0" w:type="dxa"/>
          <w:bottom w:w="0" w:type="dxa"/>
          <w:right w:w="0" w:type="dxa"/>
        </w:tblCellMar>
        <w:tblLook w:val="01E0"/>
      </w:tblPr>
      <w:tblGrid>
        <w:gridCol w:w="2369"/>
        <w:gridCol w:w="231"/>
        <w:gridCol w:w="1500"/>
        <w:gridCol w:w="230"/>
        <w:gridCol w:w="1460"/>
        <w:gridCol w:w="230"/>
        <w:gridCol w:w="1390"/>
        <w:gridCol w:w="231"/>
        <w:gridCol w:w="1478"/>
      </w:tblGrid>
      <w:tr>
        <w:trPr>
          <w:trHeight w:val="264" w:hRule="exact"/>
        </w:trPr>
        <w:tc>
          <w:tcPr>
            <w:tcW w:w="2369" w:type="dxa"/>
            <w:tcBorders>
              <w:top w:val="nil" w:sz="6" w:space="0" w:color="auto"/>
              <w:left w:val="nil" w:sz="6" w:space="0" w:color="auto"/>
              <w:bottom w:val="single" w:sz="6" w:space="0" w:color="000000"/>
              <w:right w:val="nil" w:sz="6" w:space="0" w:color="auto"/>
            </w:tcBorders>
          </w:tcPr>
          <w:p>
            <w:pPr>
              <w:pStyle w:val="TableParagraph"/>
              <w:spacing w:line="236" w:lineRule="exact"/>
              <w:ind w:left="107"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231"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single" w:sz="6" w:space="0" w:color="000000"/>
              <w:right w:val="nil" w:sz="6" w:space="0" w:color="auto"/>
            </w:tcBorders>
          </w:tcPr>
          <w:p>
            <w:pPr>
              <w:pStyle w:val="TableParagraph"/>
              <w:spacing w:line="221" w:lineRule="exact"/>
              <w:ind w:right="103"/>
              <w:jc w:val="right"/>
              <w:rPr>
                <w:rFonts w:ascii="宋体" w:hAnsi="宋体" w:cs="宋体" w:eastAsia="宋体" w:hint="default"/>
                <w:sz w:val="22"/>
                <w:szCs w:val="22"/>
              </w:rPr>
            </w:pPr>
            <w:r>
              <w:rPr>
                <w:rFonts w:ascii="宋体" w:hAnsi="宋体" w:cs="宋体" w:eastAsia="宋体" w:hint="default"/>
                <w:sz w:val="22"/>
                <w:szCs w:val="22"/>
              </w:rPr>
              <w:t>原价</w:t>
            </w:r>
          </w:p>
        </w:tc>
        <w:tc>
          <w:tcPr>
            <w:tcW w:w="230"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single" w:sz="6" w:space="0" w:color="000000"/>
              <w:right w:val="nil" w:sz="6" w:space="0" w:color="auto"/>
            </w:tcBorders>
          </w:tcPr>
          <w:p>
            <w:pPr>
              <w:pStyle w:val="TableParagraph"/>
              <w:spacing w:line="221" w:lineRule="exact"/>
              <w:ind w:right="104"/>
              <w:jc w:val="right"/>
              <w:rPr>
                <w:rFonts w:ascii="宋体" w:hAnsi="宋体" w:cs="宋体" w:eastAsia="宋体" w:hint="default"/>
                <w:sz w:val="22"/>
                <w:szCs w:val="22"/>
              </w:rPr>
            </w:pPr>
            <w:r>
              <w:rPr>
                <w:rFonts w:ascii="宋体" w:hAnsi="宋体" w:cs="宋体" w:eastAsia="宋体" w:hint="default"/>
                <w:sz w:val="22"/>
                <w:szCs w:val="22"/>
              </w:rPr>
              <w:t>累计折旧</w:t>
            </w:r>
          </w:p>
        </w:tc>
        <w:tc>
          <w:tcPr>
            <w:tcW w:w="230"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single" w:sz="6" w:space="0" w:color="000000"/>
              <w:right w:val="nil" w:sz="6" w:space="0" w:color="auto"/>
            </w:tcBorders>
          </w:tcPr>
          <w:p>
            <w:pPr>
              <w:pStyle w:val="TableParagraph"/>
              <w:spacing w:line="221" w:lineRule="exact"/>
              <w:ind w:right="103"/>
              <w:jc w:val="right"/>
              <w:rPr>
                <w:rFonts w:ascii="宋体" w:hAnsi="宋体" w:cs="宋体" w:eastAsia="宋体" w:hint="default"/>
                <w:sz w:val="22"/>
                <w:szCs w:val="22"/>
              </w:rPr>
            </w:pPr>
            <w:r>
              <w:rPr>
                <w:rFonts w:ascii="宋体" w:hAnsi="宋体" w:cs="宋体" w:eastAsia="宋体" w:hint="default"/>
                <w:sz w:val="22"/>
                <w:szCs w:val="22"/>
              </w:rPr>
              <w:t>减值准备</w:t>
            </w:r>
          </w:p>
        </w:tc>
        <w:tc>
          <w:tcPr>
            <w:tcW w:w="231"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single" w:sz="6" w:space="0" w:color="000000"/>
              <w:right w:val="nil" w:sz="6" w:space="0" w:color="auto"/>
            </w:tcBorders>
          </w:tcPr>
          <w:p>
            <w:pPr>
              <w:pStyle w:val="TableParagraph"/>
              <w:spacing w:line="221" w:lineRule="exact"/>
              <w:ind w:right="103"/>
              <w:jc w:val="right"/>
              <w:rPr>
                <w:rFonts w:ascii="宋体" w:hAnsi="宋体" w:cs="宋体" w:eastAsia="宋体" w:hint="default"/>
                <w:sz w:val="22"/>
                <w:szCs w:val="22"/>
              </w:rPr>
            </w:pPr>
            <w:r>
              <w:rPr>
                <w:rFonts w:ascii="宋体" w:hAnsi="宋体" w:cs="宋体" w:eastAsia="宋体" w:hint="default"/>
                <w:sz w:val="22"/>
                <w:szCs w:val="22"/>
              </w:rPr>
              <w:t>账面价值</w:t>
            </w:r>
          </w:p>
        </w:tc>
      </w:tr>
      <w:tr>
        <w:trPr>
          <w:trHeight w:val="569" w:hRule="exact"/>
        </w:trPr>
        <w:tc>
          <w:tcPr>
            <w:tcW w:w="2369"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7" w:right="0"/>
              <w:jc w:val="left"/>
              <w:rPr>
                <w:rFonts w:ascii="宋体" w:hAnsi="宋体" w:cs="宋体" w:eastAsia="宋体" w:hint="default"/>
                <w:sz w:val="22"/>
                <w:szCs w:val="22"/>
              </w:rPr>
            </w:pPr>
            <w:r>
              <w:rPr>
                <w:rFonts w:ascii="宋体" w:hAnsi="宋体" w:cs="宋体" w:eastAsia="宋体" w:hint="default"/>
                <w:sz w:val="22"/>
                <w:szCs w:val="22"/>
              </w:rPr>
              <w:t>通信设备</w:t>
            </w:r>
          </w:p>
        </w:tc>
        <w:tc>
          <w:tcPr>
            <w:tcW w:w="231" w:type="dxa"/>
            <w:tcBorders>
              <w:top w:val="nil" w:sz="6" w:space="0" w:color="auto"/>
              <w:left w:val="nil" w:sz="6" w:space="0" w:color="auto"/>
              <w:bottom w:val="nil" w:sz="6" w:space="0" w:color="auto"/>
              <w:right w:val="nil" w:sz="6" w:space="0" w:color="auto"/>
            </w:tcBorders>
          </w:tcPr>
          <w:p>
            <w:pPr/>
          </w:p>
        </w:tc>
        <w:tc>
          <w:tcPr>
            <w:tcW w:w="1500"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7"/>
              <w:jc w:val="right"/>
              <w:rPr>
                <w:rFonts w:ascii="Arial" w:hAnsi="Arial" w:cs="Arial" w:eastAsia="Arial" w:hint="default"/>
                <w:sz w:val="22"/>
                <w:szCs w:val="22"/>
              </w:rPr>
            </w:pPr>
            <w:r>
              <w:rPr>
                <w:rFonts w:ascii="Arial"/>
                <w:spacing w:val="-1"/>
                <w:sz w:val="22"/>
              </w:rPr>
              <w:t>567</w:t>
            </w:r>
            <w:r>
              <w:rPr>
                <w:rFonts w:ascii="Arial"/>
                <w:sz w:val="22"/>
              </w:rPr>
            </w:r>
          </w:p>
        </w:tc>
        <w:tc>
          <w:tcPr>
            <w:tcW w:w="230" w:type="dxa"/>
            <w:tcBorders>
              <w:top w:val="nil" w:sz="6" w:space="0" w:color="auto"/>
              <w:left w:val="nil" w:sz="6" w:space="0" w:color="auto"/>
              <w:bottom w:val="nil" w:sz="6" w:space="0" w:color="auto"/>
              <w:right w:val="nil" w:sz="6" w:space="0" w:color="auto"/>
            </w:tcBorders>
          </w:tcPr>
          <w:p>
            <w:pPr/>
          </w:p>
        </w:tc>
        <w:tc>
          <w:tcPr>
            <w:tcW w:w="1460"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4"/>
              <w:jc w:val="right"/>
              <w:rPr>
                <w:rFonts w:ascii="Arial" w:hAnsi="Arial" w:cs="Arial" w:eastAsia="Arial" w:hint="default"/>
                <w:sz w:val="22"/>
                <w:szCs w:val="22"/>
              </w:rPr>
            </w:pPr>
            <w:r>
              <w:rPr>
                <w:rFonts w:ascii="Arial"/>
                <w:spacing w:val="-1"/>
                <w:sz w:val="22"/>
              </w:rPr>
              <w:t>(199)</w:t>
            </w:r>
          </w:p>
        </w:tc>
        <w:tc>
          <w:tcPr>
            <w:tcW w:w="230" w:type="dxa"/>
            <w:tcBorders>
              <w:top w:val="nil" w:sz="6" w:space="0" w:color="auto"/>
              <w:left w:val="nil" w:sz="6" w:space="0" w:color="auto"/>
              <w:bottom w:val="nil" w:sz="6" w:space="0" w:color="auto"/>
              <w:right w:val="nil" w:sz="6" w:space="0" w:color="auto"/>
            </w:tcBorders>
          </w:tcPr>
          <w:p>
            <w:pPr/>
          </w:p>
        </w:tc>
        <w:tc>
          <w:tcPr>
            <w:tcW w:w="1390"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6"/>
              <w:jc w:val="right"/>
              <w:rPr>
                <w:rFonts w:ascii="Arial" w:hAnsi="Arial" w:cs="Arial" w:eastAsia="Arial" w:hint="default"/>
                <w:sz w:val="22"/>
                <w:szCs w:val="22"/>
              </w:rPr>
            </w:pPr>
            <w:r>
              <w:rPr>
                <w:rFonts w:ascii="Arial"/>
                <w:w w:val="100"/>
                <w:sz w:val="22"/>
              </w:rPr>
              <w:t>-</w:t>
            </w:r>
          </w:p>
        </w:tc>
        <w:tc>
          <w:tcPr>
            <w:tcW w:w="231" w:type="dxa"/>
            <w:tcBorders>
              <w:top w:val="nil" w:sz="6" w:space="0" w:color="auto"/>
              <w:left w:val="nil" w:sz="6" w:space="0" w:color="auto"/>
              <w:bottom w:val="nil" w:sz="6" w:space="0" w:color="auto"/>
              <w:right w:val="nil" w:sz="6" w:space="0" w:color="auto"/>
            </w:tcBorders>
          </w:tcPr>
          <w:p>
            <w:pPr/>
          </w:p>
        </w:tc>
        <w:tc>
          <w:tcPr>
            <w:tcW w:w="1478"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7"/>
              <w:jc w:val="right"/>
              <w:rPr>
                <w:rFonts w:ascii="Arial" w:hAnsi="Arial" w:cs="Arial" w:eastAsia="Arial" w:hint="default"/>
                <w:sz w:val="22"/>
                <w:szCs w:val="22"/>
              </w:rPr>
            </w:pPr>
            <w:r>
              <w:rPr>
                <w:rFonts w:ascii="Arial"/>
                <w:spacing w:val="-1"/>
                <w:sz w:val="22"/>
              </w:rPr>
              <w:t>368</w:t>
            </w:r>
            <w:r>
              <w:rPr>
                <w:rFonts w:ascii="Arial"/>
                <w:sz w:val="22"/>
              </w:rPr>
            </w:r>
          </w:p>
        </w:tc>
      </w:tr>
      <w:tr>
        <w:trPr>
          <w:trHeight w:val="569" w:hRule="exact"/>
        </w:trPr>
        <w:tc>
          <w:tcPr>
            <w:tcW w:w="2369" w:type="dxa"/>
            <w:tcBorders>
              <w:top w:val="nil" w:sz="6" w:space="0" w:color="auto"/>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231" w:type="dxa"/>
            <w:tcBorders>
              <w:top w:val="nil" w:sz="6" w:space="0" w:color="auto"/>
              <w:left w:val="nil" w:sz="6" w:space="0" w:color="auto"/>
              <w:bottom w:val="nil" w:sz="6" w:space="0" w:color="auto"/>
              <w:right w:val="nil" w:sz="6" w:space="0" w:color="auto"/>
            </w:tcBorders>
          </w:tcPr>
          <w:p>
            <w:pPr/>
          </w:p>
        </w:tc>
        <w:tc>
          <w:tcPr>
            <w:tcW w:w="1500" w:type="dxa"/>
            <w:tcBorders>
              <w:top w:val="single" w:sz="17" w:space="0" w:color="000000"/>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460" w:type="dxa"/>
            <w:tcBorders>
              <w:top w:val="single" w:sz="17" w:space="0" w:color="000000"/>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390" w:type="dxa"/>
            <w:tcBorders>
              <w:top w:val="single" w:sz="17" w:space="0" w:color="000000"/>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478" w:type="dxa"/>
            <w:tcBorders>
              <w:top w:val="single" w:sz="17" w:space="0" w:color="000000"/>
              <w:left w:val="nil" w:sz="6" w:space="0" w:color="auto"/>
              <w:bottom w:val="nil" w:sz="6" w:space="0" w:color="auto"/>
              <w:right w:val="nil" w:sz="6" w:space="0" w:color="auto"/>
            </w:tcBorders>
          </w:tcPr>
          <w:p>
            <w:pPr/>
          </w:p>
        </w:tc>
      </w:tr>
      <w:tr>
        <w:trPr>
          <w:trHeight w:val="569" w:hRule="exact"/>
        </w:trPr>
        <w:tc>
          <w:tcPr>
            <w:tcW w:w="2369"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7" w:right="0"/>
              <w:jc w:val="left"/>
              <w:rPr>
                <w:rFonts w:ascii="宋体" w:hAnsi="宋体" w:cs="宋体" w:eastAsia="宋体" w:hint="default"/>
                <w:sz w:val="22"/>
                <w:szCs w:val="22"/>
              </w:rPr>
            </w:pPr>
            <w:r>
              <w:rPr>
                <w:rFonts w:ascii="宋体" w:hAnsi="宋体" w:cs="宋体" w:eastAsia="宋体" w:hint="default"/>
                <w:sz w:val="22"/>
                <w:szCs w:val="22"/>
              </w:rPr>
              <w:t>通信设备</w:t>
            </w:r>
          </w:p>
        </w:tc>
        <w:tc>
          <w:tcPr>
            <w:tcW w:w="231"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single" w:sz="17"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73"/>
              <w:jc w:val="right"/>
              <w:rPr>
                <w:rFonts w:ascii="Arial" w:hAnsi="Arial" w:cs="Arial" w:eastAsia="Arial" w:hint="default"/>
                <w:sz w:val="22"/>
                <w:szCs w:val="22"/>
              </w:rPr>
            </w:pPr>
            <w:r>
              <w:rPr>
                <w:rFonts w:ascii="Arial"/>
                <w:spacing w:val="-1"/>
                <w:sz w:val="22"/>
              </w:rPr>
              <w:t>440</w:t>
            </w:r>
            <w:r>
              <w:rPr>
                <w:rFonts w:ascii="Arial"/>
                <w:sz w:val="22"/>
              </w:rPr>
            </w:r>
          </w:p>
        </w:tc>
        <w:tc>
          <w:tcPr>
            <w:tcW w:w="230"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single" w:sz="17"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4"/>
              <w:jc w:val="right"/>
              <w:rPr>
                <w:rFonts w:ascii="Arial" w:hAnsi="Arial" w:cs="Arial" w:eastAsia="Arial" w:hint="default"/>
                <w:sz w:val="22"/>
                <w:szCs w:val="22"/>
              </w:rPr>
            </w:pPr>
            <w:r>
              <w:rPr>
                <w:rFonts w:ascii="Arial"/>
                <w:spacing w:val="-1"/>
                <w:sz w:val="22"/>
              </w:rPr>
              <w:t>(106)</w:t>
            </w:r>
          </w:p>
        </w:tc>
        <w:tc>
          <w:tcPr>
            <w:tcW w:w="230"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single" w:sz="17"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26"/>
              <w:jc w:val="right"/>
              <w:rPr>
                <w:rFonts w:ascii="Arial" w:hAnsi="Arial" w:cs="Arial" w:eastAsia="Arial" w:hint="default"/>
                <w:sz w:val="22"/>
                <w:szCs w:val="22"/>
              </w:rPr>
            </w:pPr>
            <w:r>
              <w:rPr>
                <w:rFonts w:ascii="Arial"/>
                <w:w w:val="100"/>
                <w:sz w:val="22"/>
              </w:rPr>
              <w:t>-</w:t>
            </w:r>
          </w:p>
        </w:tc>
        <w:tc>
          <w:tcPr>
            <w:tcW w:w="231"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single" w:sz="17"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51"/>
              <w:jc w:val="right"/>
              <w:rPr>
                <w:rFonts w:ascii="Arial" w:hAnsi="Arial" w:cs="Arial" w:eastAsia="Arial" w:hint="default"/>
                <w:sz w:val="22"/>
                <w:szCs w:val="22"/>
              </w:rPr>
            </w:pPr>
            <w:r>
              <w:rPr>
                <w:rFonts w:ascii="Arial"/>
                <w:spacing w:val="-1"/>
                <w:sz w:val="22"/>
              </w:rPr>
              <w:t>334</w:t>
            </w:r>
            <w:r>
              <w:rPr>
                <w:rFonts w:ascii="Arial"/>
                <w:sz w:val="22"/>
              </w:rPr>
            </w:r>
          </w:p>
        </w:tc>
      </w:tr>
    </w:tbl>
    <w:p>
      <w:pPr>
        <w:spacing w:line="240" w:lineRule="auto" w:before="11"/>
        <w:rPr>
          <w:rFonts w:ascii="宋体" w:hAnsi="宋体" w:cs="宋体" w:eastAsia="宋体" w:hint="default"/>
          <w:sz w:val="13"/>
          <w:szCs w:val="13"/>
        </w:rPr>
      </w:pPr>
    </w:p>
    <w:p>
      <w:pPr>
        <w:pStyle w:val="BodyText"/>
        <w:spacing w:line="240" w:lineRule="auto" w:before="32"/>
        <w:ind w:left="102" w:right="1639"/>
        <w:jc w:val="left"/>
      </w:pPr>
      <w:r>
        <w:rPr>
          <w:rFonts w:ascii="Arial" w:hAnsi="Arial" w:cs="Arial" w:eastAsia="Arial" w:hint="default"/>
        </w:rPr>
        <w:t>11</w:t>
      </w:r>
      <w:r>
        <w:rPr/>
        <w:t>、在建工程</w:t>
      </w:r>
    </w:p>
    <w:p>
      <w:pPr>
        <w:spacing w:line="240" w:lineRule="auto" w:before="11"/>
        <w:rPr>
          <w:rFonts w:ascii="宋体" w:hAnsi="宋体" w:cs="宋体" w:eastAsia="宋体" w:hint="default"/>
          <w:sz w:val="21"/>
          <w:szCs w:val="21"/>
        </w:rPr>
      </w:pPr>
    </w:p>
    <w:tbl>
      <w:tblPr>
        <w:tblW w:w="0" w:type="auto"/>
        <w:jc w:val="left"/>
        <w:tblInd w:w="387" w:type="dxa"/>
        <w:tblLayout w:type="fixed"/>
        <w:tblCellMar>
          <w:top w:w="0" w:type="dxa"/>
          <w:left w:w="0" w:type="dxa"/>
          <w:bottom w:w="0" w:type="dxa"/>
          <w:right w:w="0" w:type="dxa"/>
        </w:tblCellMar>
        <w:tblLook w:val="01E0"/>
      </w:tblPr>
      <w:tblGrid>
        <w:gridCol w:w="1534"/>
        <w:gridCol w:w="1215"/>
        <w:gridCol w:w="1407"/>
        <w:gridCol w:w="1220"/>
        <w:gridCol w:w="1349"/>
        <w:gridCol w:w="1266"/>
        <w:gridCol w:w="1312"/>
      </w:tblGrid>
      <w:tr>
        <w:trPr>
          <w:trHeight w:val="191" w:hRule="exact"/>
        </w:trPr>
        <w:tc>
          <w:tcPr>
            <w:tcW w:w="4156" w:type="dxa"/>
            <w:gridSpan w:val="3"/>
            <w:tcBorders>
              <w:top w:val="nil" w:sz="6" w:space="0" w:color="auto"/>
              <w:left w:val="nil" w:sz="6" w:space="0" w:color="auto"/>
              <w:bottom w:val="nil" w:sz="6" w:space="0" w:color="auto"/>
              <w:right w:val="nil" w:sz="6" w:space="0" w:color="auto"/>
            </w:tcBorders>
          </w:tcPr>
          <w:p>
            <w:pPr>
              <w:pStyle w:val="TableParagraph"/>
              <w:spacing w:line="172" w:lineRule="exact"/>
              <w:ind w:left="2761" w:right="0"/>
              <w:jc w:val="lef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12</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31</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220" w:type="dxa"/>
            <w:tcBorders>
              <w:top w:val="nil" w:sz="6" w:space="0" w:color="auto"/>
              <w:left w:val="nil" w:sz="6" w:space="0" w:color="auto"/>
              <w:bottom w:val="single" w:sz="6" w:space="0" w:color="000000"/>
              <w:right w:val="nil" w:sz="6" w:space="0" w:color="auto"/>
            </w:tcBorders>
          </w:tcPr>
          <w:p>
            <w:pPr/>
          </w:p>
        </w:tc>
        <w:tc>
          <w:tcPr>
            <w:tcW w:w="3927" w:type="dxa"/>
            <w:gridSpan w:val="3"/>
            <w:tcBorders>
              <w:top w:val="nil" w:sz="6" w:space="0" w:color="auto"/>
              <w:left w:val="nil" w:sz="6" w:space="0" w:color="auto"/>
              <w:bottom w:val="single" w:sz="6" w:space="0" w:color="000000"/>
              <w:right w:val="nil" w:sz="6" w:space="0" w:color="auto"/>
            </w:tcBorders>
          </w:tcPr>
          <w:p>
            <w:pPr>
              <w:pStyle w:val="TableParagraph"/>
              <w:spacing w:line="172" w:lineRule="exact"/>
              <w:ind w:left="1307" w:right="0"/>
              <w:jc w:val="left"/>
              <w:rPr>
                <w:rFonts w:ascii="宋体" w:hAnsi="宋体" w:cs="宋体" w:eastAsia="宋体" w:hint="default"/>
                <w:sz w:val="16"/>
                <w:szCs w:val="16"/>
              </w:rPr>
            </w:pPr>
            <w:r>
              <w:rPr>
                <w:rFonts w:ascii="Arial" w:hAnsi="Arial" w:cs="Arial" w:eastAsia="Arial" w:hint="default"/>
                <w:sz w:val="16"/>
                <w:szCs w:val="16"/>
              </w:rPr>
              <w:t>2013</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12</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39"/>
                <w:sz w:val="16"/>
                <w:szCs w:val="16"/>
              </w:rPr>
              <w:t> </w:t>
            </w:r>
            <w:r>
              <w:rPr>
                <w:rFonts w:ascii="Arial" w:hAnsi="Arial" w:cs="Arial" w:eastAsia="Arial" w:hint="default"/>
                <w:sz w:val="16"/>
                <w:szCs w:val="16"/>
              </w:rPr>
              <w:t>31</w:t>
            </w:r>
            <w:r>
              <w:rPr>
                <w:rFonts w:ascii="Arial" w:hAnsi="Arial" w:cs="Arial" w:eastAsia="Arial" w:hint="default"/>
                <w:spacing w:val="-5"/>
                <w:sz w:val="16"/>
                <w:szCs w:val="16"/>
              </w:rPr>
              <w:t> </w:t>
            </w:r>
            <w:r>
              <w:rPr>
                <w:rFonts w:ascii="宋体" w:hAnsi="宋体" w:cs="宋体" w:eastAsia="宋体" w:hint="default"/>
                <w:sz w:val="16"/>
                <w:szCs w:val="16"/>
              </w:rPr>
              <w:t>日</w:t>
            </w:r>
          </w:p>
        </w:tc>
      </w:tr>
      <w:tr>
        <w:trPr>
          <w:trHeight w:val="223" w:hRule="exact"/>
        </w:trPr>
        <w:tc>
          <w:tcPr>
            <w:tcW w:w="1534" w:type="dxa"/>
            <w:tcBorders>
              <w:top w:val="nil" w:sz="6" w:space="0" w:color="auto"/>
              <w:left w:val="nil" w:sz="6" w:space="0" w:color="auto"/>
              <w:bottom w:val="nil" w:sz="6" w:space="0" w:color="auto"/>
              <w:right w:val="nil" w:sz="6" w:space="0" w:color="auto"/>
            </w:tcBorders>
          </w:tcPr>
          <w:p>
            <w:pPr/>
          </w:p>
        </w:tc>
        <w:tc>
          <w:tcPr>
            <w:tcW w:w="1215" w:type="dxa"/>
            <w:tcBorders>
              <w:top w:val="single" w:sz="6" w:space="0" w:color="000000"/>
              <w:left w:val="nil" w:sz="6" w:space="0" w:color="auto"/>
              <w:bottom w:val="single" w:sz="6" w:space="0" w:color="000000"/>
              <w:right w:val="nil" w:sz="6" w:space="0" w:color="auto"/>
            </w:tcBorders>
          </w:tcPr>
          <w:p>
            <w:pPr>
              <w:pStyle w:val="TableParagraph"/>
              <w:spacing w:line="186" w:lineRule="exact"/>
              <w:ind w:left="537"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407" w:type="dxa"/>
            <w:tcBorders>
              <w:top w:val="single" w:sz="6" w:space="0" w:color="000000"/>
              <w:left w:val="nil" w:sz="6" w:space="0" w:color="auto"/>
              <w:bottom w:val="single" w:sz="6" w:space="0" w:color="000000"/>
              <w:right w:val="nil" w:sz="6" w:space="0" w:color="auto"/>
            </w:tcBorders>
          </w:tcPr>
          <w:p>
            <w:pPr>
              <w:pStyle w:val="TableParagraph"/>
              <w:spacing w:line="186" w:lineRule="exact"/>
              <w:ind w:left="420" w:right="0"/>
              <w:jc w:val="left"/>
              <w:rPr>
                <w:rFonts w:ascii="宋体" w:hAnsi="宋体" w:cs="宋体" w:eastAsia="宋体" w:hint="default"/>
                <w:sz w:val="16"/>
                <w:szCs w:val="16"/>
              </w:rPr>
            </w:pPr>
            <w:r>
              <w:rPr>
                <w:rFonts w:ascii="宋体" w:hAnsi="宋体" w:cs="宋体" w:eastAsia="宋体" w:hint="default"/>
                <w:sz w:val="16"/>
                <w:szCs w:val="16"/>
              </w:rPr>
              <w:t>减值准备</w:t>
            </w:r>
          </w:p>
        </w:tc>
        <w:tc>
          <w:tcPr>
            <w:tcW w:w="1220" w:type="dxa"/>
            <w:tcBorders>
              <w:top w:val="single" w:sz="6" w:space="0" w:color="000000"/>
              <w:left w:val="nil" w:sz="6" w:space="0" w:color="auto"/>
              <w:bottom w:val="single" w:sz="6" w:space="0" w:color="000000"/>
              <w:right w:val="nil" w:sz="6" w:space="0" w:color="auto"/>
            </w:tcBorders>
          </w:tcPr>
          <w:p>
            <w:pPr>
              <w:pStyle w:val="TableParagraph"/>
              <w:spacing w:line="186" w:lineRule="exact"/>
              <w:ind w:left="451" w:right="0"/>
              <w:jc w:val="left"/>
              <w:rPr>
                <w:rFonts w:ascii="宋体" w:hAnsi="宋体" w:cs="宋体" w:eastAsia="宋体" w:hint="default"/>
                <w:sz w:val="16"/>
                <w:szCs w:val="16"/>
              </w:rPr>
            </w:pPr>
            <w:r>
              <w:rPr>
                <w:rFonts w:ascii="宋体" w:hAnsi="宋体" w:cs="宋体" w:eastAsia="宋体" w:hint="default"/>
                <w:sz w:val="16"/>
                <w:szCs w:val="16"/>
              </w:rPr>
              <w:t>账面价值</w:t>
            </w:r>
          </w:p>
        </w:tc>
        <w:tc>
          <w:tcPr>
            <w:tcW w:w="1349" w:type="dxa"/>
            <w:tcBorders>
              <w:top w:val="single" w:sz="6" w:space="0" w:color="000000"/>
              <w:left w:val="nil" w:sz="6" w:space="0" w:color="auto"/>
              <w:bottom w:val="single" w:sz="6" w:space="0" w:color="000000"/>
              <w:right w:val="nil" w:sz="6" w:space="0" w:color="auto"/>
            </w:tcBorders>
          </w:tcPr>
          <w:p>
            <w:pPr>
              <w:pStyle w:val="TableParagraph"/>
              <w:spacing w:line="186" w:lineRule="exact"/>
              <w:ind w:right="101"/>
              <w:jc w:val="right"/>
              <w:rPr>
                <w:rFonts w:ascii="宋体" w:hAnsi="宋体" w:cs="宋体" w:eastAsia="宋体" w:hint="default"/>
                <w:sz w:val="16"/>
                <w:szCs w:val="16"/>
              </w:rPr>
            </w:pPr>
            <w:r>
              <w:rPr>
                <w:rFonts w:ascii="宋体" w:hAnsi="宋体" w:cs="宋体" w:eastAsia="宋体" w:hint="default"/>
                <w:sz w:val="16"/>
                <w:szCs w:val="16"/>
              </w:rPr>
              <w:t>账面余额</w:t>
            </w:r>
          </w:p>
        </w:tc>
        <w:tc>
          <w:tcPr>
            <w:tcW w:w="1266" w:type="dxa"/>
            <w:tcBorders>
              <w:top w:val="single" w:sz="6" w:space="0" w:color="000000"/>
              <w:left w:val="nil" w:sz="6" w:space="0" w:color="auto"/>
              <w:bottom w:val="single" w:sz="6" w:space="0" w:color="000000"/>
              <w:right w:val="nil" w:sz="6" w:space="0" w:color="auto"/>
            </w:tcBorders>
          </w:tcPr>
          <w:p>
            <w:pPr>
              <w:pStyle w:val="TableParagraph"/>
              <w:spacing w:line="186" w:lineRule="exact"/>
              <w:ind w:left="400" w:right="0"/>
              <w:jc w:val="left"/>
              <w:rPr>
                <w:rFonts w:ascii="宋体" w:hAnsi="宋体" w:cs="宋体" w:eastAsia="宋体" w:hint="default"/>
                <w:sz w:val="16"/>
                <w:szCs w:val="16"/>
              </w:rPr>
            </w:pPr>
            <w:r>
              <w:rPr>
                <w:rFonts w:ascii="宋体" w:hAnsi="宋体" w:cs="宋体" w:eastAsia="宋体" w:hint="default"/>
                <w:sz w:val="16"/>
                <w:szCs w:val="16"/>
              </w:rPr>
              <w:t>减值准备</w:t>
            </w:r>
          </w:p>
        </w:tc>
        <w:tc>
          <w:tcPr>
            <w:tcW w:w="1312" w:type="dxa"/>
            <w:tcBorders>
              <w:top w:val="single" w:sz="6" w:space="0" w:color="000000"/>
              <w:left w:val="nil" w:sz="6" w:space="0" w:color="auto"/>
              <w:bottom w:val="single" w:sz="6" w:space="0" w:color="000000"/>
              <w:right w:val="nil" w:sz="6" w:space="0" w:color="auto"/>
            </w:tcBorders>
          </w:tcPr>
          <w:p>
            <w:pPr>
              <w:pStyle w:val="TableParagraph"/>
              <w:spacing w:line="186" w:lineRule="exact"/>
              <w:ind w:right="83"/>
              <w:jc w:val="right"/>
              <w:rPr>
                <w:rFonts w:ascii="宋体" w:hAnsi="宋体" w:cs="宋体" w:eastAsia="宋体" w:hint="default"/>
                <w:sz w:val="16"/>
                <w:szCs w:val="16"/>
              </w:rPr>
            </w:pPr>
            <w:r>
              <w:rPr>
                <w:rFonts w:ascii="宋体" w:hAnsi="宋体" w:cs="宋体" w:eastAsia="宋体" w:hint="default"/>
                <w:sz w:val="16"/>
                <w:szCs w:val="16"/>
              </w:rPr>
              <w:t>账面价值</w:t>
            </w:r>
          </w:p>
        </w:tc>
      </w:tr>
      <w:tr>
        <w:trPr>
          <w:trHeight w:val="516"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16"/>
                <w:szCs w:val="16"/>
              </w:rPr>
            </w:pPr>
            <w:r>
              <w:rPr>
                <w:rFonts w:ascii="宋体" w:hAnsi="宋体" w:cs="宋体" w:eastAsia="宋体" w:hint="default"/>
                <w:sz w:val="16"/>
                <w:szCs w:val="16"/>
              </w:rPr>
              <w:t>网络工程</w:t>
            </w:r>
          </w:p>
        </w:tc>
        <w:tc>
          <w:tcPr>
            <w:tcW w:w="1215"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8" w:right="0"/>
              <w:jc w:val="left"/>
              <w:rPr>
                <w:rFonts w:ascii="Arial" w:hAnsi="Arial" w:cs="Arial" w:eastAsia="Arial" w:hint="default"/>
                <w:sz w:val="16"/>
                <w:szCs w:val="16"/>
              </w:rPr>
            </w:pPr>
            <w:r>
              <w:rPr>
                <w:rFonts w:ascii="Arial"/>
                <w:sz w:val="16"/>
              </w:rPr>
              <w:t>51,035,247,012</w:t>
            </w:r>
          </w:p>
        </w:tc>
        <w:tc>
          <w:tcPr>
            <w:tcW w:w="1407" w:type="dxa"/>
            <w:tcBorders>
              <w:top w:val="single" w:sz="6" w:space="0" w:color="000000"/>
              <w:left w:val="nil" w:sz="6" w:space="0" w:color="auto"/>
              <w:bottom w:val="nil" w:sz="6" w:space="0" w:color="auto"/>
              <w:right w:val="nil" w:sz="6" w:space="0" w:color="auto"/>
            </w:tcBorders>
          </w:tcPr>
          <w:p>
            <w:pPr>
              <w:pStyle w:val="TableParagraph"/>
              <w:spacing w:line="20" w:lineRule="exact"/>
              <w:ind w:left="74" w:right="0"/>
              <w:jc w:val="left"/>
              <w:rPr>
                <w:rFonts w:ascii="宋体" w:hAnsi="宋体" w:cs="宋体" w:eastAsia="宋体" w:hint="default"/>
                <w:sz w:val="2"/>
                <w:szCs w:val="2"/>
              </w:rPr>
            </w:pPr>
            <w:r>
              <w:rPr>
                <w:rFonts w:ascii="宋体" w:hAnsi="宋体" w:cs="宋体" w:eastAsia="宋体" w:hint="default"/>
                <w:sz w:val="2"/>
                <w:szCs w:val="2"/>
              </w:rPr>
              <w:pict>
                <v:group style="width:58.45pt;height:.75pt;mso-position-horizontal-relative:char;mso-position-vertical-relative:line" coordorigin="0,0" coordsize="1169,15">
                  <v:group style="position:absolute;left:7;top:7;width:1155;height:2" coordorigin="7,7" coordsize="1155,2">
                    <v:shape style="position:absolute;left:7;top:7;width:1155;height:2" coordorigin="7,7" coordsize="1155,0" path="m7,7l116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28" w:right="0"/>
              <w:jc w:val="left"/>
              <w:rPr>
                <w:rFonts w:ascii="Arial" w:hAnsi="Arial" w:cs="Arial" w:eastAsia="Arial" w:hint="default"/>
                <w:sz w:val="16"/>
                <w:szCs w:val="16"/>
              </w:rPr>
            </w:pPr>
            <w:r>
              <w:rPr>
                <w:rFonts w:ascii="Arial"/>
                <w:sz w:val="16"/>
              </w:rPr>
              <w:t>(42,384,682)</w:t>
            </w:r>
          </w:p>
        </w:tc>
        <w:tc>
          <w:tcPr>
            <w:tcW w:w="1220"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3" w:right="0"/>
              <w:jc w:val="left"/>
              <w:rPr>
                <w:rFonts w:ascii="Arial" w:hAnsi="Arial" w:cs="Arial" w:eastAsia="Arial" w:hint="default"/>
                <w:sz w:val="16"/>
                <w:szCs w:val="16"/>
              </w:rPr>
            </w:pPr>
            <w:r>
              <w:rPr>
                <w:rFonts w:ascii="Arial"/>
                <w:sz w:val="16"/>
              </w:rPr>
              <w:t>50,992,862,330</w:t>
            </w:r>
          </w:p>
        </w:tc>
        <w:tc>
          <w:tcPr>
            <w:tcW w:w="1349"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63" w:right="0"/>
              <w:jc w:val="left"/>
              <w:rPr>
                <w:rFonts w:ascii="Arial" w:hAnsi="Arial" w:cs="Arial" w:eastAsia="Arial" w:hint="default"/>
                <w:sz w:val="16"/>
                <w:szCs w:val="16"/>
              </w:rPr>
            </w:pPr>
            <w:r>
              <w:rPr>
                <w:rFonts w:ascii="Arial"/>
                <w:sz w:val="16"/>
              </w:rPr>
              <w:t>49,871,837,028</w:t>
            </w:r>
          </w:p>
        </w:tc>
        <w:tc>
          <w:tcPr>
            <w:tcW w:w="1266"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21"/>
              <w:jc w:val="right"/>
              <w:rPr>
                <w:rFonts w:ascii="Arial" w:hAnsi="Arial" w:cs="Arial" w:eastAsia="Arial" w:hint="default"/>
                <w:sz w:val="16"/>
                <w:szCs w:val="16"/>
              </w:rPr>
            </w:pPr>
            <w:r>
              <w:rPr>
                <w:rFonts w:ascii="Arial"/>
                <w:spacing w:val="-1"/>
                <w:sz w:val="16"/>
              </w:rPr>
              <w:t>(15,082,077)</w:t>
            </w:r>
          </w:p>
        </w:tc>
        <w:tc>
          <w:tcPr>
            <w:tcW w:w="1312"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3" w:right="0"/>
              <w:jc w:val="left"/>
              <w:rPr>
                <w:rFonts w:ascii="Arial" w:hAnsi="Arial" w:cs="Arial" w:eastAsia="Arial" w:hint="default"/>
                <w:sz w:val="16"/>
                <w:szCs w:val="16"/>
              </w:rPr>
            </w:pPr>
            <w:r>
              <w:rPr>
                <w:rFonts w:ascii="Arial"/>
                <w:sz w:val="16"/>
              </w:rPr>
              <w:t>49,856,754,951</w:t>
            </w:r>
          </w:p>
        </w:tc>
      </w:tr>
      <w:tr>
        <w:trPr>
          <w:trHeight w:val="427"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200" w:right="0"/>
              <w:jc w:val="left"/>
              <w:rPr>
                <w:rFonts w:ascii="宋体" w:hAnsi="宋体" w:cs="宋体" w:eastAsia="宋体" w:hint="default"/>
                <w:sz w:val="16"/>
                <w:szCs w:val="16"/>
              </w:rPr>
            </w:pPr>
            <w:r>
              <w:rPr>
                <w:rFonts w:ascii="宋体" w:hAnsi="宋体" w:cs="宋体" w:eastAsia="宋体" w:hint="default"/>
                <w:sz w:val="16"/>
                <w:szCs w:val="16"/>
              </w:rPr>
              <w:t>通用基础设施工程</w:t>
            </w:r>
          </w:p>
        </w:tc>
        <w:tc>
          <w:tcPr>
            <w:tcW w:w="1215" w:type="dxa"/>
            <w:tcBorders>
              <w:top w:val="nil" w:sz="6" w:space="0" w:color="auto"/>
              <w:left w:val="nil" w:sz="6" w:space="0" w:color="auto"/>
              <w:bottom w:val="nil" w:sz="6" w:space="0" w:color="auto"/>
              <w:right w:val="nil" w:sz="6" w:space="0" w:color="auto"/>
            </w:tcBorders>
          </w:tcPr>
          <w:p>
            <w:pPr>
              <w:pStyle w:val="TableParagraph"/>
              <w:tabs>
                <w:tab w:pos="1214" w:val="left" w:leader="none"/>
              </w:tabs>
              <w:spacing w:line="240" w:lineRule="auto" w:before="49"/>
              <w:ind w:right="0"/>
              <w:jc w:val="lef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7"/>
                <w:sz w:val="16"/>
                <w:u w:val="single" w:color="000000"/>
              </w:rPr>
              <w:t> </w:t>
            </w:r>
            <w:r>
              <w:rPr>
                <w:rFonts w:ascii="Arial"/>
                <w:sz w:val="16"/>
                <w:u w:val="single" w:color="000000"/>
              </w:rPr>
              <w:t>6,310,468,089</w:t>
              <w:tab/>
            </w:r>
            <w:r>
              <w:rPr>
                <w:rFonts w:ascii="Arial"/>
                <w:sz w:val="16"/>
              </w:rPr>
            </w:r>
          </w:p>
        </w:tc>
        <w:tc>
          <w:tcPr>
            <w:tcW w:w="1407" w:type="dxa"/>
            <w:tcBorders>
              <w:top w:val="nil" w:sz="6" w:space="0" w:color="auto"/>
              <w:left w:val="nil" w:sz="6" w:space="0" w:color="auto"/>
              <w:bottom w:val="nil" w:sz="6" w:space="0" w:color="auto"/>
              <w:right w:val="nil" w:sz="6" w:space="0" w:color="auto"/>
            </w:tcBorders>
          </w:tcPr>
          <w:p>
            <w:pPr>
              <w:pStyle w:val="TableParagraph"/>
              <w:tabs>
                <w:tab w:pos="1528" w:val="left" w:leader="none"/>
              </w:tabs>
              <w:spacing w:line="240" w:lineRule="auto" w:before="49"/>
              <w:ind w:left="81" w:right="-123"/>
              <w:jc w:val="lef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0"/>
                <w:sz w:val="16"/>
                <w:u w:val="single" w:color="000000"/>
              </w:rPr>
              <w:t> </w:t>
            </w:r>
            <w:r>
              <w:rPr>
                <w:rFonts w:ascii="Arial"/>
                <w:sz w:val="16"/>
                <w:u w:val="single" w:color="000000"/>
              </w:rPr>
              <w:t>(112,756,252)</w:t>
            </w:r>
            <w:r>
              <w:rPr>
                <w:rFonts w:ascii="Arial"/>
                <w:sz w:val="16"/>
              </w:rPr>
              <w:t> </w:t>
            </w:r>
            <w:r>
              <w:rPr>
                <w:rFonts w:ascii="Arial"/>
                <w:spacing w:val="4"/>
                <w:sz w:val="16"/>
              </w:rPr>
              <w:t> </w:t>
            </w:r>
            <w:r>
              <w:rPr>
                <w:rFonts w:ascii="Arial"/>
                <w:spacing w:val="4"/>
                <w:w w:val="100"/>
                <w:sz w:val="16"/>
              </w:rPr>
            </w:r>
            <w:r>
              <w:rPr>
                <w:rFonts w:ascii="Arial"/>
                <w:w w:val="100"/>
                <w:sz w:val="16"/>
                <w:u w:val="single" w:color="000000"/>
              </w:rPr>
              <w:t> </w:t>
            </w:r>
            <w:r>
              <w:rPr>
                <w:rFonts w:ascii="Arial"/>
                <w:sz w:val="16"/>
                <w:u w:val="single" w:color="000000"/>
              </w:rPr>
              <w:tab/>
            </w:r>
            <w:r>
              <w:rPr>
                <w:rFonts w:ascii="Arial"/>
                <w:sz w:val="16"/>
              </w:rPr>
            </w:r>
          </w:p>
        </w:tc>
        <w:tc>
          <w:tcPr>
            <w:tcW w:w="1220" w:type="dxa"/>
            <w:tcBorders>
              <w:top w:val="nil" w:sz="6" w:space="0" w:color="auto"/>
              <w:left w:val="nil" w:sz="6" w:space="0" w:color="auto"/>
              <w:bottom w:val="nil" w:sz="6" w:space="0" w:color="auto"/>
              <w:right w:val="nil" w:sz="6" w:space="0" w:color="auto"/>
            </w:tcBorders>
          </w:tcPr>
          <w:p>
            <w:pPr>
              <w:pStyle w:val="TableParagraph"/>
              <w:tabs>
                <w:tab w:pos="1219" w:val="left" w:leader="none"/>
              </w:tabs>
              <w:spacing w:line="240" w:lineRule="auto" w:before="49"/>
              <w:ind w:left="122" w:right="0"/>
              <w:jc w:val="left"/>
              <w:rPr>
                <w:rFonts w:ascii="Arial" w:hAnsi="Arial" w:cs="Arial" w:eastAsia="Arial" w:hint="default"/>
                <w:sz w:val="16"/>
                <w:szCs w:val="16"/>
              </w:rPr>
            </w:pPr>
            <w:r>
              <w:rPr>
                <w:rFonts w:ascii="Arial"/>
                <w:w w:val="100"/>
                <w:sz w:val="16"/>
              </w:rPr>
            </w:r>
            <w:r>
              <w:rPr>
                <w:rFonts w:ascii="Arial"/>
                <w:sz w:val="16"/>
                <w:u w:val="single" w:color="000000"/>
              </w:rPr>
              <w:t>6,197,711,837</w:t>
              <w:tab/>
            </w:r>
            <w:r>
              <w:rPr>
                <w:rFonts w:ascii="Arial"/>
                <w:sz w:val="16"/>
              </w:rPr>
            </w:r>
          </w:p>
        </w:tc>
        <w:tc>
          <w:tcPr>
            <w:tcW w:w="1349" w:type="dxa"/>
            <w:tcBorders>
              <w:top w:val="nil" w:sz="6" w:space="0" w:color="auto"/>
              <w:left w:val="nil" w:sz="6" w:space="0" w:color="auto"/>
              <w:bottom w:val="nil" w:sz="6" w:space="0" w:color="auto"/>
              <w:right w:val="nil" w:sz="6" w:space="0" w:color="auto"/>
            </w:tcBorders>
          </w:tcPr>
          <w:p>
            <w:pPr>
              <w:pStyle w:val="TableParagraph"/>
              <w:tabs>
                <w:tab w:pos="1271" w:val="left" w:leader="none"/>
              </w:tabs>
              <w:spacing w:line="240" w:lineRule="auto" w:before="49"/>
              <w:ind w:right="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3"/>
                <w:sz w:val="16"/>
                <w:u w:val="single" w:color="000000"/>
              </w:rPr>
              <w:t> </w:t>
            </w:r>
            <w:r>
              <w:rPr>
                <w:rFonts w:ascii="Arial"/>
                <w:spacing w:val="-1"/>
                <w:sz w:val="16"/>
                <w:u w:val="single" w:color="000000"/>
              </w:rPr>
              <w:t>7,432,426,259</w:t>
              <w:tab/>
            </w:r>
            <w:r>
              <w:rPr>
                <w:rFonts w:ascii="Arial"/>
                <w:spacing w:val="-1"/>
                <w:sz w:val="16"/>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21"/>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pacing w:val="-27"/>
                <w:sz w:val="16"/>
                <w:u w:val="single" w:color="000000"/>
              </w:rPr>
              <w:t> </w:t>
            </w:r>
            <w:r>
              <w:rPr>
                <w:rFonts w:ascii="Arial"/>
                <w:spacing w:val="-1"/>
                <w:sz w:val="16"/>
                <w:u w:val="single" w:color="000000"/>
              </w:rPr>
              <w:t>(112,756,252)</w:t>
            </w:r>
            <w:r>
              <w:rPr>
                <w:rFonts w:ascii="Arial"/>
                <w:spacing w:val="-1"/>
                <w:sz w:val="16"/>
              </w:rPr>
            </w:r>
          </w:p>
        </w:tc>
        <w:tc>
          <w:tcPr>
            <w:tcW w:w="1312" w:type="dxa"/>
            <w:tcBorders>
              <w:top w:val="nil" w:sz="6" w:space="0" w:color="auto"/>
              <w:left w:val="nil" w:sz="6" w:space="0" w:color="auto"/>
              <w:bottom w:val="nil" w:sz="6" w:space="0" w:color="auto"/>
              <w:right w:val="nil" w:sz="6" w:space="0" w:color="auto"/>
            </w:tcBorders>
          </w:tcPr>
          <w:p>
            <w:pPr>
              <w:pStyle w:val="TableParagraph"/>
              <w:tabs>
                <w:tab w:pos="212" w:val="left" w:leader="none"/>
                <w:tab w:pos="1311" w:val="left" w:leader="none"/>
              </w:tabs>
              <w:spacing w:line="240" w:lineRule="auto" w:before="49"/>
              <w:ind w:left="-35" w:right="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r>
            <w:r>
              <w:rPr>
                <w:rFonts w:ascii="Arial"/>
                <w:spacing w:val="-1"/>
                <w:sz w:val="16"/>
                <w:u w:val="single" w:color="000000"/>
              </w:rPr>
              <w:t>7,319,670,007</w:t>
              <w:tab/>
            </w:r>
            <w:r>
              <w:rPr>
                <w:rFonts w:ascii="Arial"/>
                <w:spacing w:val="-1"/>
                <w:sz w:val="16"/>
              </w:rPr>
            </w:r>
          </w:p>
        </w:tc>
      </w:tr>
      <w:tr>
        <w:trPr>
          <w:trHeight w:val="408"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00"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215"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8" w:right="0"/>
              <w:jc w:val="left"/>
              <w:rPr>
                <w:rFonts w:ascii="Arial" w:hAnsi="Arial" w:cs="Arial" w:eastAsia="Arial" w:hint="default"/>
                <w:sz w:val="16"/>
                <w:szCs w:val="16"/>
              </w:rPr>
            </w:pPr>
            <w:r>
              <w:rPr>
                <w:rFonts w:ascii="Arial"/>
                <w:sz w:val="16"/>
              </w:rPr>
              <w:t>57,345,715,101</w:t>
            </w:r>
          </w:p>
        </w:tc>
        <w:tc>
          <w:tcPr>
            <w:tcW w:w="1407"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0" w:right="0"/>
              <w:jc w:val="left"/>
              <w:rPr>
                <w:rFonts w:ascii="Arial" w:hAnsi="Arial" w:cs="Arial" w:eastAsia="Arial" w:hint="default"/>
                <w:sz w:val="16"/>
                <w:szCs w:val="16"/>
              </w:rPr>
            </w:pPr>
            <w:r>
              <w:rPr>
                <w:rFonts w:ascii="Arial"/>
                <w:sz w:val="16"/>
              </w:rPr>
              <w:t>(155,140,934)</w:t>
            </w:r>
          </w:p>
        </w:tc>
        <w:tc>
          <w:tcPr>
            <w:tcW w:w="1220"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 w:right="0"/>
              <w:jc w:val="left"/>
              <w:rPr>
                <w:rFonts w:ascii="Arial" w:hAnsi="Arial" w:cs="Arial" w:eastAsia="Arial" w:hint="default"/>
                <w:sz w:val="16"/>
                <w:szCs w:val="16"/>
              </w:rPr>
            </w:pPr>
            <w:r>
              <w:rPr>
                <w:rFonts w:ascii="Arial"/>
                <w:sz w:val="16"/>
              </w:rPr>
              <w:t>57,190,574,167</w:t>
            </w:r>
          </w:p>
        </w:tc>
        <w:tc>
          <w:tcPr>
            <w:tcW w:w="1349" w:type="dxa"/>
            <w:tcBorders>
              <w:top w:val="nil" w:sz="6" w:space="0" w:color="auto"/>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3" w:right="0"/>
              <w:jc w:val="left"/>
              <w:rPr>
                <w:rFonts w:ascii="Arial" w:hAnsi="Arial" w:cs="Arial" w:eastAsia="Arial" w:hint="default"/>
                <w:sz w:val="16"/>
                <w:szCs w:val="16"/>
              </w:rPr>
            </w:pPr>
            <w:r>
              <w:rPr>
                <w:rFonts w:ascii="Arial"/>
                <w:sz w:val="16"/>
              </w:rPr>
              <w:t>57,304,263,287</w:t>
            </w:r>
          </w:p>
        </w:tc>
        <w:tc>
          <w:tcPr>
            <w:tcW w:w="1266" w:type="dxa"/>
            <w:tcBorders>
              <w:top w:val="nil" w:sz="6" w:space="0" w:color="auto"/>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1"/>
              <w:jc w:val="right"/>
              <w:rPr>
                <w:rFonts w:ascii="Arial" w:hAnsi="Arial" w:cs="Arial" w:eastAsia="Arial" w:hint="default"/>
                <w:sz w:val="16"/>
                <w:szCs w:val="16"/>
              </w:rPr>
            </w:pPr>
            <w:r>
              <w:rPr>
                <w:rFonts w:ascii="Arial"/>
                <w:spacing w:val="-1"/>
                <w:sz w:val="16"/>
              </w:rPr>
              <w:t>(127,838,329)</w:t>
            </w:r>
          </w:p>
        </w:tc>
        <w:tc>
          <w:tcPr>
            <w:tcW w:w="1312" w:type="dxa"/>
            <w:tcBorders>
              <w:top w:val="nil" w:sz="6" w:space="0" w:color="auto"/>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3" w:right="0"/>
              <w:jc w:val="left"/>
              <w:rPr>
                <w:rFonts w:ascii="Arial" w:hAnsi="Arial" w:cs="Arial" w:eastAsia="Arial" w:hint="default"/>
                <w:sz w:val="16"/>
                <w:szCs w:val="16"/>
              </w:rPr>
            </w:pPr>
            <w:r>
              <w:rPr>
                <w:rFonts w:ascii="Arial"/>
                <w:sz w:val="16"/>
              </w:rPr>
              <w:t>57,176,424,958</w:t>
            </w:r>
          </w:p>
        </w:tc>
      </w:tr>
    </w:tbl>
    <w:p>
      <w:pPr>
        <w:spacing w:line="240" w:lineRule="auto" w:before="11"/>
        <w:rPr>
          <w:rFonts w:ascii="宋体" w:hAnsi="宋体" w:cs="宋体" w:eastAsia="宋体" w:hint="default"/>
          <w:sz w:val="13"/>
          <w:szCs w:val="13"/>
        </w:rPr>
      </w:pPr>
    </w:p>
    <w:p>
      <w:pPr>
        <w:pStyle w:val="BodyText"/>
        <w:spacing w:line="295" w:lineRule="exact" w:before="32"/>
        <w:ind w:left="551" w:right="0"/>
        <w:jc w:val="both"/>
      </w:pPr>
      <w:r>
        <w:rPr/>
        <w:t>于</w:t>
      </w:r>
      <w:r>
        <w:rPr>
          <w:spacing w:val="-31"/>
        </w:rPr>
        <w:t> </w:t>
      </w:r>
      <w:r>
        <w:rPr>
          <w:rFonts w:ascii="Arial" w:hAnsi="Arial" w:cs="Arial" w:eastAsia="Arial" w:hint="default"/>
        </w:rPr>
        <w:t>2014</w:t>
      </w:r>
      <w:r>
        <w:rPr>
          <w:rFonts w:ascii="Arial" w:hAnsi="Arial" w:cs="Arial" w:eastAsia="Arial" w:hint="default"/>
          <w:spacing w:val="17"/>
        </w:rPr>
        <w:t> </w:t>
      </w:r>
      <w:r>
        <w:rPr/>
        <w:t>年</w:t>
      </w:r>
      <w:r>
        <w:rPr>
          <w:spacing w:val="-31"/>
        </w:rPr>
        <w:t> </w:t>
      </w:r>
      <w:r>
        <w:rPr>
          <w:rFonts w:ascii="Arial" w:hAnsi="Arial" w:cs="Arial" w:eastAsia="Arial" w:hint="default"/>
        </w:rPr>
        <w:t>12</w:t>
      </w:r>
      <w:r>
        <w:rPr>
          <w:rFonts w:ascii="Arial" w:hAnsi="Arial" w:cs="Arial" w:eastAsia="Arial" w:hint="default"/>
          <w:spacing w:val="17"/>
        </w:rPr>
        <w:t> </w:t>
      </w:r>
      <w:r>
        <w:rPr/>
        <w:t>月</w:t>
      </w:r>
      <w:r>
        <w:rPr>
          <w:spacing w:val="-31"/>
        </w:rPr>
        <w:t> </w:t>
      </w:r>
      <w:r>
        <w:rPr>
          <w:rFonts w:ascii="Arial" w:hAnsi="Arial" w:cs="Arial" w:eastAsia="Arial" w:hint="default"/>
        </w:rPr>
        <w:t>31</w:t>
      </w:r>
      <w:r>
        <w:rPr>
          <w:rFonts w:ascii="Arial" w:hAnsi="Arial" w:cs="Arial" w:eastAsia="Arial" w:hint="default"/>
          <w:spacing w:val="17"/>
        </w:rPr>
        <w:t> </w:t>
      </w:r>
      <w:r>
        <w:rPr/>
        <w:t>日，本集团在建工程原值中包括资本化的借款费用约人民币</w:t>
      </w:r>
      <w:r>
        <w:rPr>
          <w:spacing w:val="-29"/>
        </w:rPr>
        <w:t> </w:t>
      </w:r>
      <w:r>
        <w:rPr>
          <w:rFonts w:ascii="Arial" w:hAnsi="Arial" w:cs="Arial" w:eastAsia="Arial" w:hint="default"/>
        </w:rPr>
        <w:t>10.65</w:t>
      </w:r>
      <w:r>
        <w:rPr>
          <w:rFonts w:ascii="Arial" w:hAnsi="Arial" w:cs="Arial" w:eastAsia="Arial" w:hint="default"/>
          <w:spacing w:val="17"/>
        </w:rPr>
        <w:t> </w:t>
      </w:r>
      <w:r>
        <w:rPr>
          <w:spacing w:val="-3"/>
        </w:rPr>
        <w:t>亿元</w:t>
      </w:r>
      <w:r>
        <w:rPr/>
      </w:r>
    </w:p>
    <w:p>
      <w:pPr>
        <w:pStyle w:val="BodyText"/>
        <w:spacing w:line="286" w:lineRule="exact" w:before="19"/>
        <w:ind w:left="551" w:right="263"/>
        <w:jc w:val="both"/>
      </w:pPr>
      <w:r>
        <w:rPr/>
        <w:t>（</w:t>
      </w:r>
      <w:r>
        <w:rPr>
          <w:rFonts w:ascii="Arial" w:hAnsi="Arial" w:cs="Arial" w:eastAsia="Arial" w:hint="default"/>
        </w:rPr>
        <w:t>2013</w:t>
      </w:r>
      <w:r>
        <w:rPr>
          <w:rFonts w:ascii="Arial" w:hAnsi="Arial" w:cs="Arial" w:eastAsia="Arial" w:hint="default"/>
          <w:spacing w:val="2"/>
        </w:rPr>
        <w:t> </w:t>
      </w:r>
      <w:r>
        <w:rPr/>
        <w:t>年</w:t>
      </w:r>
      <w:r>
        <w:rPr>
          <w:spacing w:val="-47"/>
        </w:rPr>
        <w:t> </w:t>
      </w:r>
      <w:r>
        <w:rPr>
          <w:rFonts w:ascii="Arial" w:hAnsi="Arial" w:cs="Arial" w:eastAsia="Arial" w:hint="default"/>
        </w:rPr>
        <w:t>12</w:t>
      </w:r>
      <w:r>
        <w:rPr>
          <w:rFonts w:ascii="Arial" w:hAnsi="Arial" w:cs="Arial" w:eastAsia="Arial" w:hint="default"/>
          <w:spacing w:val="2"/>
        </w:rPr>
        <w:t> </w:t>
      </w:r>
      <w:r>
        <w:rPr/>
        <w:t>月</w:t>
      </w:r>
      <w:r>
        <w:rPr>
          <w:spacing w:val="-47"/>
        </w:rPr>
        <w:t> </w:t>
      </w:r>
      <w:r>
        <w:rPr>
          <w:rFonts w:ascii="Arial" w:hAnsi="Arial" w:cs="Arial" w:eastAsia="Arial" w:hint="default"/>
        </w:rPr>
        <w:t>31</w:t>
      </w:r>
      <w:r>
        <w:rPr>
          <w:rFonts w:ascii="Arial" w:hAnsi="Arial" w:cs="Arial" w:eastAsia="Arial" w:hint="default"/>
          <w:spacing w:val="2"/>
        </w:rPr>
        <w:t> </w:t>
      </w:r>
      <w:r>
        <w:rPr/>
        <w:t>日：约人民币</w:t>
      </w:r>
      <w:r>
        <w:rPr>
          <w:spacing w:val="-46"/>
        </w:rPr>
        <w:t> </w:t>
      </w:r>
      <w:r>
        <w:rPr>
          <w:rFonts w:ascii="Arial" w:hAnsi="Arial" w:cs="Arial" w:eastAsia="Arial" w:hint="default"/>
        </w:rPr>
        <w:t>12.77</w:t>
      </w:r>
      <w:r>
        <w:rPr>
          <w:rFonts w:ascii="Arial" w:hAnsi="Arial" w:cs="Arial" w:eastAsia="Arial" w:hint="default"/>
          <w:spacing w:val="2"/>
        </w:rPr>
        <w:t> </w:t>
      </w:r>
      <w:r>
        <w:rPr/>
        <w:t>亿元），本集团于</w:t>
      </w:r>
      <w:r>
        <w:rPr>
          <w:spacing w:val="-46"/>
        </w:rPr>
        <w:t> </w:t>
      </w:r>
      <w:r>
        <w:rPr>
          <w:rFonts w:ascii="Arial" w:hAnsi="Arial" w:cs="Arial" w:eastAsia="Arial" w:hint="default"/>
        </w:rPr>
        <w:t>2014</w:t>
      </w:r>
      <w:r>
        <w:rPr>
          <w:rFonts w:ascii="Arial" w:hAnsi="Arial" w:cs="Arial" w:eastAsia="Arial" w:hint="default"/>
          <w:spacing w:val="2"/>
        </w:rPr>
        <w:t> </w:t>
      </w:r>
      <w:r>
        <w:rPr/>
        <w:t>年度的借款费用资本化率约</w:t>
      </w:r>
      <w:r>
        <w:rPr>
          <w:w w:val="100"/>
        </w:rPr>
        <w:t> </w:t>
      </w:r>
      <w:r>
        <w:rPr/>
        <w:t>为</w:t>
      </w:r>
      <w:r>
        <w:rPr>
          <w:spacing w:val="-63"/>
        </w:rPr>
        <w:t> </w:t>
      </w:r>
      <w:r>
        <w:rPr>
          <w:rFonts w:ascii="Arial" w:hAnsi="Arial" w:cs="Arial" w:eastAsia="Arial" w:hint="default"/>
        </w:rPr>
        <w:t>3.72%~4.30%</w:t>
      </w:r>
      <w:r>
        <w:rPr/>
        <w:t>（</w:t>
      </w:r>
      <w:r>
        <w:rPr>
          <w:rFonts w:ascii="Arial" w:hAnsi="Arial" w:cs="Arial" w:eastAsia="Arial" w:hint="default"/>
        </w:rPr>
        <w:t>2013</w:t>
      </w:r>
      <w:r>
        <w:rPr>
          <w:rFonts w:ascii="Arial" w:hAnsi="Arial" w:cs="Arial" w:eastAsia="Arial" w:hint="default"/>
          <w:spacing w:val="-16"/>
        </w:rPr>
        <w:t> </w:t>
      </w:r>
      <w:r>
        <w:rPr/>
        <w:t>年：</w:t>
      </w:r>
      <w:r>
        <w:rPr>
          <w:rFonts w:ascii="Arial" w:hAnsi="Arial" w:cs="Arial" w:eastAsia="Arial" w:hint="default"/>
        </w:rPr>
        <w:t>3.87%~4.47%</w:t>
      </w:r>
      <w:r>
        <w:rPr/>
        <w:t>）。于</w:t>
      </w:r>
      <w:r>
        <w:rPr>
          <w:spacing w:val="-63"/>
        </w:rPr>
        <w:t> </w:t>
      </w:r>
      <w:r>
        <w:rPr>
          <w:rFonts w:ascii="Arial" w:hAnsi="Arial" w:cs="Arial" w:eastAsia="Arial" w:hint="default"/>
        </w:rPr>
        <w:t>2014</w:t>
      </w:r>
      <w:r>
        <w:rPr>
          <w:rFonts w:ascii="Arial" w:hAnsi="Arial" w:cs="Arial" w:eastAsia="Arial" w:hint="default"/>
          <w:spacing w:val="-15"/>
        </w:rPr>
        <w:t> </w:t>
      </w:r>
      <w:r>
        <w:rPr/>
        <w:t>年度，除转入固定资产和无形资产的</w:t>
      </w:r>
      <w:r>
        <w:rPr>
          <w:w w:val="100"/>
        </w:rPr>
        <w:t> </w:t>
      </w:r>
      <w:r>
        <w:rPr>
          <w:spacing w:val="-4"/>
        </w:rPr>
        <w:t>在建工程外，有约人民币</w:t>
      </w:r>
      <w:r>
        <w:rPr>
          <w:spacing w:val="-56"/>
        </w:rPr>
        <w:t> </w:t>
      </w:r>
      <w:r>
        <w:rPr>
          <w:rFonts w:ascii="Arial" w:hAnsi="Arial" w:cs="Arial" w:eastAsia="Arial" w:hint="default"/>
        </w:rPr>
        <w:t>15.45</w:t>
      </w:r>
      <w:r>
        <w:rPr>
          <w:rFonts w:ascii="Arial" w:hAnsi="Arial" w:cs="Arial" w:eastAsia="Arial" w:hint="default"/>
          <w:spacing w:val="-6"/>
        </w:rPr>
        <w:t> </w:t>
      </w:r>
      <w:r>
        <w:rPr/>
        <w:t>亿元的经营租入固定资产改良及外市电引入等转入长期待摊费</w:t>
      </w:r>
      <w:r>
        <w:rPr>
          <w:w w:val="100"/>
        </w:rPr>
        <w:t> </w:t>
      </w:r>
      <w:r>
        <w:rPr/>
        <w:t>用。</w:t>
      </w:r>
    </w:p>
    <w:p>
      <w:pPr>
        <w:spacing w:after="0" w:line="286" w:lineRule="exact"/>
        <w:jc w:val="both"/>
        <w:sectPr>
          <w:headerReference w:type="default" r:id="rId82"/>
          <w:pgSz w:w="11910" w:h="16840"/>
          <w:pgMar w:header="1185" w:footer="923" w:top="3080" w:bottom="1120" w:left="1280" w:right="820"/>
        </w:sectPr>
      </w:pPr>
    </w:p>
    <w:p>
      <w:pPr>
        <w:pStyle w:val="BodyText"/>
        <w:spacing w:line="240" w:lineRule="auto" w:before="10"/>
        <w:ind w:left="106" w:right="11542"/>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1"/>
        <w:rPr>
          <w:rFonts w:ascii="黑体" w:hAnsi="黑体" w:cs="黑体" w:eastAsia="黑体" w:hint="default"/>
          <w:sz w:val="19"/>
          <w:szCs w:val="19"/>
        </w:rPr>
      </w:pPr>
    </w:p>
    <w:p>
      <w:pPr>
        <w:pStyle w:val="BodyText"/>
        <w:spacing w:line="287" w:lineRule="exact"/>
        <w:ind w:left="106" w:right="11542"/>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left="106" w:right="11542"/>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tabs>
          <w:tab w:pos="557" w:val="left" w:leader="none"/>
        </w:tabs>
        <w:spacing w:line="448" w:lineRule="auto"/>
        <w:ind w:left="106" w:right="11542"/>
        <w:jc w:val="left"/>
        <w:rPr>
          <w:rFonts w:ascii="黑体" w:hAnsi="黑体" w:cs="黑体" w:eastAsia="黑体" w:hint="default"/>
        </w:rPr>
      </w:pPr>
      <w:r>
        <w:rPr>
          <w:rFonts w:ascii="黑体" w:hAnsi="黑体" w:cs="黑体" w:eastAsia="黑体" w:hint="default"/>
          <w:spacing w:val="-1"/>
        </w:rPr>
        <w:t>（除特别注明外，金额单位为人民币元）</w:t>
      </w:r>
      <w:r>
        <w:rPr>
          <w:rFonts w:ascii="黑体" w:hAnsi="黑体" w:cs="黑体" w:eastAsia="黑体" w:hint="default"/>
          <w:spacing w:val="-93"/>
        </w:rPr>
        <w:t> </w:t>
      </w:r>
      <w:r>
        <w:rPr>
          <w:rFonts w:ascii="黑体" w:hAnsi="黑体" w:cs="黑体" w:eastAsia="黑体" w:hint="default"/>
          <w:spacing w:val="-93"/>
        </w:rPr>
      </w:r>
      <w:r>
        <w:rPr>
          <w:rFonts w:ascii="黑体" w:hAnsi="黑体" w:cs="黑体" w:eastAsia="黑体" w:hint="default"/>
        </w:rPr>
        <w:t>五</w:t>
        <w:tab/>
        <w:t>合并财务报表项目附注（续）</w:t>
      </w:r>
    </w:p>
    <w:p>
      <w:pPr>
        <w:pStyle w:val="BodyText"/>
        <w:spacing w:line="240" w:lineRule="auto" w:before="60"/>
        <w:ind w:left="106" w:right="11542"/>
        <w:jc w:val="left"/>
      </w:pPr>
      <w:r>
        <w:rPr>
          <w:rFonts w:ascii="Arial" w:hAnsi="Arial" w:cs="Arial" w:eastAsia="Arial" w:hint="default"/>
        </w:rPr>
        <w:t>11</w:t>
      </w:r>
      <w:r>
        <w:rPr/>
        <w:t>、在建工程（续）</w:t>
      </w:r>
    </w:p>
    <w:p>
      <w:pPr>
        <w:pStyle w:val="BodyText"/>
        <w:spacing w:line="240" w:lineRule="auto" w:before="189"/>
        <w:ind w:left="555" w:right="11542"/>
        <w:jc w:val="left"/>
      </w:pPr>
      <w:r>
        <w:rPr>
          <w:rFonts w:ascii="Arial" w:hAnsi="Arial" w:cs="Arial" w:eastAsia="Arial" w:hint="default"/>
        </w:rPr>
        <w:t>(a)  </w:t>
      </w:r>
      <w:r>
        <w:rPr/>
        <w:t>重大在建工程项目变动</w:t>
      </w:r>
    </w:p>
    <w:p>
      <w:pPr>
        <w:spacing w:line="240" w:lineRule="auto" w:before="4"/>
        <w:rPr>
          <w:rFonts w:ascii="宋体" w:hAnsi="宋体" w:cs="宋体" w:eastAsia="宋体" w:hint="default"/>
          <w:sz w:val="23"/>
          <w:szCs w:val="23"/>
        </w:rPr>
      </w:pPr>
    </w:p>
    <w:tbl>
      <w:tblPr>
        <w:tblW w:w="0" w:type="auto"/>
        <w:jc w:val="left"/>
        <w:tblInd w:w="610" w:type="dxa"/>
        <w:tblLayout w:type="fixed"/>
        <w:tblCellMar>
          <w:top w:w="0" w:type="dxa"/>
          <w:left w:w="0" w:type="dxa"/>
          <w:bottom w:w="0" w:type="dxa"/>
          <w:right w:w="0" w:type="dxa"/>
        </w:tblCellMar>
        <w:tblLook w:val="01E0"/>
      </w:tblPr>
      <w:tblGrid>
        <w:gridCol w:w="4412"/>
        <w:gridCol w:w="1028"/>
        <w:gridCol w:w="1207"/>
        <w:gridCol w:w="1236"/>
        <w:gridCol w:w="1244"/>
        <w:gridCol w:w="966"/>
        <w:gridCol w:w="1072"/>
        <w:gridCol w:w="667"/>
        <w:gridCol w:w="1002"/>
        <w:gridCol w:w="913"/>
        <w:gridCol w:w="1137"/>
      </w:tblGrid>
      <w:tr>
        <w:trPr>
          <w:trHeight w:val="609" w:hRule="exact"/>
        </w:trPr>
        <w:tc>
          <w:tcPr>
            <w:tcW w:w="4412"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6"/>
                <w:szCs w:val="16"/>
              </w:rPr>
            </w:pPr>
            <w:r>
              <w:rPr>
                <w:rFonts w:ascii="宋体" w:hAnsi="宋体" w:cs="宋体" w:eastAsia="宋体" w:hint="default"/>
                <w:sz w:val="16"/>
                <w:szCs w:val="16"/>
              </w:rPr>
              <w:t>工程名称</w:t>
            </w:r>
          </w:p>
        </w:tc>
        <w:tc>
          <w:tcPr>
            <w:tcW w:w="1028" w:type="dxa"/>
            <w:tcBorders>
              <w:top w:val="nil" w:sz="6" w:space="0" w:color="auto"/>
              <w:left w:val="nil" w:sz="6" w:space="0" w:color="auto"/>
              <w:bottom w:val="single" w:sz="6" w:space="0" w:color="000000"/>
              <w:right w:val="nil" w:sz="6" w:space="0" w:color="auto"/>
            </w:tcBorders>
          </w:tcPr>
          <w:p>
            <w:pPr>
              <w:pStyle w:val="TableParagraph"/>
              <w:spacing w:line="160" w:lineRule="exact"/>
              <w:ind w:left="422" w:right="0"/>
              <w:jc w:val="left"/>
              <w:rPr>
                <w:rFonts w:ascii="宋体" w:hAnsi="宋体" w:cs="宋体" w:eastAsia="宋体" w:hint="default"/>
                <w:sz w:val="16"/>
                <w:szCs w:val="16"/>
              </w:rPr>
            </w:pPr>
            <w:r>
              <w:rPr>
                <w:rFonts w:ascii="宋体" w:hAnsi="宋体" w:cs="宋体" w:eastAsia="宋体" w:hint="default"/>
                <w:sz w:val="16"/>
                <w:szCs w:val="16"/>
              </w:rPr>
              <w:t>预算数</w:t>
            </w:r>
          </w:p>
          <w:p>
            <w:pPr>
              <w:pStyle w:val="TableParagraph"/>
              <w:spacing w:line="206" w:lineRule="exact" w:before="21"/>
              <w:ind w:left="334" w:right="41" w:firstLine="7"/>
              <w:jc w:val="left"/>
              <w:rPr>
                <w:rFonts w:ascii="宋体" w:hAnsi="宋体" w:cs="宋体" w:eastAsia="宋体" w:hint="default"/>
                <w:sz w:val="16"/>
                <w:szCs w:val="16"/>
              </w:rPr>
            </w:pPr>
            <w:r>
              <w:rPr>
                <w:rFonts w:ascii="宋体" w:hAnsi="宋体" w:cs="宋体" w:eastAsia="宋体" w:hint="default"/>
                <w:sz w:val="16"/>
                <w:szCs w:val="16"/>
              </w:rPr>
              <w:t>（人民币</w:t>
            </w:r>
            <w:r>
              <w:rPr>
                <w:rFonts w:ascii="宋体" w:hAnsi="宋体" w:cs="宋体" w:eastAsia="宋体" w:hint="default"/>
                <w:w w:val="100"/>
                <w:sz w:val="16"/>
                <w:szCs w:val="16"/>
              </w:rPr>
              <w:t> </w:t>
            </w:r>
            <w:r>
              <w:rPr>
                <w:rFonts w:ascii="宋体" w:hAnsi="宋体" w:cs="宋体" w:eastAsia="宋体" w:hint="default"/>
                <w:sz w:val="16"/>
                <w:szCs w:val="16"/>
              </w:rPr>
              <w:t>百万元）</w:t>
            </w:r>
          </w:p>
        </w:tc>
        <w:tc>
          <w:tcPr>
            <w:tcW w:w="1207" w:type="dxa"/>
            <w:tcBorders>
              <w:top w:val="nil" w:sz="6" w:space="0" w:color="auto"/>
              <w:left w:val="nil" w:sz="6" w:space="0" w:color="auto"/>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14" w:lineRule="exact"/>
              <w:ind w:left="609" w:right="0"/>
              <w:jc w:val="left"/>
              <w:rPr>
                <w:rFonts w:ascii="宋体" w:hAnsi="宋体" w:cs="宋体" w:eastAsia="宋体" w:hint="default"/>
                <w:sz w:val="16"/>
                <w:szCs w:val="16"/>
              </w:rPr>
            </w:pPr>
            <w:r>
              <w:rPr>
                <w:rFonts w:ascii="Arial" w:hAnsi="Arial" w:cs="Arial" w:eastAsia="Arial" w:hint="default"/>
                <w:sz w:val="16"/>
                <w:szCs w:val="16"/>
              </w:rPr>
              <w:t>2013</w:t>
            </w:r>
            <w:r>
              <w:rPr>
                <w:rFonts w:ascii="Arial" w:hAnsi="Arial" w:cs="Arial" w:eastAsia="Arial" w:hint="default"/>
                <w:spacing w:val="-6"/>
                <w:sz w:val="16"/>
                <w:szCs w:val="16"/>
              </w:rPr>
              <w:t> </w:t>
            </w:r>
            <w:r>
              <w:rPr>
                <w:rFonts w:ascii="宋体" w:hAnsi="宋体" w:cs="宋体" w:eastAsia="宋体" w:hint="default"/>
                <w:sz w:val="16"/>
                <w:szCs w:val="16"/>
              </w:rPr>
              <w:t>年</w:t>
            </w:r>
          </w:p>
          <w:p>
            <w:pPr>
              <w:pStyle w:val="TableParagraph"/>
              <w:spacing w:line="214" w:lineRule="exact"/>
              <w:ind w:left="369"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31</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236"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left="422" w:right="0"/>
              <w:jc w:val="left"/>
              <w:rPr>
                <w:rFonts w:ascii="宋体" w:hAnsi="宋体" w:cs="宋体" w:eastAsia="宋体" w:hint="default"/>
                <w:sz w:val="16"/>
                <w:szCs w:val="16"/>
              </w:rPr>
            </w:pPr>
            <w:r>
              <w:rPr>
                <w:rFonts w:ascii="宋体" w:hAnsi="宋体" w:cs="宋体" w:eastAsia="宋体" w:hint="default"/>
                <w:sz w:val="16"/>
                <w:szCs w:val="16"/>
              </w:rPr>
              <w:t>本年增加</w:t>
            </w:r>
          </w:p>
        </w:tc>
        <w:tc>
          <w:tcPr>
            <w:tcW w:w="1244" w:type="dxa"/>
            <w:tcBorders>
              <w:top w:val="nil" w:sz="6" w:space="0" w:color="auto"/>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06" w:lineRule="exact"/>
              <w:ind w:left="371" w:right="226"/>
              <w:jc w:val="left"/>
              <w:rPr>
                <w:rFonts w:ascii="宋体" w:hAnsi="宋体" w:cs="宋体" w:eastAsia="宋体" w:hint="default"/>
                <w:sz w:val="16"/>
                <w:szCs w:val="16"/>
              </w:rPr>
            </w:pPr>
            <w:r>
              <w:rPr>
                <w:rFonts w:ascii="宋体" w:hAnsi="宋体" w:cs="宋体" w:eastAsia="宋体" w:hint="default"/>
                <w:sz w:val="16"/>
                <w:szCs w:val="16"/>
              </w:rPr>
              <w:t>本年转入</w:t>
            </w:r>
            <w:r>
              <w:rPr>
                <w:rFonts w:ascii="宋体" w:hAnsi="宋体" w:cs="宋体" w:eastAsia="宋体" w:hint="default"/>
                <w:spacing w:val="-77"/>
                <w:sz w:val="16"/>
                <w:szCs w:val="16"/>
              </w:rPr>
              <w:t> </w:t>
            </w:r>
            <w:r>
              <w:rPr>
                <w:rFonts w:ascii="宋体" w:hAnsi="宋体" w:cs="宋体" w:eastAsia="宋体" w:hint="default"/>
                <w:sz w:val="16"/>
                <w:szCs w:val="16"/>
              </w:rPr>
              <w:t>固定资产</w:t>
            </w:r>
          </w:p>
        </w:tc>
        <w:tc>
          <w:tcPr>
            <w:tcW w:w="966" w:type="dxa"/>
            <w:tcBorders>
              <w:top w:val="nil" w:sz="6" w:space="0" w:color="auto"/>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06" w:lineRule="exact"/>
              <w:ind w:left="618" w:right="23"/>
              <w:jc w:val="left"/>
              <w:rPr>
                <w:rFonts w:ascii="宋体" w:hAnsi="宋体" w:cs="宋体" w:eastAsia="宋体" w:hint="default"/>
                <w:sz w:val="16"/>
                <w:szCs w:val="16"/>
              </w:rPr>
            </w:pPr>
            <w:r>
              <w:rPr>
                <w:rFonts w:ascii="宋体" w:hAnsi="宋体" w:cs="宋体" w:eastAsia="宋体" w:hint="default"/>
                <w:sz w:val="16"/>
                <w:szCs w:val="16"/>
              </w:rPr>
              <w:t>其他</w:t>
            </w:r>
            <w:r>
              <w:rPr>
                <w:rFonts w:ascii="宋体" w:hAnsi="宋体" w:cs="宋体" w:eastAsia="宋体" w:hint="default"/>
                <w:w w:val="100"/>
                <w:sz w:val="16"/>
                <w:szCs w:val="16"/>
              </w:rPr>
              <w:t> </w:t>
            </w:r>
            <w:r>
              <w:rPr>
                <w:rFonts w:ascii="宋体" w:hAnsi="宋体" w:cs="宋体" w:eastAsia="宋体" w:hint="default"/>
                <w:sz w:val="16"/>
                <w:szCs w:val="16"/>
              </w:rPr>
              <w:t>减少</w:t>
            </w:r>
          </w:p>
        </w:tc>
        <w:tc>
          <w:tcPr>
            <w:tcW w:w="1072" w:type="dxa"/>
            <w:tcBorders>
              <w:top w:val="nil" w:sz="6" w:space="0" w:color="auto"/>
              <w:left w:val="nil" w:sz="6" w:space="0" w:color="auto"/>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14" w:lineRule="exact"/>
              <w:ind w:left="402" w:right="0"/>
              <w:jc w:val="lef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6"/>
                <w:sz w:val="16"/>
                <w:szCs w:val="16"/>
              </w:rPr>
              <w:t> </w:t>
            </w:r>
            <w:r>
              <w:rPr>
                <w:rFonts w:ascii="宋体" w:hAnsi="宋体" w:cs="宋体" w:eastAsia="宋体" w:hint="default"/>
                <w:sz w:val="16"/>
                <w:szCs w:val="16"/>
              </w:rPr>
              <w:t>年</w:t>
            </w:r>
          </w:p>
          <w:p>
            <w:pPr>
              <w:pStyle w:val="TableParagraph"/>
              <w:spacing w:line="214" w:lineRule="exact"/>
              <w:ind w:left="162"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31</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667" w:type="dxa"/>
            <w:tcBorders>
              <w:top w:val="nil" w:sz="6" w:space="0" w:color="auto"/>
              <w:left w:val="nil" w:sz="6" w:space="0" w:color="auto"/>
              <w:bottom w:val="single" w:sz="6" w:space="0" w:color="000000"/>
              <w:right w:val="nil" w:sz="6" w:space="0" w:color="auto"/>
            </w:tcBorders>
          </w:tcPr>
          <w:p>
            <w:pPr>
              <w:pStyle w:val="TableParagraph"/>
              <w:spacing w:line="160" w:lineRule="exact"/>
              <w:ind w:left="21" w:right="0"/>
              <w:jc w:val="left"/>
              <w:rPr>
                <w:rFonts w:ascii="宋体" w:hAnsi="宋体" w:cs="宋体" w:eastAsia="宋体" w:hint="default"/>
                <w:sz w:val="16"/>
                <w:szCs w:val="16"/>
              </w:rPr>
            </w:pPr>
            <w:r>
              <w:rPr>
                <w:rFonts w:ascii="宋体" w:hAnsi="宋体" w:cs="宋体" w:eastAsia="宋体" w:hint="default"/>
                <w:sz w:val="16"/>
                <w:szCs w:val="16"/>
              </w:rPr>
              <w:t>工程投入</w:t>
            </w:r>
          </w:p>
          <w:p>
            <w:pPr>
              <w:pStyle w:val="TableParagraph"/>
              <w:spacing w:line="208" w:lineRule="exact"/>
              <w:ind w:left="21" w:right="0"/>
              <w:jc w:val="left"/>
              <w:rPr>
                <w:rFonts w:ascii="宋体" w:hAnsi="宋体" w:cs="宋体" w:eastAsia="宋体" w:hint="default"/>
                <w:sz w:val="16"/>
                <w:szCs w:val="16"/>
              </w:rPr>
            </w:pPr>
            <w:r>
              <w:rPr>
                <w:rFonts w:ascii="宋体" w:hAnsi="宋体" w:cs="宋体" w:eastAsia="宋体" w:hint="default"/>
                <w:sz w:val="16"/>
                <w:szCs w:val="16"/>
              </w:rPr>
              <w:t>占预算的</w:t>
            </w:r>
          </w:p>
          <w:p>
            <w:pPr>
              <w:pStyle w:val="TableParagraph"/>
              <w:spacing w:line="208" w:lineRule="exact"/>
              <w:ind w:left="343" w:right="0"/>
              <w:jc w:val="left"/>
              <w:rPr>
                <w:rFonts w:ascii="宋体" w:hAnsi="宋体" w:cs="宋体" w:eastAsia="宋体" w:hint="default"/>
                <w:sz w:val="16"/>
                <w:szCs w:val="16"/>
              </w:rPr>
            </w:pPr>
            <w:r>
              <w:rPr>
                <w:rFonts w:ascii="宋体" w:hAnsi="宋体" w:cs="宋体" w:eastAsia="宋体" w:hint="default"/>
                <w:sz w:val="16"/>
                <w:szCs w:val="16"/>
              </w:rPr>
              <w:t>比例</w:t>
            </w:r>
          </w:p>
        </w:tc>
        <w:tc>
          <w:tcPr>
            <w:tcW w:w="1002" w:type="dxa"/>
            <w:tcBorders>
              <w:top w:val="nil" w:sz="6" w:space="0" w:color="auto"/>
              <w:left w:val="nil" w:sz="6" w:space="0" w:color="auto"/>
              <w:bottom w:val="single" w:sz="6" w:space="0" w:color="000000"/>
              <w:right w:val="nil" w:sz="6" w:space="0" w:color="auto"/>
            </w:tcBorders>
          </w:tcPr>
          <w:p>
            <w:pPr>
              <w:pStyle w:val="TableParagraph"/>
              <w:spacing w:line="160" w:lineRule="exact"/>
              <w:ind w:left="314" w:right="0" w:hanging="161"/>
              <w:jc w:val="left"/>
              <w:rPr>
                <w:rFonts w:ascii="宋体" w:hAnsi="宋体" w:cs="宋体" w:eastAsia="宋体" w:hint="default"/>
                <w:sz w:val="16"/>
                <w:szCs w:val="16"/>
              </w:rPr>
            </w:pPr>
            <w:r>
              <w:rPr>
                <w:rFonts w:ascii="宋体" w:hAnsi="宋体" w:cs="宋体" w:eastAsia="宋体" w:hint="default"/>
                <w:sz w:val="16"/>
                <w:szCs w:val="16"/>
              </w:rPr>
              <w:t>借款费用</w:t>
            </w:r>
          </w:p>
          <w:p>
            <w:pPr>
              <w:pStyle w:val="TableParagraph"/>
              <w:spacing w:line="206" w:lineRule="exact" w:before="21"/>
              <w:ind w:left="153" w:right="203" w:firstLine="160"/>
              <w:jc w:val="left"/>
              <w:rPr>
                <w:rFonts w:ascii="宋体" w:hAnsi="宋体" w:cs="宋体" w:eastAsia="宋体" w:hint="default"/>
                <w:sz w:val="16"/>
                <w:szCs w:val="16"/>
              </w:rPr>
            </w:pPr>
            <w:r>
              <w:rPr>
                <w:rFonts w:ascii="宋体" w:hAnsi="宋体" w:cs="宋体" w:eastAsia="宋体" w:hint="default"/>
                <w:sz w:val="16"/>
                <w:szCs w:val="16"/>
              </w:rPr>
              <w:t>资本化</w:t>
            </w:r>
            <w:r>
              <w:rPr>
                <w:rFonts w:ascii="宋体" w:hAnsi="宋体" w:cs="宋体" w:eastAsia="宋体" w:hint="default"/>
                <w:w w:val="100"/>
                <w:sz w:val="16"/>
                <w:szCs w:val="16"/>
              </w:rPr>
              <w:t> </w:t>
            </w:r>
            <w:r>
              <w:rPr>
                <w:rFonts w:ascii="宋体" w:hAnsi="宋体" w:cs="宋体" w:eastAsia="宋体" w:hint="default"/>
                <w:sz w:val="16"/>
                <w:szCs w:val="16"/>
              </w:rPr>
              <w:t>累计金额</w:t>
            </w:r>
          </w:p>
        </w:tc>
        <w:tc>
          <w:tcPr>
            <w:tcW w:w="913" w:type="dxa"/>
            <w:tcBorders>
              <w:top w:val="nil" w:sz="6" w:space="0" w:color="auto"/>
              <w:left w:val="nil" w:sz="6" w:space="0" w:color="auto"/>
              <w:bottom w:val="single" w:sz="6" w:space="0" w:color="000000"/>
              <w:right w:val="nil" w:sz="6" w:space="0" w:color="auto"/>
            </w:tcBorders>
          </w:tcPr>
          <w:p>
            <w:pPr>
              <w:pStyle w:val="TableParagraph"/>
              <w:spacing w:line="160" w:lineRule="exact"/>
              <w:ind w:left="46" w:right="0"/>
              <w:jc w:val="left"/>
              <w:rPr>
                <w:rFonts w:ascii="宋体" w:hAnsi="宋体" w:cs="宋体" w:eastAsia="宋体" w:hint="default"/>
                <w:sz w:val="16"/>
                <w:szCs w:val="16"/>
              </w:rPr>
            </w:pPr>
            <w:r>
              <w:rPr>
                <w:rFonts w:ascii="宋体" w:hAnsi="宋体" w:cs="宋体" w:eastAsia="宋体" w:hint="default"/>
                <w:sz w:val="16"/>
                <w:szCs w:val="16"/>
              </w:rPr>
              <w:t>其中：本年</w:t>
            </w:r>
          </w:p>
          <w:p>
            <w:pPr>
              <w:pStyle w:val="TableParagraph"/>
              <w:spacing w:line="206" w:lineRule="exact" w:before="21"/>
              <w:ind w:left="205" w:right="62" w:hanging="159"/>
              <w:jc w:val="left"/>
              <w:rPr>
                <w:rFonts w:ascii="宋体" w:hAnsi="宋体" w:cs="宋体" w:eastAsia="宋体" w:hint="default"/>
                <w:sz w:val="16"/>
                <w:szCs w:val="16"/>
              </w:rPr>
            </w:pPr>
            <w:r>
              <w:rPr>
                <w:rFonts w:ascii="宋体" w:hAnsi="宋体" w:cs="宋体" w:eastAsia="宋体" w:hint="default"/>
                <w:spacing w:val="-1"/>
                <w:sz w:val="16"/>
                <w:szCs w:val="16"/>
              </w:rPr>
              <w:t>借款费用资</w:t>
            </w:r>
            <w:r>
              <w:rPr>
                <w:rFonts w:ascii="宋体" w:hAnsi="宋体" w:cs="宋体" w:eastAsia="宋体" w:hint="default"/>
                <w:spacing w:val="-74"/>
                <w:sz w:val="16"/>
                <w:szCs w:val="16"/>
              </w:rPr>
              <w:t> </w:t>
            </w:r>
            <w:r>
              <w:rPr>
                <w:rFonts w:ascii="宋体" w:hAnsi="宋体" w:cs="宋体" w:eastAsia="宋体" w:hint="default"/>
                <w:spacing w:val="-74"/>
                <w:sz w:val="16"/>
                <w:szCs w:val="16"/>
              </w:rPr>
            </w:r>
            <w:r>
              <w:rPr>
                <w:rFonts w:ascii="宋体" w:hAnsi="宋体" w:cs="宋体" w:eastAsia="宋体" w:hint="default"/>
                <w:sz w:val="16"/>
                <w:szCs w:val="16"/>
              </w:rPr>
              <w:t>本化金额</w:t>
            </w:r>
          </w:p>
        </w:tc>
        <w:tc>
          <w:tcPr>
            <w:tcW w:w="1137"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122"/>
              <w:jc w:val="center"/>
              <w:rPr>
                <w:rFonts w:ascii="宋体" w:hAnsi="宋体" w:cs="宋体" w:eastAsia="宋体" w:hint="default"/>
                <w:sz w:val="16"/>
                <w:szCs w:val="16"/>
              </w:rPr>
            </w:pPr>
            <w:r>
              <w:rPr>
                <w:rFonts w:ascii="宋体" w:hAnsi="宋体" w:cs="宋体" w:eastAsia="宋体" w:hint="default"/>
                <w:sz w:val="16"/>
                <w:szCs w:val="16"/>
              </w:rPr>
              <w:t>资金来源</w:t>
            </w:r>
          </w:p>
        </w:tc>
      </w:tr>
      <w:tr>
        <w:trPr>
          <w:trHeight w:val="407" w:hRule="exact"/>
        </w:trPr>
        <w:tc>
          <w:tcPr>
            <w:tcW w:w="4412"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6"/>
                <w:szCs w:val="16"/>
              </w:rPr>
            </w:pPr>
            <w:r>
              <w:rPr>
                <w:rFonts w:ascii="宋体" w:hAnsi="宋体" w:cs="宋体" w:eastAsia="宋体" w:hint="default"/>
                <w:sz w:val="16"/>
                <w:szCs w:val="16"/>
              </w:rPr>
              <w:t>中国联通华北（廊坊）基地建设项目新建工程</w:t>
            </w:r>
          </w:p>
        </w:tc>
        <w:tc>
          <w:tcPr>
            <w:tcW w:w="1028"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
              <w:jc w:val="right"/>
              <w:rPr>
                <w:rFonts w:ascii="Arial" w:hAnsi="Arial" w:cs="Arial" w:eastAsia="Arial" w:hint="default"/>
                <w:sz w:val="16"/>
                <w:szCs w:val="16"/>
              </w:rPr>
            </w:pPr>
            <w:r>
              <w:rPr>
                <w:rFonts w:ascii="Arial"/>
                <w:spacing w:val="-1"/>
                <w:sz w:val="16"/>
              </w:rPr>
              <w:t>13,326</w:t>
            </w:r>
          </w:p>
        </w:tc>
        <w:tc>
          <w:tcPr>
            <w:tcW w:w="1207"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6" w:right="0"/>
              <w:jc w:val="left"/>
              <w:rPr>
                <w:rFonts w:ascii="Arial" w:hAnsi="Arial" w:cs="Arial" w:eastAsia="Arial" w:hint="default"/>
                <w:sz w:val="16"/>
                <w:szCs w:val="16"/>
              </w:rPr>
            </w:pPr>
            <w:r>
              <w:rPr>
                <w:rFonts w:ascii="Arial"/>
                <w:sz w:val="16"/>
              </w:rPr>
              <w:t>483,771,059</w:t>
            </w:r>
          </w:p>
        </w:tc>
        <w:tc>
          <w:tcPr>
            <w:tcW w:w="1236"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Arial" w:hAnsi="Arial" w:cs="Arial" w:eastAsia="Arial" w:hint="default"/>
                <w:sz w:val="16"/>
                <w:szCs w:val="16"/>
              </w:rPr>
            </w:pPr>
            <w:r>
              <w:rPr>
                <w:rFonts w:ascii="Arial"/>
                <w:sz w:val="16"/>
              </w:rPr>
              <w:t>416,067,274</w:t>
            </w:r>
          </w:p>
        </w:tc>
        <w:tc>
          <w:tcPr>
            <w:tcW w:w="1244"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0"/>
              <w:jc w:val="right"/>
              <w:rPr>
                <w:rFonts w:ascii="Arial" w:hAnsi="Arial" w:cs="Arial" w:eastAsia="Arial" w:hint="default"/>
                <w:sz w:val="16"/>
                <w:szCs w:val="16"/>
              </w:rPr>
            </w:pPr>
            <w:r>
              <w:rPr>
                <w:rFonts w:ascii="Arial"/>
                <w:w w:val="100"/>
                <w:sz w:val="16"/>
              </w:rPr>
              <w:t>-</w:t>
            </w:r>
          </w:p>
        </w:tc>
        <w:tc>
          <w:tcPr>
            <w:tcW w:w="966"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7"/>
              <w:jc w:val="right"/>
              <w:rPr>
                <w:rFonts w:ascii="Arial" w:hAnsi="Arial" w:cs="Arial" w:eastAsia="Arial" w:hint="default"/>
                <w:sz w:val="16"/>
                <w:szCs w:val="16"/>
              </w:rPr>
            </w:pPr>
            <w:r>
              <w:rPr>
                <w:rFonts w:ascii="Arial"/>
                <w:w w:val="100"/>
                <w:sz w:val="16"/>
              </w:rPr>
              <w:t>-</w:t>
            </w:r>
          </w:p>
        </w:tc>
        <w:tc>
          <w:tcPr>
            <w:tcW w:w="1072"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Arial" w:hAnsi="Arial" w:cs="Arial" w:eastAsia="Arial" w:hint="default"/>
                <w:sz w:val="16"/>
                <w:szCs w:val="16"/>
              </w:rPr>
            </w:pPr>
            <w:r>
              <w:rPr>
                <w:rFonts w:ascii="Arial"/>
                <w:spacing w:val="-1"/>
                <w:sz w:val="16"/>
              </w:rPr>
              <w:t>899,838,333</w:t>
            </w:r>
          </w:p>
        </w:tc>
        <w:tc>
          <w:tcPr>
            <w:tcW w:w="667"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right"/>
              <w:rPr>
                <w:rFonts w:ascii="Arial" w:hAnsi="Arial" w:cs="Arial" w:eastAsia="Arial" w:hint="default"/>
                <w:sz w:val="16"/>
                <w:szCs w:val="16"/>
              </w:rPr>
            </w:pPr>
            <w:r>
              <w:rPr>
                <w:rFonts w:ascii="Arial"/>
                <w:spacing w:val="-1"/>
                <w:sz w:val="16"/>
              </w:rPr>
              <w:t>7%</w:t>
            </w:r>
            <w:r>
              <w:rPr>
                <w:rFonts w:ascii="Arial"/>
                <w:sz w:val="16"/>
              </w:rPr>
            </w:r>
          </w:p>
        </w:tc>
        <w:tc>
          <w:tcPr>
            <w:tcW w:w="1002"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3" w:right="0"/>
              <w:jc w:val="left"/>
              <w:rPr>
                <w:rFonts w:ascii="Arial" w:hAnsi="Arial" w:cs="Arial" w:eastAsia="Arial" w:hint="default"/>
                <w:sz w:val="16"/>
                <w:szCs w:val="16"/>
              </w:rPr>
            </w:pPr>
            <w:r>
              <w:rPr>
                <w:rFonts w:ascii="Arial"/>
                <w:sz w:val="16"/>
              </w:rPr>
              <w:t>26,374,863</w:t>
            </w:r>
          </w:p>
        </w:tc>
        <w:tc>
          <w:tcPr>
            <w:tcW w:w="913"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right"/>
              <w:rPr>
                <w:rFonts w:ascii="Arial" w:hAnsi="Arial" w:cs="Arial" w:eastAsia="Arial" w:hint="default"/>
                <w:sz w:val="16"/>
                <w:szCs w:val="16"/>
              </w:rPr>
            </w:pPr>
            <w:r>
              <w:rPr>
                <w:rFonts w:ascii="Arial"/>
                <w:spacing w:val="-1"/>
                <w:sz w:val="16"/>
              </w:rPr>
              <w:t>20,919,923</w:t>
            </w:r>
          </w:p>
        </w:tc>
        <w:tc>
          <w:tcPr>
            <w:tcW w:w="1137"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6"/>
                <w:szCs w:val="16"/>
              </w:rPr>
            </w:pPr>
            <w:r>
              <w:rPr>
                <w:rFonts w:ascii="宋体" w:hAnsi="宋体" w:cs="宋体" w:eastAsia="宋体" w:hint="default"/>
                <w:spacing w:val="-1"/>
                <w:sz w:val="16"/>
                <w:szCs w:val="16"/>
              </w:rPr>
              <w:t>借款及其他来源</w:t>
            </w:r>
          </w:p>
        </w:tc>
      </w:tr>
      <w:tr>
        <w:trPr>
          <w:trHeight w:val="208" w:hRule="exact"/>
        </w:trPr>
        <w:tc>
          <w:tcPr>
            <w:tcW w:w="4412" w:type="dxa"/>
            <w:tcBorders>
              <w:top w:val="nil" w:sz="6" w:space="0" w:color="auto"/>
              <w:left w:val="nil" w:sz="6" w:space="0" w:color="auto"/>
              <w:bottom w:val="nil" w:sz="6" w:space="0" w:color="auto"/>
              <w:right w:val="nil" w:sz="6" w:space="0" w:color="auto"/>
            </w:tcBorders>
          </w:tcPr>
          <w:p>
            <w:pPr>
              <w:pStyle w:val="TableParagraph"/>
              <w:spacing w:line="186" w:lineRule="exact"/>
              <w:ind w:right="0"/>
              <w:jc w:val="lef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6"/>
                <w:sz w:val="16"/>
                <w:szCs w:val="16"/>
              </w:rPr>
              <w:t> </w:t>
            </w:r>
            <w:r>
              <w:rPr>
                <w:rFonts w:ascii="宋体" w:hAnsi="宋体" w:cs="宋体" w:eastAsia="宋体" w:hint="default"/>
                <w:sz w:val="16"/>
                <w:szCs w:val="16"/>
              </w:rPr>
              <w:t>年中国联通北京</w:t>
            </w:r>
            <w:r>
              <w:rPr>
                <w:rFonts w:ascii="宋体" w:hAnsi="宋体" w:cs="宋体" w:eastAsia="宋体" w:hint="default"/>
                <w:spacing w:val="-40"/>
                <w:sz w:val="16"/>
                <w:szCs w:val="16"/>
              </w:rPr>
              <w:t> </w:t>
            </w:r>
            <w:r>
              <w:rPr>
                <w:rFonts w:ascii="Arial" w:hAnsi="Arial" w:cs="Arial" w:eastAsia="Arial" w:hint="default"/>
                <w:sz w:val="16"/>
                <w:szCs w:val="16"/>
              </w:rPr>
              <w:t>LTE</w:t>
            </w:r>
            <w:r>
              <w:rPr>
                <w:rFonts w:ascii="Arial" w:hAnsi="Arial" w:cs="Arial" w:eastAsia="Arial" w:hint="default"/>
                <w:spacing w:val="-2"/>
                <w:sz w:val="16"/>
                <w:szCs w:val="16"/>
              </w:rPr>
              <w:t> </w:t>
            </w:r>
            <w:r>
              <w:rPr>
                <w:rFonts w:ascii="Arial" w:hAnsi="Arial" w:cs="Arial" w:eastAsia="Arial" w:hint="default"/>
                <w:sz w:val="16"/>
                <w:szCs w:val="16"/>
              </w:rPr>
              <w:t>FDD</w:t>
            </w:r>
            <w:r>
              <w:rPr>
                <w:rFonts w:ascii="Arial" w:hAnsi="Arial" w:cs="Arial" w:eastAsia="Arial" w:hint="default"/>
                <w:spacing w:val="-6"/>
                <w:sz w:val="16"/>
                <w:szCs w:val="16"/>
              </w:rPr>
              <w:t> </w:t>
            </w:r>
            <w:r>
              <w:rPr>
                <w:rFonts w:ascii="宋体" w:hAnsi="宋体" w:cs="宋体" w:eastAsia="宋体" w:hint="default"/>
                <w:sz w:val="16"/>
                <w:szCs w:val="16"/>
              </w:rPr>
              <w:t>试验网无线主体工程</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
              <w:jc w:val="right"/>
              <w:rPr>
                <w:rFonts w:ascii="Arial" w:hAnsi="Arial" w:cs="Arial" w:eastAsia="Arial" w:hint="default"/>
                <w:sz w:val="16"/>
                <w:szCs w:val="16"/>
              </w:rPr>
            </w:pPr>
            <w:r>
              <w:rPr>
                <w:rFonts w:ascii="Arial"/>
                <w:spacing w:val="-1"/>
                <w:sz w:val="16"/>
              </w:rPr>
              <w:t>462</w:t>
            </w:r>
            <w:r>
              <w:rPr>
                <w:rFonts w:ascii="Arial"/>
                <w:sz w:val="16"/>
              </w:rPr>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8"/>
              <w:jc w:val="right"/>
              <w:rPr>
                <w:rFonts w:ascii="Arial" w:hAnsi="Arial" w:cs="Arial" w:eastAsia="Arial" w:hint="default"/>
                <w:sz w:val="16"/>
                <w:szCs w:val="16"/>
              </w:rPr>
            </w:pPr>
            <w:r>
              <w:rPr>
                <w:rFonts w:ascii="Arial"/>
                <w:w w:val="100"/>
                <w:sz w:val="16"/>
              </w:rPr>
              <w:t>-</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72" w:right="0"/>
              <w:jc w:val="left"/>
              <w:rPr>
                <w:rFonts w:ascii="Arial" w:hAnsi="Arial" w:cs="Arial" w:eastAsia="Arial" w:hint="default"/>
                <w:sz w:val="16"/>
                <w:szCs w:val="16"/>
              </w:rPr>
            </w:pPr>
            <w:r>
              <w:rPr>
                <w:rFonts w:ascii="Arial"/>
                <w:sz w:val="16"/>
              </w:rPr>
              <w:t>278,969,848</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0"/>
              <w:jc w:val="right"/>
              <w:rPr>
                <w:rFonts w:ascii="Arial" w:hAnsi="Arial" w:cs="Arial" w:eastAsia="Arial" w:hint="default"/>
                <w:sz w:val="16"/>
                <w:szCs w:val="16"/>
              </w:rPr>
            </w:pPr>
            <w:r>
              <w:rPr>
                <w:rFonts w:ascii="Arial"/>
                <w:w w:val="100"/>
                <w:sz w:val="16"/>
              </w:rPr>
              <w:t>-</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7"/>
              <w:jc w:val="right"/>
              <w:rPr>
                <w:rFonts w:ascii="Arial" w:hAnsi="Arial" w:cs="Arial" w:eastAsia="Arial" w:hint="default"/>
                <w:sz w:val="16"/>
                <w:szCs w:val="16"/>
              </w:rPr>
            </w:pPr>
            <w:r>
              <w:rPr>
                <w:rFonts w:ascii="Arial"/>
                <w:w w:val="100"/>
                <w:sz w:val="16"/>
              </w:rPr>
              <w:t>-</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
              <w:jc w:val="right"/>
              <w:rPr>
                <w:rFonts w:ascii="Arial" w:hAnsi="Arial" w:cs="Arial" w:eastAsia="Arial" w:hint="default"/>
                <w:sz w:val="16"/>
                <w:szCs w:val="16"/>
              </w:rPr>
            </w:pPr>
            <w:r>
              <w:rPr>
                <w:rFonts w:ascii="Arial"/>
                <w:spacing w:val="-1"/>
                <w:sz w:val="16"/>
              </w:rPr>
              <w:t>278,969,848</w:t>
            </w: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
              <w:jc w:val="right"/>
              <w:rPr>
                <w:rFonts w:ascii="Arial" w:hAnsi="Arial" w:cs="Arial" w:eastAsia="Arial" w:hint="default"/>
                <w:sz w:val="16"/>
                <w:szCs w:val="16"/>
              </w:rPr>
            </w:pPr>
            <w:r>
              <w:rPr>
                <w:rFonts w:ascii="Arial"/>
                <w:spacing w:val="-1"/>
                <w:sz w:val="16"/>
              </w:rPr>
              <w:t>60%</w:t>
            </w:r>
            <w:r>
              <w:rPr>
                <w:rFonts w:ascii="Arial"/>
                <w:sz w:val="16"/>
              </w:rPr>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42" w:right="0"/>
              <w:jc w:val="left"/>
              <w:rPr>
                <w:rFonts w:ascii="Arial" w:hAnsi="Arial" w:cs="Arial" w:eastAsia="Arial" w:hint="default"/>
                <w:sz w:val="16"/>
                <w:szCs w:val="16"/>
              </w:rPr>
            </w:pPr>
            <w:r>
              <w:rPr>
                <w:rFonts w:ascii="Arial"/>
                <w:sz w:val="16"/>
              </w:rPr>
              <w:t>2,560,651</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
              <w:jc w:val="right"/>
              <w:rPr>
                <w:rFonts w:ascii="Arial" w:hAnsi="Arial" w:cs="Arial" w:eastAsia="Arial" w:hint="default"/>
                <w:sz w:val="16"/>
                <w:szCs w:val="16"/>
              </w:rPr>
            </w:pPr>
            <w:r>
              <w:rPr>
                <w:rFonts w:ascii="Arial"/>
                <w:spacing w:val="-1"/>
                <w:sz w:val="16"/>
              </w:rPr>
              <w:t>2,560,651</w:t>
            </w:r>
          </w:p>
        </w:tc>
        <w:tc>
          <w:tcPr>
            <w:tcW w:w="1137" w:type="dxa"/>
            <w:tcBorders>
              <w:top w:val="nil" w:sz="6" w:space="0" w:color="auto"/>
              <w:left w:val="nil" w:sz="6" w:space="0" w:color="auto"/>
              <w:bottom w:val="nil" w:sz="6" w:space="0" w:color="auto"/>
              <w:right w:val="nil" w:sz="6" w:space="0" w:color="auto"/>
            </w:tcBorders>
          </w:tcPr>
          <w:p>
            <w:pPr>
              <w:pStyle w:val="TableParagraph"/>
              <w:spacing w:line="175" w:lineRule="exact"/>
              <w:ind w:left="9" w:right="0"/>
              <w:jc w:val="center"/>
              <w:rPr>
                <w:rFonts w:ascii="宋体" w:hAnsi="宋体" w:cs="宋体" w:eastAsia="宋体" w:hint="default"/>
                <w:sz w:val="16"/>
                <w:szCs w:val="16"/>
              </w:rPr>
            </w:pPr>
            <w:r>
              <w:rPr>
                <w:rFonts w:ascii="宋体" w:hAnsi="宋体" w:cs="宋体" w:eastAsia="宋体" w:hint="default"/>
                <w:spacing w:val="-1"/>
                <w:sz w:val="16"/>
                <w:szCs w:val="16"/>
              </w:rPr>
              <w:t>借款及其他来源</w:t>
            </w:r>
          </w:p>
        </w:tc>
      </w:tr>
      <w:tr>
        <w:trPr>
          <w:trHeight w:val="206" w:hRule="exact"/>
        </w:trPr>
        <w:tc>
          <w:tcPr>
            <w:tcW w:w="4412" w:type="dxa"/>
            <w:tcBorders>
              <w:top w:val="nil" w:sz="6" w:space="0" w:color="auto"/>
              <w:left w:val="nil" w:sz="6" w:space="0" w:color="auto"/>
              <w:bottom w:val="nil" w:sz="6" w:space="0" w:color="auto"/>
              <w:right w:val="nil" w:sz="6" w:space="0" w:color="auto"/>
            </w:tcBorders>
          </w:tcPr>
          <w:p>
            <w:pPr>
              <w:pStyle w:val="TableParagraph"/>
              <w:spacing w:line="187" w:lineRule="exact"/>
              <w:ind w:right="0"/>
              <w:jc w:val="left"/>
              <w:rPr>
                <w:rFonts w:ascii="宋体" w:hAnsi="宋体" w:cs="宋体" w:eastAsia="宋体" w:hint="default"/>
                <w:sz w:val="16"/>
                <w:szCs w:val="16"/>
              </w:rPr>
            </w:pPr>
            <w:r>
              <w:rPr>
                <w:rFonts w:ascii="Arial" w:hAnsi="Arial" w:cs="Arial" w:eastAsia="Arial" w:hint="default"/>
                <w:sz w:val="16"/>
                <w:szCs w:val="16"/>
              </w:rPr>
              <w:t>2012</w:t>
            </w:r>
            <w:r>
              <w:rPr>
                <w:rFonts w:ascii="Arial" w:hAnsi="Arial" w:cs="Arial" w:eastAsia="Arial" w:hint="default"/>
                <w:spacing w:val="-9"/>
                <w:sz w:val="16"/>
                <w:szCs w:val="16"/>
              </w:rPr>
              <w:t> </w:t>
            </w:r>
            <w:r>
              <w:rPr>
                <w:rFonts w:ascii="宋体" w:hAnsi="宋体" w:cs="宋体" w:eastAsia="宋体" w:hint="default"/>
                <w:sz w:val="16"/>
                <w:szCs w:val="16"/>
              </w:rPr>
              <w:t>年中国联通陕西西安数据中心（基地）一期新建工程</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
              <w:jc w:val="right"/>
              <w:rPr>
                <w:rFonts w:ascii="Arial" w:hAnsi="Arial" w:cs="Arial" w:eastAsia="Arial" w:hint="default"/>
                <w:sz w:val="16"/>
                <w:szCs w:val="16"/>
              </w:rPr>
            </w:pPr>
            <w:r>
              <w:rPr>
                <w:rFonts w:ascii="Arial"/>
                <w:spacing w:val="-1"/>
                <w:sz w:val="16"/>
              </w:rPr>
              <w:t>550</w:t>
            </w:r>
            <w:r>
              <w:rPr>
                <w:rFonts w:ascii="Arial"/>
                <w:sz w:val="16"/>
              </w:rPr>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4" w:right="0"/>
              <w:jc w:val="left"/>
              <w:rPr>
                <w:rFonts w:ascii="Arial" w:hAnsi="Arial" w:cs="Arial" w:eastAsia="Arial" w:hint="default"/>
                <w:sz w:val="16"/>
                <w:szCs w:val="16"/>
              </w:rPr>
            </w:pPr>
            <w:r>
              <w:rPr>
                <w:rFonts w:ascii="Arial"/>
                <w:sz w:val="16"/>
              </w:rPr>
              <w:t>88,614,800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2" w:right="0"/>
              <w:jc w:val="left"/>
              <w:rPr>
                <w:rFonts w:ascii="Arial" w:hAnsi="Arial" w:cs="Arial" w:eastAsia="Arial" w:hint="default"/>
                <w:sz w:val="16"/>
                <w:szCs w:val="16"/>
              </w:rPr>
            </w:pPr>
            <w:r>
              <w:rPr>
                <w:rFonts w:ascii="Arial"/>
                <w:sz w:val="16"/>
              </w:rPr>
              <w:t>250,572,538</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0"/>
              <w:jc w:val="right"/>
              <w:rPr>
                <w:rFonts w:ascii="Arial" w:hAnsi="Arial" w:cs="Arial" w:eastAsia="Arial" w:hint="default"/>
                <w:sz w:val="16"/>
                <w:szCs w:val="16"/>
              </w:rPr>
            </w:pPr>
            <w:r>
              <w:rPr>
                <w:rFonts w:ascii="Arial"/>
                <w:w w:val="100"/>
                <w:sz w:val="16"/>
              </w:rPr>
              <w:t>-</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Arial" w:hAnsi="Arial" w:cs="Arial" w:eastAsia="Arial" w:hint="default"/>
                <w:sz w:val="16"/>
                <w:szCs w:val="16"/>
              </w:rPr>
            </w:pPr>
            <w:r>
              <w:rPr>
                <w:rFonts w:ascii="Arial"/>
                <w:w w:val="100"/>
                <w:sz w:val="16"/>
              </w:rPr>
              <w:t>-</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
              <w:jc w:val="right"/>
              <w:rPr>
                <w:rFonts w:ascii="Arial" w:hAnsi="Arial" w:cs="Arial" w:eastAsia="Arial" w:hint="default"/>
                <w:sz w:val="16"/>
                <w:szCs w:val="16"/>
              </w:rPr>
            </w:pPr>
            <w:r>
              <w:rPr>
                <w:rFonts w:ascii="Arial"/>
                <w:spacing w:val="-1"/>
                <w:sz w:val="16"/>
              </w:rPr>
              <w:t>339,187,338</w:t>
            </w: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
              <w:jc w:val="right"/>
              <w:rPr>
                <w:rFonts w:ascii="Arial" w:hAnsi="Arial" w:cs="Arial" w:eastAsia="Arial" w:hint="default"/>
                <w:sz w:val="16"/>
                <w:szCs w:val="16"/>
              </w:rPr>
            </w:pPr>
            <w:r>
              <w:rPr>
                <w:rFonts w:ascii="Arial"/>
                <w:spacing w:val="-1"/>
                <w:sz w:val="16"/>
              </w:rPr>
              <w:t>62%</w:t>
            </w:r>
            <w:r>
              <w:rPr>
                <w:rFonts w:ascii="Arial"/>
                <w:sz w:val="16"/>
              </w:rPr>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42" w:right="0"/>
              <w:jc w:val="left"/>
              <w:rPr>
                <w:rFonts w:ascii="Arial" w:hAnsi="Arial" w:cs="Arial" w:eastAsia="Arial" w:hint="default"/>
                <w:sz w:val="16"/>
                <w:szCs w:val="16"/>
              </w:rPr>
            </w:pPr>
            <w:r>
              <w:rPr>
                <w:rFonts w:ascii="Arial"/>
                <w:sz w:val="16"/>
              </w:rPr>
              <w:t>3,906,633</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
              <w:jc w:val="right"/>
              <w:rPr>
                <w:rFonts w:ascii="Arial" w:hAnsi="Arial" w:cs="Arial" w:eastAsia="Arial" w:hint="default"/>
                <w:sz w:val="16"/>
                <w:szCs w:val="16"/>
              </w:rPr>
            </w:pPr>
            <w:r>
              <w:rPr>
                <w:rFonts w:ascii="Arial"/>
                <w:spacing w:val="-1"/>
                <w:sz w:val="16"/>
              </w:rPr>
              <w:t>3,684,332</w:t>
            </w:r>
          </w:p>
        </w:tc>
        <w:tc>
          <w:tcPr>
            <w:tcW w:w="1137" w:type="dxa"/>
            <w:tcBorders>
              <w:top w:val="nil" w:sz="6" w:space="0" w:color="auto"/>
              <w:left w:val="nil" w:sz="6" w:space="0" w:color="auto"/>
              <w:bottom w:val="nil" w:sz="6" w:space="0" w:color="auto"/>
              <w:right w:val="nil" w:sz="6" w:space="0" w:color="auto"/>
            </w:tcBorders>
          </w:tcPr>
          <w:p>
            <w:pPr>
              <w:pStyle w:val="TableParagraph"/>
              <w:spacing w:line="176" w:lineRule="exact"/>
              <w:ind w:left="9" w:right="0"/>
              <w:jc w:val="center"/>
              <w:rPr>
                <w:rFonts w:ascii="宋体" w:hAnsi="宋体" w:cs="宋体" w:eastAsia="宋体" w:hint="default"/>
                <w:sz w:val="16"/>
                <w:szCs w:val="16"/>
              </w:rPr>
            </w:pPr>
            <w:r>
              <w:rPr>
                <w:rFonts w:ascii="宋体" w:hAnsi="宋体" w:cs="宋体" w:eastAsia="宋体" w:hint="default"/>
                <w:spacing w:val="-1"/>
                <w:sz w:val="16"/>
                <w:szCs w:val="16"/>
              </w:rPr>
              <w:t>借款及其他来源</w:t>
            </w:r>
          </w:p>
        </w:tc>
      </w:tr>
      <w:tr>
        <w:trPr>
          <w:trHeight w:val="209" w:hRule="exact"/>
        </w:trPr>
        <w:tc>
          <w:tcPr>
            <w:tcW w:w="4412" w:type="dxa"/>
            <w:tcBorders>
              <w:top w:val="nil" w:sz="6" w:space="0" w:color="auto"/>
              <w:left w:val="nil" w:sz="6" w:space="0" w:color="auto"/>
              <w:bottom w:val="nil" w:sz="6" w:space="0" w:color="auto"/>
              <w:right w:val="nil" w:sz="6" w:space="0" w:color="auto"/>
            </w:tcBorders>
          </w:tcPr>
          <w:p>
            <w:pPr>
              <w:pStyle w:val="TableParagraph"/>
              <w:spacing w:line="187" w:lineRule="exact"/>
              <w:ind w:right="0"/>
              <w:jc w:val="left"/>
              <w:rPr>
                <w:rFonts w:ascii="宋体" w:hAnsi="宋体" w:cs="宋体" w:eastAsia="宋体" w:hint="default"/>
                <w:sz w:val="16"/>
                <w:szCs w:val="16"/>
              </w:rPr>
            </w:pPr>
            <w:r>
              <w:rPr>
                <w:rFonts w:ascii="Arial" w:hAnsi="Arial" w:cs="Arial" w:eastAsia="Arial" w:hint="default"/>
                <w:sz w:val="16"/>
                <w:szCs w:val="16"/>
              </w:rPr>
              <w:t>2012</w:t>
            </w:r>
            <w:r>
              <w:rPr>
                <w:rFonts w:ascii="Arial" w:hAnsi="Arial" w:cs="Arial" w:eastAsia="Arial" w:hint="default"/>
                <w:spacing w:val="-6"/>
                <w:sz w:val="16"/>
                <w:szCs w:val="16"/>
              </w:rPr>
              <w:t> </w:t>
            </w:r>
            <w:r>
              <w:rPr>
                <w:rFonts w:ascii="宋体" w:hAnsi="宋体" w:cs="宋体" w:eastAsia="宋体" w:hint="default"/>
                <w:sz w:val="16"/>
                <w:szCs w:val="16"/>
              </w:rPr>
              <w:t>年中国联通四川天府新区</w:t>
            </w:r>
            <w:r>
              <w:rPr>
                <w:rFonts w:ascii="宋体" w:hAnsi="宋体" w:cs="宋体" w:eastAsia="宋体" w:hint="default"/>
                <w:spacing w:val="-40"/>
                <w:sz w:val="16"/>
                <w:szCs w:val="16"/>
              </w:rPr>
              <w:t> </w:t>
            </w:r>
            <w:r>
              <w:rPr>
                <w:rFonts w:ascii="Arial" w:hAnsi="Arial" w:cs="Arial" w:eastAsia="Arial" w:hint="default"/>
                <w:sz w:val="16"/>
                <w:szCs w:val="16"/>
              </w:rPr>
              <w:t>IDC</w:t>
            </w:r>
            <w:r>
              <w:rPr>
                <w:rFonts w:ascii="Arial" w:hAnsi="Arial" w:cs="Arial" w:eastAsia="Arial" w:hint="default"/>
                <w:spacing w:val="-6"/>
                <w:sz w:val="16"/>
                <w:szCs w:val="16"/>
              </w:rPr>
              <w:t> </w:t>
            </w:r>
            <w:r>
              <w:rPr>
                <w:rFonts w:ascii="宋体" w:hAnsi="宋体" w:cs="宋体" w:eastAsia="宋体" w:hint="default"/>
                <w:sz w:val="16"/>
                <w:szCs w:val="16"/>
              </w:rPr>
              <w:t>中心新建工程</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
              <w:jc w:val="right"/>
              <w:rPr>
                <w:rFonts w:ascii="Arial" w:hAnsi="Arial" w:cs="Arial" w:eastAsia="Arial" w:hint="default"/>
                <w:sz w:val="16"/>
                <w:szCs w:val="16"/>
              </w:rPr>
            </w:pPr>
            <w:r>
              <w:rPr>
                <w:rFonts w:ascii="Arial"/>
                <w:spacing w:val="-1"/>
                <w:sz w:val="16"/>
              </w:rPr>
              <w:t>493</w:t>
            </w:r>
            <w:r>
              <w:rPr>
                <w:rFonts w:ascii="Arial"/>
                <w:sz w:val="16"/>
              </w:rPr>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53" w:right="0"/>
              <w:jc w:val="left"/>
              <w:rPr>
                <w:rFonts w:ascii="Arial" w:hAnsi="Arial" w:cs="Arial" w:eastAsia="Arial" w:hint="default"/>
                <w:sz w:val="16"/>
                <w:szCs w:val="16"/>
              </w:rPr>
            </w:pPr>
            <w:r>
              <w:rPr>
                <w:rFonts w:ascii="Arial"/>
                <w:sz w:val="16"/>
              </w:rPr>
              <w:t>9,690,871</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72" w:right="0"/>
              <w:jc w:val="left"/>
              <w:rPr>
                <w:rFonts w:ascii="Arial" w:hAnsi="Arial" w:cs="Arial" w:eastAsia="Arial" w:hint="default"/>
                <w:sz w:val="16"/>
                <w:szCs w:val="16"/>
              </w:rPr>
            </w:pPr>
            <w:r>
              <w:rPr>
                <w:rFonts w:ascii="Arial"/>
                <w:sz w:val="16"/>
              </w:rPr>
              <w:t>170,634,750</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0"/>
              <w:jc w:val="right"/>
              <w:rPr>
                <w:rFonts w:ascii="Arial" w:hAnsi="Arial" w:cs="Arial" w:eastAsia="Arial" w:hint="default"/>
                <w:sz w:val="16"/>
                <w:szCs w:val="16"/>
              </w:rPr>
            </w:pPr>
            <w:r>
              <w:rPr>
                <w:rFonts w:ascii="Arial"/>
                <w:w w:val="100"/>
                <w:sz w:val="16"/>
              </w:rPr>
              <w:t>-</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7"/>
              <w:jc w:val="right"/>
              <w:rPr>
                <w:rFonts w:ascii="Arial" w:hAnsi="Arial" w:cs="Arial" w:eastAsia="Arial" w:hint="default"/>
                <w:sz w:val="16"/>
                <w:szCs w:val="16"/>
              </w:rPr>
            </w:pPr>
            <w:r>
              <w:rPr>
                <w:rFonts w:ascii="Arial"/>
                <w:w w:val="100"/>
                <w:sz w:val="16"/>
              </w:rPr>
              <w:t>-</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
              <w:jc w:val="right"/>
              <w:rPr>
                <w:rFonts w:ascii="Arial" w:hAnsi="Arial" w:cs="Arial" w:eastAsia="Arial" w:hint="default"/>
                <w:sz w:val="16"/>
                <w:szCs w:val="16"/>
              </w:rPr>
            </w:pPr>
            <w:r>
              <w:rPr>
                <w:rFonts w:ascii="Arial"/>
                <w:spacing w:val="-1"/>
                <w:sz w:val="16"/>
              </w:rPr>
              <w:t>180,325,621</w:t>
            </w: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
              <w:jc w:val="right"/>
              <w:rPr>
                <w:rFonts w:ascii="Arial" w:hAnsi="Arial" w:cs="Arial" w:eastAsia="Arial" w:hint="default"/>
                <w:sz w:val="16"/>
                <w:szCs w:val="16"/>
              </w:rPr>
            </w:pPr>
            <w:r>
              <w:rPr>
                <w:rFonts w:ascii="Arial"/>
                <w:spacing w:val="-1"/>
                <w:sz w:val="16"/>
              </w:rPr>
              <w:t>37%</w:t>
            </w:r>
            <w:r>
              <w:rPr>
                <w:rFonts w:ascii="Arial"/>
                <w:sz w:val="16"/>
              </w:rPr>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42" w:right="0"/>
              <w:jc w:val="left"/>
              <w:rPr>
                <w:rFonts w:ascii="Arial" w:hAnsi="Arial" w:cs="Arial" w:eastAsia="Arial" w:hint="default"/>
                <w:sz w:val="16"/>
                <w:szCs w:val="16"/>
              </w:rPr>
            </w:pPr>
            <w:r>
              <w:rPr>
                <w:rFonts w:ascii="Arial"/>
                <w:sz w:val="16"/>
              </w:rPr>
              <w:t>1,249,046</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
              <w:jc w:val="right"/>
              <w:rPr>
                <w:rFonts w:ascii="Arial" w:hAnsi="Arial" w:cs="Arial" w:eastAsia="Arial" w:hint="default"/>
                <w:sz w:val="16"/>
                <w:szCs w:val="16"/>
              </w:rPr>
            </w:pPr>
            <w:r>
              <w:rPr>
                <w:rFonts w:ascii="Arial"/>
                <w:spacing w:val="-1"/>
                <w:sz w:val="16"/>
              </w:rPr>
              <w:t>1,247,895</w:t>
            </w:r>
          </w:p>
        </w:tc>
        <w:tc>
          <w:tcPr>
            <w:tcW w:w="1137" w:type="dxa"/>
            <w:tcBorders>
              <w:top w:val="nil" w:sz="6" w:space="0" w:color="auto"/>
              <w:left w:val="nil" w:sz="6" w:space="0" w:color="auto"/>
              <w:bottom w:val="nil" w:sz="6" w:space="0" w:color="auto"/>
              <w:right w:val="nil" w:sz="6" w:space="0" w:color="auto"/>
            </w:tcBorders>
          </w:tcPr>
          <w:p>
            <w:pPr>
              <w:pStyle w:val="TableParagraph"/>
              <w:spacing w:line="176" w:lineRule="exact"/>
              <w:ind w:left="9" w:right="0"/>
              <w:jc w:val="center"/>
              <w:rPr>
                <w:rFonts w:ascii="宋体" w:hAnsi="宋体" w:cs="宋体" w:eastAsia="宋体" w:hint="default"/>
                <w:sz w:val="16"/>
                <w:szCs w:val="16"/>
              </w:rPr>
            </w:pPr>
            <w:r>
              <w:rPr>
                <w:rFonts w:ascii="宋体" w:hAnsi="宋体" w:cs="宋体" w:eastAsia="宋体" w:hint="default"/>
                <w:spacing w:val="-1"/>
                <w:sz w:val="16"/>
                <w:szCs w:val="16"/>
              </w:rPr>
              <w:t>借款及其他来源</w:t>
            </w:r>
          </w:p>
        </w:tc>
      </w:tr>
      <w:tr>
        <w:trPr>
          <w:trHeight w:val="206" w:hRule="exact"/>
        </w:trPr>
        <w:tc>
          <w:tcPr>
            <w:tcW w:w="4412" w:type="dxa"/>
            <w:tcBorders>
              <w:top w:val="nil" w:sz="6" w:space="0" w:color="auto"/>
              <w:left w:val="nil" w:sz="6" w:space="0" w:color="auto"/>
              <w:bottom w:val="nil" w:sz="6" w:space="0" w:color="auto"/>
              <w:right w:val="nil" w:sz="6" w:space="0" w:color="auto"/>
            </w:tcBorders>
          </w:tcPr>
          <w:p>
            <w:pPr>
              <w:pStyle w:val="TableParagraph"/>
              <w:spacing w:line="187" w:lineRule="exact"/>
              <w:ind w:right="0"/>
              <w:jc w:val="lef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6"/>
                <w:sz w:val="16"/>
                <w:szCs w:val="16"/>
              </w:rPr>
              <w:t> </w:t>
            </w:r>
            <w:r>
              <w:rPr>
                <w:rFonts w:ascii="宋体" w:hAnsi="宋体" w:cs="宋体" w:eastAsia="宋体" w:hint="default"/>
                <w:sz w:val="16"/>
                <w:szCs w:val="16"/>
              </w:rPr>
              <w:t>年中国联通上海</w:t>
            </w:r>
            <w:r>
              <w:rPr>
                <w:rFonts w:ascii="宋体" w:hAnsi="宋体" w:cs="宋体" w:eastAsia="宋体" w:hint="default"/>
                <w:spacing w:val="-40"/>
                <w:sz w:val="16"/>
                <w:szCs w:val="16"/>
              </w:rPr>
              <w:t> </w:t>
            </w:r>
            <w:r>
              <w:rPr>
                <w:rFonts w:ascii="Arial" w:hAnsi="Arial" w:cs="Arial" w:eastAsia="Arial" w:hint="default"/>
                <w:sz w:val="16"/>
                <w:szCs w:val="16"/>
              </w:rPr>
              <w:t>LTE</w:t>
            </w:r>
            <w:r>
              <w:rPr>
                <w:rFonts w:ascii="Arial" w:hAnsi="Arial" w:cs="Arial" w:eastAsia="Arial" w:hint="default"/>
                <w:spacing w:val="-2"/>
                <w:sz w:val="16"/>
                <w:szCs w:val="16"/>
              </w:rPr>
              <w:t> </w:t>
            </w:r>
            <w:r>
              <w:rPr>
                <w:rFonts w:ascii="Arial" w:hAnsi="Arial" w:cs="Arial" w:eastAsia="Arial" w:hint="default"/>
                <w:sz w:val="16"/>
                <w:szCs w:val="16"/>
              </w:rPr>
              <w:t>FDD</w:t>
            </w:r>
            <w:r>
              <w:rPr>
                <w:rFonts w:ascii="Arial" w:hAnsi="Arial" w:cs="Arial" w:eastAsia="Arial" w:hint="default"/>
                <w:spacing w:val="-6"/>
                <w:sz w:val="16"/>
                <w:szCs w:val="16"/>
              </w:rPr>
              <w:t> </w:t>
            </w:r>
            <w:r>
              <w:rPr>
                <w:rFonts w:ascii="宋体" w:hAnsi="宋体" w:cs="宋体" w:eastAsia="宋体" w:hint="default"/>
                <w:sz w:val="16"/>
                <w:szCs w:val="16"/>
              </w:rPr>
              <w:t>试验网无线网络新建工程</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
              <w:jc w:val="right"/>
              <w:rPr>
                <w:rFonts w:ascii="Arial" w:hAnsi="Arial" w:cs="Arial" w:eastAsia="Arial" w:hint="default"/>
                <w:sz w:val="16"/>
                <w:szCs w:val="16"/>
              </w:rPr>
            </w:pPr>
            <w:r>
              <w:rPr>
                <w:rFonts w:ascii="Arial"/>
                <w:spacing w:val="-1"/>
                <w:sz w:val="16"/>
              </w:rPr>
              <w:t>219</w:t>
            </w:r>
            <w:r>
              <w:rPr>
                <w:rFonts w:ascii="Arial"/>
                <w:sz w:val="16"/>
              </w:rPr>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
              <w:jc w:val="right"/>
              <w:rPr>
                <w:rFonts w:ascii="Arial" w:hAnsi="Arial" w:cs="Arial" w:eastAsia="Arial" w:hint="default"/>
                <w:sz w:val="16"/>
                <w:szCs w:val="16"/>
              </w:rPr>
            </w:pPr>
            <w:r>
              <w:rPr>
                <w:rFonts w:ascii="Arial"/>
                <w:w w:val="100"/>
                <w:sz w:val="16"/>
              </w:rPr>
              <w:t>-</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2" w:right="0"/>
              <w:jc w:val="left"/>
              <w:rPr>
                <w:rFonts w:ascii="Arial" w:hAnsi="Arial" w:cs="Arial" w:eastAsia="Arial" w:hint="default"/>
                <w:sz w:val="16"/>
                <w:szCs w:val="16"/>
              </w:rPr>
            </w:pPr>
            <w:r>
              <w:rPr>
                <w:rFonts w:ascii="Arial"/>
                <w:sz w:val="16"/>
              </w:rPr>
              <w:t>162,597,338</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0" w:right="0"/>
              <w:jc w:val="left"/>
              <w:rPr>
                <w:rFonts w:ascii="Arial" w:hAnsi="Arial" w:cs="Arial" w:eastAsia="Arial" w:hint="default"/>
                <w:sz w:val="16"/>
                <w:szCs w:val="16"/>
              </w:rPr>
            </w:pPr>
            <w:r>
              <w:rPr>
                <w:rFonts w:ascii="Arial"/>
                <w:sz w:val="16"/>
              </w:rPr>
              <w:t>158,878,759</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Arial" w:hAnsi="Arial" w:cs="Arial" w:eastAsia="Arial" w:hint="default"/>
                <w:sz w:val="16"/>
                <w:szCs w:val="16"/>
              </w:rPr>
            </w:pPr>
            <w:r>
              <w:rPr>
                <w:rFonts w:ascii="Arial"/>
                <w:w w:val="100"/>
                <w:sz w:val="16"/>
              </w:rPr>
              <w:t>-</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
              <w:jc w:val="right"/>
              <w:rPr>
                <w:rFonts w:ascii="Arial" w:hAnsi="Arial" w:cs="Arial" w:eastAsia="Arial" w:hint="default"/>
                <w:sz w:val="16"/>
                <w:szCs w:val="16"/>
              </w:rPr>
            </w:pPr>
            <w:r>
              <w:rPr>
                <w:rFonts w:ascii="Arial"/>
                <w:spacing w:val="-1"/>
                <w:sz w:val="16"/>
              </w:rPr>
              <w:t>3,718,579</w:t>
            </w: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
              <w:jc w:val="right"/>
              <w:rPr>
                <w:rFonts w:ascii="Arial" w:hAnsi="Arial" w:cs="Arial" w:eastAsia="Arial" w:hint="default"/>
                <w:sz w:val="16"/>
                <w:szCs w:val="16"/>
              </w:rPr>
            </w:pPr>
            <w:r>
              <w:rPr>
                <w:rFonts w:ascii="Arial"/>
                <w:spacing w:val="-1"/>
                <w:sz w:val="16"/>
              </w:rPr>
              <w:t>74%</w:t>
            </w:r>
            <w:r>
              <w:rPr>
                <w:rFonts w:ascii="Arial"/>
                <w:sz w:val="16"/>
              </w:rPr>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6" w:right="0"/>
              <w:jc w:val="left"/>
              <w:rPr>
                <w:rFonts w:ascii="Arial" w:hAnsi="Arial" w:cs="Arial" w:eastAsia="Arial" w:hint="default"/>
                <w:sz w:val="16"/>
                <w:szCs w:val="16"/>
              </w:rPr>
            </w:pPr>
            <w:r>
              <w:rPr>
                <w:rFonts w:ascii="Arial"/>
                <w:sz w:val="16"/>
              </w:rPr>
              <w:t>472,818</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
              <w:jc w:val="right"/>
              <w:rPr>
                <w:rFonts w:ascii="Arial" w:hAnsi="Arial" w:cs="Arial" w:eastAsia="Arial" w:hint="default"/>
                <w:sz w:val="16"/>
                <w:szCs w:val="16"/>
              </w:rPr>
            </w:pPr>
            <w:r>
              <w:rPr>
                <w:rFonts w:ascii="Arial"/>
                <w:spacing w:val="-1"/>
                <w:sz w:val="16"/>
              </w:rPr>
              <w:t>472,818</w:t>
            </w:r>
          </w:p>
        </w:tc>
        <w:tc>
          <w:tcPr>
            <w:tcW w:w="1137" w:type="dxa"/>
            <w:tcBorders>
              <w:top w:val="nil" w:sz="6" w:space="0" w:color="auto"/>
              <w:left w:val="nil" w:sz="6" w:space="0" w:color="auto"/>
              <w:bottom w:val="nil" w:sz="6" w:space="0" w:color="auto"/>
              <w:right w:val="nil" w:sz="6" w:space="0" w:color="auto"/>
            </w:tcBorders>
          </w:tcPr>
          <w:p>
            <w:pPr>
              <w:pStyle w:val="TableParagraph"/>
              <w:spacing w:line="176" w:lineRule="exact"/>
              <w:ind w:left="9" w:right="0"/>
              <w:jc w:val="center"/>
              <w:rPr>
                <w:rFonts w:ascii="宋体" w:hAnsi="宋体" w:cs="宋体" w:eastAsia="宋体" w:hint="default"/>
                <w:sz w:val="16"/>
                <w:szCs w:val="16"/>
              </w:rPr>
            </w:pPr>
            <w:r>
              <w:rPr>
                <w:rFonts w:ascii="宋体" w:hAnsi="宋体" w:cs="宋体" w:eastAsia="宋体" w:hint="default"/>
                <w:spacing w:val="-1"/>
                <w:sz w:val="16"/>
                <w:szCs w:val="16"/>
              </w:rPr>
              <w:t>借款及其他来源</w:t>
            </w:r>
          </w:p>
        </w:tc>
      </w:tr>
      <w:tr>
        <w:trPr>
          <w:trHeight w:val="209" w:hRule="exact"/>
        </w:trPr>
        <w:tc>
          <w:tcPr>
            <w:tcW w:w="4412" w:type="dxa"/>
            <w:tcBorders>
              <w:top w:val="nil" w:sz="6" w:space="0" w:color="auto"/>
              <w:left w:val="nil" w:sz="6" w:space="0" w:color="auto"/>
              <w:bottom w:val="nil" w:sz="6" w:space="0" w:color="auto"/>
              <w:right w:val="nil" w:sz="6" w:space="0" w:color="auto"/>
            </w:tcBorders>
          </w:tcPr>
          <w:p>
            <w:pPr>
              <w:pStyle w:val="TableParagraph"/>
              <w:spacing w:line="187" w:lineRule="exact"/>
              <w:ind w:right="0"/>
              <w:jc w:val="lef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7"/>
                <w:sz w:val="16"/>
                <w:szCs w:val="16"/>
              </w:rPr>
              <w:t> </w:t>
            </w:r>
            <w:r>
              <w:rPr>
                <w:rFonts w:ascii="宋体" w:hAnsi="宋体" w:cs="宋体" w:eastAsia="宋体" w:hint="default"/>
                <w:sz w:val="16"/>
                <w:szCs w:val="16"/>
              </w:rPr>
              <w:t>年中国联通北京</w:t>
            </w:r>
            <w:r>
              <w:rPr>
                <w:rFonts w:ascii="宋体" w:hAnsi="宋体" w:cs="宋体" w:eastAsia="宋体" w:hint="default"/>
                <w:spacing w:val="-41"/>
                <w:sz w:val="16"/>
                <w:szCs w:val="16"/>
              </w:rPr>
              <w:t> </w:t>
            </w:r>
            <w:r>
              <w:rPr>
                <w:rFonts w:ascii="Arial" w:hAnsi="Arial" w:cs="Arial" w:eastAsia="Arial" w:hint="default"/>
                <w:sz w:val="16"/>
                <w:szCs w:val="16"/>
              </w:rPr>
              <w:t>LTE</w:t>
            </w:r>
            <w:r>
              <w:rPr>
                <w:rFonts w:ascii="Arial" w:hAnsi="Arial" w:cs="Arial" w:eastAsia="Arial" w:hint="default"/>
                <w:spacing w:val="-5"/>
                <w:sz w:val="16"/>
                <w:szCs w:val="16"/>
              </w:rPr>
              <w:t> </w:t>
            </w:r>
            <w:r>
              <w:rPr>
                <w:rFonts w:ascii="宋体" w:hAnsi="宋体" w:cs="宋体" w:eastAsia="宋体" w:hint="default"/>
                <w:sz w:val="16"/>
                <w:szCs w:val="16"/>
              </w:rPr>
              <w:t>室内覆盖新建（第一期）工程</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
              <w:jc w:val="right"/>
              <w:rPr>
                <w:rFonts w:ascii="Arial" w:hAnsi="Arial" w:cs="Arial" w:eastAsia="Arial" w:hint="default"/>
                <w:sz w:val="16"/>
                <w:szCs w:val="16"/>
              </w:rPr>
            </w:pPr>
            <w:r>
              <w:rPr>
                <w:rFonts w:ascii="Arial"/>
                <w:spacing w:val="-1"/>
                <w:sz w:val="16"/>
              </w:rPr>
              <w:t>324</w:t>
            </w:r>
            <w:r>
              <w:rPr>
                <w:rFonts w:ascii="Arial"/>
                <w:sz w:val="16"/>
              </w:rPr>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8"/>
              <w:jc w:val="right"/>
              <w:rPr>
                <w:rFonts w:ascii="Arial" w:hAnsi="Arial" w:cs="Arial" w:eastAsia="Arial" w:hint="default"/>
                <w:sz w:val="16"/>
                <w:szCs w:val="16"/>
              </w:rPr>
            </w:pPr>
            <w:r>
              <w:rPr>
                <w:rFonts w:ascii="Arial"/>
                <w:w w:val="100"/>
                <w:sz w:val="16"/>
              </w:rPr>
              <w:t>-</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72" w:right="0"/>
              <w:jc w:val="left"/>
              <w:rPr>
                <w:rFonts w:ascii="Arial" w:hAnsi="Arial" w:cs="Arial" w:eastAsia="Arial" w:hint="default"/>
                <w:sz w:val="16"/>
                <w:szCs w:val="16"/>
              </w:rPr>
            </w:pPr>
            <w:r>
              <w:rPr>
                <w:rFonts w:ascii="Arial"/>
                <w:sz w:val="16"/>
              </w:rPr>
              <w:t>161,290,478</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0"/>
              <w:jc w:val="right"/>
              <w:rPr>
                <w:rFonts w:ascii="Arial" w:hAnsi="Arial" w:cs="Arial" w:eastAsia="Arial" w:hint="default"/>
                <w:sz w:val="16"/>
                <w:szCs w:val="16"/>
              </w:rPr>
            </w:pPr>
            <w:r>
              <w:rPr>
                <w:rFonts w:ascii="Arial"/>
                <w:w w:val="100"/>
                <w:sz w:val="16"/>
              </w:rPr>
              <w:t>-</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7"/>
              <w:jc w:val="right"/>
              <w:rPr>
                <w:rFonts w:ascii="Arial" w:hAnsi="Arial" w:cs="Arial" w:eastAsia="Arial" w:hint="default"/>
                <w:sz w:val="16"/>
                <w:szCs w:val="16"/>
              </w:rPr>
            </w:pPr>
            <w:r>
              <w:rPr>
                <w:rFonts w:ascii="Arial"/>
                <w:w w:val="100"/>
                <w:sz w:val="16"/>
              </w:rPr>
              <w:t>-</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
              <w:jc w:val="right"/>
              <w:rPr>
                <w:rFonts w:ascii="Arial" w:hAnsi="Arial" w:cs="Arial" w:eastAsia="Arial" w:hint="default"/>
                <w:sz w:val="16"/>
                <w:szCs w:val="16"/>
              </w:rPr>
            </w:pPr>
            <w:r>
              <w:rPr>
                <w:rFonts w:ascii="Arial"/>
                <w:spacing w:val="-1"/>
                <w:sz w:val="16"/>
              </w:rPr>
              <w:t>161,290,478</w:t>
            </w: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
              <w:jc w:val="right"/>
              <w:rPr>
                <w:rFonts w:ascii="Arial" w:hAnsi="Arial" w:cs="Arial" w:eastAsia="Arial" w:hint="default"/>
                <w:sz w:val="16"/>
                <w:szCs w:val="16"/>
              </w:rPr>
            </w:pPr>
            <w:r>
              <w:rPr>
                <w:rFonts w:ascii="Arial"/>
                <w:spacing w:val="-1"/>
                <w:sz w:val="16"/>
              </w:rPr>
              <w:t>50%</w:t>
            </w:r>
            <w:r>
              <w:rPr>
                <w:rFonts w:ascii="Arial"/>
                <w:sz w:val="16"/>
              </w:rPr>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76" w:right="0"/>
              <w:jc w:val="left"/>
              <w:rPr>
                <w:rFonts w:ascii="Arial" w:hAnsi="Arial" w:cs="Arial" w:eastAsia="Arial" w:hint="default"/>
                <w:sz w:val="16"/>
                <w:szCs w:val="16"/>
              </w:rPr>
            </w:pPr>
            <w:r>
              <w:rPr>
                <w:rFonts w:ascii="Arial"/>
                <w:sz w:val="16"/>
              </w:rPr>
              <w:t>656,687</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
              <w:jc w:val="right"/>
              <w:rPr>
                <w:rFonts w:ascii="Arial" w:hAnsi="Arial" w:cs="Arial" w:eastAsia="Arial" w:hint="default"/>
                <w:sz w:val="16"/>
                <w:szCs w:val="16"/>
              </w:rPr>
            </w:pPr>
            <w:r>
              <w:rPr>
                <w:rFonts w:ascii="Arial"/>
                <w:spacing w:val="-1"/>
                <w:sz w:val="16"/>
              </w:rPr>
              <w:t>656,687</w:t>
            </w:r>
          </w:p>
        </w:tc>
        <w:tc>
          <w:tcPr>
            <w:tcW w:w="1137" w:type="dxa"/>
            <w:tcBorders>
              <w:top w:val="nil" w:sz="6" w:space="0" w:color="auto"/>
              <w:left w:val="nil" w:sz="6" w:space="0" w:color="auto"/>
              <w:bottom w:val="nil" w:sz="6" w:space="0" w:color="auto"/>
              <w:right w:val="nil" w:sz="6" w:space="0" w:color="auto"/>
            </w:tcBorders>
          </w:tcPr>
          <w:p>
            <w:pPr>
              <w:pStyle w:val="TableParagraph"/>
              <w:spacing w:line="176" w:lineRule="exact"/>
              <w:ind w:left="9" w:right="0"/>
              <w:jc w:val="center"/>
              <w:rPr>
                <w:rFonts w:ascii="宋体" w:hAnsi="宋体" w:cs="宋体" w:eastAsia="宋体" w:hint="default"/>
                <w:sz w:val="16"/>
                <w:szCs w:val="16"/>
              </w:rPr>
            </w:pPr>
            <w:r>
              <w:rPr>
                <w:rFonts w:ascii="宋体" w:hAnsi="宋体" w:cs="宋体" w:eastAsia="宋体" w:hint="default"/>
                <w:spacing w:val="-1"/>
                <w:sz w:val="16"/>
                <w:szCs w:val="16"/>
              </w:rPr>
              <w:t>借款及其他来源</w:t>
            </w:r>
          </w:p>
        </w:tc>
      </w:tr>
      <w:tr>
        <w:trPr>
          <w:trHeight w:val="207" w:hRule="exact"/>
        </w:trPr>
        <w:tc>
          <w:tcPr>
            <w:tcW w:w="4412" w:type="dxa"/>
            <w:tcBorders>
              <w:top w:val="nil" w:sz="6" w:space="0" w:color="auto"/>
              <w:left w:val="nil" w:sz="6" w:space="0" w:color="auto"/>
              <w:bottom w:val="nil" w:sz="6" w:space="0" w:color="auto"/>
              <w:right w:val="nil" w:sz="6" w:space="0" w:color="auto"/>
            </w:tcBorders>
          </w:tcPr>
          <w:p>
            <w:pPr>
              <w:pStyle w:val="TableParagraph"/>
              <w:spacing w:line="187" w:lineRule="exact"/>
              <w:ind w:right="0"/>
              <w:jc w:val="lef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5"/>
                <w:sz w:val="16"/>
                <w:szCs w:val="16"/>
              </w:rPr>
              <w:t> </w:t>
            </w:r>
            <w:r>
              <w:rPr>
                <w:rFonts w:ascii="宋体" w:hAnsi="宋体" w:cs="宋体" w:eastAsia="宋体" w:hint="default"/>
                <w:sz w:val="16"/>
                <w:szCs w:val="16"/>
              </w:rPr>
              <w:t>年中国联通北京</w:t>
            </w:r>
            <w:r>
              <w:rPr>
                <w:rFonts w:ascii="宋体" w:hAnsi="宋体" w:cs="宋体" w:eastAsia="宋体" w:hint="default"/>
                <w:spacing w:val="-44"/>
                <w:sz w:val="16"/>
                <w:szCs w:val="16"/>
              </w:rPr>
              <w:t> </w:t>
            </w:r>
            <w:r>
              <w:rPr>
                <w:rFonts w:ascii="Arial" w:hAnsi="Arial" w:cs="Arial" w:eastAsia="Arial" w:hint="default"/>
                <w:sz w:val="16"/>
                <w:szCs w:val="16"/>
              </w:rPr>
              <w:t>WCDMA</w:t>
            </w:r>
            <w:r>
              <w:rPr>
                <w:rFonts w:ascii="Arial" w:hAnsi="Arial" w:cs="Arial" w:eastAsia="Arial" w:hint="default"/>
                <w:spacing w:val="-3"/>
                <w:sz w:val="16"/>
                <w:szCs w:val="16"/>
              </w:rPr>
              <w:t> </w:t>
            </w:r>
            <w:r>
              <w:rPr>
                <w:rFonts w:ascii="宋体" w:hAnsi="宋体" w:cs="宋体" w:eastAsia="宋体" w:hint="default"/>
                <w:sz w:val="16"/>
                <w:szCs w:val="16"/>
              </w:rPr>
              <w:t>无线网络简单扩容工程</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
              <w:jc w:val="right"/>
              <w:rPr>
                <w:rFonts w:ascii="Arial" w:hAnsi="Arial" w:cs="Arial" w:eastAsia="Arial" w:hint="default"/>
                <w:sz w:val="16"/>
                <w:szCs w:val="16"/>
              </w:rPr>
            </w:pPr>
            <w:r>
              <w:rPr>
                <w:rFonts w:ascii="Arial"/>
                <w:spacing w:val="-1"/>
                <w:sz w:val="16"/>
              </w:rPr>
              <w:t>231</w:t>
            </w:r>
            <w:r>
              <w:rPr>
                <w:rFonts w:ascii="Arial"/>
                <w:sz w:val="16"/>
              </w:rPr>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
              <w:jc w:val="right"/>
              <w:rPr>
                <w:rFonts w:ascii="Arial" w:hAnsi="Arial" w:cs="Arial" w:eastAsia="Arial" w:hint="default"/>
                <w:sz w:val="16"/>
                <w:szCs w:val="16"/>
              </w:rPr>
            </w:pPr>
            <w:r>
              <w:rPr>
                <w:rFonts w:ascii="Arial"/>
                <w:w w:val="100"/>
                <w:sz w:val="16"/>
              </w:rPr>
              <w:t>-</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2" w:right="0"/>
              <w:jc w:val="left"/>
              <w:rPr>
                <w:rFonts w:ascii="Arial" w:hAnsi="Arial" w:cs="Arial" w:eastAsia="Arial" w:hint="default"/>
                <w:sz w:val="16"/>
                <w:szCs w:val="16"/>
              </w:rPr>
            </w:pPr>
            <w:r>
              <w:rPr>
                <w:rFonts w:ascii="Arial"/>
                <w:sz w:val="16"/>
              </w:rPr>
              <w:t>138,066,013</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59" w:right="0"/>
              <w:jc w:val="left"/>
              <w:rPr>
                <w:rFonts w:ascii="Arial" w:hAnsi="Arial" w:cs="Arial" w:eastAsia="Arial" w:hint="default"/>
                <w:sz w:val="16"/>
                <w:szCs w:val="16"/>
              </w:rPr>
            </w:pPr>
            <w:r>
              <w:rPr>
                <w:rFonts w:ascii="Arial"/>
                <w:sz w:val="16"/>
              </w:rPr>
              <w:t>32,668,110</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2" w:right="0"/>
              <w:jc w:val="left"/>
              <w:rPr>
                <w:rFonts w:ascii="Arial" w:hAnsi="Arial" w:cs="Arial" w:eastAsia="Arial" w:hint="default"/>
                <w:sz w:val="16"/>
                <w:szCs w:val="16"/>
              </w:rPr>
            </w:pPr>
            <w:r>
              <w:rPr>
                <w:rFonts w:ascii="Arial"/>
                <w:sz w:val="16"/>
              </w:rPr>
              <w:t>5,619,196</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
              <w:jc w:val="right"/>
              <w:rPr>
                <w:rFonts w:ascii="Arial" w:hAnsi="Arial" w:cs="Arial" w:eastAsia="Arial" w:hint="default"/>
                <w:sz w:val="16"/>
                <w:szCs w:val="16"/>
              </w:rPr>
            </w:pPr>
            <w:r>
              <w:rPr>
                <w:rFonts w:ascii="Arial"/>
                <w:spacing w:val="-1"/>
                <w:sz w:val="16"/>
              </w:rPr>
              <w:t>99,778,707</w:t>
            </w: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
              <w:jc w:val="right"/>
              <w:rPr>
                <w:rFonts w:ascii="Arial" w:hAnsi="Arial" w:cs="Arial" w:eastAsia="Arial" w:hint="default"/>
                <w:sz w:val="16"/>
                <w:szCs w:val="16"/>
              </w:rPr>
            </w:pPr>
            <w:r>
              <w:rPr>
                <w:rFonts w:ascii="Arial"/>
                <w:spacing w:val="-1"/>
                <w:sz w:val="16"/>
              </w:rPr>
              <w:t>60%</w:t>
            </w:r>
            <w:r>
              <w:rPr>
                <w:rFonts w:ascii="Arial"/>
                <w:sz w:val="16"/>
              </w:rPr>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6" w:right="0"/>
              <w:jc w:val="left"/>
              <w:rPr>
                <w:rFonts w:ascii="Arial" w:hAnsi="Arial" w:cs="Arial" w:eastAsia="Arial" w:hint="default"/>
                <w:sz w:val="16"/>
                <w:szCs w:val="16"/>
              </w:rPr>
            </w:pPr>
            <w:r>
              <w:rPr>
                <w:rFonts w:ascii="Arial"/>
                <w:sz w:val="16"/>
              </w:rPr>
              <w:t>334,029</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
              <w:jc w:val="right"/>
              <w:rPr>
                <w:rFonts w:ascii="Arial" w:hAnsi="Arial" w:cs="Arial" w:eastAsia="Arial" w:hint="default"/>
                <w:sz w:val="16"/>
                <w:szCs w:val="16"/>
              </w:rPr>
            </w:pPr>
            <w:r>
              <w:rPr>
                <w:rFonts w:ascii="Arial"/>
                <w:spacing w:val="-1"/>
                <w:sz w:val="16"/>
              </w:rPr>
              <w:t>334,029</w:t>
            </w:r>
          </w:p>
        </w:tc>
        <w:tc>
          <w:tcPr>
            <w:tcW w:w="1137" w:type="dxa"/>
            <w:tcBorders>
              <w:top w:val="nil" w:sz="6" w:space="0" w:color="auto"/>
              <w:left w:val="nil" w:sz="6" w:space="0" w:color="auto"/>
              <w:bottom w:val="nil" w:sz="6" w:space="0" w:color="auto"/>
              <w:right w:val="nil" w:sz="6" w:space="0" w:color="auto"/>
            </w:tcBorders>
          </w:tcPr>
          <w:p>
            <w:pPr>
              <w:pStyle w:val="TableParagraph"/>
              <w:spacing w:line="176" w:lineRule="exact"/>
              <w:ind w:left="9" w:right="0"/>
              <w:jc w:val="center"/>
              <w:rPr>
                <w:rFonts w:ascii="宋体" w:hAnsi="宋体" w:cs="宋体" w:eastAsia="宋体" w:hint="default"/>
                <w:sz w:val="16"/>
                <w:szCs w:val="16"/>
              </w:rPr>
            </w:pPr>
            <w:r>
              <w:rPr>
                <w:rFonts w:ascii="宋体" w:hAnsi="宋体" w:cs="宋体" w:eastAsia="宋体" w:hint="default"/>
                <w:spacing w:val="-1"/>
                <w:sz w:val="16"/>
                <w:szCs w:val="16"/>
              </w:rPr>
              <w:t>借款及其他来源</w:t>
            </w:r>
          </w:p>
        </w:tc>
      </w:tr>
      <w:tr>
        <w:trPr>
          <w:trHeight w:val="208" w:hRule="exact"/>
        </w:trPr>
        <w:tc>
          <w:tcPr>
            <w:tcW w:w="4412" w:type="dxa"/>
            <w:tcBorders>
              <w:top w:val="nil" w:sz="6" w:space="0" w:color="auto"/>
              <w:left w:val="nil" w:sz="6" w:space="0" w:color="auto"/>
              <w:bottom w:val="nil" w:sz="6" w:space="0" w:color="auto"/>
              <w:right w:val="nil" w:sz="6" w:space="0" w:color="auto"/>
            </w:tcBorders>
          </w:tcPr>
          <w:p>
            <w:pPr>
              <w:pStyle w:val="TableParagraph"/>
              <w:spacing w:line="188" w:lineRule="exact"/>
              <w:ind w:right="0"/>
              <w:jc w:val="lef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5"/>
                <w:sz w:val="16"/>
                <w:szCs w:val="16"/>
              </w:rPr>
              <w:t> </w:t>
            </w:r>
            <w:r>
              <w:rPr>
                <w:rFonts w:ascii="宋体" w:hAnsi="宋体" w:cs="宋体" w:eastAsia="宋体" w:hint="default"/>
                <w:sz w:val="16"/>
                <w:szCs w:val="16"/>
              </w:rPr>
              <w:t>年中国联通北京</w:t>
            </w:r>
            <w:r>
              <w:rPr>
                <w:rFonts w:ascii="宋体" w:hAnsi="宋体" w:cs="宋体" w:eastAsia="宋体" w:hint="default"/>
                <w:spacing w:val="-44"/>
                <w:sz w:val="16"/>
                <w:szCs w:val="16"/>
              </w:rPr>
              <w:t> </w:t>
            </w:r>
            <w:r>
              <w:rPr>
                <w:rFonts w:ascii="Arial" w:hAnsi="Arial" w:cs="Arial" w:eastAsia="Arial" w:hint="default"/>
                <w:sz w:val="16"/>
                <w:szCs w:val="16"/>
              </w:rPr>
              <w:t>WCDMA</w:t>
            </w:r>
            <w:r>
              <w:rPr>
                <w:rFonts w:ascii="Arial" w:hAnsi="Arial" w:cs="Arial" w:eastAsia="Arial" w:hint="default"/>
                <w:spacing w:val="-3"/>
                <w:sz w:val="16"/>
                <w:szCs w:val="16"/>
              </w:rPr>
              <w:t> </w:t>
            </w:r>
            <w:r>
              <w:rPr>
                <w:rFonts w:ascii="宋体" w:hAnsi="宋体" w:cs="宋体" w:eastAsia="宋体" w:hint="default"/>
                <w:sz w:val="16"/>
                <w:szCs w:val="16"/>
              </w:rPr>
              <w:t>无线网络覆盖工程</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
              <w:jc w:val="right"/>
              <w:rPr>
                <w:rFonts w:ascii="Arial" w:hAnsi="Arial" w:cs="Arial" w:eastAsia="Arial" w:hint="default"/>
                <w:sz w:val="16"/>
                <w:szCs w:val="16"/>
              </w:rPr>
            </w:pPr>
            <w:r>
              <w:rPr>
                <w:rFonts w:ascii="Arial"/>
                <w:spacing w:val="-1"/>
                <w:sz w:val="16"/>
              </w:rPr>
              <w:t>254</w:t>
            </w:r>
            <w:r>
              <w:rPr>
                <w:rFonts w:ascii="Arial"/>
                <w:sz w:val="16"/>
              </w:rPr>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8"/>
              <w:jc w:val="right"/>
              <w:rPr>
                <w:rFonts w:ascii="Arial" w:hAnsi="Arial" w:cs="Arial" w:eastAsia="Arial" w:hint="default"/>
                <w:sz w:val="16"/>
                <w:szCs w:val="16"/>
              </w:rPr>
            </w:pPr>
            <w:r>
              <w:rPr>
                <w:rFonts w:ascii="Arial"/>
                <w:w w:val="100"/>
                <w:sz w:val="16"/>
              </w:rPr>
              <w:t>-</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72" w:right="0"/>
              <w:jc w:val="left"/>
              <w:rPr>
                <w:rFonts w:ascii="Arial" w:hAnsi="Arial" w:cs="Arial" w:eastAsia="Arial" w:hint="default"/>
                <w:sz w:val="16"/>
                <w:szCs w:val="16"/>
              </w:rPr>
            </w:pPr>
            <w:r>
              <w:rPr>
                <w:rFonts w:ascii="Arial"/>
                <w:sz w:val="16"/>
              </w:rPr>
              <w:t>138,042,965</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0"/>
              <w:jc w:val="right"/>
              <w:rPr>
                <w:rFonts w:ascii="Arial" w:hAnsi="Arial" w:cs="Arial" w:eastAsia="Arial" w:hint="default"/>
                <w:sz w:val="16"/>
                <w:szCs w:val="16"/>
              </w:rPr>
            </w:pPr>
            <w:r>
              <w:rPr>
                <w:rFonts w:ascii="Arial"/>
                <w:w w:val="100"/>
                <w:sz w:val="16"/>
              </w:rPr>
              <w:t>-</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7"/>
              <w:jc w:val="right"/>
              <w:rPr>
                <w:rFonts w:ascii="Arial" w:hAnsi="Arial" w:cs="Arial" w:eastAsia="Arial" w:hint="default"/>
                <w:sz w:val="16"/>
                <w:szCs w:val="16"/>
              </w:rPr>
            </w:pPr>
            <w:r>
              <w:rPr>
                <w:rFonts w:ascii="Arial"/>
                <w:w w:val="100"/>
                <w:sz w:val="16"/>
              </w:rPr>
              <w:t>-</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
              <w:jc w:val="right"/>
              <w:rPr>
                <w:rFonts w:ascii="Arial" w:hAnsi="Arial" w:cs="Arial" w:eastAsia="Arial" w:hint="default"/>
                <w:sz w:val="16"/>
                <w:szCs w:val="16"/>
              </w:rPr>
            </w:pPr>
            <w:r>
              <w:rPr>
                <w:rFonts w:ascii="Arial"/>
                <w:spacing w:val="-1"/>
                <w:sz w:val="16"/>
              </w:rPr>
              <w:t>138,042,965</w:t>
            </w: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
              <w:jc w:val="right"/>
              <w:rPr>
                <w:rFonts w:ascii="Arial" w:hAnsi="Arial" w:cs="Arial" w:eastAsia="Arial" w:hint="default"/>
                <w:sz w:val="16"/>
                <w:szCs w:val="16"/>
              </w:rPr>
            </w:pPr>
            <w:r>
              <w:rPr>
                <w:rFonts w:ascii="Arial"/>
                <w:spacing w:val="-1"/>
                <w:sz w:val="16"/>
              </w:rPr>
              <w:t>54%</w:t>
            </w:r>
            <w:r>
              <w:rPr>
                <w:rFonts w:ascii="Arial"/>
                <w:sz w:val="16"/>
              </w:rPr>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76" w:right="0"/>
              <w:jc w:val="left"/>
              <w:rPr>
                <w:rFonts w:ascii="Arial" w:hAnsi="Arial" w:cs="Arial" w:eastAsia="Arial" w:hint="default"/>
                <w:sz w:val="16"/>
                <w:szCs w:val="16"/>
              </w:rPr>
            </w:pPr>
            <w:r>
              <w:rPr>
                <w:rFonts w:ascii="Arial"/>
                <w:sz w:val="16"/>
              </w:rPr>
              <w:t>399,570</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
              <w:jc w:val="right"/>
              <w:rPr>
                <w:rFonts w:ascii="Arial" w:hAnsi="Arial" w:cs="Arial" w:eastAsia="Arial" w:hint="default"/>
                <w:sz w:val="16"/>
                <w:szCs w:val="16"/>
              </w:rPr>
            </w:pPr>
            <w:r>
              <w:rPr>
                <w:rFonts w:ascii="Arial"/>
                <w:spacing w:val="-1"/>
                <w:sz w:val="16"/>
              </w:rPr>
              <w:t>399,570</w:t>
            </w:r>
          </w:p>
        </w:tc>
        <w:tc>
          <w:tcPr>
            <w:tcW w:w="1137" w:type="dxa"/>
            <w:tcBorders>
              <w:top w:val="nil" w:sz="6" w:space="0" w:color="auto"/>
              <w:left w:val="nil" w:sz="6" w:space="0" w:color="auto"/>
              <w:bottom w:val="nil" w:sz="6" w:space="0" w:color="auto"/>
              <w:right w:val="nil" w:sz="6" w:space="0" w:color="auto"/>
            </w:tcBorders>
          </w:tcPr>
          <w:p>
            <w:pPr>
              <w:pStyle w:val="TableParagraph"/>
              <w:spacing w:line="176" w:lineRule="exact"/>
              <w:ind w:left="9" w:right="0"/>
              <w:jc w:val="center"/>
              <w:rPr>
                <w:rFonts w:ascii="宋体" w:hAnsi="宋体" w:cs="宋体" w:eastAsia="宋体" w:hint="default"/>
                <w:sz w:val="16"/>
                <w:szCs w:val="16"/>
              </w:rPr>
            </w:pPr>
            <w:r>
              <w:rPr>
                <w:rFonts w:ascii="宋体" w:hAnsi="宋体" w:cs="宋体" w:eastAsia="宋体" w:hint="default"/>
                <w:spacing w:val="-1"/>
                <w:sz w:val="16"/>
                <w:szCs w:val="16"/>
              </w:rPr>
              <w:t>借款及其他来源</w:t>
            </w:r>
          </w:p>
        </w:tc>
      </w:tr>
      <w:tr>
        <w:trPr>
          <w:trHeight w:val="208" w:hRule="exact"/>
        </w:trPr>
        <w:tc>
          <w:tcPr>
            <w:tcW w:w="4412" w:type="dxa"/>
            <w:tcBorders>
              <w:top w:val="nil" w:sz="6" w:space="0" w:color="auto"/>
              <w:left w:val="nil" w:sz="6" w:space="0" w:color="auto"/>
              <w:bottom w:val="nil" w:sz="6" w:space="0" w:color="auto"/>
              <w:right w:val="nil" w:sz="6" w:space="0" w:color="auto"/>
            </w:tcBorders>
          </w:tcPr>
          <w:p>
            <w:pPr>
              <w:pStyle w:val="TableParagraph"/>
              <w:spacing w:line="186" w:lineRule="exact"/>
              <w:ind w:right="0"/>
              <w:jc w:val="lef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5"/>
                <w:sz w:val="16"/>
                <w:szCs w:val="16"/>
              </w:rPr>
              <w:t> </w:t>
            </w:r>
            <w:r>
              <w:rPr>
                <w:rFonts w:ascii="宋体" w:hAnsi="宋体" w:cs="宋体" w:eastAsia="宋体" w:hint="default"/>
                <w:sz w:val="16"/>
                <w:szCs w:val="16"/>
              </w:rPr>
              <w:t>年中国联通北京</w:t>
            </w:r>
            <w:r>
              <w:rPr>
                <w:rFonts w:ascii="宋体" w:hAnsi="宋体" w:cs="宋体" w:eastAsia="宋体" w:hint="default"/>
                <w:spacing w:val="-44"/>
                <w:sz w:val="16"/>
                <w:szCs w:val="16"/>
              </w:rPr>
              <w:t> </w:t>
            </w:r>
            <w:r>
              <w:rPr>
                <w:rFonts w:ascii="Arial" w:hAnsi="Arial" w:cs="Arial" w:eastAsia="Arial" w:hint="default"/>
                <w:sz w:val="16"/>
                <w:szCs w:val="16"/>
              </w:rPr>
              <w:t>WCDMA</w:t>
            </w:r>
            <w:r>
              <w:rPr>
                <w:rFonts w:ascii="Arial" w:hAnsi="Arial" w:cs="Arial" w:eastAsia="Arial" w:hint="default"/>
                <w:spacing w:val="-3"/>
                <w:sz w:val="16"/>
                <w:szCs w:val="16"/>
              </w:rPr>
              <w:t> </w:t>
            </w:r>
            <w:r>
              <w:rPr>
                <w:rFonts w:ascii="宋体" w:hAnsi="宋体" w:cs="宋体" w:eastAsia="宋体" w:hint="default"/>
                <w:sz w:val="16"/>
                <w:szCs w:val="16"/>
              </w:rPr>
              <w:t>无线网络其他扩容工程</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
              <w:jc w:val="right"/>
              <w:rPr>
                <w:rFonts w:ascii="Arial" w:hAnsi="Arial" w:cs="Arial" w:eastAsia="Arial" w:hint="default"/>
                <w:sz w:val="16"/>
                <w:szCs w:val="16"/>
              </w:rPr>
            </w:pPr>
            <w:r>
              <w:rPr>
                <w:rFonts w:ascii="Arial"/>
                <w:spacing w:val="-1"/>
                <w:sz w:val="16"/>
              </w:rPr>
              <w:t>148</w:t>
            </w:r>
            <w:r>
              <w:rPr>
                <w:rFonts w:ascii="Arial"/>
                <w:sz w:val="16"/>
              </w:rPr>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8"/>
              <w:jc w:val="right"/>
              <w:rPr>
                <w:rFonts w:ascii="Arial" w:hAnsi="Arial" w:cs="Arial" w:eastAsia="Arial" w:hint="default"/>
                <w:sz w:val="16"/>
                <w:szCs w:val="16"/>
              </w:rPr>
            </w:pPr>
            <w:r>
              <w:rPr>
                <w:rFonts w:ascii="Arial"/>
                <w:w w:val="100"/>
                <w:sz w:val="16"/>
              </w:rPr>
              <w:t>-</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72" w:right="0"/>
              <w:jc w:val="left"/>
              <w:rPr>
                <w:rFonts w:ascii="Arial" w:hAnsi="Arial" w:cs="Arial" w:eastAsia="Arial" w:hint="default"/>
                <w:sz w:val="16"/>
                <w:szCs w:val="16"/>
              </w:rPr>
            </w:pPr>
            <w:r>
              <w:rPr>
                <w:rFonts w:ascii="Arial"/>
                <w:sz w:val="16"/>
              </w:rPr>
              <w:t>133,210,205</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70" w:right="0"/>
              <w:jc w:val="left"/>
              <w:rPr>
                <w:rFonts w:ascii="Arial" w:hAnsi="Arial" w:cs="Arial" w:eastAsia="Arial" w:hint="default"/>
                <w:sz w:val="16"/>
                <w:szCs w:val="16"/>
              </w:rPr>
            </w:pPr>
            <w:r>
              <w:rPr>
                <w:rFonts w:ascii="Arial"/>
                <w:sz w:val="16"/>
              </w:rPr>
              <w:t>132,971,267</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7"/>
              <w:jc w:val="right"/>
              <w:rPr>
                <w:rFonts w:ascii="Arial" w:hAnsi="Arial" w:cs="Arial" w:eastAsia="Arial" w:hint="default"/>
                <w:sz w:val="16"/>
                <w:szCs w:val="16"/>
              </w:rPr>
            </w:pPr>
            <w:r>
              <w:rPr>
                <w:rFonts w:ascii="Arial"/>
                <w:w w:val="100"/>
                <w:sz w:val="16"/>
              </w:rPr>
              <w:t>-</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
              <w:jc w:val="right"/>
              <w:rPr>
                <w:rFonts w:ascii="Arial" w:hAnsi="Arial" w:cs="Arial" w:eastAsia="Arial" w:hint="default"/>
                <w:sz w:val="16"/>
                <w:szCs w:val="16"/>
              </w:rPr>
            </w:pPr>
            <w:r>
              <w:rPr>
                <w:rFonts w:ascii="Arial"/>
                <w:spacing w:val="-1"/>
                <w:sz w:val="16"/>
              </w:rPr>
              <w:t>238,938</w:t>
            </w: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
              <w:jc w:val="right"/>
              <w:rPr>
                <w:rFonts w:ascii="Arial" w:hAnsi="Arial" w:cs="Arial" w:eastAsia="Arial" w:hint="default"/>
                <w:sz w:val="16"/>
                <w:szCs w:val="16"/>
              </w:rPr>
            </w:pPr>
            <w:r>
              <w:rPr>
                <w:rFonts w:ascii="Arial"/>
                <w:spacing w:val="-1"/>
                <w:sz w:val="16"/>
              </w:rPr>
              <w:t>90%</w:t>
            </w:r>
            <w:r>
              <w:rPr>
                <w:rFonts w:ascii="Arial"/>
                <w:sz w:val="16"/>
              </w:rPr>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76" w:right="0"/>
              <w:jc w:val="left"/>
              <w:rPr>
                <w:rFonts w:ascii="Arial" w:hAnsi="Arial" w:cs="Arial" w:eastAsia="Arial" w:hint="default"/>
                <w:sz w:val="16"/>
                <w:szCs w:val="16"/>
              </w:rPr>
            </w:pPr>
            <w:r>
              <w:rPr>
                <w:rFonts w:ascii="Arial"/>
                <w:sz w:val="16"/>
              </w:rPr>
              <w:t>148,426</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
              <w:jc w:val="right"/>
              <w:rPr>
                <w:rFonts w:ascii="Arial" w:hAnsi="Arial" w:cs="Arial" w:eastAsia="Arial" w:hint="default"/>
                <w:sz w:val="16"/>
                <w:szCs w:val="16"/>
              </w:rPr>
            </w:pPr>
            <w:r>
              <w:rPr>
                <w:rFonts w:ascii="Arial"/>
                <w:spacing w:val="-1"/>
                <w:sz w:val="16"/>
              </w:rPr>
              <w:t>148,426</w:t>
            </w:r>
          </w:p>
        </w:tc>
        <w:tc>
          <w:tcPr>
            <w:tcW w:w="1137" w:type="dxa"/>
            <w:tcBorders>
              <w:top w:val="nil" w:sz="6" w:space="0" w:color="auto"/>
              <w:left w:val="nil" w:sz="6" w:space="0" w:color="auto"/>
              <w:bottom w:val="nil" w:sz="6" w:space="0" w:color="auto"/>
              <w:right w:val="nil" w:sz="6" w:space="0" w:color="auto"/>
            </w:tcBorders>
          </w:tcPr>
          <w:p>
            <w:pPr>
              <w:pStyle w:val="TableParagraph"/>
              <w:spacing w:line="175" w:lineRule="exact"/>
              <w:ind w:left="9" w:right="0"/>
              <w:jc w:val="center"/>
              <w:rPr>
                <w:rFonts w:ascii="宋体" w:hAnsi="宋体" w:cs="宋体" w:eastAsia="宋体" w:hint="default"/>
                <w:sz w:val="16"/>
                <w:szCs w:val="16"/>
              </w:rPr>
            </w:pPr>
            <w:r>
              <w:rPr>
                <w:rFonts w:ascii="宋体" w:hAnsi="宋体" w:cs="宋体" w:eastAsia="宋体" w:hint="default"/>
                <w:spacing w:val="-1"/>
                <w:sz w:val="16"/>
                <w:szCs w:val="16"/>
              </w:rPr>
              <w:t>借款及其他来源</w:t>
            </w:r>
          </w:p>
        </w:tc>
      </w:tr>
      <w:tr>
        <w:trPr>
          <w:trHeight w:val="307" w:hRule="exact"/>
        </w:trPr>
        <w:tc>
          <w:tcPr>
            <w:tcW w:w="4412" w:type="dxa"/>
            <w:tcBorders>
              <w:top w:val="nil" w:sz="6" w:space="0" w:color="auto"/>
              <w:left w:val="nil" w:sz="6" w:space="0" w:color="auto"/>
              <w:bottom w:val="nil" w:sz="6" w:space="0" w:color="auto"/>
              <w:right w:val="nil" w:sz="6" w:space="0" w:color="auto"/>
            </w:tcBorders>
          </w:tcPr>
          <w:p>
            <w:pPr>
              <w:pStyle w:val="TableParagraph"/>
              <w:spacing w:line="176" w:lineRule="exact"/>
              <w:ind w:right="0"/>
              <w:jc w:val="left"/>
              <w:rPr>
                <w:rFonts w:ascii="宋体" w:hAnsi="宋体" w:cs="宋体" w:eastAsia="宋体" w:hint="default"/>
                <w:sz w:val="16"/>
                <w:szCs w:val="16"/>
              </w:rPr>
            </w:pPr>
            <w:r>
              <w:rPr>
                <w:rFonts w:ascii="宋体" w:hAnsi="宋体" w:cs="宋体" w:eastAsia="宋体" w:hint="default"/>
                <w:sz w:val="16"/>
                <w:szCs w:val="16"/>
              </w:rPr>
              <w:t>中国联通贵州分公司贵阳金阳通信综合楼工程</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
              <w:jc w:val="right"/>
              <w:rPr>
                <w:rFonts w:ascii="Arial" w:hAnsi="Arial" w:cs="Arial" w:eastAsia="Arial" w:hint="default"/>
                <w:sz w:val="16"/>
                <w:szCs w:val="16"/>
              </w:rPr>
            </w:pPr>
            <w:r>
              <w:rPr>
                <w:rFonts w:ascii="Arial"/>
                <w:spacing w:val="-1"/>
                <w:sz w:val="16"/>
              </w:rPr>
              <w:t>346</w:t>
            </w:r>
            <w:r>
              <w:rPr>
                <w:rFonts w:ascii="Arial"/>
                <w:sz w:val="16"/>
              </w:rPr>
            </w:r>
          </w:p>
        </w:tc>
        <w:tc>
          <w:tcPr>
            <w:tcW w:w="1207" w:type="dxa"/>
            <w:tcBorders>
              <w:top w:val="nil" w:sz="6" w:space="0" w:color="auto"/>
              <w:left w:val="nil" w:sz="6" w:space="0" w:color="auto"/>
              <w:bottom w:val="nil" w:sz="6" w:space="0" w:color="auto"/>
              <w:right w:val="nil" w:sz="6" w:space="0" w:color="auto"/>
            </w:tcBorders>
          </w:tcPr>
          <w:p>
            <w:pPr>
              <w:pStyle w:val="TableParagraph"/>
              <w:tabs>
                <w:tab w:pos="278" w:val="left" w:leader="none"/>
                <w:tab w:pos="1380" w:val="left" w:leader="none"/>
              </w:tabs>
              <w:spacing w:line="240" w:lineRule="auto" w:before="13"/>
              <w:ind w:left="14" w:right="-173"/>
              <w:jc w:val="lef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153,145,437</w:t>
              <w:tab/>
            </w:r>
            <w:r>
              <w:rPr>
                <w:rFonts w:ascii="Arial"/>
                <w:sz w:val="16"/>
              </w:rPr>
            </w:r>
          </w:p>
        </w:tc>
        <w:tc>
          <w:tcPr>
            <w:tcW w:w="1236" w:type="dxa"/>
            <w:tcBorders>
              <w:top w:val="nil" w:sz="6" w:space="0" w:color="auto"/>
              <w:left w:val="nil" w:sz="6" w:space="0" w:color="auto"/>
              <w:bottom w:val="nil" w:sz="6" w:space="0" w:color="auto"/>
              <w:right w:val="nil" w:sz="6" w:space="0" w:color="auto"/>
            </w:tcBorders>
          </w:tcPr>
          <w:p>
            <w:pPr>
              <w:pStyle w:val="TableParagraph"/>
              <w:tabs>
                <w:tab w:pos="2244" w:val="left" w:leader="none"/>
              </w:tabs>
              <w:spacing w:line="240" w:lineRule="auto" w:before="13"/>
              <w:ind w:left="172" w:right="-1008"/>
              <w:jc w:val="left"/>
              <w:rPr>
                <w:rFonts w:ascii="Arial" w:hAnsi="Arial" w:cs="Arial" w:eastAsia="Arial" w:hint="default"/>
                <w:sz w:val="16"/>
                <w:szCs w:val="16"/>
              </w:rPr>
            </w:pPr>
            <w:r>
              <w:rPr>
                <w:rFonts w:ascii="Arial"/>
                <w:w w:val="100"/>
                <w:sz w:val="16"/>
              </w:rPr>
            </w:r>
            <w:r>
              <w:rPr>
                <w:rFonts w:ascii="Arial"/>
                <w:sz w:val="16"/>
                <w:u w:val="single" w:color="000000"/>
              </w:rPr>
              <w:t>130,580,889</w:t>
            </w:r>
            <w:r>
              <w:rPr>
                <w:rFonts w:ascii="Arial"/>
                <w:sz w:val="16"/>
              </w:rPr>
            </w:r>
            <w:r>
              <w:rPr>
                <w:rFonts w:ascii="Arial"/>
                <w:spacing w:val="10"/>
                <w:sz w:val="16"/>
              </w:rPr>
              <w:t> </w:t>
            </w:r>
            <w:r>
              <w:rPr>
                <w:rFonts w:ascii="Arial"/>
                <w:spacing w:val="10"/>
                <w:w w:val="100"/>
                <w:sz w:val="16"/>
              </w:rPr>
            </w:r>
            <w:r>
              <w:rPr>
                <w:rFonts w:ascii="Arial"/>
                <w:w w:val="100"/>
                <w:sz w:val="16"/>
                <w:u w:val="single" w:color="000000"/>
              </w:rPr>
              <w:t> </w:t>
            </w:r>
            <w:r>
              <w:rPr>
                <w:rFonts w:ascii="Arial"/>
                <w:sz w:val="16"/>
                <w:u w:val="single" w:color="000000"/>
              </w:rPr>
              <w:tab/>
            </w:r>
            <w:r>
              <w:rPr>
                <w:rFonts w:ascii="Arial"/>
                <w:sz w:val="16"/>
              </w:rPr>
            </w:r>
          </w:p>
        </w:tc>
        <w:tc>
          <w:tcPr>
            <w:tcW w:w="1244" w:type="dxa"/>
            <w:tcBorders>
              <w:top w:val="nil" w:sz="6" w:space="0" w:color="auto"/>
              <w:left w:val="nil" w:sz="6" w:space="0" w:color="auto"/>
              <w:bottom w:val="nil" w:sz="6" w:space="0" w:color="auto"/>
              <w:right w:val="nil" w:sz="6" w:space="0" w:color="auto"/>
            </w:tcBorders>
          </w:tcPr>
          <w:p>
            <w:pPr>
              <w:pStyle w:val="TableParagraph"/>
              <w:tabs>
                <w:tab w:pos="1078" w:val="left" w:leader="none"/>
              </w:tabs>
              <w:spacing w:line="240" w:lineRule="auto" w:before="13"/>
              <w:ind w:right="-843"/>
              <w:jc w:val="right"/>
              <w:rPr>
                <w:rFonts w:ascii="Arial" w:hAnsi="Arial" w:cs="Arial" w:eastAsia="Arial" w:hint="default"/>
                <w:sz w:val="16"/>
                <w:szCs w:val="16"/>
              </w:rPr>
            </w:pPr>
            <w:r>
              <w:rPr>
                <w:rFonts w:ascii="Arial"/>
                <w:w w:val="100"/>
                <w:sz w:val="16"/>
              </w:rPr>
            </w:r>
            <w:r>
              <w:rPr>
                <w:rFonts w:ascii="Arial"/>
                <w:sz w:val="16"/>
                <w:u w:val="single" w:color="000000"/>
              </w:rPr>
              <w:t>-</w:t>
              <w:tab/>
            </w:r>
            <w:r>
              <w:rPr>
                <w:rFonts w:ascii="Arial"/>
                <w:sz w:val="16"/>
              </w:rPr>
            </w:r>
          </w:p>
        </w:tc>
        <w:tc>
          <w:tcPr>
            <w:tcW w:w="966" w:type="dxa"/>
            <w:tcBorders>
              <w:top w:val="nil" w:sz="6" w:space="0" w:color="auto"/>
              <w:left w:val="nil" w:sz="6" w:space="0" w:color="auto"/>
              <w:bottom w:val="nil" w:sz="6" w:space="0" w:color="auto"/>
              <w:right w:val="nil" w:sz="6" w:space="0" w:color="auto"/>
            </w:tcBorders>
          </w:tcPr>
          <w:p>
            <w:pPr>
              <w:pStyle w:val="TableParagraph"/>
              <w:tabs>
                <w:tab w:pos="283" w:val="left" w:leader="none"/>
              </w:tabs>
              <w:spacing w:line="240" w:lineRule="auto" w:before="13"/>
              <w:ind w:right="-160"/>
              <w:jc w:val="right"/>
              <w:rPr>
                <w:rFonts w:ascii="Arial" w:hAnsi="Arial" w:cs="Arial" w:eastAsia="Arial" w:hint="default"/>
                <w:sz w:val="16"/>
                <w:szCs w:val="16"/>
              </w:rPr>
            </w:pPr>
            <w:r>
              <w:rPr>
                <w:rFonts w:ascii="Arial"/>
                <w:w w:val="100"/>
                <w:sz w:val="16"/>
              </w:rPr>
            </w:r>
            <w:r>
              <w:rPr>
                <w:rFonts w:ascii="Arial"/>
                <w:sz w:val="16"/>
                <w:u w:val="single" w:color="000000"/>
              </w:rPr>
              <w:t>-</w:t>
              <w:tab/>
            </w:r>
            <w:r>
              <w:rPr>
                <w:rFonts w:ascii="Arial"/>
                <w:sz w:val="16"/>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
              <w:jc w:val="right"/>
              <w:rPr>
                <w:rFonts w:ascii="Arial" w:hAnsi="Arial" w:cs="Arial" w:eastAsia="Arial" w:hint="default"/>
                <w:sz w:val="16"/>
                <w:szCs w:val="16"/>
              </w:rPr>
            </w:pPr>
            <w:r>
              <w:rPr>
                <w:rFonts w:ascii="Arial"/>
                <w:w w:val="100"/>
                <w:sz w:val="16"/>
              </w:rPr>
            </w:r>
            <w:r>
              <w:rPr>
                <w:rFonts w:ascii="Arial"/>
                <w:spacing w:val="-1"/>
                <w:sz w:val="16"/>
                <w:u w:val="single" w:color="000000"/>
              </w:rPr>
              <w:t>283,726,326</w:t>
            </w:r>
            <w:r>
              <w:rPr>
                <w:rFonts w:ascii="Arial"/>
                <w:spacing w:val="-1"/>
                <w:sz w:val="16"/>
              </w:rPr>
            </w: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
              <w:jc w:val="right"/>
              <w:rPr>
                <w:rFonts w:ascii="Arial" w:hAnsi="Arial" w:cs="Arial" w:eastAsia="Arial" w:hint="default"/>
                <w:sz w:val="16"/>
                <w:szCs w:val="16"/>
              </w:rPr>
            </w:pPr>
            <w:r>
              <w:rPr>
                <w:rFonts w:ascii="Arial"/>
                <w:spacing w:val="-1"/>
                <w:sz w:val="16"/>
              </w:rPr>
              <w:t>82%</w:t>
            </w:r>
            <w:r>
              <w:rPr>
                <w:rFonts w:ascii="Arial"/>
                <w:sz w:val="16"/>
              </w:rPr>
            </w:r>
          </w:p>
        </w:tc>
        <w:tc>
          <w:tcPr>
            <w:tcW w:w="1002" w:type="dxa"/>
            <w:tcBorders>
              <w:top w:val="nil" w:sz="6" w:space="0" w:color="auto"/>
              <w:left w:val="nil" w:sz="6" w:space="0" w:color="auto"/>
              <w:bottom w:val="nil" w:sz="6" w:space="0" w:color="auto"/>
              <w:right w:val="nil" w:sz="6" w:space="0" w:color="auto"/>
            </w:tcBorders>
          </w:tcPr>
          <w:p>
            <w:pPr>
              <w:pStyle w:val="TableParagraph"/>
              <w:tabs>
                <w:tab w:pos="1190" w:val="left" w:leader="none"/>
              </w:tabs>
              <w:spacing w:line="240" w:lineRule="auto" w:before="13"/>
              <w:ind w:left="14" w:right="-189"/>
              <w:jc w:val="lef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5"/>
                <w:sz w:val="16"/>
                <w:u w:val="single" w:color="000000"/>
              </w:rPr>
              <w:t> </w:t>
            </w:r>
            <w:r>
              <w:rPr>
                <w:rFonts w:ascii="Arial"/>
                <w:sz w:val="16"/>
                <w:u w:val="single" w:color="000000"/>
              </w:rPr>
              <w:t>6,310,449</w:t>
              <w:tab/>
            </w:r>
            <w:r>
              <w:rPr>
                <w:rFonts w:ascii="Arial"/>
                <w:sz w:val="16"/>
              </w:rPr>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
              <w:jc w:val="right"/>
              <w:rPr>
                <w:rFonts w:ascii="Arial" w:hAnsi="Arial" w:cs="Arial" w:eastAsia="Arial" w:hint="default"/>
                <w:sz w:val="16"/>
                <w:szCs w:val="16"/>
              </w:rPr>
            </w:pPr>
            <w:r>
              <w:rPr>
                <w:rFonts w:ascii="Arial"/>
                <w:w w:val="100"/>
                <w:sz w:val="16"/>
              </w:rPr>
            </w:r>
            <w:r>
              <w:rPr>
                <w:rFonts w:ascii="Arial"/>
                <w:spacing w:val="-1"/>
                <w:sz w:val="16"/>
                <w:u w:val="single" w:color="000000"/>
              </w:rPr>
              <w:t>5,296,914</w:t>
            </w:r>
            <w:r>
              <w:rPr>
                <w:rFonts w:ascii="Arial"/>
                <w:spacing w:val="-1"/>
                <w:sz w:val="16"/>
              </w:rPr>
            </w:r>
          </w:p>
        </w:tc>
        <w:tc>
          <w:tcPr>
            <w:tcW w:w="1137" w:type="dxa"/>
            <w:tcBorders>
              <w:top w:val="nil" w:sz="6" w:space="0" w:color="auto"/>
              <w:left w:val="nil" w:sz="6" w:space="0" w:color="auto"/>
              <w:bottom w:val="nil" w:sz="6" w:space="0" w:color="auto"/>
              <w:right w:val="nil" w:sz="6" w:space="0" w:color="auto"/>
            </w:tcBorders>
          </w:tcPr>
          <w:p>
            <w:pPr>
              <w:pStyle w:val="TableParagraph"/>
              <w:spacing w:line="176" w:lineRule="exact"/>
              <w:ind w:left="9" w:right="0"/>
              <w:jc w:val="center"/>
              <w:rPr>
                <w:rFonts w:ascii="宋体" w:hAnsi="宋体" w:cs="宋体" w:eastAsia="宋体" w:hint="default"/>
                <w:sz w:val="16"/>
                <w:szCs w:val="16"/>
              </w:rPr>
            </w:pPr>
            <w:r>
              <w:rPr>
                <w:rFonts w:ascii="宋体" w:hAnsi="宋体" w:cs="宋体" w:eastAsia="宋体" w:hint="default"/>
                <w:spacing w:val="-1"/>
                <w:sz w:val="16"/>
                <w:szCs w:val="16"/>
              </w:rPr>
              <w:t>借款及其他来源</w:t>
            </w:r>
          </w:p>
        </w:tc>
      </w:tr>
      <w:tr>
        <w:trPr>
          <w:trHeight w:val="321" w:hRule="exact"/>
        </w:trPr>
        <w:tc>
          <w:tcPr>
            <w:tcW w:w="441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1028"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left="276" w:right="0"/>
              <w:jc w:val="left"/>
              <w:rPr>
                <w:rFonts w:ascii="Arial" w:hAnsi="Arial" w:cs="Arial" w:eastAsia="Arial" w:hint="default"/>
                <w:sz w:val="16"/>
                <w:szCs w:val="16"/>
              </w:rPr>
            </w:pPr>
            <w:r>
              <w:rPr>
                <w:rFonts w:ascii="Arial"/>
                <w:sz w:val="16"/>
              </w:rPr>
              <w:t>735,222,167</w:t>
            </w:r>
          </w:p>
        </w:tc>
        <w:tc>
          <w:tcPr>
            <w:tcW w:w="1236"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left="38" w:right="0"/>
              <w:jc w:val="left"/>
              <w:rPr>
                <w:rFonts w:ascii="Arial" w:hAnsi="Arial" w:cs="Arial" w:eastAsia="Arial" w:hint="default"/>
                <w:sz w:val="16"/>
                <w:szCs w:val="16"/>
              </w:rPr>
            </w:pPr>
            <w:r>
              <w:rPr>
                <w:rFonts w:ascii="Arial"/>
                <w:sz w:val="16"/>
              </w:rPr>
              <w:t>1,980,032,298</w:t>
            </w:r>
          </w:p>
        </w:tc>
        <w:tc>
          <w:tcPr>
            <w:tcW w:w="1244"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left="170" w:right="0"/>
              <w:jc w:val="left"/>
              <w:rPr>
                <w:rFonts w:ascii="Arial" w:hAnsi="Arial" w:cs="Arial" w:eastAsia="Arial" w:hint="default"/>
                <w:sz w:val="16"/>
                <w:szCs w:val="16"/>
              </w:rPr>
            </w:pPr>
            <w:r>
              <w:rPr>
                <w:rFonts w:ascii="Arial"/>
                <w:sz w:val="16"/>
              </w:rPr>
              <w:t>324,518,136</w:t>
            </w:r>
          </w:p>
        </w:tc>
        <w:tc>
          <w:tcPr>
            <w:tcW w:w="966"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left="182" w:right="0"/>
              <w:jc w:val="left"/>
              <w:rPr>
                <w:rFonts w:ascii="Arial" w:hAnsi="Arial" w:cs="Arial" w:eastAsia="Arial" w:hint="default"/>
                <w:sz w:val="16"/>
                <w:szCs w:val="16"/>
              </w:rPr>
            </w:pPr>
            <w:r>
              <w:rPr>
                <w:rFonts w:ascii="Arial"/>
                <w:sz w:val="16"/>
              </w:rPr>
              <w:t>5,619,196</w:t>
            </w:r>
          </w:p>
        </w:tc>
        <w:tc>
          <w:tcPr>
            <w:tcW w:w="1072"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right="19"/>
              <w:jc w:val="right"/>
              <w:rPr>
                <w:rFonts w:ascii="Arial" w:hAnsi="Arial" w:cs="Arial" w:eastAsia="Arial" w:hint="default"/>
                <w:sz w:val="16"/>
                <w:szCs w:val="16"/>
              </w:rPr>
            </w:pPr>
            <w:r>
              <w:rPr>
                <w:rFonts w:ascii="Arial"/>
                <w:spacing w:val="-1"/>
                <w:sz w:val="16"/>
              </w:rPr>
              <w:t>2,385,117,133</w:t>
            </w:r>
          </w:p>
        </w:tc>
        <w:tc>
          <w:tcPr>
            <w:tcW w:w="667" w:type="dxa"/>
            <w:tcBorders>
              <w:top w:val="nil" w:sz="6" w:space="0" w:color="auto"/>
              <w:left w:val="nil" w:sz="6" w:space="0" w:color="auto"/>
              <w:bottom w:val="nil" w:sz="6" w:space="0" w:color="auto"/>
              <w:right w:val="nil" w:sz="6" w:space="0" w:color="auto"/>
            </w:tcBorders>
          </w:tcPr>
          <w:p>
            <w:pPr/>
          </w:p>
        </w:tc>
        <w:tc>
          <w:tcPr>
            <w:tcW w:w="1002"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left="153" w:right="0"/>
              <w:jc w:val="left"/>
              <w:rPr>
                <w:rFonts w:ascii="Arial" w:hAnsi="Arial" w:cs="Arial" w:eastAsia="Arial" w:hint="default"/>
                <w:sz w:val="16"/>
                <w:szCs w:val="16"/>
              </w:rPr>
            </w:pPr>
            <w:r>
              <w:rPr>
                <w:rFonts w:ascii="Arial"/>
                <w:sz w:val="16"/>
              </w:rPr>
              <w:t>42,413,172</w:t>
            </w:r>
          </w:p>
        </w:tc>
        <w:tc>
          <w:tcPr>
            <w:tcW w:w="913"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right="10"/>
              <w:jc w:val="right"/>
              <w:rPr>
                <w:rFonts w:ascii="Arial" w:hAnsi="Arial" w:cs="Arial" w:eastAsia="Arial" w:hint="default"/>
                <w:sz w:val="16"/>
                <w:szCs w:val="16"/>
              </w:rPr>
            </w:pPr>
            <w:r>
              <w:rPr>
                <w:rFonts w:ascii="Arial"/>
                <w:spacing w:val="-1"/>
                <w:sz w:val="16"/>
              </w:rPr>
              <w:t>35,721,245</w:t>
            </w:r>
          </w:p>
        </w:tc>
        <w:tc>
          <w:tcPr>
            <w:tcW w:w="1137"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86" w:lineRule="exact"/>
        <w:ind w:left="891" w:right="0" w:hanging="358"/>
        <w:jc w:val="left"/>
      </w:pPr>
      <w:r>
        <w:rPr>
          <w:rFonts w:ascii="Arial" w:hAnsi="Arial" w:cs="Arial" w:eastAsia="Arial" w:hint="default"/>
        </w:rPr>
        <w:t>(b)</w:t>
      </w:r>
      <w:r>
        <w:rPr>
          <w:rFonts w:ascii="Arial" w:hAnsi="Arial" w:cs="Arial" w:eastAsia="Arial" w:hint="default"/>
          <w:spacing w:val="41"/>
        </w:rPr>
        <w:t> </w:t>
      </w:r>
      <w:r>
        <w:rPr/>
        <w:t>本集团对技术、性能上明显落后或已终止建设、预计将不能为本集团带来未来经济收益的在建工程计提了资产减值准备。</w:t>
      </w:r>
      <w:r>
        <w:rPr>
          <w:rFonts w:ascii="Arial" w:hAnsi="Arial" w:cs="Arial" w:eastAsia="Arial" w:hint="default"/>
        </w:rPr>
        <w:t>2014</w:t>
      </w:r>
      <w:r>
        <w:rPr>
          <w:rFonts w:ascii="Arial" w:hAnsi="Arial" w:cs="Arial" w:eastAsia="Arial" w:hint="default"/>
          <w:spacing w:val="6"/>
        </w:rPr>
        <w:t> </w:t>
      </w:r>
      <w:r>
        <w:rPr/>
        <w:t>年计提减值准备金额</w:t>
      </w:r>
      <w:r>
        <w:rPr>
          <w:spacing w:val="-108"/>
        </w:rPr>
        <w:t> </w:t>
      </w:r>
      <w:r>
        <w:rPr/>
        <w:t>为人民币</w:t>
      </w:r>
      <w:r>
        <w:rPr>
          <w:spacing w:val="-55"/>
        </w:rPr>
        <w:t> </w:t>
      </w:r>
      <w:r>
        <w:rPr>
          <w:rFonts w:ascii="Arial" w:hAnsi="Arial" w:cs="Arial" w:eastAsia="Arial" w:hint="default"/>
        </w:rPr>
        <w:t>2,730</w:t>
      </w:r>
      <w:r>
        <w:rPr>
          <w:rFonts w:ascii="Arial" w:hAnsi="Arial" w:cs="Arial" w:eastAsia="Arial" w:hint="default"/>
          <w:spacing w:val="-7"/>
        </w:rPr>
        <w:t> </w:t>
      </w:r>
      <w:r>
        <w:rPr/>
        <w:t>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77"/>
        <w:ind w:left="7496" w:right="7776" w:firstLine="0"/>
        <w:jc w:val="center"/>
        <w:rPr>
          <w:rFonts w:ascii="Arial" w:hAnsi="Arial" w:cs="Arial" w:eastAsia="Arial" w:hint="default"/>
          <w:sz w:val="18"/>
          <w:szCs w:val="18"/>
        </w:rPr>
      </w:pPr>
      <w:r>
        <w:rPr>
          <w:rFonts w:ascii="Arial"/>
          <w:sz w:val="18"/>
        </w:rPr>
        <w:t>102</w:t>
      </w:r>
    </w:p>
    <w:p>
      <w:pPr>
        <w:spacing w:after="0"/>
        <w:jc w:val="center"/>
        <w:rPr>
          <w:rFonts w:ascii="Arial" w:hAnsi="Arial" w:cs="Arial" w:eastAsia="Arial" w:hint="default"/>
          <w:sz w:val="18"/>
          <w:szCs w:val="18"/>
        </w:rPr>
        <w:sectPr>
          <w:headerReference w:type="default" r:id="rId83"/>
          <w:footerReference w:type="default" r:id="rId84"/>
          <w:pgSz w:w="16840" w:h="11910" w:orient="landscape"/>
          <w:pgMar w:header="0" w:footer="0" w:top="1100" w:bottom="280" w:left="460" w:right="760"/>
        </w:sectPr>
      </w:pPr>
    </w:p>
    <w:p>
      <w:pPr>
        <w:spacing w:line="240" w:lineRule="auto" w:before="2"/>
        <w:rPr>
          <w:rFonts w:ascii="Arial" w:hAnsi="Arial" w:cs="Arial" w:eastAsia="Arial" w:hint="default"/>
          <w:sz w:val="16"/>
          <w:szCs w:val="16"/>
        </w:rPr>
      </w:pPr>
    </w:p>
    <w:p>
      <w:pPr>
        <w:pStyle w:val="BodyText"/>
        <w:spacing w:line="240" w:lineRule="auto" w:before="32"/>
        <w:ind w:left="102" w:right="390"/>
        <w:jc w:val="left"/>
      </w:pPr>
      <w:r>
        <w:rPr>
          <w:rFonts w:ascii="Arial" w:hAnsi="Arial" w:cs="Arial" w:eastAsia="Arial" w:hint="default"/>
        </w:rPr>
        <w:t>12</w:t>
      </w:r>
      <w:r>
        <w:rPr/>
        <w:t>、工程物资</w:t>
      </w:r>
    </w:p>
    <w:p>
      <w:pPr>
        <w:spacing w:line="240" w:lineRule="auto" w:before="0"/>
        <w:rPr>
          <w:rFonts w:ascii="宋体" w:hAnsi="宋体" w:cs="宋体" w:eastAsia="宋体" w:hint="default"/>
          <w:sz w:val="23"/>
          <w:szCs w:val="23"/>
        </w:rPr>
      </w:pPr>
    </w:p>
    <w:tbl>
      <w:tblPr>
        <w:tblW w:w="0" w:type="auto"/>
        <w:jc w:val="left"/>
        <w:tblInd w:w="380" w:type="dxa"/>
        <w:tblLayout w:type="fixed"/>
        <w:tblCellMar>
          <w:top w:w="0" w:type="dxa"/>
          <w:left w:w="0" w:type="dxa"/>
          <w:bottom w:w="0" w:type="dxa"/>
          <w:right w:w="0" w:type="dxa"/>
        </w:tblCellMar>
        <w:tblLook w:val="01E0"/>
      </w:tblPr>
      <w:tblGrid>
        <w:gridCol w:w="3748"/>
        <w:gridCol w:w="2780"/>
        <w:gridCol w:w="130"/>
        <w:gridCol w:w="2280"/>
      </w:tblGrid>
      <w:tr>
        <w:trPr>
          <w:trHeight w:val="264" w:hRule="exact"/>
        </w:trPr>
        <w:tc>
          <w:tcPr>
            <w:tcW w:w="3748" w:type="dxa"/>
            <w:tcBorders>
              <w:top w:val="nil" w:sz="6" w:space="0" w:color="auto"/>
              <w:left w:val="nil" w:sz="6" w:space="0" w:color="auto"/>
              <w:bottom w:val="nil" w:sz="6" w:space="0" w:color="auto"/>
              <w:right w:val="nil" w:sz="6" w:space="0" w:color="auto"/>
            </w:tcBorders>
          </w:tcPr>
          <w:p>
            <w:pPr/>
          </w:p>
        </w:tc>
        <w:tc>
          <w:tcPr>
            <w:tcW w:w="2780" w:type="dxa"/>
            <w:tcBorders>
              <w:top w:val="nil" w:sz="6" w:space="0" w:color="auto"/>
              <w:left w:val="nil" w:sz="6" w:space="0" w:color="auto"/>
              <w:bottom w:val="single" w:sz="6" w:space="0" w:color="000000"/>
              <w:right w:val="nil" w:sz="6" w:space="0" w:color="auto"/>
            </w:tcBorders>
          </w:tcPr>
          <w:p>
            <w:pPr>
              <w:pStyle w:val="TableParagraph"/>
              <w:spacing w:line="236" w:lineRule="exact"/>
              <w:ind w:right="43"/>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30"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single" w:sz="6" w:space="0" w:color="000000"/>
              <w:right w:val="nil" w:sz="6" w:space="0" w:color="auto"/>
            </w:tcBorders>
          </w:tcPr>
          <w:p>
            <w:pPr>
              <w:pStyle w:val="TableParagraph"/>
              <w:spacing w:line="236" w:lineRule="exact"/>
              <w:ind w:left="278" w:right="0"/>
              <w:jc w:val="lef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7" w:hRule="exact"/>
        </w:trPr>
        <w:tc>
          <w:tcPr>
            <w:tcW w:w="374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工程设备</w:t>
            </w:r>
          </w:p>
        </w:tc>
        <w:tc>
          <w:tcPr>
            <w:tcW w:w="2780"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2"/>
              <w:jc w:val="right"/>
              <w:rPr>
                <w:rFonts w:ascii="Arial" w:hAnsi="Arial" w:cs="Arial" w:eastAsia="Arial" w:hint="default"/>
                <w:sz w:val="22"/>
                <w:szCs w:val="22"/>
              </w:rPr>
            </w:pPr>
            <w:r>
              <w:rPr>
                <w:rFonts w:ascii="Arial"/>
                <w:spacing w:val="-1"/>
                <w:sz w:val="22"/>
              </w:rPr>
              <w:t>778,244,531</w:t>
            </w:r>
          </w:p>
        </w:tc>
        <w:tc>
          <w:tcPr>
            <w:tcW w:w="130" w:type="dxa"/>
            <w:tcBorders>
              <w:top w:val="nil" w:sz="6" w:space="0" w:color="auto"/>
              <w:left w:val="nil" w:sz="6" w:space="0" w:color="auto"/>
              <w:bottom w:val="nil" w:sz="6" w:space="0" w:color="auto"/>
              <w:right w:val="nil" w:sz="6" w:space="0" w:color="auto"/>
            </w:tcBorders>
          </w:tcPr>
          <w:p>
            <w:pPr/>
          </w:p>
        </w:tc>
        <w:tc>
          <w:tcPr>
            <w:tcW w:w="2280"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5"/>
              <w:jc w:val="right"/>
              <w:rPr>
                <w:rFonts w:ascii="Arial" w:hAnsi="Arial" w:cs="Arial" w:eastAsia="Arial" w:hint="default"/>
                <w:sz w:val="22"/>
                <w:szCs w:val="22"/>
              </w:rPr>
            </w:pPr>
            <w:r>
              <w:rPr>
                <w:rFonts w:ascii="Arial"/>
                <w:spacing w:val="-1"/>
                <w:sz w:val="22"/>
              </w:rPr>
              <w:t>924,339,994</w:t>
            </w:r>
          </w:p>
        </w:tc>
      </w:tr>
      <w:tr>
        <w:trPr>
          <w:trHeight w:val="294" w:hRule="exact"/>
        </w:trPr>
        <w:tc>
          <w:tcPr>
            <w:tcW w:w="3748"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工程材料</w:t>
            </w:r>
          </w:p>
        </w:tc>
        <w:tc>
          <w:tcPr>
            <w:tcW w:w="2780" w:type="dxa"/>
            <w:tcBorders>
              <w:top w:val="nil" w:sz="6" w:space="0" w:color="auto"/>
              <w:left w:val="nil" w:sz="6" w:space="0" w:color="auto"/>
              <w:bottom w:val="nil" w:sz="6" w:space="0" w:color="auto"/>
              <w:right w:val="nil" w:sz="6" w:space="0" w:color="auto"/>
            </w:tcBorders>
          </w:tcPr>
          <w:p>
            <w:pPr>
              <w:pStyle w:val="TableParagraph"/>
              <w:tabs>
                <w:tab w:pos="1497" w:val="left" w:leader="none"/>
              </w:tabs>
              <w:spacing w:line="240" w:lineRule="auto" w:before="20"/>
              <w:ind w:right="52"/>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623,367,667</w:t>
            </w:r>
            <w:r>
              <w:rPr>
                <w:rFonts w:ascii="Arial"/>
                <w:spacing w:val="-1"/>
                <w:sz w:val="22"/>
              </w:rPr>
            </w:r>
          </w:p>
        </w:tc>
        <w:tc>
          <w:tcPr>
            <w:tcW w:w="130"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Style w:val="TableParagraph"/>
              <w:tabs>
                <w:tab w:pos="988" w:val="left" w:leader="none"/>
              </w:tabs>
              <w:spacing w:line="240" w:lineRule="auto" w:before="20"/>
              <w:ind w:right="55"/>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875,380,448</w:t>
            </w:r>
            <w:r>
              <w:rPr>
                <w:rFonts w:ascii="Arial"/>
                <w:spacing w:val="-1"/>
                <w:sz w:val="22"/>
              </w:rPr>
            </w:r>
          </w:p>
        </w:tc>
      </w:tr>
      <w:tr>
        <w:trPr>
          <w:trHeight w:val="419" w:hRule="exact"/>
        </w:trPr>
        <w:tc>
          <w:tcPr>
            <w:tcW w:w="3748"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2"/>
              <w:jc w:val="right"/>
              <w:rPr>
                <w:rFonts w:ascii="Arial" w:hAnsi="Arial" w:cs="Arial" w:eastAsia="Arial" w:hint="default"/>
                <w:sz w:val="22"/>
                <w:szCs w:val="22"/>
              </w:rPr>
            </w:pPr>
            <w:r>
              <w:rPr>
                <w:rFonts w:ascii="Arial"/>
                <w:spacing w:val="-1"/>
                <w:sz w:val="22"/>
              </w:rPr>
              <w:t>1,401,612,198</w:t>
            </w:r>
          </w:p>
        </w:tc>
        <w:tc>
          <w:tcPr>
            <w:tcW w:w="130"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5"/>
              <w:jc w:val="right"/>
              <w:rPr>
                <w:rFonts w:ascii="Arial" w:hAnsi="Arial" w:cs="Arial" w:eastAsia="Arial" w:hint="default"/>
                <w:sz w:val="22"/>
                <w:szCs w:val="22"/>
              </w:rPr>
            </w:pPr>
            <w:r>
              <w:rPr>
                <w:rFonts w:ascii="Arial"/>
                <w:spacing w:val="-1"/>
                <w:sz w:val="22"/>
              </w:rPr>
              <w:t>1,799,720,442</w:t>
            </w:r>
          </w:p>
        </w:tc>
      </w:tr>
      <w:tr>
        <w:trPr>
          <w:trHeight w:val="545" w:hRule="exact"/>
        </w:trPr>
        <w:tc>
          <w:tcPr>
            <w:tcW w:w="3748"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00" w:right="0"/>
              <w:jc w:val="left"/>
              <w:rPr>
                <w:rFonts w:ascii="宋体" w:hAnsi="宋体" w:cs="宋体" w:eastAsia="宋体" w:hint="default"/>
                <w:sz w:val="22"/>
                <w:szCs w:val="22"/>
              </w:rPr>
            </w:pPr>
            <w:r>
              <w:rPr>
                <w:rFonts w:ascii="宋体" w:hAnsi="宋体" w:cs="宋体" w:eastAsia="宋体" w:hint="default"/>
                <w:sz w:val="22"/>
                <w:szCs w:val="22"/>
              </w:rPr>
              <w:t>工程物资减值准备</w:t>
            </w:r>
          </w:p>
        </w:tc>
        <w:tc>
          <w:tcPr>
            <w:tcW w:w="2780" w:type="dxa"/>
            <w:tcBorders>
              <w:top w:val="nil" w:sz="6" w:space="0" w:color="auto"/>
              <w:left w:val="nil" w:sz="6" w:space="0" w:color="auto"/>
              <w:bottom w:val="nil" w:sz="6" w:space="0" w:color="auto"/>
              <w:right w:val="nil" w:sz="6" w:space="0" w:color="auto"/>
            </w:tcBorders>
          </w:tcPr>
          <w:p>
            <w:pPr>
              <w:pStyle w:val="TableParagraph"/>
              <w:tabs>
                <w:tab w:pos="1529" w:val="left" w:leader="none"/>
              </w:tabs>
              <w:spacing w:line="240" w:lineRule="auto" w:before="144"/>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(26,311,327)</w:t>
            </w:r>
            <w:r>
              <w:rPr>
                <w:rFonts w:ascii="Arial"/>
                <w:spacing w:val="-1"/>
                <w:sz w:val="22"/>
              </w:rPr>
            </w:r>
          </w:p>
        </w:tc>
        <w:tc>
          <w:tcPr>
            <w:tcW w:w="130"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Style w:val="TableParagraph"/>
              <w:tabs>
                <w:tab w:pos="1145" w:val="left" w:leader="none"/>
              </w:tabs>
              <w:spacing w:line="240" w:lineRule="auto" w:before="144"/>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(2,825,225)</w:t>
            </w:r>
            <w:r>
              <w:rPr>
                <w:rFonts w:ascii="Arial"/>
                <w:spacing w:val="-1"/>
                <w:sz w:val="22"/>
              </w:rPr>
            </w:r>
          </w:p>
        </w:tc>
      </w:tr>
      <w:tr>
        <w:trPr>
          <w:trHeight w:val="433" w:hRule="exact"/>
        </w:trPr>
        <w:tc>
          <w:tcPr>
            <w:tcW w:w="374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工程物资合计</w:t>
            </w:r>
          </w:p>
        </w:tc>
        <w:tc>
          <w:tcPr>
            <w:tcW w:w="2780"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52"/>
              <w:jc w:val="right"/>
              <w:rPr>
                <w:rFonts w:ascii="Arial" w:hAnsi="Arial" w:cs="Arial" w:eastAsia="Arial" w:hint="default"/>
                <w:sz w:val="22"/>
                <w:szCs w:val="22"/>
              </w:rPr>
            </w:pPr>
            <w:r>
              <w:rPr>
                <w:rFonts w:ascii="Arial"/>
                <w:spacing w:val="-1"/>
                <w:sz w:val="22"/>
              </w:rPr>
              <w:t>1,375,300,871</w:t>
            </w:r>
          </w:p>
        </w:tc>
        <w:tc>
          <w:tcPr>
            <w:tcW w:w="130"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55"/>
              <w:jc w:val="right"/>
              <w:rPr>
                <w:rFonts w:ascii="Arial" w:hAnsi="Arial" w:cs="Arial" w:eastAsia="Arial" w:hint="default"/>
                <w:sz w:val="22"/>
                <w:szCs w:val="22"/>
              </w:rPr>
            </w:pPr>
            <w:r>
              <w:rPr>
                <w:rFonts w:ascii="Arial"/>
                <w:spacing w:val="-1"/>
                <w:sz w:val="22"/>
              </w:rPr>
              <w:t>1,796,895,217</w:t>
            </w:r>
          </w:p>
        </w:tc>
      </w:tr>
    </w:tbl>
    <w:p>
      <w:pPr>
        <w:spacing w:line="240" w:lineRule="auto" w:before="4"/>
        <w:rPr>
          <w:rFonts w:ascii="宋体" w:hAnsi="宋体" w:cs="宋体" w:eastAsia="宋体" w:hint="default"/>
          <w:sz w:val="8"/>
          <w:szCs w:val="8"/>
        </w:rPr>
      </w:pPr>
    </w:p>
    <w:p>
      <w:pPr>
        <w:pStyle w:val="BodyText"/>
        <w:spacing w:line="240" w:lineRule="auto" w:before="32"/>
        <w:ind w:left="102" w:right="390"/>
        <w:jc w:val="left"/>
      </w:pPr>
      <w:r>
        <w:rPr>
          <w:rFonts w:ascii="Arial" w:hAnsi="Arial" w:cs="Arial" w:eastAsia="Arial" w:hint="default"/>
        </w:rPr>
        <w:t>13</w:t>
      </w:r>
      <w:r>
        <w:rPr/>
        <w:t>、无形资产</w:t>
      </w:r>
    </w:p>
    <w:p>
      <w:pPr>
        <w:spacing w:line="240" w:lineRule="auto" w:before="10"/>
        <w:rPr>
          <w:rFonts w:ascii="宋体" w:hAnsi="宋体" w:cs="宋体" w:eastAsia="宋体" w:hint="default"/>
          <w:sz w:val="22"/>
          <w:szCs w:val="22"/>
        </w:rPr>
      </w:pPr>
    </w:p>
    <w:tbl>
      <w:tblPr>
        <w:tblW w:w="0" w:type="auto"/>
        <w:jc w:val="left"/>
        <w:tblInd w:w="291" w:type="dxa"/>
        <w:tblLayout w:type="fixed"/>
        <w:tblCellMar>
          <w:top w:w="0" w:type="dxa"/>
          <w:left w:w="0" w:type="dxa"/>
          <w:bottom w:w="0" w:type="dxa"/>
          <w:right w:w="0" w:type="dxa"/>
        </w:tblCellMar>
        <w:tblLook w:val="01E0"/>
      </w:tblPr>
      <w:tblGrid>
        <w:gridCol w:w="1878"/>
        <w:gridCol w:w="1514"/>
        <w:gridCol w:w="1460"/>
        <w:gridCol w:w="1453"/>
        <w:gridCol w:w="1346"/>
        <w:gridCol w:w="1525"/>
      </w:tblGrid>
      <w:tr>
        <w:trPr>
          <w:trHeight w:val="450" w:hRule="exact"/>
        </w:trPr>
        <w:tc>
          <w:tcPr>
            <w:tcW w:w="187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60"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453" w:type="dxa"/>
            <w:tcBorders>
              <w:top w:val="nil" w:sz="6" w:space="0" w:color="auto"/>
              <w:left w:val="nil" w:sz="6" w:space="0" w:color="auto"/>
              <w:bottom w:val="single" w:sz="6" w:space="0" w:color="000000"/>
              <w:right w:val="nil" w:sz="6" w:space="0" w:color="auto"/>
            </w:tcBorders>
          </w:tcPr>
          <w:p>
            <w:pPr>
              <w:pStyle w:val="TableParagraph"/>
              <w:spacing w:line="180" w:lineRule="exact"/>
              <w:ind w:right="167"/>
              <w:jc w:val="center"/>
              <w:rPr>
                <w:rFonts w:ascii="宋体" w:hAnsi="宋体" w:cs="宋体" w:eastAsia="宋体" w:hint="default"/>
                <w:sz w:val="18"/>
                <w:szCs w:val="18"/>
              </w:rPr>
            </w:pPr>
            <w:r>
              <w:rPr>
                <w:rFonts w:ascii="宋体" w:hAnsi="宋体" w:cs="宋体" w:eastAsia="宋体" w:hint="default"/>
                <w:sz w:val="18"/>
                <w:szCs w:val="18"/>
              </w:rPr>
              <w:t>电路及设备</w:t>
            </w:r>
          </w:p>
          <w:p>
            <w:pPr>
              <w:pStyle w:val="TableParagraph"/>
              <w:spacing w:line="240" w:lineRule="auto"/>
              <w:ind w:right="166"/>
              <w:jc w:val="center"/>
              <w:rPr>
                <w:rFonts w:ascii="宋体" w:hAnsi="宋体" w:cs="宋体" w:eastAsia="宋体" w:hint="default"/>
                <w:sz w:val="18"/>
                <w:szCs w:val="18"/>
              </w:rPr>
            </w:pPr>
            <w:r>
              <w:rPr>
                <w:rFonts w:ascii="宋体" w:hAnsi="宋体" w:cs="宋体" w:eastAsia="宋体" w:hint="default"/>
                <w:sz w:val="18"/>
                <w:szCs w:val="18"/>
              </w:rPr>
              <w:t>使用权</w:t>
            </w:r>
          </w:p>
        </w:tc>
        <w:tc>
          <w:tcPr>
            <w:tcW w:w="1346"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5"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65"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原值</w:t>
            </w:r>
          </w:p>
        </w:tc>
        <w:tc>
          <w:tcPr>
            <w:tcW w:w="1514" w:type="dxa"/>
            <w:tcBorders>
              <w:top w:val="single" w:sz="6" w:space="0" w:color="000000"/>
              <w:left w:val="nil" w:sz="6" w:space="0" w:color="auto"/>
              <w:bottom w:val="nil" w:sz="6" w:space="0" w:color="auto"/>
              <w:right w:val="nil" w:sz="6" w:space="0" w:color="auto"/>
            </w:tcBorders>
          </w:tcPr>
          <w:p>
            <w:pPr/>
          </w:p>
        </w:tc>
        <w:tc>
          <w:tcPr>
            <w:tcW w:w="1460" w:type="dxa"/>
            <w:tcBorders>
              <w:top w:val="single" w:sz="6" w:space="0" w:color="000000"/>
              <w:left w:val="nil" w:sz="6" w:space="0" w:color="auto"/>
              <w:bottom w:val="nil" w:sz="6" w:space="0" w:color="auto"/>
              <w:right w:val="nil" w:sz="6" w:space="0" w:color="auto"/>
            </w:tcBorders>
          </w:tcPr>
          <w:p>
            <w:pPr/>
          </w:p>
        </w:tc>
        <w:tc>
          <w:tcPr>
            <w:tcW w:w="1453" w:type="dxa"/>
            <w:tcBorders>
              <w:top w:val="single" w:sz="6" w:space="0" w:color="000000"/>
              <w:left w:val="nil" w:sz="6" w:space="0" w:color="auto"/>
              <w:bottom w:val="nil" w:sz="6" w:space="0" w:color="auto"/>
              <w:right w:val="nil" w:sz="6" w:space="0" w:color="auto"/>
            </w:tcBorders>
          </w:tcPr>
          <w:p>
            <w:pPr/>
          </w:p>
        </w:tc>
        <w:tc>
          <w:tcPr>
            <w:tcW w:w="1346" w:type="dxa"/>
            <w:tcBorders>
              <w:top w:val="single" w:sz="6" w:space="0" w:color="000000"/>
              <w:left w:val="nil" w:sz="6" w:space="0" w:color="auto"/>
              <w:bottom w:val="nil" w:sz="6" w:space="0" w:color="auto"/>
              <w:right w:val="nil" w:sz="6" w:space="0" w:color="auto"/>
            </w:tcBorders>
          </w:tcPr>
          <w:p>
            <w:pPr/>
          </w:p>
        </w:tc>
        <w:tc>
          <w:tcPr>
            <w:tcW w:w="1525" w:type="dxa"/>
            <w:tcBorders>
              <w:top w:val="single" w:sz="6" w:space="0" w:color="000000"/>
              <w:left w:val="nil" w:sz="6" w:space="0" w:color="auto"/>
              <w:bottom w:val="nil" w:sz="6" w:space="0" w:color="auto"/>
              <w:right w:val="nil" w:sz="6" w:space="0" w:color="auto"/>
            </w:tcBorders>
          </w:tcPr>
          <w:p>
            <w:pPr/>
          </w:p>
        </w:tc>
      </w:tr>
      <w:tr>
        <w:trPr>
          <w:trHeight w:val="360"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8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43" w:right="0"/>
              <w:jc w:val="left"/>
              <w:rPr>
                <w:rFonts w:ascii="Arial" w:hAnsi="Arial" w:cs="Arial" w:eastAsia="Arial" w:hint="default"/>
                <w:sz w:val="18"/>
                <w:szCs w:val="18"/>
              </w:rPr>
            </w:pPr>
            <w:r>
              <w:rPr>
                <w:rFonts w:ascii="Arial"/>
                <w:sz w:val="18"/>
              </w:rPr>
              <w:t>18,097,334,832</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24"/>
              <w:jc w:val="right"/>
              <w:rPr>
                <w:rFonts w:ascii="Arial" w:hAnsi="Arial" w:cs="Arial" w:eastAsia="Arial" w:hint="default"/>
                <w:sz w:val="18"/>
                <w:szCs w:val="18"/>
              </w:rPr>
            </w:pPr>
            <w:r>
              <w:rPr>
                <w:rFonts w:ascii="Arial"/>
                <w:spacing w:val="-1"/>
                <w:sz w:val="18"/>
              </w:rPr>
              <w:t>15,668,303,252</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07" w:right="0"/>
              <w:jc w:val="left"/>
              <w:rPr>
                <w:rFonts w:ascii="Arial" w:hAnsi="Arial" w:cs="Arial" w:eastAsia="Arial" w:hint="default"/>
                <w:sz w:val="18"/>
                <w:szCs w:val="18"/>
              </w:rPr>
            </w:pPr>
            <w:r>
              <w:rPr>
                <w:rFonts w:ascii="Arial"/>
                <w:sz w:val="18"/>
              </w:rPr>
              <w:t>1,111,065,990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91" w:right="0"/>
              <w:jc w:val="left"/>
              <w:rPr>
                <w:rFonts w:ascii="Arial" w:hAnsi="Arial" w:cs="Arial" w:eastAsia="Arial" w:hint="default"/>
                <w:sz w:val="18"/>
                <w:szCs w:val="18"/>
              </w:rPr>
            </w:pPr>
            <w:r>
              <w:rPr>
                <w:rFonts w:ascii="Arial"/>
                <w:sz w:val="18"/>
              </w:rPr>
              <w:t>570,929,674</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87" w:right="0"/>
              <w:jc w:val="left"/>
              <w:rPr>
                <w:rFonts w:ascii="Arial" w:hAnsi="Arial" w:cs="Arial" w:eastAsia="Arial" w:hint="default"/>
                <w:sz w:val="18"/>
                <w:szCs w:val="18"/>
              </w:rPr>
            </w:pPr>
            <w:r>
              <w:rPr>
                <w:rFonts w:ascii="Arial"/>
                <w:sz w:val="18"/>
              </w:rPr>
              <w:t>35,447,633,748</w:t>
            </w:r>
          </w:p>
        </w:tc>
      </w:tr>
      <w:tr>
        <w:trPr>
          <w:trHeight w:val="244"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01" w:lineRule="exact"/>
              <w:ind w:left="382"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42" w:right="0"/>
              <w:jc w:val="left"/>
              <w:rPr>
                <w:rFonts w:ascii="Arial" w:hAnsi="Arial" w:cs="Arial" w:eastAsia="Arial" w:hint="default"/>
                <w:sz w:val="18"/>
                <w:szCs w:val="18"/>
              </w:rPr>
            </w:pPr>
            <w:r>
              <w:rPr>
                <w:rFonts w:ascii="Arial"/>
                <w:sz w:val="18"/>
              </w:rPr>
              <w:t>1,472,197,049</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5"/>
              <w:jc w:val="right"/>
              <w:rPr>
                <w:rFonts w:ascii="Arial" w:hAnsi="Arial" w:cs="Arial" w:eastAsia="Arial" w:hint="default"/>
                <w:sz w:val="18"/>
                <w:szCs w:val="18"/>
              </w:rPr>
            </w:pPr>
            <w:r>
              <w:rPr>
                <w:rFonts w:ascii="Arial"/>
                <w:spacing w:val="-1"/>
                <w:sz w:val="18"/>
              </w:rPr>
              <w:t>3,966,286,895</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10" w:right="0"/>
              <w:jc w:val="left"/>
              <w:rPr>
                <w:rFonts w:ascii="Arial" w:hAnsi="Arial" w:cs="Arial" w:eastAsia="Arial" w:hint="default"/>
                <w:sz w:val="18"/>
                <w:szCs w:val="18"/>
              </w:rPr>
            </w:pPr>
            <w:r>
              <w:rPr>
                <w:rFonts w:ascii="Arial"/>
                <w:sz w:val="18"/>
              </w:rPr>
              <w:t>446,634</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91" w:right="0"/>
              <w:jc w:val="left"/>
              <w:rPr>
                <w:rFonts w:ascii="Arial" w:hAnsi="Arial" w:cs="Arial" w:eastAsia="Arial" w:hint="default"/>
                <w:sz w:val="18"/>
                <w:szCs w:val="18"/>
              </w:rPr>
            </w:pPr>
            <w:r>
              <w:rPr>
                <w:rFonts w:ascii="Arial"/>
                <w:sz w:val="18"/>
              </w:rPr>
              <w:t>130,434,794</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6" w:right="0"/>
              <w:jc w:val="left"/>
              <w:rPr>
                <w:rFonts w:ascii="Arial" w:hAnsi="Arial" w:cs="Arial" w:eastAsia="Arial" w:hint="default"/>
                <w:sz w:val="18"/>
                <w:szCs w:val="18"/>
              </w:rPr>
            </w:pPr>
            <w:r>
              <w:rPr>
                <w:rFonts w:ascii="Arial"/>
                <w:sz w:val="18"/>
              </w:rPr>
              <w:t>5,569,365,372</w:t>
            </w:r>
          </w:p>
        </w:tc>
      </w:tr>
      <w:tr>
        <w:trPr>
          <w:trHeight w:val="242"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12" w:lineRule="exact"/>
              <w:ind w:left="591"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购置</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6"/>
              <w:jc w:val="right"/>
              <w:rPr>
                <w:rFonts w:ascii="Arial" w:hAnsi="Arial" w:cs="Arial" w:eastAsia="Arial" w:hint="default"/>
                <w:sz w:val="18"/>
                <w:szCs w:val="18"/>
              </w:rPr>
            </w:pPr>
            <w:r>
              <w:rPr>
                <w:rFonts w:ascii="Arial"/>
                <w:spacing w:val="-1"/>
                <w:sz w:val="18"/>
              </w:rPr>
              <w:t>845,370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6"/>
              <w:jc w:val="right"/>
              <w:rPr>
                <w:rFonts w:ascii="Arial" w:hAnsi="Arial" w:cs="Arial" w:eastAsia="Arial" w:hint="default"/>
                <w:sz w:val="18"/>
                <w:szCs w:val="18"/>
              </w:rPr>
            </w:pPr>
            <w:r>
              <w:rPr>
                <w:rFonts w:ascii="Arial"/>
                <w:spacing w:val="-1"/>
                <w:sz w:val="18"/>
              </w:rPr>
              <w:t>381,607,002</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09" w:right="0"/>
              <w:jc w:val="left"/>
              <w:rPr>
                <w:rFonts w:ascii="Arial" w:hAnsi="Arial" w:cs="Arial" w:eastAsia="Arial" w:hint="default"/>
                <w:sz w:val="18"/>
                <w:szCs w:val="18"/>
              </w:rPr>
            </w:pPr>
            <w:r>
              <w:rPr>
                <w:rFonts w:ascii="Arial"/>
                <w:sz w:val="18"/>
              </w:rPr>
              <w:t>2,812</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90" w:right="0"/>
              <w:jc w:val="left"/>
              <w:rPr>
                <w:rFonts w:ascii="Arial" w:hAnsi="Arial" w:cs="Arial" w:eastAsia="Arial" w:hint="default"/>
                <w:sz w:val="18"/>
                <w:szCs w:val="18"/>
              </w:rPr>
            </w:pPr>
            <w:r>
              <w:rPr>
                <w:rFonts w:ascii="Arial"/>
                <w:sz w:val="18"/>
              </w:rPr>
              <w:t>1,091,987</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3"/>
              <w:jc w:val="right"/>
              <w:rPr>
                <w:rFonts w:ascii="Arial" w:hAnsi="Arial" w:cs="Arial" w:eastAsia="Arial" w:hint="default"/>
                <w:sz w:val="18"/>
                <w:szCs w:val="18"/>
              </w:rPr>
            </w:pPr>
            <w:r>
              <w:rPr>
                <w:rFonts w:ascii="Arial"/>
                <w:spacing w:val="-1"/>
                <w:sz w:val="18"/>
              </w:rPr>
              <w:t>383,547,171</w:t>
            </w:r>
          </w:p>
        </w:tc>
      </w:tr>
      <w:tr>
        <w:trPr>
          <w:trHeight w:val="244"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12" w:lineRule="exact"/>
              <w:ind w:left="591"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在建工程转入</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42" w:right="0"/>
              <w:jc w:val="left"/>
              <w:rPr>
                <w:rFonts w:ascii="Arial" w:hAnsi="Arial" w:cs="Arial" w:eastAsia="Arial" w:hint="default"/>
                <w:sz w:val="18"/>
                <w:szCs w:val="18"/>
              </w:rPr>
            </w:pPr>
            <w:r>
              <w:rPr>
                <w:rFonts w:ascii="Arial"/>
                <w:sz w:val="18"/>
              </w:rPr>
              <w:t>1,471,351,679</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5"/>
              <w:jc w:val="right"/>
              <w:rPr>
                <w:rFonts w:ascii="Arial" w:hAnsi="Arial" w:cs="Arial" w:eastAsia="Arial" w:hint="default"/>
                <w:sz w:val="18"/>
                <w:szCs w:val="18"/>
              </w:rPr>
            </w:pPr>
            <w:r>
              <w:rPr>
                <w:rFonts w:ascii="Arial"/>
                <w:spacing w:val="-1"/>
                <w:sz w:val="18"/>
              </w:rPr>
              <w:t>3,584,679,893</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10" w:right="0"/>
              <w:jc w:val="left"/>
              <w:rPr>
                <w:rFonts w:ascii="Arial" w:hAnsi="Arial" w:cs="Arial" w:eastAsia="Arial" w:hint="default"/>
                <w:sz w:val="18"/>
                <w:szCs w:val="18"/>
              </w:rPr>
            </w:pPr>
            <w:r>
              <w:rPr>
                <w:rFonts w:ascii="Arial"/>
                <w:sz w:val="18"/>
              </w:rPr>
              <w:t>443,822</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91" w:right="0"/>
              <w:jc w:val="left"/>
              <w:rPr>
                <w:rFonts w:ascii="Arial" w:hAnsi="Arial" w:cs="Arial" w:eastAsia="Arial" w:hint="default"/>
                <w:sz w:val="18"/>
                <w:szCs w:val="18"/>
              </w:rPr>
            </w:pPr>
            <w:r>
              <w:rPr>
                <w:rFonts w:ascii="Arial"/>
                <w:sz w:val="18"/>
              </w:rPr>
              <w:t>129,342,807</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6" w:right="0"/>
              <w:jc w:val="left"/>
              <w:rPr>
                <w:rFonts w:ascii="Arial" w:hAnsi="Arial" w:cs="Arial" w:eastAsia="Arial" w:hint="default"/>
                <w:sz w:val="18"/>
                <w:szCs w:val="18"/>
              </w:rPr>
            </w:pPr>
            <w:r>
              <w:rPr>
                <w:rFonts w:ascii="Arial"/>
                <w:sz w:val="18"/>
              </w:rPr>
              <w:t>5,185,818,201</w:t>
            </w:r>
          </w:p>
        </w:tc>
      </w:tr>
      <w:tr>
        <w:trPr>
          <w:trHeight w:val="246"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01" w:lineRule="exact"/>
              <w:ind w:left="382" w:right="0"/>
              <w:jc w:val="left"/>
              <w:rPr>
                <w:rFonts w:ascii="宋体" w:hAnsi="宋体" w:cs="宋体" w:eastAsia="宋体" w:hint="default"/>
                <w:sz w:val="18"/>
                <w:szCs w:val="18"/>
              </w:rPr>
            </w:pPr>
            <w:r>
              <w:rPr>
                <w:rFonts w:ascii="宋体" w:hAnsi="宋体" w:cs="宋体" w:eastAsia="宋体" w:hint="default"/>
                <w:sz w:val="18"/>
                <w:szCs w:val="18"/>
              </w:rPr>
              <w:t>本年处置</w:t>
            </w:r>
          </w:p>
        </w:tc>
        <w:tc>
          <w:tcPr>
            <w:tcW w:w="1514" w:type="dxa"/>
            <w:tcBorders>
              <w:top w:val="nil" w:sz="6" w:space="0" w:color="auto"/>
              <w:left w:val="nil" w:sz="6" w:space="0" w:color="auto"/>
              <w:bottom w:val="nil" w:sz="6" w:space="0" w:color="auto"/>
              <w:right w:val="nil" w:sz="6" w:space="0" w:color="auto"/>
            </w:tcBorders>
          </w:tcPr>
          <w:p>
            <w:pPr>
              <w:pStyle w:val="TableParagraph"/>
              <w:tabs>
                <w:tab w:pos="410" w:val="left" w:leader="none"/>
              </w:tabs>
              <w:spacing w:line="240" w:lineRule="auto" w:before="21"/>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(60,869,534)</w:t>
            </w:r>
            <w:r>
              <w:rPr>
                <w:rFonts w:ascii="Arial"/>
                <w:sz w:val="18"/>
              </w:rPr>
            </w:r>
          </w:p>
        </w:tc>
        <w:tc>
          <w:tcPr>
            <w:tcW w:w="1460" w:type="dxa"/>
            <w:tcBorders>
              <w:top w:val="nil" w:sz="6" w:space="0" w:color="auto"/>
              <w:left w:val="nil" w:sz="6" w:space="0" w:color="auto"/>
              <w:bottom w:val="nil" w:sz="6" w:space="0" w:color="auto"/>
              <w:right w:val="nil" w:sz="6" w:space="0" w:color="auto"/>
            </w:tcBorders>
          </w:tcPr>
          <w:p>
            <w:pPr>
              <w:pStyle w:val="TableParagraph"/>
              <w:tabs>
                <w:tab w:pos="262" w:val="left" w:leader="none"/>
              </w:tabs>
              <w:spacing w:line="240" w:lineRule="auto" w:before="21"/>
              <w:ind w:left="-14" w:right="7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(621,350,281)</w:t>
            </w:r>
            <w:r>
              <w:rPr>
                <w:rFonts w:ascii="Arial"/>
                <w:spacing w:val="-1"/>
                <w:sz w:val="18"/>
              </w:rPr>
            </w:r>
          </w:p>
        </w:tc>
        <w:tc>
          <w:tcPr>
            <w:tcW w:w="1453" w:type="dxa"/>
            <w:tcBorders>
              <w:top w:val="nil" w:sz="6" w:space="0" w:color="auto"/>
              <w:left w:val="nil" w:sz="6" w:space="0" w:color="auto"/>
              <w:bottom w:val="nil" w:sz="6" w:space="0" w:color="auto"/>
              <w:right w:val="nil" w:sz="6" w:space="0" w:color="auto"/>
            </w:tcBorders>
          </w:tcPr>
          <w:p>
            <w:pPr>
              <w:pStyle w:val="TableParagraph"/>
              <w:tabs>
                <w:tab w:pos="749" w:val="left" w:leader="none"/>
                <w:tab w:pos="1685" w:val="left" w:leader="none"/>
              </w:tabs>
              <w:spacing w:line="240" w:lineRule="auto" w:before="21"/>
              <w:ind w:right="-233"/>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(7,906)</w:t>
            </w:r>
            <w:r>
              <w:rPr>
                <w:rFonts w:ascii="Arial"/>
                <w:sz w:val="18"/>
              </w:rPr>
            </w:r>
            <w:r>
              <w:rPr>
                <w:rFonts w:ascii="Arial"/>
                <w:spacing w:val="20"/>
                <w:sz w:val="18"/>
              </w:rPr>
              <w:t> </w:t>
            </w:r>
            <w:r>
              <w:rPr>
                <w:rFonts w:ascii="Arial"/>
                <w:spacing w:val="20"/>
                <w:w w:val="100"/>
                <w:sz w:val="18"/>
              </w:rPr>
            </w:r>
            <w:r>
              <w:rPr>
                <w:rFonts w:ascii="Arial"/>
                <w:w w:val="100"/>
                <w:sz w:val="18"/>
                <w:u w:val="single" w:color="000000"/>
              </w:rPr>
              <w:t> </w:t>
            </w:r>
            <w:r>
              <w:rPr>
                <w:rFonts w:ascii="Arial"/>
                <w:sz w:val="18"/>
                <w:u w:val="single" w:color="000000"/>
              </w:rPr>
              <w:tab/>
            </w:r>
            <w:r>
              <w:rPr>
                <w:rFonts w:ascii="Arial"/>
                <w:sz w:val="18"/>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0"/>
              <w:jc w:val="right"/>
              <w:rPr>
                <w:rFonts w:ascii="Arial" w:hAnsi="Arial" w:cs="Arial" w:eastAsia="Arial" w:hint="default"/>
                <w:sz w:val="18"/>
                <w:szCs w:val="18"/>
              </w:rPr>
            </w:pPr>
            <w:r>
              <w:rPr>
                <w:rFonts w:ascii="Arial"/>
                <w:w w:val="99"/>
                <w:sz w:val="18"/>
              </w:rPr>
            </w:r>
            <w:r>
              <w:rPr>
                <w:rFonts w:ascii="Arial"/>
                <w:spacing w:val="-1"/>
                <w:sz w:val="18"/>
                <w:u w:val="single" w:color="000000"/>
              </w:rPr>
              <w:t>(21,700,434)</w:t>
            </w:r>
            <w:r>
              <w:rPr>
                <w:rFonts w:ascii="Arial"/>
                <w:spacing w:val="-1"/>
                <w:sz w:val="18"/>
              </w:rPr>
            </w:r>
          </w:p>
        </w:tc>
        <w:tc>
          <w:tcPr>
            <w:tcW w:w="1525" w:type="dxa"/>
            <w:tcBorders>
              <w:top w:val="nil" w:sz="6" w:space="0" w:color="auto"/>
              <w:left w:val="nil" w:sz="6" w:space="0" w:color="auto"/>
              <w:bottom w:val="nil" w:sz="6" w:space="0" w:color="auto"/>
              <w:right w:val="nil" w:sz="6" w:space="0" w:color="auto"/>
            </w:tcBorders>
          </w:tcPr>
          <w:p>
            <w:pPr>
              <w:pStyle w:val="TableParagraph"/>
              <w:tabs>
                <w:tab w:pos="377" w:val="left" w:leader="none"/>
              </w:tabs>
              <w:spacing w:line="240" w:lineRule="auto" w:before="21"/>
              <w:ind w:right="2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(703,928,155)</w:t>
            </w:r>
            <w:r>
              <w:rPr>
                <w:rFonts w:ascii="Arial"/>
                <w:spacing w:val="-1"/>
                <w:sz w:val="18"/>
              </w:rPr>
            </w:r>
          </w:p>
        </w:tc>
      </w:tr>
      <w:tr>
        <w:trPr>
          <w:trHeight w:val="302"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02" w:lineRule="exact"/>
              <w:ind w:left="382"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1"/>
                <w:sz w:val="18"/>
                <w:u w:val="single" w:color="000000"/>
              </w:rPr>
              <w:t> </w:t>
            </w:r>
            <w:r>
              <w:rPr>
                <w:rFonts w:ascii="Arial"/>
                <w:sz w:val="18"/>
                <w:u w:val="single" w:color="000000"/>
              </w:rPr>
              <w:t>19,508,662,347</w:t>
            </w:r>
            <w:r>
              <w:rPr>
                <w:rFonts w:ascii="Arial"/>
                <w:sz w:val="18"/>
              </w:rPr>
            </w:r>
          </w:p>
        </w:tc>
        <w:tc>
          <w:tcPr>
            <w:tcW w:w="1460" w:type="dxa"/>
            <w:tcBorders>
              <w:top w:val="nil" w:sz="6" w:space="0" w:color="auto"/>
              <w:left w:val="nil" w:sz="6" w:space="0" w:color="auto"/>
              <w:bottom w:val="nil" w:sz="6" w:space="0" w:color="auto"/>
              <w:right w:val="nil" w:sz="6" w:space="0" w:color="auto"/>
            </w:tcBorders>
          </w:tcPr>
          <w:p>
            <w:pPr>
              <w:pStyle w:val="TableParagraph"/>
              <w:tabs>
                <w:tab w:pos="1382" w:val="left" w:leader="none"/>
              </w:tabs>
              <w:spacing w:line="240" w:lineRule="auto" w:before="22"/>
              <w:ind w:left="-14" w:right="7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5"/>
                <w:sz w:val="18"/>
                <w:u w:val="single" w:color="000000"/>
              </w:rPr>
              <w:t> </w:t>
            </w:r>
            <w:r>
              <w:rPr>
                <w:rFonts w:ascii="Arial"/>
                <w:spacing w:val="-1"/>
                <w:sz w:val="18"/>
                <w:u w:val="single" w:color="000000"/>
              </w:rPr>
              <w:t>19,013,239,866</w:t>
              <w:tab/>
            </w:r>
            <w:r>
              <w:rPr>
                <w:rFonts w:ascii="Arial"/>
                <w:spacing w:val="-1"/>
                <w:sz w:val="18"/>
              </w:rPr>
            </w:r>
          </w:p>
        </w:tc>
        <w:tc>
          <w:tcPr>
            <w:tcW w:w="1453" w:type="dxa"/>
            <w:tcBorders>
              <w:top w:val="nil" w:sz="6" w:space="0" w:color="auto"/>
              <w:left w:val="nil" w:sz="6" w:space="0" w:color="auto"/>
              <w:bottom w:val="nil" w:sz="6" w:space="0" w:color="auto"/>
              <w:right w:val="nil" w:sz="6" w:space="0" w:color="auto"/>
            </w:tcBorders>
          </w:tcPr>
          <w:p>
            <w:pPr>
              <w:pStyle w:val="TableParagraph"/>
              <w:tabs>
                <w:tab w:pos="1644" w:val="left" w:leader="none"/>
              </w:tabs>
              <w:spacing w:line="240" w:lineRule="auto" w:before="22"/>
              <w:ind w:right="-192"/>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7"/>
                <w:sz w:val="18"/>
                <w:u w:val="single" w:color="000000"/>
              </w:rPr>
              <w:t> </w:t>
            </w:r>
            <w:r>
              <w:rPr>
                <w:rFonts w:ascii="Arial"/>
                <w:sz w:val="18"/>
                <w:u w:val="single" w:color="000000"/>
              </w:rPr>
              <w:t>1,111,504,718</w:t>
            </w:r>
            <w:r>
              <w:rPr>
                <w:rFonts w:ascii="Arial"/>
                <w:spacing w:val="10"/>
                <w:sz w:val="18"/>
                <w:u w:val="single" w:color="000000"/>
              </w:rPr>
              <w:t> </w:t>
            </w:r>
            <w:r>
              <w:rPr>
                <w:rFonts w:ascii="Arial"/>
                <w:spacing w:val="10"/>
                <w:sz w:val="18"/>
              </w:rPr>
            </w:r>
            <w:r>
              <w:rPr>
                <w:rFonts w:ascii="Arial"/>
                <w:spacing w:val="21"/>
                <w:sz w:val="18"/>
              </w:rPr>
              <w:t> </w:t>
            </w:r>
            <w:r>
              <w:rPr>
                <w:rFonts w:ascii="Arial"/>
                <w:spacing w:val="21"/>
                <w:w w:val="100"/>
                <w:sz w:val="18"/>
              </w:rPr>
            </w:r>
            <w:r>
              <w:rPr>
                <w:rFonts w:ascii="Arial"/>
                <w:w w:val="100"/>
                <w:sz w:val="18"/>
                <w:u w:val="single" w:color="000000"/>
              </w:rPr>
              <w:t> </w:t>
            </w:r>
            <w:r>
              <w:rPr>
                <w:rFonts w:ascii="Arial"/>
                <w:sz w:val="18"/>
                <w:u w:val="single" w:color="000000"/>
              </w:rPr>
              <w:tab/>
            </w:r>
            <w:r>
              <w:rPr>
                <w:rFonts w:ascii="Arial"/>
                <w:sz w:val="18"/>
              </w:rPr>
            </w:r>
          </w:p>
        </w:tc>
        <w:tc>
          <w:tcPr>
            <w:tcW w:w="1346" w:type="dxa"/>
            <w:tcBorders>
              <w:top w:val="nil" w:sz="6" w:space="0" w:color="auto"/>
              <w:left w:val="nil" w:sz="6" w:space="0" w:color="auto"/>
              <w:bottom w:val="nil" w:sz="6" w:space="0" w:color="auto"/>
              <w:right w:val="nil" w:sz="6" w:space="0" w:color="auto"/>
            </w:tcBorders>
          </w:tcPr>
          <w:p>
            <w:pPr>
              <w:pStyle w:val="TableParagraph"/>
              <w:tabs>
                <w:tab w:pos="1060" w:val="left" w:leader="none"/>
              </w:tabs>
              <w:spacing w:line="240" w:lineRule="auto" w:before="22"/>
              <w:ind w:right="91"/>
              <w:jc w:val="right"/>
              <w:rPr>
                <w:rFonts w:ascii="Arial" w:hAnsi="Arial" w:cs="Arial" w:eastAsia="Arial" w:hint="default"/>
                <w:sz w:val="18"/>
                <w:szCs w:val="18"/>
              </w:rPr>
            </w:pPr>
            <w:r>
              <w:rPr>
                <w:rFonts w:ascii="Arial"/>
                <w:w w:val="99"/>
                <w:sz w:val="18"/>
              </w:rPr>
            </w:r>
            <w:r>
              <w:rPr>
                <w:rFonts w:ascii="Arial"/>
                <w:spacing w:val="-1"/>
                <w:sz w:val="18"/>
                <w:u w:val="single" w:color="000000"/>
              </w:rPr>
              <w:t>679,664,034</w:t>
              <w:tab/>
            </w:r>
            <w:r>
              <w:rPr>
                <w:rFonts w:ascii="Arial"/>
                <w:spacing w:val="-1"/>
                <w:sz w:val="18"/>
              </w:rPr>
            </w:r>
          </w:p>
        </w:tc>
        <w:tc>
          <w:tcPr>
            <w:tcW w:w="1525" w:type="dxa"/>
            <w:tcBorders>
              <w:top w:val="nil" w:sz="6" w:space="0" w:color="auto"/>
              <w:left w:val="nil" w:sz="6" w:space="0" w:color="auto"/>
              <w:bottom w:val="nil" w:sz="6" w:space="0" w:color="auto"/>
              <w:right w:val="nil" w:sz="6" w:space="0" w:color="auto"/>
            </w:tcBorders>
          </w:tcPr>
          <w:p>
            <w:pPr>
              <w:pStyle w:val="TableParagraph"/>
              <w:tabs>
                <w:tab w:pos="1524" w:val="left" w:leader="none"/>
              </w:tabs>
              <w:spacing w:line="240" w:lineRule="auto" w:before="22"/>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3"/>
                <w:sz w:val="18"/>
                <w:u w:val="single" w:color="000000"/>
              </w:rPr>
              <w:t> </w:t>
            </w:r>
            <w:r>
              <w:rPr>
                <w:rFonts w:ascii="Arial"/>
                <w:spacing w:val="-1"/>
                <w:sz w:val="18"/>
                <w:u w:val="single" w:color="000000"/>
              </w:rPr>
              <w:t>40,313,070,965</w:t>
              <w:tab/>
            </w:r>
            <w:r>
              <w:rPr>
                <w:rFonts w:ascii="Arial"/>
                <w:spacing w:val="-1"/>
                <w:sz w:val="18"/>
              </w:rPr>
            </w:r>
          </w:p>
        </w:tc>
      </w:tr>
      <w:tr>
        <w:trPr>
          <w:trHeight w:val="393"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00" w:right="0"/>
              <w:jc w:val="left"/>
              <w:rPr>
                <w:rFonts w:ascii="宋体" w:hAnsi="宋体" w:cs="宋体" w:eastAsia="宋体" w:hint="default"/>
                <w:sz w:val="18"/>
                <w:szCs w:val="18"/>
              </w:rPr>
            </w:pPr>
            <w:r>
              <w:rPr>
                <w:rFonts w:ascii="宋体" w:hAnsi="宋体" w:cs="宋体" w:eastAsia="宋体" w:hint="default"/>
                <w:sz w:val="18"/>
                <w:szCs w:val="18"/>
              </w:rPr>
              <w:t>累计摊销</w:t>
            </w:r>
          </w:p>
        </w:tc>
        <w:tc>
          <w:tcPr>
            <w:tcW w:w="1514"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
        </w:tc>
      </w:tr>
      <w:tr>
        <w:trPr>
          <w:trHeight w:val="358"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8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80"/>
              <w:jc w:val="right"/>
              <w:rPr>
                <w:rFonts w:ascii="Arial" w:hAnsi="Arial" w:cs="Arial" w:eastAsia="Arial" w:hint="default"/>
                <w:sz w:val="18"/>
                <w:szCs w:val="18"/>
              </w:rPr>
            </w:pPr>
            <w:r>
              <w:rPr>
                <w:rFonts w:ascii="Arial"/>
                <w:spacing w:val="-1"/>
                <w:sz w:val="18"/>
              </w:rPr>
              <w:t>(3,653,602,727)</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74"/>
              <w:jc w:val="right"/>
              <w:rPr>
                <w:rFonts w:ascii="Arial" w:hAnsi="Arial" w:cs="Arial" w:eastAsia="Arial" w:hint="default"/>
                <w:sz w:val="18"/>
                <w:szCs w:val="18"/>
              </w:rPr>
            </w:pPr>
            <w:r>
              <w:rPr>
                <w:rFonts w:ascii="Arial"/>
                <w:spacing w:val="-1"/>
                <w:sz w:val="18"/>
              </w:rPr>
              <w:t>(7,545,962,177)</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99" w:right="0"/>
              <w:jc w:val="left"/>
              <w:rPr>
                <w:rFonts w:ascii="Arial" w:hAnsi="Arial" w:cs="Arial" w:eastAsia="Arial" w:hint="default"/>
                <w:sz w:val="18"/>
                <w:szCs w:val="18"/>
              </w:rPr>
            </w:pPr>
            <w:r>
              <w:rPr>
                <w:rFonts w:ascii="Arial"/>
                <w:sz w:val="18"/>
              </w:rPr>
              <w:t>(292,608,675)</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90"/>
              <w:jc w:val="right"/>
              <w:rPr>
                <w:rFonts w:ascii="Arial" w:hAnsi="Arial" w:cs="Arial" w:eastAsia="Arial" w:hint="default"/>
                <w:sz w:val="18"/>
                <w:szCs w:val="18"/>
              </w:rPr>
            </w:pPr>
            <w:r>
              <w:rPr>
                <w:rFonts w:ascii="Arial"/>
                <w:spacing w:val="-1"/>
                <w:sz w:val="18"/>
              </w:rPr>
              <w:t>(130,876,291)</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3"/>
              <w:jc w:val="right"/>
              <w:rPr>
                <w:rFonts w:ascii="Arial" w:hAnsi="Arial" w:cs="Arial" w:eastAsia="Arial" w:hint="default"/>
                <w:sz w:val="18"/>
                <w:szCs w:val="18"/>
              </w:rPr>
            </w:pPr>
            <w:r>
              <w:rPr>
                <w:rFonts w:ascii="Arial"/>
                <w:spacing w:val="-1"/>
                <w:sz w:val="18"/>
              </w:rPr>
              <w:t>(11,623,049,870)</w:t>
            </w:r>
          </w:p>
        </w:tc>
      </w:tr>
      <w:tr>
        <w:trPr>
          <w:trHeight w:val="243"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00" w:lineRule="exact"/>
              <w:ind w:left="382" w:right="0"/>
              <w:jc w:val="left"/>
              <w:rPr>
                <w:rFonts w:ascii="宋体" w:hAnsi="宋体" w:cs="宋体" w:eastAsia="宋体" w:hint="default"/>
                <w:sz w:val="18"/>
                <w:szCs w:val="18"/>
              </w:rPr>
            </w:pPr>
            <w:r>
              <w:rPr>
                <w:rFonts w:ascii="宋体" w:hAnsi="宋体" w:cs="宋体" w:eastAsia="宋体" w:hint="default"/>
                <w:sz w:val="18"/>
                <w:szCs w:val="18"/>
              </w:rPr>
              <w:t>本年计提</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0"/>
              <w:jc w:val="right"/>
              <w:rPr>
                <w:rFonts w:ascii="Arial" w:hAnsi="Arial" w:cs="Arial" w:eastAsia="Arial" w:hint="default"/>
                <w:sz w:val="18"/>
                <w:szCs w:val="18"/>
              </w:rPr>
            </w:pPr>
            <w:r>
              <w:rPr>
                <w:rFonts w:ascii="Arial"/>
                <w:spacing w:val="-1"/>
                <w:sz w:val="18"/>
              </w:rPr>
              <w:t>(487,382,547)</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4"/>
              <w:jc w:val="right"/>
              <w:rPr>
                <w:rFonts w:ascii="Arial" w:hAnsi="Arial" w:cs="Arial" w:eastAsia="Arial" w:hint="default"/>
                <w:sz w:val="18"/>
                <w:szCs w:val="18"/>
              </w:rPr>
            </w:pPr>
            <w:r>
              <w:rPr>
                <w:rFonts w:ascii="Arial"/>
                <w:spacing w:val="-1"/>
                <w:sz w:val="18"/>
              </w:rPr>
              <w:t>(2,925,595,094)</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00" w:right="0"/>
              <w:jc w:val="left"/>
              <w:rPr>
                <w:rFonts w:ascii="Arial" w:hAnsi="Arial" w:cs="Arial" w:eastAsia="Arial" w:hint="default"/>
                <w:sz w:val="18"/>
                <w:szCs w:val="18"/>
              </w:rPr>
            </w:pPr>
            <w:r>
              <w:rPr>
                <w:rFonts w:ascii="Arial"/>
                <w:sz w:val="18"/>
              </w:rPr>
              <w:t>(73,285,495)</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0"/>
              <w:jc w:val="right"/>
              <w:rPr>
                <w:rFonts w:ascii="Arial" w:hAnsi="Arial" w:cs="Arial" w:eastAsia="Arial" w:hint="default"/>
                <w:sz w:val="18"/>
                <w:szCs w:val="18"/>
              </w:rPr>
            </w:pPr>
            <w:r>
              <w:rPr>
                <w:rFonts w:ascii="Arial"/>
                <w:spacing w:val="-1"/>
                <w:sz w:val="18"/>
              </w:rPr>
              <w:t>(108,334,628)</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3"/>
              <w:jc w:val="right"/>
              <w:rPr>
                <w:rFonts w:ascii="Arial" w:hAnsi="Arial" w:cs="Arial" w:eastAsia="Arial" w:hint="default"/>
                <w:sz w:val="18"/>
                <w:szCs w:val="18"/>
              </w:rPr>
            </w:pPr>
            <w:r>
              <w:rPr>
                <w:rFonts w:ascii="Arial"/>
                <w:spacing w:val="-1"/>
                <w:sz w:val="18"/>
              </w:rPr>
              <w:t>(3,594,597,764)</w:t>
            </w:r>
          </w:p>
        </w:tc>
      </w:tr>
      <w:tr>
        <w:trPr>
          <w:trHeight w:val="246"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00" w:lineRule="exact"/>
              <w:ind w:left="382" w:right="0"/>
              <w:jc w:val="left"/>
              <w:rPr>
                <w:rFonts w:ascii="宋体" w:hAnsi="宋体" w:cs="宋体" w:eastAsia="宋体" w:hint="default"/>
                <w:sz w:val="18"/>
                <w:szCs w:val="18"/>
              </w:rPr>
            </w:pPr>
            <w:r>
              <w:rPr>
                <w:rFonts w:ascii="宋体" w:hAnsi="宋体" w:cs="宋体" w:eastAsia="宋体" w:hint="default"/>
                <w:sz w:val="18"/>
                <w:szCs w:val="18"/>
              </w:rPr>
              <w:t>本年处置</w:t>
            </w:r>
          </w:p>
        </w:tc>
        <w:tc>
          <w:tcPr>
            <w:tcW w:w="1514"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20"/>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50,393,012</w:t>
            </w:r>
            <w:r>
              <w:rPr>
                <w:rFonts w:ascii="Arial"/>
                <w:sz w:val="18"/>
              </w:rPr>
            </w:r>
          </w:p>
        </w:tc>
        <w:tc>
          <w:tcPr>
            <w:tcW w:w="1460" w:type="dxa"/>
            <w:tcBorders>
              <w:top w:val="nil" w:sz="6" w:space="0" w:color="auto"/>
              <w:left w:val="nil" w:sz="6" w:space="0" w:color="auto"/>
              <w:bottom w:val="nil" w:sz="6" w:space="0" w:color="auto"/>
              <w:right w:val="nil" w:sz="6" w:space="0" w:color="auto"/>
            </w:tcBorders>
          </w:tcPr>
          <w:p>
            <w:pPr>
              <w:pStyle w:val="TableParagraph"/>
              <w:tabs>
                <w:tab w:pos="329" w:val="left" w:leader="none"/>
                <w:tab w:pos="1382" w:val="left" w:leader="none"/>
              </w:tabs>
              <w:spacing w:line="240" w:lineRule="auto" w:before="20"/>
              <w:ind w:left="-14" w:right="7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559,714,412</w:t>
              <w:tab/>
            </w:r>
            <w:r>
              <w:rPr>
                <w:rFonts w:ascii="Arial"/>
                <w:spacing w:val="-1"/>
                <w:sz w:val="18"/>
              </w:rPr>
            </w:r>
          </w:p>
        </w:tc>
        <w:tc>
          <w:tcPr>
            <w:tcW w:w="1453" w:type="dxa"/>
            <w:tcBorders>
              <w:top w:val="nil" w:sz="6" w:space="0" w:color="auto"/>
              <w:left w:val="nil" w:sz="6" w:space="0" w:color="auto"/>
              <w:bottom w:val="nil" w:sz="6" w:space="0" w:color="auto"/>
              <w:right w:val="nil" w:sz="6" w:space="0" w:color="auto"/>
            </w:tcBorders>
          </w:tcPr>
          <w:p>
            <w:pPr>
              <w:pStyle w:val="TableParagraph"/>
              <w:tabs>
                <w:tab w:pos="809" w:val="left" w:leader="none"/>
                <w:tab w:pos="1745" w:val="left" w:leader="none"/>
              </w:tabs>
              <w:spacing w:line="240" w:lineRule="auto" w:before="20"/>
              <w:ind w:right="-293"/>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6,500</w:t>
            </w:r>
            <w:r>
              <w:rPr>
                <w:rFonts w:ascii="Arial"/>
                <w:spacing w:val="8"/>
                <w:sz w:val="18"/>
                <w:u w:val="single" w:color="000000"/>
              </w:rPr>
              <w:t> </w:t>
            </w:r>
            <w:r>
              <w:rPr>
                <w:rFonts w:ascii="Arial"/>
                <w:spacing w:val="8"/>
                <w:sz w:val="18"/>
              </w:rPr>
            </w:r>
            <w:r>
              <w:rPr>
                <w:rFonts w:ascii="Arial"/>
                <w:spacing w:val="21"/>
                <w:sz w:val="18"/>
              </w:rPr>
              <w:t> </w:t>
            </w:r>
            <w:r>
              <w:rPr>
                <w:rFonts w:ascii="Arial"/>
                <w:spacing w:val="21"/>
                <w:w w:val="100"/>
                <w:sz w:val="18"/>
              </w:rPr>
            </w:r>
            <w:r>
              <w:rPr>
                <w:rFonts w:ascii="Arial"/>
                <w:w w:val="100"/>
                <w:sz w:val="18"/>
                <w:u w:val="single" w:color="000000"/>
              </w:rPr>
              <w:t> </w:t>
            </w:r>
            <w:r>
              <w:rPr>
                <w:rFonts w:ascii="Arial"/>
                <w:sz w:val="18"/>
                <w:u w:val="single" w:color="000000"/>
              </w:rPr>
              <w:tab/>
            </w:r>
            <w:r>
              <w:rPr>
                <w:rFonts w:ascii="Arial"/>
                <w:sz w:val="18"/>
              </w:rPr>
            </w:r>
          </w:p>
        </w:tc>
        <w:tc>
          <w:tcPr>
            <w:tcW w:w="1346"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40" w:lineRule="auto" w:before="20"/>
              <w:ind w:right="91"/>
              <w:jc w:val="right"/>
              <w:rPr>
                <w:rFonts w:ascii="Arial" w:hAnsi="Arial" w:cs="Arial" w:eastAsia="Arial" w:hint="default"/>
                <w:sz w:val="18"/>
                <w:szCs w:val="18"/>
              </w:rPr>
            </w:pPr>
            <w:r>
              <w:rPr>
                <w:rFonts w:ascii="Arial"/>
                <w:w w:val="99"/>
                <w:sz w:val="18"/>
              </w:rPr>
            </w:r>
            <w:r>
              <w:rPr>
                <w:rFonts w:ascii="Arial"/>
                <w:spacing w:val="-1"/>
                <w:sz w:val="18"/>
                <w:u w:val="single" w:color="000000"/>
              </w:rPr>
              <w:t>12,167,129</w:t>
              <w:tab/>
            </w:r>
            <w:r>
              <w:rPr>
                <w:rFonts w:ascii="Arial"/>
                <w:spacing w:val="-1"/>
                <w:sz w:val="18"/>
              </w:rPr>
            </w:r>
          </w:p>
        </w:tc>
        <w:tc>
          <w:tcPr>
            <w:tcW w:w="1525" w:type="dxa"/>
            <w:tcBorders>
              <w:top w:val="nil" w:sz="6" w:space="0" w:color="auto"/>
              <w:left w:val="nil" w:sz="6" w:space="0" w:color="auto"/>
              <w:bottom w:val="nil" w:sz="6" w:space="0" w:color="auto"/>
              <w:right w:val="nil" w:sz="6" w:space="0" w:color="auto"/>
            </w:tcBorders>
          </w:tcPr>
          <w:p>
            <w:pPr>
              <w:pStyle w:val="TableParagraph"/>
              <w:tabs>
                <w:tab w:pos="434" w:val="left" w:leader="none"/>
                <w:tab w:pos="1524" w:val="left" w:leader="none"/>
              </w:tabs>
              <w:spacing w:line="240" w:lineRule="auto" w:before="20"/>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622,281,053</w:t>
              <w:tab/>
            </w:r>
            <w:r>
              <w:rPr>
                <w:rFonts w:ascii="Arial"/>
                <w:spacing w:val="-1"/>
                <w:sz w:val="18"/>
              </w:rPr>
            </w:r>
          </w:p>
        </w:tc>
      </w:tr>
      <w:tr>
        <w:trPr>
          <w:trHeight w:val="302"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03" w:lineRule="exact"/>
              <w:ind w:left="382"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8"/>
                <w:sz w:val="18"/>
                <w:u w:val="single" w:color="000000"/>
              </w:rPr>
              <w:t> </w:t>
            </w:r>
            <w:r>
              <w:rPr>
                <w:rFonts w:ascii="Arial"/>
                <w:sz w:val="18"/>
                <w:u w:val="single" w:color="000000"/>
              </w:rPr>
              <w:t>(4,090,592,262)</w:t>
            </w:r>
            <w:r>
              <w:rPr>
                <w:rFonts w:ascii="Arial"/>
                <w:sz w:val="18"/>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4" w:right="7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24"/>
                <w:sz w:val="18"/>
                <w:u w:val="single" w:color="000000"/>
              </w:rPr>
              <w:t> </w:t>
            </w:r>
            <w:r>
              <w:rPr>
                <w:rFonts w:ascii="Arial"/>
                <w:spacing w:val="-1"/>
                <w:sz w:val="18"/>
                <w:u w:val="single" w:color="000000"/>
              </w:rPr>
              <w:t>(9,911,842,859)</w:t>
            </w:r>
            <w:r>
              <w:rPr>
                <w:rFonts w:ascii="Arial"/>
                <w:spacing w:val="-1"/>
                <w:sz w:val="18"/>
              </w:rPr>
            </w:r>
          </w:p>
        </w:tc>
        <w:tc>
          <w:tcPr>
            <w:tcW w:w="1453" w:type="dxa"/>
            <w:tcBorders>
              <w:top w:val="nil" w:sz="6" w:space="0" w:color="auto"/>
              <w:left w:val="nil" w:sz="6" w:space="0" w:color="auto"/>
              <w:bottom w:val="nil" w:sz="6" w:space="0" w:color="auto"/>
              <w:right w:val="nil" w:sz="6" w:space="0" w:color="auto"/>
            </w:tcBorders>
          </w:tcPr>
          <w:p>
            <w:pPr>
              <w:pStyle w:val="TableParagraph"/>
              <w:tabs>
                <w:tab w:pos="1584" w:val="left" w:leader="none"/>
              </w:tabs>
              <w:spacing w:line="240" w:lineRule="auto" w:before="23"/>
              <w:ind w:right="-132"/>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
                <w:sz w:val="18"/>
                <w:u w:val="single" w:color="000000"/>
              </w:rPr>
              <w:t> </w:t>
            </w:r>
            <w:r>
              <w:rPr>
                <w:rFonts w:ascii="Arial"/>
                <w:sz w:val="18"/>
                <w:u w:val="single" w:color="000000"/>
              </w:rPr>
              <w:t>(365,887,670)</w:t>
            </w:r>
            <w:r>
              <w:rPr>
                <w:rFonts w:ascii="Arial"/>
                <w:sz w:val="18"/>
              </w:rPr>
            </w:r>
            <w:r>
              <w:rPr>
                <w:rFonts w:ascii="Arial"/>
                <w:spacing w:val="21"/>
                <w:sz w:val="18"/>
              </w:rPr>
              <w:t> </w:t>
            </w:r>
            <w:r>
              <w:rPr>
                <w:rFonts w:ascii="Arial"/>
                <w:spacing w:val="21"/>
                <w:w w:val="100"/>
                <w:sz w:val="18"/>
              </w:rPr>
            </w:r>
            <w:r>
              <w:rPr>
                <w:rFonts w:ascii="Arial"/>
                <w:w w:val="100"/>
                <w:sz w:val="18"/>
                <w:u w:val="single" w:color="000000"/>
              </w:rPr>
              <w:t> </w:t>
            </w:r>
            <w:r>
              <w:rPr>
                <w:rFonts w:ascii="Arial"/>
                <w:sz w:val="18"/>
                <w:u w:val="single" w:color="000000"/>
              </w:rPr>
              <w:tab/>
            </w:r>
            <w:r>
              <w:rPr>
                <w:rFonts w:ascii="Arial"/>
                <w:sz w:val="18"/>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0"/>
              <w:jc w:val="right"/>
              <w:rPr>
                <w:rFonts w:ascii="Arial" w:hAnsi="Arial" w:cs="Arial" w:eastAsia="Arial" w:hint="default"/>
                <w:sz w:val="18"/>
                <w:szCs w:val="18"/>
              </w:rPr>
            </w:pPr>
            <w:r>
              <w:rPr>
                <w:rFonts w:ascii="Arial"/>
                <w:w w:val="99"/>
                <w:sz w:val="18"/>
              </w:rPr>
            </w:r>
            <w:r>
              <w:rPr>
                <w:rFonts w:ascii="Arial"/>
                <w:spacing w:val="-1"/>
                <w:sz w:val="18"/>
                <w:u w:val="single" w:color="000000"/>
              </w:rPr>
              <w:t>(227,043,790)</w:t>
            </w:r>
            <w:r>
              <w:rPr>
                <w:rFonts w:ascii="Arial"/>
                <w:spacing w:val="-1"/>
                <w:sz w:val="18"/>
              </w:rPr>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
                <w:sz w:val="18"/>
                <w:u w:val="single" w:color="000000"/>
              </w:rPr>
              <w:t> </w:t>
            </w:r>
            <w:r>
              <w:rPr>
                <w:rFonts w:ascii="Arial"/>
                <w:spacing w:val="-1"/>
                <w:sz w:val="18"/>
                <w:u w:val="single" w:color="000000"/>
              </w:rPr>
              <w:t>(14,595,366,581)</w:t>
            </w:r>
            <w:r>
              <w:rPr>
                <w:rFonts w:ascii="Arial"/>
                <w:spacing w:val="-1"/>
                <w:sz w:val="18"/>
              </w:rPr>
            </w:r>
          </w:p>
        </w:tc>
      </w:tr>
      <w:tr>
        <w:trPr>
          <w:trHeight w:val="392"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14"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
        </w:tc>
      </w:tr>
      <w:tr>
        <w:trPr>
          <w:trHeight w:val="360"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8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31"/>
              <w:jc w:val="right"/>
              <w:rPr>
                <w:rFonts w:ascii="Arial" w:hAnsi="Arial" w:cs="Arial" w:eastAsia="Arial" w:hint="default"/>
                <w:sz w:val="18"/>
                <w:szCs w:val="18"/>
              </w:rPr>
            </w:pPr>
            <w:r>
              <w:rPr>
                <w:rFonts w:ascii="Arial"/>
                <w:w w:val="99"/>
                <w:sz w:val="18"/>
              </w:rPr>
              <w:t>-</w:t>
            </w:r>
            <w:r>
              <w:rPr>
                <w:rFonts w:ascii="Arial"/>
                <w:sz w:val="18"/>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73"/>
              <w:jc w:val="right"/>
              <w:rPr>
                <w:rFonts w:ascii="Arial" w:hAnsi="Arial" w:cs="Arial" w:eastAsia="Arial" w:hint="default"/>
                <w:sz w:val="18"/>
                <w:szCs w:val="18"/>
              </w:rPr>
            </w:pPr>
            <w:r>
              <w:rPr>
                <w:rFonts w:ascii="Arial"/>
                <w:spacing w:val="-1"/>
                <w:sz w:val="18"/>
              </w:rPr>
              <w:t>(1,606,362)</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81"/>
              <w:jc w:val="right"/>
              <w:rPr>
                <w:rFonts w:ascii="Arial" w:hAnsi="Arial" w:cs="Arial" w:eastAsia="Arial" w:hint="default"/>
                <w:sz w:val="18"/>
                <w:szCs w:val="18"/>
              </w:rPr>
            </w:pPr>
            <w:r>
              <w:rPr>
                <w:rFonts w:ascii="Arial"/>
                <w:w w:val="99"/>
                <w:sz w:val="18"/>
              </w:rPr>
              <w:t>-</w:t>
            </w:r>
            <w:r>
              <w:rPr>
                <w:rFonts w:ascii="Arial"/>
                <w:sz w:val="18"/>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90"/>
              <w:jc w:val="right"/>
              <w:rPr>
                <w:rFonts w:ascii="Arial" w:hAnsi="Arial" w:cs="Arial" w:eastAsia="Arial" w:hint="default"/>
                <w:sz w:val="18"/>
                <w:szCs w:val="18"/>
              </w:rPr>
            </w:pPr>
            <w:r>
              <w:rPr>
                <w:rFonts w:ascii="Arial"/>
                <w:spacing w:val="-1"/>
                <w:sz w:val="18"/>
              </w:rPr>
              <w:t>(130,093)</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3"/>
              <w:jc w:val="right"/>
              <w:rPr>
                <w:rFonts w:ascii="Arial" w:hAnsi="Arial" w:cs="Arial" w:eastAsia="Arial" w:hint="default"/>
                <w:sz w:val="18"/>
                <w:szCs w:val="18"/>
              </w:rPr>
            </w:pPr>
            <w:r>
              <w:rPr>
                <w:rFonts w:ascii="Arial"/>
                <w:spacing w:val="-1"/>
                <w:sz w:val="18"/>
              </w:rPr>
              <w:t>(1,736,455)</w:t>
            </w:r>
          </w:p>
        </w:tc>
      </w:tr>
      <w:tr>
        <w:trPr>
          <w:trHeight w:val="244"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01" w:lineRule="exact"/>
              <w:ind w:left="382" w:right="0"/>
              <w:jc w:val="left"/>
              <w:rPr>
                <w:rFonts w:ascii="宋体" w:hAnsi="宋体" w:cs="宋体" w:eastAsia="宋体" w:hint="default"/>
                <w:sz w:val="18"/>
                <w:szCs w:val="18"/>
              </w:rPr>
            </w:pPr>
            <w:r>
              <w:rPr>
                <w:rFonts w:ascii="宋体" w:hAnsi="宋体" w:cs="宋体" w:eastAsia="宋体" w:hint="default"/>
                <w:sz w:val="18"/>
                <w:szCs w:val="18"/>
              </w:rPr>
              <w:t>本年计提</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1"/>
              <w:jc w:val="right"/>
              <w:rPr>
                <w:rFonts w:ascii="Arial" w:hAnsi="Arial" w:cs="Arial" w:eastAsia="Arial" w:hint="default"/>
                <w:sz w:val="18"/>
                <w:szCs w:val="18"/>
              </w:rPr>
            </w:pPr>
            <w:r>
              <w:rPr>
                <w:rFonts w:ascii="Arial"/>
                <w:w w:val="99"/>
                <w:sz w:val="18"/>
              </w:rPr>
              <w:t>-</w:t>
            </w:r>
            <w:r>
              <w:rPr>
                <w:rFonts w:ascii="Arial"/>
                <w:sz w:val="18"/>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5"/>
              <w:jc w:val="right"/>
              <w:rPr>
                <w:rFonts w:ascii="Arial" w:hAnsi="Arial" w:cs="Arial" w:eastAsia="Arial" w:hint="default"/>
                <w:sz w:val="18"/>
                <w:szCs w:val="18"/>
              </w:rPr>
            </w:pPr>
            <w:r>
              <w:rPr>
                <w:rFonts w:ascii="Arial"/>
                <w:w w:val="99"/>
                <w:sz w:val="18"/>
              </w:rPr>
              <w:t>-</w:t>
            </w:r>
            <w:r>
              <w:rPr>
                <w:rFonts w:ascii="Arial"/>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81"/>
              <w:jc w:val="right"/>
              <w:rPr>
                <w:rFonts w:ascii="Arial" w:hAnsi="Arial" w:cs="Arial" w:eastAsia="Arial" w:hint="default"/>
                <w:sz w:val="18"/>
                <w:szCs w:val="18"/>
              </w:rPr>
            </w:pPr>
            <w:r>
              <w:rPr>
                <w:rFonts w:ascii="Arial"/>
                <w:w w:val="99"/>
                <w:sz w:val="18"/>
              </w:rPr>
              <w:t>-</w:t>
            </w:r>
            <w:r>
              <w:rPr>
                <w:rFonts w:ascii="Arial"/>
                <w:sz w:val="18"/>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1"/>
              <w:jc w:val="right"/>
              <w:rPr>
                <w:rFonts w:ascii="Arial" w:hAnsi="Arial" w:cs="Arial" w:eastAsia="Arial" w:hint="default"/>
                <w:sz w:val="18"/>
                <w:szCs w:val="18"/>
              </w:rPr>
            </w:pPr>
            <w:r>
              <w:rPr>
                <w:rFonts w:ascii="Arial"/>
                <w:w w:val="99"/>
                <w:sz w:val="18"/>
              </w:rPr>
              <w:t>-</w:t>
            </w:r>
            <w:r>
              <w:rPr>
                <w:rFonts w:ascii="Arial"/>
                <w:sz w:val="18"/>
              </w:rPr>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4"/>
              <w:jc w:val="right"/>
              <w:rPr>
                <w:rFonts w:ascii="Arial" w:hAnsi="Arial" w:cs="Arial" w:eastAsia="Arial" w:hint="default"/>
                <w:sz w:val="18"/>
                <w:szCs w:val="18"/>
              </w:rPr>
            </w:pPr>
            <w:r>
              <w:rPr>
                <w:rFonts w:ascii="Arial"/>
                <w:w w:val="99"/>
                <w:sz w:val="18"/>
              </w:rPr>
              <w:t>-</w:t>
            </w:r>
            <w:r>
              <w:rPr>
                <w:rFonts w:ascii="Arial"/>
                <w:sz w:val="18"/>
              </w:rPr>
            </w:r>
          </w:p>
        </w:tc>
      </w:tr>
      <w:tr>
        <w:trPr>
          <w:trHeight w:val="246"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00" w:lineRule="exact"/>
              <w:ind w:left="382" w:right="0"/>
              <w:jc w:val="left"/>
              <w:rPr>
                <w:rFonts w:ascii="宋体" w:hAnsi="宋体" w:cs="宋体" w:eastAsia="宋体" w:hint="default"/>
                <w:sz w:val="18"/>
                <w:szCs w:val="18"/>
              </w:rPr>
            </w:pPr>
            <w:r>
              <w:rPr>
                <w:rFonts w:ascii="宋体" w:hAnsi="宋体" w:cs="宋体" w:eastAsia="宋体" w:hint="default"/>
                <w:sz w:val="18"/>
                <w:szCs w:val="18"/>
              </w:rPr>
              <w:t>本年处置</w:t>
            </w:r>
          </w:p>
        </w:tc>
        <w:tc>
          <w:tcPr>
            <w:tcW w:w="1514" w:type="dxa"/>
            <w:tcBorders>
              <w:top w:val="nil" w:sz="6" w:space="0" w:color="auto"/>
              <w:left w:val="nil" w:sz="6" w:space="0" w:color="auto"/>
              <w:bottom w:val="nil" w:sz="6" w:space="0" w:color="auto"/>
              <w:right w:val="nil" w:sz="6" w:space="0" w:color="auto"/>
            </w:tcBorders>
          </w:tcPr>
          <w:p>
            <w:pPr>
              <w:pStyle w:val="TableParagraph"/>
              <w:tabs>
                <w:tab w:pos="1320" w:val="left" w:leader="none"/>
              </w:tabs>
              <w:spacing w:line="240" w:lineRule="auto" w:before="20"/>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60" w:type="dxa"/>
            <w:tcBorders>
              <w:top w:val="nil" w:sz="6" w:space="0" w:color="auto"/>
              <w:left w:val="nil" w:sz="6" w:space="0" w:color="auto"/>
              <w:bottom w:val="nil" w:sz="6" w:space="0" w:color="auto"/>
              <w:right w:val="nil" w:sz="6" w:space="0" w:color="auto"/>
            </w:tcBorders>
          </w:tcPr>
          <w:p>
            <w:pPr>
              <w:pStyle w:val="TableParagraph"/>
              <w:tabs>
                <w:tab w:pos="682" w:val="left" w:leader="none"/>
                <w:tab w:pos="1382" w:val="left" w:leader="none"/>
              </w:tabs>
              <w:spacing w:line="240" w:lineRule="auto" w:before="20"/>
              <w:ind w:left="-14" w:right="7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570,901</w:t>
              <w:tab/>
            </w:r>
            <w:r>
              <w:rPr>
                <w:rFonts w:ascii="Arial"/>
                <w:spacing w:val="-1"/>
                <w:sz w:val="18"/>
              </w:rPr>
            </w:r>
          </w:p>
        </w:tc>
        <w:tc>
          <w:tcPr>
            <w:tcW w:w="1453" w:type="dxa"/>
            <w:tcBorders>
              <w:top w:val="nil" w:sz="6" w:space="0" w:color="auto"/>
              <w:left w:val="nil" w:sz="6" w:space="0" w:color="auto"/>
              <w:bottom w:val="nil" w:sz="6" w:space="0" w:color="auto"/>
              <w:right w:val="nil" w:sz="6" w:space="0" w:color="auto"/>
            </w:tcBorders>
          </w:tcPr>
          <w:p>
            <w:pPr>
              <w:pStyle w:val="TableParagraph"/>
              <w:tabs>
                <w:tab w:pos="1209" w:val="left" w:leader="none"/>
                <w:tab w:pos="2585" w:val="left" w:leader="none"/>
              </w:tabs>
              <w:spacing w:line="240" w:lineRule="auto" w:before="20"/>
              <w:ind w:right="-1133"/>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 </w:t>
            </w:r>
            <w:r>
              <w:rPr>
                <w:rFonts w:ascii="Arial"/>
                <w:sz w:val="18"/>
              </w:rPr>
            </w:r>
            <w:r>
              <w:rPr>
                <w:rFonts w:ascii="Arial"/>
                <w:spacing w:val="21"/>
                <w:sz w:val="18"/>
              </w:rPr>
              <w:t> </w:t>
            </w:r>
            <w:r>
              <w:rPr>
                <w:rFonts w:ascii="Arial"/>
                <w:spacing w:val="21"/>
                <w:w w:val="100"/>
                <w:sz w:val="18"/>
              </w:rPr>
            </w:r>
            <w:r>
              <w:rPr>
                <w:rFonts w:ascii="Arial"/>
                <w:w w:val="100"/>
                <w:sz w:val="18"/>
                <w:u w:val="single" w:color="000000"/>
              </w:rPr>
              <w:t> </w:t>
            </w:r>
            <w:r>
              <w:rPr>
                <w:rFonts w:ascii="Arial"/>
                <w:sz w:val="18"/>
                <w:u w:val="single" w:color="000000"/>
              </w:rPr>
              <w:tab/>
            </w:r>
            <w:r>
              <w:rPr>
                <w:rFonts w:ascii="Arial"/>
                <w:sz w:val="18"/>
              </w:rPr>
            </w:r>
          </w:p>
        </w:tc>
        <w:tc>
          <w:tcPr>
            <w:tcW w:w="1346" w:type="dxa"/>
            <w:tcBorders>
              <w:top w:val="nil" w:sz="6" w:space="0" w:color="auto"/>
              <w:left w:val="nil" w:sz="6" w:space="0" w:color="auto"/>
              <w:bottom w:val="nil" w:sz="6" w:space="0" w:color="auto"/>
              <w:right w:val="nil" w:sz="6" w:space="0" w:color="auto"/>
            </w:tcBorders>
          </w:tcPr>
          <w:p>
            <w:pPr>
              <w:pStyle w:val="TableParagraph"/>
              <w:tabs>
                <w:tab w:pos="119" w:val="left" w:leader="none"/>
              </w:tabs>
              <w:spacing w:line="240" w:lineRule="auto" w:before="20"/>
              <w:ind w:right="91"/>
              <w:jc w:val="right"/>
              <w:rPr>
                <w:rFonts w:ascii="Arial" w:hAnsi="Arial" w:cs="Arial" w:eastAsia="Arial" w:hint="default"/>
                <w:sz w:val="18"/>
                <w:szCs w:val="18"/>
              </w:rPr>
            </w:pPr>
            <w:r>
              <w:rPr>
                <w:rFonts w:ascii="Arial"/>
                <w:w w:val="99"/>
                <w:sz w:val="18"/>
              </w:rPr>
            </w:r>
            <w:r>
              <w:rPr>
                <w:rFonts w:ascii="Arial"/>
                <w:sz w:val="18"/>
                <w:u w:val="single" w:color="000000"/>
              </w:rPr>
              <w:t>-</w:t>
              <w:tab/>
            </w:r>
            <w:r>
              <w:rPr>
                <w:rFonts w:ascii="Arial"/>
                <w:sz w:val="18"/>
              </w:rPr>
            </w:r>
          </w:p>
        </w:tc>
        <w:tc>
          <w:tcPr>
            <w:tcW w:w="1525" w:type="dxa"/>
            <w:tcBorders>
              <w:top w:val="nil" w:sz="6" w:space="0" w:color="auto"/>
              <w:left w:val="nil" w:sz="6" w:space="0" w:color="auto"/>
              <w:bottom w:val="nil" w:sz="6" w:space="0" w:color="auto"/>
              <w:right w:val="nil" w:sz="6" w:space="0" w:color="auto"/>
            </w:tcBorders>
          </w:tcPr>
          <w:p>
            <w:pPr>
              <w:pStyle w:val="TableParagraph"/>
              <w:tabs>
                <w:tab w:pos="797" w:val="left" w:leader="none"/>
                <w:tab w:pos="1524" w:val="left" w:leader="none"/>
              </w:tabs>
              <w:spacing w:line="240" w:lineRule="auto" w:before="20"/>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570,901</w:t>
              <w:tab/>
            </w:r>
            <w:r>
              <w:rPr>
                <w:rFonts w:ascii="Arial"/>
                <w:spacing w:val="-1"/>
                <w:sz w:val="18"/>
              </w:rPr>
            </w:r>
          </w:p>
        </w:tc>
      </w:tr>
      <w:tr>
        <w:trPr>
          <w:trHeight w:val="298"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03" w:lineRule="exact"/>
              <w:ind w:left="382"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514" w:type="dxa"/>
            <w:tcBorders>
              <w:top w:val="nil" w:sz="6" w:space="0" w:color="auto"/>
              <w:left w:val="nil" w:sz="6" w:space="0" w:color="auto"/>
              <w:bottom w:val="nil" w:sz="6" w:space="0" w:color="auto"/>
              <w:right w:val="nil" w:sz="6" w:space="0" w:color="auto"/>
            </w:tcBorders>
          </w:tcPr>
          <w:p>
            <w:pPr>
              <w:pStyle w:val="TableParagraph"/>
              <w:tabs>
                <w:tab w:pos="1320" w:val="left" w:leader="none"/>
              </w:tabs>
              <w:spacing w:line="240" w:lineRule="auto" w:before="23"/>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60" w:type="dxa"/>
            <w:tcBorders>
              <w:top w:val="nil" w:sz="6" w:space="0" w:color="auto"/>
              <w:left w:val="nil" w:sz="6" w:space="0" w:color="auto"/>
              <w:bottom w:val="nil" w:sz="6" w:space="0" w:color="auto"/>
              <w:right w:val="nil" w:sz="6" w:space="0" w:color="auto"/>
            </w:tcBorders>
          </w:tcPr>
          <w:p>
            <w:pPr>
              <w:pStyle w:val="TableParagraph"/>
              <w:tabs>
                <w:tab w:pos="461" w:val="left" w:leader="none"/>
              </w:tabs>
              <w:spacing w:line="240" w:lineRule="auto" w:before="23"/>
              <w:ind w:left="-14" w:right="7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(1,035,461)</w:t>
            </w:r>
            <w:r>
              <w:rPr>
                <w:rFonts w:ascii="Arial"/>
                <w:spacing w:val="-1"/>
                <w:sz w:val="18"/>
              </w:rPr>
            </w:r>
          </w:p>
        </w:tc>
        <w:tc>
          <w:tcPr>
            <w:tcW w:w="1453" w:type="dxa"/>
            <w:tcBorders>
              <w:top w:val="nil" w:sz="6" w:space="0" w:color="auto"/>
              <w:left w:val="nil" w:sz="6" w:space="0" w:color="auto"/>
              <w:bottom w:val="nil" w:sz="6" w:space="0" w:color="auto"/>
              <w:right w:val="nil" w:sz="6" w:space="0" w:color="auto"/>
            </w:tcBorders>
          </w:tcPr>
          <w:p>
            <w:pPr>
              <w:pStyle w:val="TableParagraph"/>
              <w:tabs>
                <w:tab w:pos="1209" w:val="left" w:leader="none"/>
                <w:tab w:pos="1934" w:val="left" w:leader="none"/>
              </w:tabs>
              <w:spacing w:line="240" w:lineRule="auto" w:before="23"/>
              <w:ind w:right="-482"/>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 </w:t>
            </w:r>
            <w:r>
              <w:rPr>
                <w:rFonts w:ascii="Arial"/>
                <w:sz w:val="18"/>
              </w:rPr>
            </w:r>
            <w:r>
              <w:rPr>
                <w:rFonts w:ascii="Arial"/>
                <w:spacing w:val="21"/>
                <w:sz w:val="18"/>
              </w:rPr>
              <w:t> </w:t>
            </w:r>
            <w:r>
              <w:rPr>
                <w:rFonts w:ascii="Arial"/>
                <w:spacing w:val="21"/>
                <w:w w:val="100"/>
                <w:sz w:val="18"/>
              </w:rPr>
            </w:r>
            <w:r>
              <w:rPr>
                <w:rFonts w:ascii="Arial"/>
                <w:w w:val="100"/>
                <w:sz w:val="18"/>
                <w:u w:val="single" w:color="000000"/>
              </w:rPr>
              <w:t> </w:t>
            </w:r>
            <w:r>
              <w:rPr>
                <w:rFonts w:ascii="Arial"/>
                <w:sz w:val="18"/>
                <w:u w:val="single" w:color="000000"/>
              </w:rPr>
              <w:tab/>
            </w:r>
            <w:r>
              <w:rPr>
                <w:rFonts w:ascii="Arial"/>
                <w:sz w:val="18"/>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0"/>
              <w:jc w:val="right"/>
              <w:rPr>
                <w:rFonts w:ascii="Arial" w:hAnsi="Arial" w:cs="Arial" w:eastAsia="Arial" w:hint="default"/>
                <w:sz w:val="18"/>
                <w:szCs w:val="18"/>
              </w:rPr>
            </w:pPr>
            <w:r>
              <w:rPr>
                <w:rFonts w:ascii="Arial"/>
                <w:w w:val="99"/>
                <w:sz w:val="18"/>
              </w:rPr>
            </w:r>
            <w:r>
              <w:rPr>
                <w:rFonts w:ascii="Arial"/>
                <w:spacing w:val="-1"/>
                <w:sz w:val="18"/>
                <w:u w:val="single" w:color="000000"/>
              </w:rPr>
              <w:t>(130,093)</w:t>
            </w:r>
            <w:r>
              <w:rPr>
                <w:rFonts w:ascii="Arial"/>
                <w:spacing w:val="-1"/>
                <w:sz w:val="18"/>
              </w:rPr>
            </w:r>
          </w:p>
        </w:tc>
        <w:tc>
          <w:tcPr>
            <w:tcW w:w="1525" w:type="dxa"/>
            <w:tcBorders>
              <w:top w:val="nil" w:sz="6" w:space="0" w:color="auto"/>
              <w:left w:val="nil" w:sz="6" w:space="0" w:color="auto"/>
              <w:bottom w:val="nil" w:sz="6" w:space="0" w:color="auto"/>
              <w:right w:val="nil" w:sz="6" w:space="0" w:color="auto"/>
            </w:tcBorders>
          </w:tcPr>
          <w:p>
            <w:pPr>
              <w:pStyle w:val="TableParagraph"/>
              <w:tabs>
                <w:tab w:pos="576" w:val="left" w:leader="none"/>
              </w:tabs>
              <w:spacing w:line="240" w:lineRule="auto" w:before="23"/>
              <w:ind w:right="2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(1,165,554)</w:t>
            </w:r>
            <w:r>
              <w:rPr>
                <w:rFonts w:ascii="Arial"/>
                <w:spacing w:val="-1"/>
                <w:sz w:val="18"/>
              </w:rPr>
            </w:r>
          </w:p>
        </w:tc>
      </w:tr>
      <w:tr>
        <w:trPr>
          <w:trHeight w:val="381"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14"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
        </w:tc>
      </w:tr>
      <w:tr>
        <w:trPr>
          <w:trHeight w:val="354"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82"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514" w:type="dxa"/>
            <w:tcBorders>
              <w:top w:val="nil" w:sz="6" w:space="0" w:color="auto"/>
              <w:left w:val="nil" w:sz="6" w:space="0" w:color="auto"/>
              <w:bottom w:val="single" w:sz="12" w:space="0" w:color="000000"/>
              <w:right w:val="nil" w:sz="6" w:space="0" w:color="auto"/>
            </w:tcBorders>
          </w:tcPr>
          <w:p>
            <w:pPr>
              <w:pStyle w:val="TableParagraph"/>
              <w:spacing w:line="240" w:lineRule="auto" w:before="130"/>
              <w:ind w:left="129" w:right="0"/>
              <w:jc w:val="left"/>
              <w:rPr>
                <w:rFonts w:ascii="Arial" w:hAnsi="Arial" w:cs="Arial" w:eastAsia="Arial" w:hint="default"/>
                <w:sz w:val="18"/>
                <w:szCs w:val="18"/>
              </w:rPr>
            </w:pPr>
            <w:r>
              <w:rPr>
                <w:rFonts w:ascii="Arial"/>
                <w:sz w:val="18"/>
              </w:rPr>
              <w:t>15,418,070,085</w:t>
            </w:r>
          </w:p>
        </w:tc>
        <w:tc>
          <w:tcPr>
            <w:tcW w:w="1460" w:type="dxa"/>
            <w:tcBorders>
              <w:top w:val="nil" w:sz="6" w:space="0" w:color="auto"/>
              <w:left w:val="nil" w:sz="6" w:space="0" w:color="auto"/>
              <w:bottom w:val="single" w:sz="12" w:space="0" w:color="000000"/>
              <w:right w:val="nil" w:sz="6" w:space="0" w:color="auto"/>
            </w:tcBorders>
          </w:tcPr>
          <w:p>
            <w:pPr>
              <w:pStyle w:val="TableParagraph"/>
              <w:spacing w:line="240" w:lineRule="auto" w:before="130"/>
              <w:ind w:right="125"/>
              <w:jc w:val="right"/>
              <w:rPr>
                <w:rFonts w:ascii="Arial" w:hAnsi="Arial" w:cs="Arial" w:eastAsia="Arial" w:hint="default"/>
                <w:sz w:val="18"/>
                <w:szCs w:val="18"/>
              </w:rPr>
            </w:pPr>
            <w:r>
              <w:rPr>
                <w:rFonts w:ascii="Arial"/>
                <w:spacing w:val="-1"/>
                <w:sz w:val="18"/>
              </w:rPr>
              <w:t>9,100,361,546</w:t>
            </w:r>
          </w:p>
        </w:tc>
        <w:tc>
          <w:tcPr>
            <w:tcW w:w="1453" w:type="dxa"/>
            <w:tcBorders>
              <w:top w:val="nil" w:sz="6" w:space="0" w:color="auto"/>
              <w:left w:val="nil" w:sz="6" w:space="0" w:color="auto"/>
              <w:bottom w:val="single" w:sz="12" w:space="0" w:color="000000"/>
              <w:right w:val="nil" w:sz="6" w:space="0" w:color="auto"/>
            </w:tcBorders>
          </w:tcPr>
          <w:p>
            <w:pPr>
              <w:pStyle w:val="TableParagraph"/>
              <w:spacing w:line="240" w:lineRule="auto" w:before="130"/>
              <w:ind w:left="259" w:right="0"/>
              <w:jc w:val="left"/>
              <w:rPr>
                <w:rFonts w:ascii="Arial" w:hAnsi="Arial" w:cs="Arial" w:eastAsia="Arial" w:hint="default"/>
                <w:sz w:val="18"/>
                <w:szCs w:val="18"/>
              </w:rPr>
            </w:pPr>
            <w:r>
              <w:rPr>
                <w:rFonts w:ascii="Arial"/>
                <w:sz w:val="18"/>
              </w:rPr>
              <w:t>745,617,048</w:t>
            </w:r>
          </w:p>
        </w:tc>
        <w:tc>
          <w:tcPr>
            <w:tcW w:w="1346" w:type="dxa"/>
            <w:tcBorders>
              <w:top w:val="nil" w:sz="6" w:space="0" w:color="auto"/>
              <w:left w:val="nil" w:sz="6" w:space="0" w:color="auto"/>
              <w:bottom w:val="single" w:sz="12" w:space="0" w:color="000000"/>
              <w:right w:val="nil" w:sz="6" w:space="0" w:color="auto"/>
            </w:tcBorders>
          </w:tcPr>
          <w:p>
            <w:pPr>
              <w:pStyle w:val="TableParagraph"/>
              <w:spacing w:line="240" w:lineRule="auto" w:before="130"/>
              <w:ind w:left="191" w:right="0"/>
              <w:jc w:val="left"/>
              <w:rPr>
                <w:rFonts w:ascii="Arial" w:hAnsi="Arial" w:cs="Arial" w:eastAsia="Arial" w:hint="default"/>
                <w:sz w:val="18"/>
                <w:szCs w:val="18"/>
              </w:rPr>
            </w:pPr>
            <w:r>
              <w:rPr>
                <w:rFonts w:ascii="Arial"/>
                <w:sz w:val="18"/>
              </w:rPr>
              <w:t>452,490,151</w:t>
            </w:r>
          </w:p>
        </w:tc>
        <w:tc>
          <w:tcPr>
            <w:tcW w:w="1525" w:type="dxa"/>
            <w:tcBorders>
              <w:top w:val="nil" w:sz="6" w:space="0" w:color="auto"/>
              <w:left w:val="nil" w:sz="6" w:space="0" w:color="auto"/>
              <w:bottom w:val="single" w:sz="12" w:space="0" w:color="000000"/>
              <w:right w:val="nil" w:sz="6" w:space="0" w:color="auto"/>
            </w:tcBorders>
          </w:tcPr>
          <w:p>
            <w:pPr>
              <w:pStyle w:val="TableParagraph"/>
              <w:spacing w:line="240" w:lineRule="auto" w:before="130"/>
              <w:ind w:left="187" w:right="0"/>
              <w:jc w:val="left"/>
              <w:rPr>
                <w:rFonts w:ascii="Arial" w:hAnsi="Arial" w:cs="Arial" w:eastAsia="Arial" w:hint="default"/>
                <w:sz w:val="18"/>
                <w:szCs w:val="18"/>
              </w:rPr>
            </w:pPr>
            <w:r>
              <w:rPr>
                <w:rFonts w:ascii="Arial"/>
                <w:sz w:val="18"/>
              </w:rPr>
              <w:t>25,716,538,830</w:t>
            </w:r>
          </w:p>
        </w:tc>
      </w:tr>
      <w:tr>
        <w:trPr>
          <w:trHeight w:val="471"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9" w:right="0"/>
              <w:jc w:val="left"/>
              <w:rPr>
                <w:rFonts w:ascii="Arial" w:hAnsi="Arial" w:cs="Arial" w:eastAsia="Arial" w:hint="default"/>
                <w:sz w:val="18"/>
                <w:szCs w:val="18"/>
              </w:rPr>
            </w:pPr>
            <w:r>
              <w:rPr>
                <w:rFonts w:ascii="Arial"/>
                <w:sz w:val="18"/>
              </w:rPr>
              <w:t>14,443,732,105</w:t>
            </w:r>
          </w:p>
        </w:tc>
        <w:tc>
          <w:tcPr>
            <w:tcW w:w="14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25"/>
              <w:jc w:val="right"/>
              <w:rPr>
                <w:rFonts w:ascii="Arial" w:hAnsi="Arial" w:cs="Arial" w:eastAsia="Arial" w:hint="default"/>
                <w:sz w:val="18"/>
                <w:szCs w:val="18"/>
              </w:rPr>
            </w:pPr>
            <w:r>
              <w:rPr>
                <w:rFonts w:ascii="Arial"/>
                <w:spacing w:val="-1"/>
                <w:sz w:val="18"/>
              </w:rPr>
              <w:t>8,120,734,713</w:t>
            </w:r>
          </w:p>
        </w:tc>
        <w:tc>
          <w:tcPr>
            <w:tcW w:w="145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59" w:right="0"/>
              <w:jc w:val="left"/>
              <w:rPr>
                <w:rFonts w:ascii="Arial" w:hAnsi="Arial" w:cs="Arial" w:eastAsia="Arial" w:hint="default"/>
                <w:sz w:val="18"/>
                <w:szCs w:val="18"/>
              </w:rPr>
            </w:pPr>
            <w:r>
              <w:rPr>
                <w:rFonts w:ascii="Arial"/>
                <w:sz w:val="18"/>
              </w:rPr>
              <w:t>818,457,315</w:t>
            </w:r>
          </w:p>
        </w:tc>
        <w:tc>
          <w:tcPr>
            <w:tcW w:w="13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91" w:right="0"/>
              <w:jc w:val="left"/>
              <w:rPr>
                <w:rFonts w:ascii="Arial" w:hAnsi="Arial" w:cs="Arial" w:eastAsia="Arial" w:hint="default"/>
                <w:sz w:val="18"/>
                <w:szCs w:val="18"/>
              </w:rPr>
            </w:pPr>
            <w:r>
              <w:rPr>
                <w:rFonts w:ascii="Arial"/>
                <w:sz w:val="18"/>
              </w:rPr>
              <w:t>439,923,290</w:t>
            </w:r>
          </w:p>
        </w:tc>
        <w:tc>
          <w:tcPr>
            <w:tcW w:w="15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7" w:right="0"/>
              <w:jc w:val="left"/>
              <w:rPr>
                <w:rFonts w:ascii="Arial" w:hAnsi="Arial" w:cs="Arial" w:eastAsia="Arial" w:hint="default"/>
                <w:sz w:val="18"/>
                <w:szCs w:val="18"/>
              </w:rPr>
            </w:pPr>
            <w:r>
              <w:rPr>
                <w:rFonts w:ascii="Arial"/>
                <w:sz w:val="18"/>
              </w:rPr>
              <w:t>23,822,847,423</w:t>
            </w:r>
          </w:p>
        </w:tc>
      </w:tr>
    </w:tbl>
    <w:p>
      <w:pPr>
        <w:spacing w:after="0" w:line="240" w:lineRule="auto"/>
        <w:jc w:val="left"/>
        <w:rPr>
          <w:rFonts w:ascii="Arial" w:hAnsi="Arial" w:cs="Arial" w:eastAsia="Arial" w:hint="default"/>
          <w:sz w:val="18"/>
          <w:szCs w:val="18"/>
        </w:rPr>
        <w:sectPr>
          <w:footerReference w:type="default" r:id="rId85"/>
          <w:pgSz w:w="11910" w:h="16840"/>
          <w:pgMar w:footer="635" w:header="0" w:top="3080" w:bottom="820" w:left="1280" w:right="1060"/>
          <w:pgNumType w:start="103"/>
        </w:sectPr>
      </w:pPr>
    </w:p>
    <w:p>
      <w:pPr>
        <w:spacing w:line="240" w:lineRule="auto" w:before="2"/>
        <w:rPr>
          <w:rFonts w:ascii="宋体" w:hAnsi="宋体" w:cs="宋体" w:eastAsia="宋体" w:hint="default"/>
          <w:sz w:val="23"/>
          <w:szCs w:val="23"/>
        </w:rPr>
      </w:pPr>
    </w:p>
    <w:tbl>
      <w:tblPr>
        <w:tblW w:w="0" w:type="auto"/>
        <w:jc w:val="left"/>
        <w:tblInd w:w="330" w:type="dxa"/>
        <w:tblLayout w:type="fixed"/>
        <w:tblCellMar>
          <w:top w:w="0" w:type="dxa"/>
          <w:left w:w="0" w:type="dxa"/>
          <w:bottom w:w="0" w:type="dxa"/>
          <w:right w:w="0" w:type="dxa"/>
        </w:tblCellMar>
        <w:tblLook w:val="01E0"/>
      </w:tblPr>
      <w:tblGrid>
        <w:gridCol w:w="2752"/>
        <w:gridCol w:w="1567"/>
        <w:gridCol w:w="115"/>
        <w:gridCol w:w="1496"/>
        <w:gridCol w:w="106"/>
        <w:gridCol w:w="1658"/>
        <w:gridCol w:w="113"/>
        <w:gridCol w:w="1562"/>
      </w:tblGrid>
      <w:tr>
        <w:trPr>
          <w:trHeight w:val="450" w:hRule="exact"/>
        </w:trPr>
        <w:tc>
          <w:tcPr>
            <w:tcW w:w="2752"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single" w:sz="6" w:space="0" w:color="000000"/>
              <w:right w:val="nil" w:sz="6" w:space="0" w:color="auto"/>
            </w:tcBorders>
          </w:tcPr>
          <w:p>
            <w:pPr>
              <w:pStyle w:val="TableParagraph"/>
              <w:spacing w:line="185" w:lineRule="exact"/>
              <w:ind w:left="897"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1" w:lineRule="exact"/>
              <w:ind w:left="628"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15"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82"/>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106"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本年摊销</w:t>
            </w:r>
          </w:p>
        </w:tc>
        <w:tc>
          <w:tcPr>
            <w:tcW w:w="11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single" w:sz="6" w:space="0" w:color="000000"/>
              <w:right w:val="nil" w:sz="6" w:space="0" w:color="auto"/>
            </w:tcBorders>
          </w:tcPr>
          <w:p>
            <w:pPr>
              <w:pStyle w:val="TableParagraph"/>
              <w:spacing w:line="185" w:lineRule="exact"/>
              <w:ind w:left="892"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1" w:lineRule="exact"/>
              <w:ind w:left="623"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503"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长期预付租金</w:t>
            </w:r>
          </w:p>
        </w:tc>
        <w:tc>
          <w:tcPr>
            <w:tcW w:w="1567"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7"/>
              <w:jc w:val="right"/>
              <w:rPr>
                <w:rFonts w:ascii="Arial" w:hAnsi="Arial" w:cs="Arial" w:eastAsia="Arial" w:hint="default"/>
                <w:sz w:val="18"/>
                <w:szCs w:val="18"/>
              </w:rPr>
            </w:pPr>
            <w:r>
              <w:rPr>
                <w:rFonts w:ascii="Arial"/>
                <w:spacing w:val="-1"/>
                <w:sz w:val="18"/>
              </w:rPr>
              <w:t>3,362,717,352</w:t>
            </w:r>
          </w:p>
        </w:tc>
        <w:tc>
          <w:tcPr>
            <w:tcW w:w="115" w:type="dxa"/>
            <w:tcBorders>
              <w:top w:val="nil" w:sz="6" w:space="0" w:color="auto"/>
              <w:left w:val="nil" w:sz="6" w:space="0" w:color="auto"/>
              <w:bottom w:val="nil" w:sz="6" w:space="0" w:color="auto"/>
              <w:right w:val="nil" w:sz="6" w:space="0" w:color="auto"/>
            </w:tcBorders>
          </w:tcPr>
          <w:p>
            <w:pPr/>
          </w:p>
        </w:tc>
        <w:tc>
          <w:tcPr>
            <w:tcW w:w="1496"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7"/>
              <w:jc w:val="right"/>
              <w:rPr>
                <w:rFonts w:ascii="Arial" w:hAnsi="Arial" w:cs="Arial" w:eastAsia="Arial" w:hint="default"/>
                <w:sz w:val="18"/>
                <w:szCs w:val="18"/>
              </w:rPr>
            </w:pPr>
            <w:r>
              <w:rPr>
                <w:rFonts w:ascii="Arial"/>
                <w:spacing w:val="-1"/>
                <w:sz w:val="18"/>
              </w:rPr>
              <w:t>1,284,058,323</w:t>
            </w:r>
          </w:p>
        </w:tc>
        <w:tc>
          <w:tcPr>
            <w:tcW w:w="106" w:type="dxa"/>
            <w:tcBorders>
              <w:top w:val="nil" w:sz="6" w:space="0" w:color="auto"/>
              <w:left w:val="nil" w:sz="6" w:space="0" w:color="auto"/>
              <w:bottom w:val="nil" w:sz="6" w:space="0" w:color="auto"/>
              <w:right w:val="nil" w:sz="6" w:space="0" w:color="auto"/>
            </w:tcBorders>
          </w:tcPr>
          <w:p>
            <w:pPr/>
          </w:p>
        </w:tc>
        <w:tc>
          <w:tcPr>
            <w:tcW w:w="1658"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6"/>
              <w:jc w:val="right"/>
              <w:rPr>
                <w:rFonts w:ascii="Arial" w:hAnsi="Arial" w:cs="Arial" w:eastAsia="Arial" w:hint="default"/>
                <w:sz w:val="18"/>
                <w:szCs w:val="18"/>
              </w:rPr>
            </w:pPr>
            <w:r>
              <w:rPr>
                <w:rFonts w:ascii="Arial"/>
                <w:spacing w:val="-1"/>
                <w:sz w:val="18"/>
              </w:rPr>
              <w:t>(1,136,876,153)</w:t>
            </w:r>
          </w:p>
        </w:tc>
        <w:tc>
          <w:tcPr>
            <w:tcW w:w="113" w:type="dxa"/>
            <w:tcBorders>
              <w:top w:val="nil" w:sz="6" w:space="0" w:color="auto"/>
              <w:left w:val="nil" w:sz="6" w:space="0" w:color="auto"/>
              <w:bottom w:val="nil" w:sz="6" w:space="0" w:color="auto"/>
              <w:right w:val="nil" w:sz="6" w:space="0" w:color="auto"/>
            </w:tcBorders>
          </w:tcPr>
          <w:p>
            <w:pPr/>
          </w:p>
        </w:tc>
        <w:tc>
          <w:tcPr>
            <w:tcW w:w="1562"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7"/>
              <w:jc w:val="right"/>
              <w:rPr>
                <w:rFonts w:ascii="Arial" w:hAnsi="Arial" w:cs="Arial" w:eastAsia="Arial" w:hint="default"/>
                <w:sz w:val="18"/>
                <w:szCs w:val="18"/>
              </w:rPr>
            </w:pPr>
            <w:r>
              <w:rPr>
                <w:rFonts w:ascii="Arial"/>
                <w:spacing w:val="-1"/>
                <w:sz w:val="18"/>
              </w:rPr>
              <w:t>3,509,899,522</w:t>
            </w:r>
          </w:p>
        </w:tc>
      </w:tr>
      <w:tr>
        <w:trPr>
          <w:trHeight w:val="234"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外市电引入</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
              <w:jc w:val="right"/>
              <w:rPr>
                <w:rFonts w:ascii="Arial" w:hAnsi="Arial" w:cs="Arial" w:eastAsia="Arial" w:hint="default"/>
                <w:sz w:val="18"/>
                <w:szCs w:val="18"/>
              </w:rPr>
            </w:pPr>
            <w:r>
              <w:rPr>
                <w:rFonts w:ascii="Arial"/>
                <w:spacing w:val="-1"/>
                <w:sz w:val="18"/>
              </w:rPr>
              <w:t>1,983,179,736</w:t>
            </w:r>
          </w:p>
        </w:tc>
        <w:tc>
          <w:tcPr>
            <w:tcW w:w="115"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
              <w:jc w:val="right"/>
              <w:rPr>
                <w:rFonts w:ascii="Arial" w:hAnsi="Arial" w:cs="Arial" w:eastAsia="Arial" w:hint="default"/>
                <w:sz w:val="18"/>
                <w:szCs w:val="18"/>
              </w:rPr>
            </w:pPr>
            <w:r>
              <w:rPr>
                <w:rFonts w:ascii="Arial"/>
                <w:spacing w:val="-1"/>
                <w:sz w:val="18"/>
              </w:rPr>
              <w:t>803,088,241</w:t>
            </w:r>
          </w:p>
        </w:tc>
        <w:tc>
          <w:tcPr>
            <w:tcW w:w="106"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
              <w:jc w:val="right"/>
              <w:rPr>
                <w:rFonts w:ascii="Arial" w:hAnsi="Arial" w:cs="Arial" w:eastAsia="Arial" w:hint="default"/>
                <w:sz w:val="18"/>
                <w:szCs w:val="18"/>
              </w:rPr>
            </w:pPr>
            <w:r>
              <w:rPr>
                <w:rFonts w:ascii="Arial"/>
                <w:spacing w:val="-1"/>
                <w:sz w:val="18"/>
              </w:rPr>
              <w:t>(740,570,742)</w:t>
            </w:r>
          </w:p>
        </w:tc>
        <w:tc>
          <w:tcPr>
            <w:tcW w:w="11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
              <w:jc w:val="right"/>
              <w:rPr>
                <w:rFonts w:ascii="Arial" w:hAnsi="Arial" w:cs="Arial" w:eastAsia="Arial" w:hint="default"/>
                <w:sz w:val="18"/>
                <w:szCs w:val="18"/>
              </w:rPr>
            </w:pPr>
            <w:r>
              <w:rPr>
                <w:rFonts w:ascii="Arial"/>
                <w:spacing w:val="-1"/>
                <w:sz w:val="18"/>
              </w:rPr>
              <w:t>2,045,697,235</w:t>
            </w:r>
          </w:p>
        </w:tc>
      </w:tr>
      <w:tr>
        <w:trPr>
          <w:trHeight w:val="234"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196" w:lineRule="exact"/>
              <w:ind w:left="204" w:right="0"/>
              <w:jc w:val="left"/>
              <w:rPr>
                <w:rFonts w:ascii="宋体" w:hAnsi="宋体" w:cs="宋体" w:eastAsia="宋体" w:hint="default"/>
                <w:sz w:val="18"/>
                <w:szCs w:val="18"/>
              </w:rPr>
            </w:pPr>
            <w:r>
              <w:rPr>
                <w:rFonts w:ascii="宋体" w:hAnsi="宋体" w:cs="宋体" w:eastAsia="宋体" w:hint="default"/>
                <w:sz w:val="18"/>
                <w:szCs w:val="18"/>
              </w:rPr>
              <w:t>经营租入固定资产改良</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
              <w:jc w:val="right"/>
              <w:rPr>
                <w:rFonts w:ascii="Arial" w:hAnsi="Arial" w:cs="Arial" w:eastAsia="Arial" w:hint="default"/>
                <w:sz w:val="18"/>
                <w:szCs w:val="18"/>
              </w:rPr>
            </w:pPr>
            <w:r>
              <w:rPr>
                <w:rFonts w:ascii="Arial"/>
                <w:spacing w:val="-1"/>
                <w:sz w:val="18"/>
              </w:rPr>
              <w:t>1,961,639,894</w:t>
            </w:r>
          </w:p>
        </w:tc>
        <w:tc>
          <w:tcPr>
            <w:tcW w:w="115"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6"/>
              <w:jc w:val="right"/>
              <w:rPr>
                <w:rFonts w:ascii="Arial" w:hAnsi="Arial" w:cs="Arial" w:eastAsia="Arial" w:hint="default"/>
                <w:sz w:val="18"/>
                <w:szCs w:val="18"/>
              </w:rPr>
            </w:pPr>
            <w:r>
              <w:rPr>
                <w:rFonts w:ascii="Arial"/>
                <w:spacing w:val="-1"/>
                <w:sz w:val="18"/>
              </w:rPr>
              <w:t>949,610,594</w:t>
            </w:r>
          </w:p>
        </w:tc>
        <w:tc>
          <w:tcPr>
            <w:tcW w:w="106"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6"/>
              <w:jc w:val="right"/>
              <w:rPr>
                <w:rFonts w:ascii="Arial" w:hAnsi="Arial" w:cs="Arial" w:eastAsia="Arial" w:hint="default"/>
                <w:sz w:val="18"/>
                <w:szCs w:val="18"/>
              </w:rPr>
            </w:pPr>
            <w:r>
              <w:rPr>
                <w:rFonts w:ascii="Arial"/>
                <w:spacing w:val="-1"/>
                <w:sz w:val="18"/>
              </w:rPr>
              <w:t>(820,769,617)</w:t>
            </w:r>
          </w:p>
        </w:tc>
        <w:tc>
          <w:tcPr>
            <w:tcW w:w="11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
              <w:jc w:val="right"/>
              <w:rPr>
                <w:rFonts w:ascii="Arial" w:hAnsi="Arial" w:cs="Arial" w:eastAsia="Arial" w:hint="default"/>
                <w:sz w:val="18"/>
                <w:szCs w:val="18"/>
              </w:rPr>
            </w:pPr>
            <w:r>
              <w:rPr>
                <w:rFonts w:ascii="Arial"/>
                <w:spacing w:val="-1"/>
                <w:sz w:val="18"/>
              </w:rPr>
              <w:t>2,090,480,871</w:t>
            </w:r>
          </w:p>
        </w:tc>
      </w:tr>
      <w:tr>
        <w:trPr>
          <w:trHeight w:val="233"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195" w:lineRule="exact"/>
              <w:ind w:left="207" w:right="0"/>
              <w:jc w:val="left"/>
              <w:rPr>
                <w:rFonts w:ascii="宋体" w:hAnsi="宋体" w:cs="宋体" w:eastAsia="宋体" w:hint="default"/>
                <w:sz w:val="18"/>
                <w:szCs w:val="18"/>
              </w:rPr>
            </w:pPr>
            <w:r>
              <w:rPr>
                <w:rFonts w:ascii="宋体" w:hAnsi="宋体" w:cs="宋体" w:eastAsia="宋体" w:hint="default"/>
                <w:sz w:val="18"/>
                <w:szCs w:val="18"/>
              </w:rPr>
              <w:t>长期预付线路租赁及网络改良</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
              <w:jc w:val="right"/>
              <w:rPr>
                <w:rFonts w:ascii="Arial" w:hAnsi="Arial" w:cs="Arial" w:eastAsia="Arial" w:hint="default"/>
                <w:sz w:val="18"/>
                <w:szCs w:val="18"/>
              </w:rPr>
            </w:pPr>
            <w:r>
              <w:rPr>
                <w:rFonts w:ascii="Arial"/>
                <w:spacing w:val="-1"/>
                <w:sz w:val="18"/>
              </w:rPr>
              <w:t>791,070,431</w:t>
            </w:r>
          </w:p>
        </w:tc>
        <w:tc>
          <w:tcPr>
            <w:tcW w:w="115"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
              <w:jc w:val="right"/>
              <w:rPr>
                <w:rFonts w:ascii="Arial" w:hAnsi="Arial" w:cs="Arial" w:eastAsia="Arial" w:hint="default"/>
                <w:sz w:val="18"/>
                <w:szCs w:val="18"/>
              </w:rPr>
            </w:pPr>
            <w:r>
              <w:rPr>
                <w:rFonts w:ascii="Arial"/>
                <w:spacing w:val="-1"/>
                <w:sz w:val="18"/>
              </w:rPr>
              <w:t>192,002,833</w:t>
            </w:r>
          </w:p>
        </w:tc>
        <w:tc>
          <w:tcPr>
            <w:tcW w:w="106"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
              <w:jc w:val="right"/>
              <w:rPr>
                <w:rFonts w:ascii="Arial" w:hAnsi="Arial" w:cs="Arial" w:eastAsia="Arial" w:hint="default"/>
                <w:sz w:val="18"/>
                <w:szCs w:val="18"/>
              </w:rPr>
            </w:pPr>
            <w:r>
              <w:rPr>
                <w:rFonts w:ascii="Arial"/>
                <w:spacing w:val="-1"/>
                <w:sz w:val="18"/>
              </w:rPr>
              <w:t>(357,335,424)</w:t>
            </w:r>
          </w:p>
        </w:tc>
        <w:tc>
          <w:tcPr>
            <w:tcW w:w="11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
              <w:jc w:val="right"/>
              <w:rPr>
                <w:rFonts w:ascii="Arial" w:hAnsi="Arial" w:cs="Arial" w:eastAsia="Arial" w:hint="default"/>
                <w:sz w:val="18"/>
                <w:szCs w:val="18"/>
              </w:rPr>
            </w:pPr>
            <w:r>
              <w:rPr>
                <w:rFonts w:ascii="Arial"/>
                <w:spacing w:val="-1"/>
                <w:sz w:val="18"/>
              </w:rPr>
              <w:t>625,737,840</w:t>
            </w:r>
          </w:p>
        </w:tc>
      </w:tr>
      <w:tr>
        <w:trPr>
          <w:trHeight w:val="257"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195" w:lineRule="exact"/>
              <w:ind w:left="207" w:right="0"/>
              <w:jc w:val="left"/>
              <w:rPr>
                <w:rFonts w:ascii="宋体" w:hAnsi="宋体" w:cs="宋体" w:eastAsia="宋体" w:hint="default"/>
                <w:sz w:val="18"/>
                <w:szCs w:val="18"/>
              </w:rPr>
            </w:pPr>
            <w:r>
              <w:rPr>
                <w:rFonts w:ascii="宋体" w:hAnsi="宋体" w:cs="宋体" w:eastAsia="宋体" w:hint="default"/>
                <w:sz w:val="18"/>
                <w:szCs w:val="18"/>
              </w:rPr>
              <w:t>装移机成本</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
              <w:jc w:val="right"/>
              <w:rPr>
                <w:rFonts w:ascii="Arial" w:hAnsi="Arial" w:cs="Arial" w:eastAsia="Arial" w:hint="default"/>
                <w:sz w:val="18"/>
                <w:szCs w:val="18"/>
              </w:rPr>
            </w:pPr>
            <w:r>
              <w:rPr>
                <w:rFonts w:ascii="Arial"/>
                <w:spacing w:val="-1"/>
                <w:sz w:val="18"/>
              </w:rPr>
              <w:t>712,193,769</w:t>
            </w:r>
          </w:p>
        </w:tc>
        <w:tc>
          <w:tcPr>
            <w:tcW w:w="115"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
              <w:jc w:val="right"/>
              <w:rPr>
                <w:rFonts w:ascii="Arial" w:hAnsi="Arial" w:cs="Arial" w:eastAsia="Arial" w:hint="default"/>
                <w:sz w:val="18"/>
                <w:szCs w:val="18"/>
              </w:rPr>
            </w:pPr>
            <w:r>
              <w:rPr>
                <w:rFonts w:ascii="Arial"/>
                <w:spacing w:val="-1"/>
                <w:sz w:val="18"/>
              </w:rPr>
              <w:t>130,434,552</w:t>
            </w:r>
          </w:p>
        </w:tc>
        <w:tc>
          <w:tcPr>
            <w:tcW w:w="106"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
              <w:jc w:val="right"/>
              <w:rPr>
                <w:rFonts w:ascii="Arial" w:hAnsi="Arial" w:cs="Arial" w:eastAsia="Arial" w:hint="default"/>
                <w:sz w:val="18"/>
                <w:szCs w:val="18"/>
              </w:rPr>
            </w:pPr>
            <w:r>
              <w:rPr>
                <w:rFonts w:ascii="Arial"/>
                <w:spacing w:val="-1"/>
                <w:sz w:val="18"/>
              </w:rPr>
              <w:t>(179,208,475)</w:t>
            </w:r>
          </w:p>
        </w:tc>
        <w:tc>
          <w:tcPr>
            <w:tcW w:w="11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
              <w:jc w:val="right"/>
              <w:rPr>
                <w:rFonts w:ascii="Arial" w:hAnsi="Arial" w:cs="Arial" w:eastAsia="Arial" w:hint="default"/>
                <w:sz w:val="18"/>
                <w:szCs w:val="18"/>
              </w:rPr>
            </w:pPr>
            <w:r>
              <w:rPr>
                <w:rFonts w:ascii="Arial"/>
                <w:spacing w:val="-1"/>
                <w:sz w:val="18"/>
              </w:rPr>
              <w:t>663,419,846</w:t>
            </w:r>
          </w:p>
        </w:tc>
      </w:tr>
      <w:tr>
        <w:trPr>
          <w:trHeight w:val="281"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219" w:lineRule="exact"/>
              <w:ind w:left="204" w:right="0"/>
              <w:jc w:val="left"/>
              <w:rPr>
                <w:rFonts w:ascii="宋体" w:hAnsi="宋体" w:cs="宋体" w:eastAsia="宋体" w:hint="default"/>
                <w:sz w:val="18"/>
                <w:szCs w:val="18"/>
              </w:rPr>
            </w:pPr>
            <w:r>
              <w:rPr>
                <w:rFonts w:ascii="宋体" w:hAnsi="宋体" w:cs="宋体" w:eastAsia="宋体" w:hint="default"/>
                <w:sz w:val="18"/>
                <w:szCs w:val="18"/>
              </w:rPr>
              <w:t>合同履行成本</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7"/>
              <w:jc w:val="right"/>
              <w:rPr>
                <w:rFonts w:ascii="Arial" w:hAnsi="Arial" w:cs="Arial" w:eastAsia="Arial" w:hint="default"/>
                <w:sz w:val="18"/>
                <w:szCs w:val="18"/>
              </w:rPr>
            </w:pPr>
            <w:r>
              <w:rPr>
                <w:rFonts w:ascii="Arial"/>
                <w:spacing w:val="-1"/>
                <w:sz w:val="18"/>
              </w:rPr>
              <w:t>1,894,045,043</w:t>
            </w:r>
          </w:p>
        </w:tc>
        <w:tc>
          <w:tcPr>
            <w:tcW w:w="115"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7"/>
              <w:jc w:val="right"/>
              <w:rPr>
                <w:rFonts w:ascii="Arial" w:hAnsi="Arial" w:cs="Arial" w:eastAsia="Arial" w:hint="default"/>
                <w:sz w:val="18"/>
                <w:szCs w:val="18"/>
              </w:rPr>
            </w:pPr>
            <w:r>
              <w:rPr>
                <w:rFonts w:ascii="Arial"/>
                <w:spacing w:val="-1"/>
                <w:sz w:val="18"/>
              </w:rPr>
              <w:t>3,406,920,702</w:t>
            </w:r>
          </w:p>
        </w:tc>
        <w:tc>
          <w:tcPr>
            <w:tcW w:w="106"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6"/>
              <w:jc w:val="right"/>
              <w:rPr>
                <w:rFonts w:ascii="Arial" w:hAnsi="Arial" w:cs="Arial" w:eastAsia="Arial" w:hint="default"/>
                <w:sz w:val="18"/>
                <w:szCs w:val="18"/>
              </w:rPr>
            </w:pPr>
            <w:r>
              <w:rPr>
                <w:rFonts w:ascii="Arial"/>
                <w:spacing w:val="-1"/>
                <w:sz w:val="18"/>
              </w:rPr>
              <w:t>(1,538,869,898)</w:t>
            </w:r>
          </w:p>
        </w:tc>
        <w:tc>
          <w:tcPr>
            <w:tcW w:w="11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7"/>
              <w:jc w:val="right"/>
              <w:rPr>
                <w:rFonts w:ascii="Arial" w:hAnsi="Arial" w:cs="Arial" w:eastAsia="Arial" w:hint="default"/>
                <w:sz w:val="18"/>
                <w:szCs w:val="18"/>
              </w:rPr>
            </w:pPr>
            <w:r>
              <w:rPr>
                <w:rFonts w:ascii="Arial"/>
                <w:spacing w:val="-1"/>
                <w:sz w:val="18"/>
              </w:rPr>
              <w:t>3,762,095,847</w:t>
            </w:r>
          </w:p>
        </w:tc>
      </w:tr>
      <w:tr>
        <w:trPr>
          <w:trHeight w:val="367"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219" w:lineRule="exact"/>
              <w:ind w:left="2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7" w:type="dxa"/>
            <w:tcBorders>
              <w:top w:val="nil" w:sz="6" w:space="0" w:color="auto"/>
              <w:left w:val="nil" w:sz="6" w:space="0" w:color="auto"/>
              <w:bottom w:val="nil" w:sz="6" w:space="0" w:color="auto"/>
              <w:right w:val="nil" w:sz="6" w:space="0" w:color="auto"/>
            </w:tcBorders>
          </w:tcPr>
          <w:p>
            <w:pPr>
              <w:pStyle w:val="TableParagraph"/>
              <w:tabs>
                <w:tab w:pos="547" w:val="left" w:leader="none"/>
              </w:tabs>
              <w:spacing w:line="240" w:lineRule="auto" w:before="39"/>
              <w:ind w:right="1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629,805,484</w:t>
            </w:r>
            <w:r>
              <w:rPr>
                <w:rFonts w:ascii="Arial"/>
                <w:spacing w:val="-1"/>
                <w:sz w:val="18"/>
              </w:rPr>
            </w:r>
          </w:p>
        </w:tc>
        <w:tc>
          <w:tcPr>
            <w:tcW w:w="115"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39"/>
              <w:ind w:right="1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604,371,414</w:t>
            </w:r>
            <w:r>
              <w:rPr>
                <w:rFonts w:ascii="Arial"/>
                <w:spacing w:val="-1"/>
                <w:sz w:val="18"/>
              </w:rPr>
            </w:r>
          </w:p>
        </w:tc>
        <w:tc>
          <w:tcPr>
            <w:tcW w:w="106"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tabs>
                <w:tab w:pos="518" w:val="left" w:leader="none"/>
              </w:tabs>
              <w:spacing w:line="240" w:lineRule="auto" w:before="36"/>
              <w:ind w:right="1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(307,553,994)</w:t>
            </w:r>
            <w:r>
              <w:rPr>
                <w:rFonts w:ascii="Arial"/>
                <w:spacing w:val="-1"/>
                <w:sz w:val="18"/>
              </w:rPr>
            </w:r>
          </w:p>
        </w:tc>
        <w:tc>
          <w:tcPr>
            <w:tcW w:w="11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240" w:lineRule="auto" w:before="36"/>
              <w:ind w:right="1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926,622,904</w:t>
            </w:r>
            <w:r>
              <w:rPr>
                <w:rFonts w:ascii="Arial"/>
                <w:spacing w:val="-1"/>
                <w:sz w:val="18"/>
              </w:rPr>
            </w:r>
          </w:p>
        </w:tc>
      </w:tr>
      <w:tr>
        <w:trPr>
          <w:trHeight w:val="357"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04" w:right="0"/>
              <w:jc w:val="left"/>
              <w:rPr>
                <w:rFonts w:ascii="宋体" w:hAnsi="宋体" w:cs="宋体" w:eastAsia="宋体" w:hint="default"/>
                <w:sz w:val="18"/>
                <w:szCs w:val="18"/>
              </w:rPr>
            </w:pPr>
            <w:r>
              <w:rPr>
                <w:rFonts w:ascii="宋体" w:hAnsi="宋体" w:cs="宋体" w:eastAsia="宋体" w:hint="default"/>
                <w:sz w:val="18"/>
                <w:szCs w:val="18"/>
              </w:rPr>
              <w:t>长期待摊费用合计</w:t>
            </w:r>
          </w:p>
        </w:tc>
        <w:tc>
          <w:tcPr>
            <w:tcW w:w="1567"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right="16"/>
              <w:jc w:val="right"/>
              <w:rPr>
                <w:rFonts w:ascii="Arial" w:hAnsi="Arial" w:cs="Arial" w:eastAsia="Arial" w:hint="default"/>
                <w:sz w:val="18"/>
                <w:szCs w:val="18"/>
              </w:rPr>
            </w:pPr>
            <w:r>
              <w:rPr>
                <w:rFonts w:ascii="Arial"/>
                <w:spacing w:val="-1"/>
                <w:sz w:val="18"/>
              </w:rPr>
              <w:t>11,334,651,709</w:t>
            </w:r>
          </w:p>
        </w:tc>
        <w:tc>
          <w:tcPr>
            <w:tcW w:w="115"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right="17"/>
              <w:jc w:val="right"/>
              <w:rPr>
                <w:rFonts w:ascii="Arial" w:hAnsi="Arial" w:cs="Arial" w:eastAsia="Arial" w:hint="default"/>
                <w:sz w:val="18"/>
                <w:szCs w:val="18"/>
              </w:rPr>
            </w:pPr>
            <w:r>
              <w:rPr>
                <w:rFonts w:ascii="Arial"/>
                <w:spacing w:val="-1"/>
                <w:sz w:val="18"/>
              </w:rPr>
              <w:t>7,370,486,659</w:t>
            </w:r>
          </w:p>
        </w:tc>
        <w:tc>
          <w:tcPr>
            <w:tcW w:w="106"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right="16"/>
              <w:jc w:val="right"/>
              <w:rPr>
                <w:rFonts w:ascii="Arial" w:hAnsi="Arial" w:cs="Arial" w:eastAsia="Arial" w:hint="default"/>
                <w:sz w:val="18"/>
                <w:szCs w:val="18"/>
              </w:rPr>
            </w:pPr>
            <w:r>
              <w:rPr>
                <w:rFonts w:ascii="Arial"/>
                <w:spacing w:val="-1"/>
                <w:sz w:val="18"/>
              </w:rPr>
              <w:t>(5,081,184,303)</w:t>
            </w:r>
          </w:p>
        </w:tc>
        <w:tc>
          <w:tcPr>
            <w:tcW w:w="11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right="16"/>
              <w:jc w:val="right"/>
              <w:rPr>
                <w:rFonts w:ascii="Arial" w:hAnsi="Arial" w:cs="Arial" w:eastAsia="Arial" w:hint="default"/>
                <w:sz w:val="18"/>
                <w:szCs w:val="18"/>
              </w:rPr>
            </w:pPr>
            <w:r>
              <w:rPr>
                <w:rFonts w:ascii="Arial"/>
                <w:spacing w:val="-1"/>
                <w:sz w:val="18"/>
              </w:rPr>
              <w:t>13,623,954,065</w:t>
            </w:r>
          </w:p>
        </w:tc>
      </w:tr>
    </w:tbl>
    <w:p>
      <w:pPr>
        <w:spacing w:line="240" w:lineRule="auto" w:before="13"/>
        <w:rPr>
          <w:rFonts w:ascii="宋体" w:hAnsi="宋体" w:cs="宋体" w:eastAsia="宋体" w:hint="default"/>
          <w:sz w:val="13"/>
          <w:szCs w:val="13"/>
        </w:rPr>
      </w:pPr>
    </w:p>
    <w:p>
      <w:pPr>
        <w:pStyle w:val="BodyText"/>
        <w:spacing w:line="240" w:lineRule="auto" w:before="32"/>
        <w:ind w:left="102" w:right="1307"/>
        <w:jc w:val="left"/>
      </w:pPr>
      <w:r>
        <w:rPr>
          <w:rFonts w:ascii="Arial" w:hAnsi="Arial" w:cs="Arial" w:eastAsia="Arial" w:hint="default"/>
        </w:rPr>
        <w:t>15</w:t>
      </w:r>
      <w:r>
        <w:rPr/>
        <w:t>、短期借款</w:t>
      </w:r>
    </w:p>
    <w:p>
      <w:pPr>
        <w:spacing w:line="240" w:lineRule="auto" w:before="6"/>
        <w:rPr>
          <w:rFonts w:ascii="宋体" w:hAnsi="宋体" w:cs="宋体" w:eastAsia="宋体" w:hint="default"/>
          <w:sz w:val="20"/>
          <w:szCs w:val="20"/>
        </w:rPr>
      </w:pPr>
    </w:p>
    <w:tbl>
      <w:tblPr>
        <w:tblW w:w="0" w:type="auto"/>
        <w:jc w:val="left"/>
        <w:tblInd w:w="361" w:type="dxa"/>
        <w:tblLayout w:type="fixed"/>
        <w:tblCellMar>
          <w:top w:w="0" w:type="dxa"/>
          <w:left w:w="0" w:type="dxa"/>
          <w:bottom w:w="0" w:type="dxa"/>
          <w:right w:w="0" w:type="dxa"/>
        </w:tblCellMar>
        <w:tblLook w:val="01E0"/>
      </w:tblPr>
      <w:tblGrid>
        <w:gridCol w:w="3604"/>
        <w:gridCol w:w="766"/>
        <w:gridCol w:w="108"/>
        <w:gridCol w:w="2316"/>
        <w:gridCol w:w="118"/>
        <w:gridCol w:w="2434"/>
      </w:tblGrid>
      <w:tr>
        <w:trPr>
          <w:trHeight w:val="264" w:hRule="exact"/>
        </w:trPr>
        <w:tc>
          <w:tcPr>
            <w:tcW w:w="3604"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single" w:sz="6" w:space="0" w:color="000000"/>
              <w:right w:val="nil" w:sz="6" w:space="0" w:color="auto"/>
            </w:tcBorders>
          </w:tcPr>
          <w:p>
            <w:pPr>
              <w:pStyle w:val="TableParagraph"/>
              <w:spacing w:line="221" w:lineRule="exact"/>
              <w:ind w:left="2" w:right="0"/>
              <w:jc w:val="center"/>
              <w:rPr>
                <w:rFonts w:ascii="宋体" w:hAnsi="宋体" w:cs="宋体" w:eastAsia="宋体" w:hint="default"/>
                <w:sz w:val="22"/>
                <w:szCs w:val="22"/>
              </w:rPr>
            </w:pPr>
            <w:r>
              <w:rPr>
                <w:rFonts w:ascii="宋体" w:hAnsi="宋体" w:cs="宋体" w:eastAsia="宋体" w:hint="default"/>
                <w:sz w:val="22"/>
                <w:szCs w:val="22"/>
              </w:rPr>
              <w:t>币种</w:t>
            </w:r>
          </w:p>
        </w:tc>
        <w:tc>
          <w:tcPr>
            <w:tcW w:w="108" w:type="dxa"/>
            <w:tcBorders>
              <w:top w:val="nil" w:sz="6" w:space="0" w:color="auto"/>
              <w:left w:val="nil" w:sz="6" w:space="0" w:color="auto"/>
              <w:bottom w:val="nil" w:sz="6" w:space="0" w:color="auto"/>
              <w:right w:val="nil" w:sz="6" w:space="0" w:color="auto"/>
            </w:tcBorders>
          </w:tcPr>
          <w:p>
            <w:pPr/>
          </w:p>
        </w:tc>
        <w:tc>
          <w:tcPr>
            <w:tcW w:w="2316" w:type="dxa"/>
            <w:tcBorders>
              <w:top w:val="nil" w:sz="6" w:space="0" w:color="auto"/>
              <w:left w:val="nil" w:sz="6" w:space="0" w:color="auto"/>
              <w:bottom w:val="single" w:sz="6" w:space="0" w:color="000000"/>
              <w:right w:val="nil" w:sz="6" w:space="0" w:color="auto"/>
            </w:tcBorders>
          </w:tcPr>
          <w:p>
            <w:pPr>
              <w:pStyle w:val="TableParagraph"/>
              <w:spacing w:line="236" w:lineRule="exact"/>
              <w:ind w:right="65"/>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18" w:type="dxa"/>
            <w:tcBorders>
              <w:top w:val="nil" w:sz="6" w:space="0" w:color="auto"/>
              <w:left w:val="nil" w:sz="6" w:space="0" w:color="auto"/>
              <w:bottom w:val="nil" w:sz="6" w:space="0" w:color="auto"/>
              <w:right w:val="nil" w:sz="6" w:space="0" w:color="auto"/>
            </w:tcBorders>
          </w:tcPr>
          <w:p>
            <w:pPr/>
          </w:p>
        </w:tc>
        <w:tc>
          <w:tcPr>
            <w:tcW w:w="2434" w:type="dxa"/>
            <w:tcBorders>
              <w:top w:val="nil" w:sz="6" w:space="0" w:color="auto"/>
              <w:left w:val="nil" w:sz="6" w:space="0" w:color="auto"/>
              <w:bottom w:val="single" w:sz="6" w:space="0" w:color="000000"/>
              <w:right w:val="nil" w:sz="6" w:space="0" w:color="auto"/>
            </w:tcBorders>
          </w:tcPr>
          <w:p>
            <w:pPr>
              <w:pStyle w:val="TableParagraph"/>
              <w:spacing w:line="236" w:lineRule="exact"/>
              <w:ind w:right="84"/>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7" w:hRule="exact"/>
        </w:trPr>
        <w:tc>
          <w:tcPr>
            <w:tcW w:w="360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信用借款</w:t>
            </w:r>
          </w:p>
        </w:tc>
        <w:tc>
          <w:tcPr>
            <w:tcW w:w="766"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6" w:right="0"/>
              <w:jc w:val="center"/>
              <w:rPr>
                <w:rFonts w:ascii="宋体" w:hAnsi="宋体" w:cs="宋体" w:eastAsia="宋体" w:hint="default"/>
                <w:sz w:val="22"/>
                <w:szCs w:val="22"/>
              </w:rPr>
            </w:pPr>
            <w:r>
              <w:rPr>
                <w:rFonts w:ascii="宋体" w:hAnsi="宋体" w:cs="宋体" w:eastAsia="宋体" w:hint="default"/>
                <w:sz w:val="22"/>
                <w:szCs w:val="22"/>
              </w:rPr>
              <w:t>人民币</w:t>
            </w:r>
          </w:p>
        </w:tc>
        <w:tc>
          <w:tcPr>
            <w:tcW w:w="108" w:type="dxa"/>
            <w:tcBorders>
              <w:top w:val="nil" w:sz="6" w:space="0" w:color="auto"/>
              <w:left w:val="nil" w:sz="6" w:space="0" w:color="auto"/>
              <w:bottom w:val="nil" w:sz="6" w:space="0" w:color="auto"/>
              <w:right w:val="nil" w:sz="6" w:space="0" w:color="auto"/>
            </w:tcBorders>
          </w:tcPr>
          <w:p>
            <w:pPr/>
          </w:p>
        </w:tc>
        <w:tc>
          <w:tcPr>
            <w:tcW w:w="2316"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9"/>
              <w:jc w:val="right"/>
              <w:rPr>
                <w:rFonts w:ascii="Arial" w:hAnsi="Arial" w:cs="Arial" w:eastAsia="Arial" w:hint="default"/>
                <w:sz w:val="22"/>
                <w:szCs w:val="22"/>
              </w:rPr>
            </w:pPr>
            <w:r>
              <w:rPr>
                <w:rFonts w:ascii="Arial"/>
                <w:spacing w:val="-1"/>
                <w:sz w:val="22"/>
              </w:rPr>
              <w:t>43,869,261,200</w:t>
            </w:r>
          </w:p>
        </w:tc>
        <w:tc>
          <w:tcPr>
            <w:tcW w:w="118" w:type="dxa"/>
            <w:tcBorders>
              <w:top w:val="nil" w:sz="6" w:space="0" w:color="auto"/>
              <w:left w:val="nil" w:sz="6" w:space="0" w:color="auto"/>
              <w:bottom w:val="nil" w:sz="6" w:space="0" w:color="auto"/>
              <w:right w:val="nil" w:sz="6" w:space="0" w:color="auto"/>
            </w:tcBorders>
          </w:tcPr>
          <w:p>
            <w:pPr/>
          </w:p>
        </w:tc>
        <w:tc>
          <w:tcPr>
            <w:tcW w:w="2434"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6"/>
              <w:jc w:val="right"/>
              <w:rPr>
                <w:rFonts w:ascii="Arial" w:hAnsi="Arial" w:cs="Arial" w:eastAsia="Arial" w:hint="default"/>
                <w:sz w:val="22"/>
                <w:szCs w:val="22"/>
              </w:rPr>
            </w:pPr>
            <w:r>
              <w:rPr>
                <w:rFonts w:ascii="Arial"/>
                <w:spacing w:val="-1"/>
                <w:sz w:val="22"/>
              </w:rPr>
              <w:t>57,517,261,200</w:t>
            </w:r>
          </w:p>
        </w:tc>
      </w:tr>
      <w:tr>
        <w:trPr>
          <w:trHeight w:val="419" w:hRule="exact"/>
        </w:trPr>
        <w:tc>
          <w:tcPr>
            <w:tcW w:w="3604"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39" w:lineRule="exact"/>
              <w:ind w:left="2" w:right="0"/>
              <w:jc w:val="center"/>
              <w:rPr>
                <w:rFonts w:ascii="宋体" w:hAnsi="宋体" w:cs="宋体" w:eastAsia="宋体" w:hint="default"/>
                <w:sz w:val="22"/>
                <w:szCs w:val="22"/>
              </w:rPr>
            </w:pPr>
            <w:r>
              <w:rPr>
                <w:rFonts w:ascii="宋体" w:hAnsi="宋体" w:cs="宋体" w:eastAsia="宋体" w:hint="default"/>
                <w:sz w:val="22"/>
                <w:szCs w:val="22"/>
              </w:rPr>
              <w:t>港币</w:t>
            </w:r>
          </w:p>
        </w:tc>
        <w:tc>
          <w:tcPr>
            <w:tcW w:w="108" w:type="dxa"/>
            <w:tcBorders>
              <w:top w:val="nil" w:sz="6" w:space="0" w:color="auto"/>
              <w:left w:val="nil" w:sz="6" w:space="0" w:color="auto"/>
              <w:bottom w:val="nil" w:sz="6" w:space="0" w:color="auto"/>
              <w:right w:val="nil" w:sz="6" w:space="0" w:color="auto"/>
            </w:tcBorders>
          </w:tcPr>
          <w:p>
            <w:pPr/>
          </w:p>
        </w:tc>
        <w:tc>
          <w:tcPr>
            <w:tcW w:w="2316" w:type="dxa"/>
            <w:tcBorders>
              <w:top w:val="nil" w:sz="6" w:space="0" w:color="auto"/>
              <w:left w:val="nil" w:sz="6" w:space="0" w:color="auto"/>
              <w:bottom w:val="nil" w:sz="6" w:space="0" w:color="auto"/>
              <w:right w:val="nil" w:sz="6" w:space="0" w:color="auto"/>
            </w:tcBorders>
          </w:tcPr>
          <w:p>
            <w:pPr>
              <w:pStyle w:val="TableParagraph"/>
              <w:tabs>
                <w:tab w:pos="703" w:val="left" w:leader="none"/>
                <w:tab w:pos="2316"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49,451,741,721</w:t>
              <w:tab/>
            </w:r>
            <w:r>
              <w:rPr>
                <w:rFonts w:ascii="Arial"/>
                <w:spacing w:val="-1"/>
                <w:sz w:val="22"/>
              </w:rPr>
            </w:r>
          </w:p>
        </w:tc>
        <w:tc>
          <w:tcPr>
            <w:tcW w:w="118" w:type="dxa"/>
            <w:tcBorders>
              <w:top w:val="nil" w:sz="6" w:space="0" w:color="auto"/>
              <w:left w:val="nil" w:sz="6" w:space="0" w:color="auto"/>
              <w:bottom w:val="nil" w:sz="6" w:space="0" w:color="auto"/>
              <w:right w:val="nil" w:sz="6" w:space="0" w:color="auto"/>
            </w:tcBorders>
          </w:tcPr>
          <w:p>
            <w:pPr/>
          </w:p>
        </w:tc>
        <w:tc>
          <w:tcPr>
            <w:tcW w:w="2434" w:type="dxa"/>
            <w:tcBorders>
              <w:top w:val="nil" w:sz="6" w:space="0" w:color="auto"/>
              <w:left w:val="nil" w:sz="6" w:space="0" w:color="auto"/>
              <w:bottom w:val="nil" w:sz="6" w:space="0" w:color="auto"/>
              <w:right w:val="nil" w:sz="6" w:space="0" w:color="auto"/>
            </w:tcBorders>
          </w:tcPr>
          <w:p>
            <w:pPr>
              <w:pStyle w:val="TableParagraph"/>
              <w:tabs>
                <w:tab w:pos="796" w:val="left" w:leader="none"/>
                <w:tab w:pos="2433"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38,248,634,463</w:t>
              <w:tab/>
            </w:r>
            <w:r>
              <w:rPr>
                <w:rFonts w:ascii="Arial"/>
                <w:spacing w:val="-1"/>
                <w:sz w:val="22"/>
              </w:rPr>
            </w:r>
          </w:p>
        </w:tc>
      </w:tr>
      <w:tr>
        <w:trPr>
          <w:trHeight w:val="433" w:hRule="exact"/>
        </w:trPr>
        <w:tc>
          <w:tcPr>
            <w:tcW w:w="360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766"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316"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79"/>
              <w:jc w:val="right"/>
              <w:rPr>
                <w:rFonts w:ascii="Arial" w:hAnsi="Arial" w:cs="Arial" w:eastAsia="Arial" w:hint="default"/>
                <w:sz w:val="22"/>
                <w:szCs w:val="22"/>
              </w:rPr>
            </w:pPr>
            <w:r>
              <w:rPr>
                <w:rFonts w:ascii="Arial"/>
                <w:spacing w:val="-1"/>
                <w:sz w:val="22"/>
              </w:rPr>
              <w:t>93,321,002,921</w:t>
            </w:r>
          </w:p>
        </w:tc>
        <w:tc>
          <w:tcPr>
            <w:tcW w:w="118" w:type="dxa"/>
            <w:tcBorders>
              <w:top w:val="nil" w:sz="6" w:space="0" w:color="auto"/>
              <w:left w:val="nil" w:sz="6" w:space="0" w:color="auto"/>
              <w:bottom w:val="nil" w:sz="6" w:space="0" w:color="auto"/>
              <w:right w:val="nil" w:sz="6" w:space="0" w:color="auto"/>
            </w:tcBorders>
          </w:tcPr>
          <w:p>
            <w:pPr/>
          </w:p>
        </w:tc>
        <w:tc>
          <w:tcPr>
            <w:tcW w:w="2434"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103"/>
              <w:jc w:val="right"/>
              <w:rPr>
                <w:rFonts w:ascii="Arial" w:hAnsi="Arial" w:cs="Arial" w:eastAsia="Arial" w:hint="default"/>
                <w:sz w:val="22"/>
                <w:szCs w:val="22"/>
              </w:rPr>
            </w:pPr>
            <w:r>
              <w:rPr>
                <w:rFonts w:ascii="Arial"/>
                <w:spacing w:val="-1"/>
                <w:sz w:val="22"/>
              </w:rPr>
              <w:t>95,765,895,663</w:t>
            </w:r>
          </w:p>
        </w:tc>
      </w:tr>
    </w:tbl>
    <w:p>
      <w:pPr>
        <w:spacing w:line="240" w:lineRule="auto" w:before="1"/>
        <w:rPr>
          <w:rFonts w:ascii="宋体" w:hAnsi="宋体" w:cs="宋体" w:eastAsia="宋体" w:hint="default"/>
          <w:sz w:val="13"/>
          <w:szCs w:val="13"/>
        </w:rPr>
      </w:pPr>
    </w:p>
    <w:p>
      <w:pPr>
        <w:pStyle w:val="BodyText"/>
        <w:spacing w:line="293" w:lineRule="exact" w:before="32"/>
        <w:ind w:left="551" w:right="157"/>
        <w:jc w:val="left"/>
      </w:pPr>
      <w:r>
        <w:rPr/>
        <w:t>于</w:t>
      </w:r>
      <w:r>
        <w:rPr>
          <w:spacing w:val="-50"/>
        </w:rPr>
        <w:t> </w:t>
      </w:r>
      <w:r>
        <w:rPr>
          <w:rFonts w:ascii="Arial" w:hAnsi="Arial" w:cs="Arial" w:eastAsia="Arial" w:hint="default"/>
        </w:rPr>
        <w:t>2014</w:t>
      </w:r>
      <w:r>
        <w:rPr>
          <w:rFonts w:ascii="Arial" w:hAnsi="Arial" w:cs="Arial" w:eastAsia="Arial" w:hint="default"/>
          <w:spacing w:val="-2"/>
        </w:rPr>
        <w:t> </w:t>
      </w:r>
      <w:r>
        <w:rPr/>
        <w:t>年</w:t>
      </w:r>
      <w:r>
        <w:rPr>
          <w:spacing w:val="-50"/>
        </w:rPr>
        <w:t> </w:t>
      </w:r>
      <w:r>
        <w:rPr>
          <w:rFonts w:ascii="Arial" w:hAnsi="Arial" w:cs="Arial" w:eastAsia="Arial" w:hint="default"/>
        </w:rPr>
        <w:t>12</w:t>
      </w:r>
      <w:r>
        <w:rPr>
          <w:rFonts w:ascii="Arial" w:hAnsi="Arial" w:cs="Arial" w:eastAsia="Arial" w:hint="default"/>
          <w:spacing w:val="-2"/>
        </w:rPr>
        <w:t> </w:t>
      </w:r>
      <w:r>
        <w:rPr/>
        <w:t>月</w:t>
      </w:r>
      <w:r>
        <w:rPr>
          <w:spacing w:val="-50"/>
        </w:rPr>
        <w:t> </w:t>
      </w:r>
      <w:r>
        <w:rPr>
          <w:rFonts w:ascii="Arial" w:hAnsi="Arial" w:cs="Arial" w:eastAsia="Arial" w:hint="default"/>
        </w:rPr>
        <w:t>31</w:t>
      </w:r>
      <w:r>
        <w:rPr>
          <w:rFonts w:ascii="Arial" w:hAnsi="Arial" w:cs="Arial" w:eastAsia="Arial" w:hint="default"/>
          <w:spacing w:val="-2"/>
        </w:rPr>
        <w:t> </w:t>
      </w:r>
      <w:r>
        <w:rPr>
          <w:spacing w:val="-3"/>
        </w:rPr>
        <w:t>日，人民币短期借款的年利率的利率范围为</w:t>
      </w:r>
      <w:r>
        <w:rPr>
          <w:spacing w:val="-49"/>
        </w:rPr>
        <w:t> </w:t>
      </w:r>
      <w:r>
        <w:rPr>
          <w:rFonts w:ascii="Arial" w:hAnsi="Arial" w:cs="Arial" w:eastAsia="Arial" w:hint="default"/>
          <w:spacing w:val="-3"/>
        </w:rPr>
        <w:t>3.62%-5.40%</w:t>
      </w:r>
      <w:r>
        <w:rPr>
          <w:spacing w:val="-3"/>
        </w:rPr>
        <w:t>（</w:t>
      </w:r>
      <w:r>
        <w:rPr>
          <w:rFonts w:ascii="Arial" w:hAnsi="Arial" w:cs="Arial" w:eastAsia="Arial" w:hint="default"/>
          <w:spacing w:val="-3"/>
        </w:rPr>
        <w:t>2013</w:t>
      </w:r>
      <w:r>
        <w:rPr>
          <w:rFonts w:ascii="Arial" w:hAnsi="Arial" w:cs="Arial" w:eastAsia="Arial" w:hint="default"/>
          <w:spacing w:val="-2"/>
        </w:rPr>
        <w:t> </w:t>
      </w:r>
      <w:r>
        <w:rPr/>
        <w:t>年</w:t>
      </w:r>
      <w:r>
        <w:rPr>
          <w:spacing w:val="-50"/>
        </w:rPr>
        <w:t> </w:t>
      </w:r>
      <w:r>
        <w:rPr>
          <w:rFonts w:ascii="Arial" w:hAnsi="Arial" w:cs="Arial" w:eastAsia="Arial" w:hint="default"/>
        </w:rPr>
        <w:t>12</w:t>
      </w:r>
      <w:r>
        <w:rPr>
          <w:rFonts w:ascii="Arial" w:hAnsi="Arial" w:cs="Arial" w:eastAsia="Arial" w:hint="default"/>
          <w:spacing w:val="-2"/>
        </w:rPr>
        <w:t> </w:t>
      </w:r>
      <w:r>
        <w:rPr/>
        <w:t>月</w:t>
      </w:r>
    </w:p>
    <w:p>
      <w:pPr>
        <w:pStyle w:val="BodyText"/>
        <w:spacing w:line="284" w:lineRule="exact"/>
        <w:ind w:left="551" w:right="157"/>
        <w:jc w:val="left"/>
        <w:rPr>
          <w:rFonts w:ascii="Arial" w:hAnsi="Arial" w:cs="Arial" w:eastAsia="Arial" w:hint="default"/>
        </w:rPr>
      </w:pPr>
      <w:r>
        <w:rPr>
          <w:rFonts w:ascii="Arial" w:hAnsi="Arial" w:cs="Arial" w:eastAsia="Arial" w:hint="default"/>
        </w:rPr>
        <w:t>31 </w:t>
      </w:r>
      <w:r>
        <w:rPr>
          <w:spacing w:val="-3"/>
        </w:rPr>
        <w:t>日：</w:t>
      </w:r>
      <w:r>
        <w:rPr>
          <w:rFonts w:ascii="Arial" w:hAnsi="Arial" w:cs="Arial" w:eastAsia="Arial" w:hint="default"/>
          <w:spacing w:val="-3"/>
        </w:rPr>
        <w:t>3.62%-5.40%</w:t>
      </w:r>
      <w:r>
        <w:rPr>
          <w:spacing w:val="-3"/>
        </w:rPr>
        <w:t>），港币短期借款的年利率的利率范围为香港银行同业拆借利率加</w:t>
      </w:r>
      <w:r>
        <w:rPr>
          <w:spacing w:val="-21"/>
        </w:rPr>
        <w:t> </w:t>
      </w:r>
      <w:r>
        <w:rPr>
          <w:rFonts w:ascii="Arial" w:hAnsi="Arial" w:cs="Arial" w:eastAsia="Arial" w:hint="default"/>
        </w:rPr>
        <w:t>0.70%</w:t>
      </w:r>
    </w:p>
    <w:p>
      <w:pPr>
        <w:pStyle w:val="BodyText"/>
        <w:spacing w:line="417" w:lineRule="auto"/>
        <w:ind w:left="544" w:right="1420" w:firstLine="7"/>
        <w:jc w:val="left"/>
      </w:pPr>
      <w:r>
        <w:rPr/>
        <w:t>至</w:t>
      </w:r>
      <w:r>
        <w:rPr>
          <w:spacing w:val="-56"/>
        </w:rPr>
        <w:t> </w:t>
      </w:r>
      <w:r>
        <w:rPr>
          <w:rFonts w:ascii="Arial" w:hAnsi="Arial" w:cs="Arial" w:eastAsia="Arial" w:hint="default"/>
        </w:rPr>
        <w:t>2.30%</w:t>
      </w:r>
      <w:r>
        <w:rPr/>
        <w:t>（</w:t>
      </w:r>
      <w:r>
        <w:rPr>
          <w:rFonts w:ascii="Arial" w:hAnsi="Arial" w:cs="Arial" w:eastAsia="Arial" w:hint="default"/>
        </w:rPr>
        <w:t>2013</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10"/>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日：香港银行同业拆借利率加</w:t>
      </w:r>
      <w:r>
        <w:rPr>
          <w:spacing w:val="-56"/>
        </w:rPr>
        <w:t> </w:t>
      </w:r>
      <w:r>
        <w:rPr>
          <w:rFonts w:ascii="Arial" w:hAnsi="Arial" w:cs="Arial" w:eastAsia="Arial" w:hint="default"/>
        </w:rPr>
        <w:t>0.85%</w:t>
      </w:r>
      <w:r>
        <w:rPr/>
        <w:t>至</w:t>
      </w:r>
      <w:r>
        <w:rPr>
          <w:spacing w:val="-56"/>
        </w:rPr>
        <w:t> </w:t>
      </w:r>
      <w:r>
        <w:rPr>
          <w:rFonts w:ascii="Arial" w:hAnsi="Arial" w:cs="Arial" w:eastAsia="Arial" w:hint="default"/>
        </w:rPr>
        <w:t>1.20%</w:t>
      </w:r>
      <w:r>
        <w:rPr/>
        <w:t>）。</w:t>
      </w:r>
      <w:r>
        <w:rPr>
          <w:w w:val="100"/>
        </w:rPr>
        <w:t> </w:t>
      </w:r>
      <w:r>
        <w:rPr/>
        <w:t>于</w:t>
      </w:r>
      <w:r>
        <w:rPr>
          <w:spacing w:val="-56"/>
        </w:rPr>
        <w:t> </w:t>
      </w:r>
      <w:r>
        <w:rPr>
          <w:rFonts w:ascii="Arial" w:hAnsi="Arial" w:cs="Arial" w:eastAsia="Arial" w:hint="default"/>
        </w:rPr>
        <w:t>2014</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日及</w:t>
      </w:r>
      <w:r>
        <w:rPr>
          <w:spacing w:val="-56"/>
        </w:rPr>
        <w:t> </w:t>
      </w:r>
      <w:r>
        <w:rPr>
          <w:rFonts w:ascii="Arial" w:hAnsi="Arial" w:cs="Arial" w:eastAsia="Arial" w:hint="default"/>
        </w:rPr>
        <w:t>2013</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日，本集团无银行保证借款。</w:t>
      </w:r>
    </w:p>
    <w:p>
      <w:pPr>
        <w:pStyle w:val="BodyText"/>
        <w:spacing w:line="240" w:lineRule="auto" w:before="40"/>
        <w:ind w:left="544" w:right="157"/>
        <w:jc w:val="left"/>
      </w:pPr>
      <w:r>
        <w:rPr/>
        <w:t>于</w:t>
      </w:r>
      <w:r>
        <w:rPr>
          <w:spacing w:val="-56"/>
        </w:rPr>
        <w:t> </w:t>
      </w:r>
      <w:r>
        <w:rPr>
          <w:rFonts w:ascii="Arial" w:hAnsi="Arial" w:cs="Arial" w:eastAsia="Arial" w:hint="default"/>
        </w:rPr>
        <w:t>2014</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日及</w:t>
      </w:r>
      <w:r>
        <w:rPr>
          <w:spacing w:val="-56"/>
        </w:rPr>
        <w:t> </w:t>
      </w:r>
      <w:r>
        <w:rPr>
          <w:rFonts w:ascii="Arial" w:hAnsi="Arial" w:cs="Arial" w:eastAsia="Arial" w:hint="default"/>
        </w:rPr>
        <w:t>2013</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日，本集团无已到期但尚未偿还的短期借款。</w:t>
      </w:r>
    </w:p>
    <w:p>
      <w:pPr>
        <w:spacing w:line="240" w:lineRule="auto" w:before="1"/>
        <w:rPr>
          <w:rFonts w:ascii="宋体" w:hAnsi="宋体" w:cs="宋体" w:eastAsia="宋体" w:hint="default"/>
          <w:sz w:val="18"/>
          <w:szCs w:val="18"/>
        </w:rPr>
      </w:pPr>
    </w:p>
    <w:p>
      <w:pPr>
        <w:pStyle w:val="BodyText"/>
        <w:spacing w:line="240" w:lineRule="auto"/>
        <w:ind w:left="102" w:right="1307"/>
        <w:jc w:val="left"/>
      </w:pPr>
      <w:r>
        <w:rPr>
          <w:rFonts w:ascii="Arial" w:hAnsi="Arial" w:cs="Arial" w:eastAsia="Arial" w:hint="default"/>
        </w:rPr>
        <w:t>16</w:t>
      </w:r>
      <w:r>
        <w:rPr/>
        <w:t>、应付票据</w:t>
      </w:r>
    </w:p>
    <w:p>
      <w:pPr>
        <w:spacing w:line="240" w:lineRule="auto" w:before="6"/>
        <w:rPr>
          <w:rFonts w:ascii="宋体" w:hAnsi="宋体" w:cs="宋体" w:eastAsia="宋体" w:hint="default"/>
          <w:sz w:val="27"/>
          <w:szCs w:val="27"/>
        </w:rPr>
      </w:pPr>
    </w:p>
    <w:tbl>
      <w:tblPr>
        <w:tblW w:w="0" w:type="auto"/>
        <w:jc w:val="left"/>
        <w:tblInd w:w="351" w:type="dxa"/>
        <w:tblLayout w:type="fixed"/>
        <w:tblCellMar>
          <w:top w:w="0" w:type="dxa"/>
          <w:left w:w="0" w:type="dxa"/>
          <w:bottom w:w="0" w:type="dxa"/>
          <w:right w:w="0" w:type="dxa"/>
        </w:tblCellMar>
        <w:tblLook w:val="01E0"/>
      </w:tblPr>
      <w:tblGrid>
        <w:gridCol w:w="4509"/>
        <w:gridCol w:w="2290"/>
        <w:gridCol w:w="113"/>
        <w:gridCol w:w="2472"/>
      </w:tblGrid>
      <w:tr>
        <w:trPr>
          <w:trHeight w:val="264" w:hRule="exact"/>
        </w:trPr>
        <w:tc>
          <w:tcPr>
            <w:tcW w:w="4509"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single" w:sz="6" w:space="0" w:color="000000"/>
              <w:right w:val="nil" w:sz="6" w:space="0" w:color="auto"/>
            </w:tcBorders>
          </w:tcPr>
          <w:p>
            <w:pPr>
              <w:pStyle w:val="TableParagraph"/>
              <w:spacing w:line="236" w:lineRule="exact"/>
              <w:ind w:right="41"/>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13"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6" w:space="0" w:color="000000"/>
              <w:right w:val="nil" w:sz="6" w:space="0" w:color="auto"/>
            </w:tcBorders>
          </w:tcPr>
          <w:p>
            <w:pPr>
              <w:pStyle w:val="TableParagraph"/>
              <w:spacing w:line="236" w:lineRule="exact"/>
              <w:ind w:right="57"/>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69"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商业承兑汇票</w:t>
            </w:r>
          </w:p>
        </w:tc>
        <w:tc>
          <w:tcPr>
            <w:tcW w:w="2290"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6"/>
              <w:jc w:val="right"/>
              <w:rPr>
                <w:rFonts w:ascii="Arial" w:hAnsi="Arial" w:cs="Arial" w:eastAsia="Arial" w:hint="default"/>
                <w:sz w:val="22"/>
                <w:szCs w:val="22"/>
              </w:rPr>
            </w:pPr>
            <w:r>
              <w:rPr>
                <w:rFonts w:ascii="Arial"/>
                <w:spacing w:val="-1"/>
                <w:sz w:val="22"/>
              </w:rPr>
              <w:t>107,766,020</w:t>
            </w:r>
          </w:p>
        </w:tc>
        <w:tc>
          <w:tcPr>
            <w:tcW w:w="113" w:type="dxa"/>
            <w:tcBorders>
              <w:top w:val="nil" w:sz="6" w:space="0" w:color="auto"/>
              <w:left w:val="nil" w:sz="6" w:space="0" w:color="auto"/>
              <w:bottom w:val="nil" w:sz="6" w:space="0" w:color="auto"/>
              <w:right w:val="nil" w:sz="6" w:space="0" w:color="auto"/>
            </w:tcBorders>
          </w:tcPr>
          <w:p>
            <w:pPr/>
          </w:p>
        </w:tc>
        <w:tc>
          <w:tcPr>
            <w:tcW w:w="2472"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Arial" w:hAnsi="Arial" w:cs="Arial" w:eastAsia="Arial" w:hint="default"/>
                <w:sz w:val="22"/>
                <w:szCs w:val="22"/>
              </w:rPr>
            </w:pPr>
            <w:r>
              <w:rPr>
                <w:rFonts w:ascii="Arial"/>
                <w:spacing w:val="-1"/>
                <w:sz w:val="22"/>
              </w:rPr>
              <w:t>406,317,719</w:t>
            </w:r>
          </w:p>
        </w:tc>
      </w:tr>
    </w:tbl>
    <w:p>
      <w:pPr>
        <w:spacing w:line="240" w:lineRule="auto" w:before="11"/>
        <w:rPr>
          <w:rFonts w:ascii="宋体" w:hAnsi="宋体" w:cs="宋体" w:eastAsia="宋体" w:hint="default"/>
          <w:sz w:val="13"/>
          <w:szCs w:val="13"/>
        </w:rPr>
      </w:pPr>
    </w:p>
    <w:p>
      <w:pPr>
        <w:pStyle w:val="BodyText"/>
        <w:spacing w:line="240" w:lineRule="auto" w:before="32"/>
        <w:ind w:left="578" w:right="1307"/>
        <w:jc w:val="left"/>
      </w:pPr>
      <w:r>
        <w:rPr/>
        <w:t>于</w:t>
      </w:r>
      <w:r>
        <w:rPr>
          <w:spacing w:val="-56"/>
        </w:rPr>
        <w:t> </w:t>
      </w:r>
      <w:r>
        <w:rPr>
          <w:rFonts w:ascii="Arial" w:hAnsi="Arial" w:cs="Arial" w:eastAsia="Arial" w:hint="default"/>
        </w:rPr>
        <w:t>2014</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日，本集团应付票据均在一年内到期。</w:t>
      </w:r>
    </w:p>
    <w:p>
      <w:pPr>
        <w:spacing w:after="0" w:line="240" w:lineRule="auto"/>
        <w:jc w:val="left"/>
        <w:sectPr>
          <w:headerReference w:type="default" r:id="rId86"/>
          <w:pgSz w:w="11910" w:h="16840"/>
          <w:pgMar w:header="1185" w:footer="635" w:top="3600" w:bottom="820" w:left="1280" w:right="780"/>
        </w:sectPr>
      </w:pPr>
    </w:p>
    <w:p>
      <w:pPr>
        <w:spacing w:line="240" w:lineRule="auto" w:before="10"/>
        <w:rPr>
          <w:rFonts w:ascii="宋体" w:hAnsi="宋体" w:cs="宋体" w:eastAsia="宋体" w:hint="default"/>
          <w:sz w:val="16"/>
          <w:szCs w:val="16"/>
        </w:rPr>
      </w:pPr>
    </w:p>
    <w:p>
      <w:pPr>
        <w:pStyle w:val="BodyText"/>
        <w:spacing w:line="240" w:lineRule="auto" w:before="32"/>
        <w:ind w:left="102" w:right="0"/>
        <w:jc w:val="left"/>
      </w:pPr>
      <w:r>
        <w:rPr>
          <w:rFonts w:ascii="Arial" w:hAnsi="Arial" w:cs="Arial" w:eastAsia="Arial" w:hint="default"/>
        </w:rPr>
        <w:t>17</w:t>
      </w:r>
      <w:r>
        <w:rPr/>
        <w:t>、应付账款</w:t>
      </w:r>
    </w:p>
    <w:p>
      <w:pPr>
        <w:spacing w:line="240" w:lineRule="auto" w:before="12"/>
        <w:rPr>
          <w:rFonts w:ascii="宋体" w:hAnsi="宋体" w:cs="宋体" w:eastAsia="宋体" w:hint="default"/>
          <w:sz w:val="17"/>
          <w:szCs w:val="17"/>
        </w:rPr>
      </w:pPr>
    </w:p>
    <w:p>
      <w:pPr>
        <w:pStyle w:val="BodyText"/>
        <w:spacing w:line="240" w:lineRule="auto"/>
        <w:ind w:left="578" w:right="0"/>
        <w:jc w:val="left"/>
      </w:pPr>
      <w:r>
        <w:rPr/>
        <w:t>应付账款情况如下：</w:t>
      </w:r>
    </w:p>
    <w:p>
      <w:pPr>
        <w:spacing w:line="240" w:lineRule="auto" w:before="13"/>
        <w:rPr>
          <w:rFonts w:ascii="宋体" w:hAnsi="宋体" w:cs="宋体" w:eastAsia="宋体" w:hint="default"/>
          <w:sz w:val="4"/>
          <w:szCs w:val="4"/>
        </w:rPr>
      </w:pPr>
    </w:p>
    <w:tbl>
      <w:tblPr>
        <w:tblW w:w="0" w:type="auto"/>
        <w:jc w:val="left"/>
        <w:tblInd w:w="361" w:type="dxa"/>
        <w:tblLayout w:type="fixed"/>
        <w:tblCellMar>
          <w:top w:w="0" w:type="dxa"/>
          <w:left w:w="0" w:type="dxa"/>
          <w:bottom w:w="0" w:type="dxa"/>
          <w:right w:w="0" w:type="dxa"/>
        </w:tblCellMar>
        <w:tblLook w:val="01E0"/>
      </w:tblPr>
      <w:tblGrid>
        <w:gridCol w:w="4509"/>
        <w:gridCol w:w="2302"/>
        <w:gridCol w:w="101"/>
        <w:gridCol w:w="2307"/>
      </w:tblGrid>
      <w:tr>
        <w:trPr>
          <w:trHeight w:val="264" w:hRule="exact"/>
        </w:trPr>
        <w:tc>
          <w:tcPr>
            <w:tcW w:w="4509"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single" w:sz="6" w:space="0" w:color="000000"/>
              <w:right w:val="nil" w:sz="6" w:space="0" w:color="auto"/>
            </w:tcBorders>
          </w:tcPr>
          <w:p>
            <w:pPr>
              <w:pStyle w:val="TableParagraph"/>
              <w:spacing w:line="236" w:lineRule="exact"/>
              <w:ind w:right="36"/>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01"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single" w:sz="6" w:space="0" w:color="000000"/>
              <w:right w:val="nil" w:sz="6" w:space="0" w:color="auto"/>
            </w:tcBorders>
          </w:tcPr>
          <w:p>
            <w:pPr>
              <w:pStyle w:val="TableParagraph"/>
              <w:spacing w:line="236" w:lineRule="exact"/>
              <w:ind w:right="38"/>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40"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应付工程及设备款</w:t>
            </w:r>
          </w:p>
        </w:tc>
        <w:tc>
          <w:tcPr>
            <w:tcW w:w="2302"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Arial" w:hAnsi="Arial" w:cs="Arial" w:eastAsia="Arial" w:hint="default"/>
                <w:sz w:val="22"/>
                <w:szCs w:val="22"/>
              </w:rPr>
            </w:pPr>
            <w:r>
              <w:rPr>
                <w:rFonts w:ascii="Arial"/>
                <w:spacing w:val="-1"/>
                <w:sz w:val="22"/>
              </w:rPr>
              <w:t>83,886,021,165</w:t>
            </w:r>
          </w:p>
        </w:tc>
        <w:tc>
          <w:tcPr>
            <w:tcW w:w="101" w:type="dxa"/>
            <w:tcBorders>
              <w:top w:val="nil" w:sz="6" w:space="0" w:color="auto"/>
              <w:left w:val="nil" w:sz="6" w:space="0" w:color="auto"/>
              <w:bottom w:val="nil" w:sz="6" w:space="0" w:color="auto"/>
              <w:right w:val="nil" w:sz="6" w:space="0" w:color="auto"/>
            </w:tcBorders>
          </w:tcPr>
          <w:p>
            <w:pPr/>
          </w:p>
        </w:tc>
        <w:tc>
          <w:tcPr>
            <w:tcW w:w="2307"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2"/>
                <w:szCs w:val="22"/>
              </w:rPr>
            </w:pPr>
            <w:r>
              <w:rPr>
                <w:rFonts w:ascii="Arial"/>
                <w:spacing w:val="-1"/>
                <w:sz w:val="22"/>
              </w:rPr>
              <w:t>70,937,867,334</w:t>
            </w:r>
          </w:p>
        </w:tc>
      </w:tr>
      <w:tr>
        <w:trPr>
          <w:trHeight w:val="286"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应付网间结算及租赁费</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6"/>
              <w:jc w:val="right"/>
              <w:rPr>
                <w:rFonts w:ascii="Arial" w:hAnsi="Arial" w:cs="Arial" w:eastAsia="Arial" w:hint="default"/>
                <w:sz w:val="22"/>
                <w:szCs w:val="22"/>
              </w:rPr>
            </w:pPr>
            <w:r>
              <w:rPr>
                <w:rFonts w:ascii="Arial"/>
                <w:spacing w:val="-1"/>
                <w:sz w:val="22"/>
              </w:rPr>
              <w:t>7,358,445,386</w:t>
            </w:r>
          </w:p>
        </w:tc>
        <w:tc>
          <w:tcPr>
            <w:tcW w:w="101"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1"/>
              <w:jc w:val="right"/>
              <w:rPr>
                <w:rFonts w:ascii="Arial" w:hAnsi="Arial" w:cs="Arial" w:eastAsia="Arial" w:hint="default"/>
                <w:sz w:val="22"/>
                <w:szCs w:val="22"/>
              </w:rPr>
            </w:pPr>
            <w:r>
              <w:rPr>
                <w:rFonts w:ascii="Arial"/>
                <w:spacing w:val="-1"/>
                <w:sz w:val="22"/>
              </w:rPr>
              <w:t>6,350,644,540</w:t>
            </w:r>
          </w:p>
        </w:tc>
      </w:tr>
      <w:tr>
        <w:trPr>
          <w:trHeight w:val="286"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应付采购通信终端款等</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8"/>
              <w:jc w:val="right"/>
              <w:rPr>
                <w:rFonts w:ascii="Arial" w:hAnsi="Arial" w:cs="Arial" w:eastAsia="Arial" w:hint="default"/>
                <w:sz w:val="22"/>
                <w:szCs w:val="22"/>
              </w:rPr>
            </w:pPr>
            <w:r>
              <w:rPr>
                <w:rFonts w:ascii="Arial"/>
                <w:spacing w:val="-1"/>
                <w:sz w:val="22"/>
              </w:rPr>
              <w:t>6,076,577,711</w:t>
            </w:r>
          </w:p>
        </w:tc>
        <w:tc>
          <w:tcPr>
            <w:tcW w:w="101"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1"/>
              <w:jc w:val="right"/>
              <w:rPr>
                <w:rFonts w:ascii="Arial" w:hAnsi="Arial" w:cs="Arial" w:eastAsia="Arial" w:hint="default"/>
                <w:sz w:val="22"/>
                <w:szCs w:val="22"/>
              </w:rPr>
            </w:pPr>
            <w:r>
              <w:rPr>
                <w:rFonts w:ascii="Arial"/>
                <w:spacing w:val="-1"/>
                <w:sz w:val="22"/>
              </w:rPr>
              <w:t>5,336,027,942</w:t>
            </w:r>
          </w:p>
        </w:tc>
      </w:tr>
      <w:tr>
        <w:trPr>
          <w:trHeight w:val="286"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应付代理费及广告费</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6"/>
              <w:jc w:val="right"/>
              <w:rPr>
                <w:rFonts w:ascii="Arial" w:hAnsi="Arial" w:cs="Arial" w:eastAsia="Arial" w:hint="default"/>
                <w:sz w:val="22"/>
                <w:szCs w:val="22"/>
              </w:rPr>
            </w:pPr>
            <w:r>
              <w:rPr>
                <w:rFonts w:ascii="Arial"/>
                <w:spacing w:val="-1"/>
                <w:sz w:val="22"/>
              </w:rPr>
              <w:t>3,704,018,081</w:t>
            </w:r>
          </w:p>
        </w:tc>
        <w:tc>
          <w:tcPr>
            <w:tcW w:w="101"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1"/>
              <w:jc w:val="right"/>
              <w:rPr>
                <w:rFonts w:ascii="Arial" w:hAnsi="Arial" w:cs="Arial" w:eastAsia="Arial" w:hint="default"/>
                <w:sz w:val="22"/>
                <w:szCs w:val="22"/>
              </w:rPr>
            </w:pPr>
            <w:r>
              <w:rPr>
                <w:rFonts w:ascii="Arial"/>
                <w:spacing w:val="-1"/>
                <w:sz w:val="22"/>
              </w:rPr>
              <w:t>3,956,193,474</w:t>
            </w:r>
          </w:p>
        </w:tc>
      </w:tr>
      <w:tr>
        <w:trPr>
          <w:trHeight w:val="286"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应付维修及维护费</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6"/>
              <w:jc w:val="right"/>
              <w:rPr>
                <w:rFonts w:ascii="Arial" w:hAnsi="Arial" w:cs="Arial" w:eastAsia="Arial" w:hint="default"/>
                <w:sz w:val="22"/>
                <w:szCs w:val="22"/>
              </w:rPr>
            </w:pPr>
            <w:r>
              <w:rPr>
                <w:rFonts w:ascii="Arial"/>
                <w:spacing w:val="-1"/>
                <w:sz w:val="22"/>
              </w:rPr>
              <w:t>4,301,874,314</w:t>
            </w:r>
          </w:p>
        </w:tc>
        <w:tc>
          <w:tcPr>
            <w:tcW w:w="101"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1"/>
              <w:jc w:val="right"/>
              <w:rPr>
                <w:rFonts w:ascii="Arial" w:hAnsi="Arial" w:cs="Arial" w:eastAsia="Arial" w:hint="default"/>
                <w:sz w:val="22"/>
                <w:szCs w:val="22"/>
              </w:rPr>
            </w:pPr>
            <w:r>
              <w:rPr>
                <w:rFonts w:ascii="Arial"/>
                <w:spacing w:val="-1"/>
                <w:sz w:val="22"/>
              </w:rPr>
              <w:t>3,642,663,228</w:t>
            </w:r>
          </w:p>
        </w:tc>
      </w:tr>
      <w:tr>
        <w:trPr>
          <w:trHeight w:val="298"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302" w:type="dxa"/>
            <w:tcBorders>
              <w:top w:val="nil" w:sz="6" w:space="0" w:color="auto"/>
              <w:left w:val="nil" w:sz="6" w:space="0" w:color="auto"/>
              <w:bottom w:val="single" w:sz="6" w:space="0" w:color="000000"/>
              <w:right w:val="nil" w:sz="6" w:space="0" w:color="auto"/>
            </w:tcBorders>
          </w:tcPr>
          <w:p>
            <w:pPr>
              <w:pStyle w:val="TableParagraph"/>
              <w:spacing w:line="240" w:lineRule="auto" w:before="3"/>
              <w:ind w:right="96"/>
              <w:jc w:val="right"/>
              <w:rPr>
                <w:rFonts w:ascii="Arial" w:hAnsi="Arial" w:cs="Arial" w:eastAsia="Arial" w:hint="default"/>
                <w:sz w:val="22"/>
                <w:szCs w:val="22"/>
              </w:rPr>
            </w:pPr>
            <w:r>
              <w:rPr>
                <w:rFonts w:ascii="Arial"/>
                <w:spacing w:val="-1"/>
                <w:sz w:val="22"/>
              </w:rPr>
              <w:t>7,045,766,096</w:t>
            </w:r>
          </w:p>
        </w:tc>
        <w:tc>
          <w:tcPr>
            <w:tcW w:w="101"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single" w:sz="6" w:space="0" w:color="000000"/>
              <w:right w:val="nil" w:sz="6" w:space="0" w:color="auto"/>
            </w:tcBorders>
          </w:tcPr>
          <w:p>
            <w:pPr>
              <w:pStyle w:val="TableParagraph"/>
              <w:spacing w:line="240" w:lineRule="auto" w:before="3"/>
              <w:ind w:right="101"/>
              <w:jc w:val="right"/>
              <w:rPr>
                <w:rFonts w:ascii="Arial" w:hAnsi="Arial" w:cs="Arial" w:eastAsia="Arial" w:hint="default"/>
                <w:sz w:val="22"/>
                <w:szCs w:val="22"/>
              </w:rPr>
            </w:pPr>
            <w:r>
              <w:rPr>
                <w:rFonts w:ascii="Arial"/>
                <w:spacing w:val="-1"/>
                <w:sz w:val="22"/>
              </w:rPr>
              <w:t>5,522,299,796</w:t>
            </w:r>
          </w:p>
        </w:tc>
      </w:tr>
      <w:tr>
        <w:trPr>
          <w:trHeight w:val="569"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02"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7"/>
              <w:jc w:val="right"/>
              <w:rPr>
                <w:rFonts w:ascii="Arial" w:hAnsi="Arial" w:cs="Arial" w:eastAsia="Arial" w:hint="default"/>
                <w:sz w:val="22"/>
                <w:szCs w:val="22"/>
              </w:rPr>
            </w:pPr>
            <w:r>
              <w:rPr>
                <w:rFonts w:ascii="Arial"/>
                <w:spacing w:val="-1"/>
                <w:sz w:val="22"/>
              </w:rPr>
              <w:t>112,372,702,753</w:t>
            </w:r>
          </w:p>
        </w:tc>
        <w:tc>
          <w:tcPr>
            <w:tcW w:w="101" w:type="dxa"/>
            <w:tcBorders>
              <w:top w:val="nil" w:sz="6" w:space="0" w:color="auto"/>
              <w:left w:val="nil" w:sz="6" w:space="0" w:color="auto"/>
              <w:bottom w:val="nil" w:sz="6" w:space="0" w:color="auto"/>
              <w:right w:val="nil" w:sz="6" w:space="0" w:color="auto"/>
            </w:tcBorders>
          </w:tcPr>
          <w:p>
            <w:pPr/>
          </w:p>
        </w:tc>
        <w:tc>
          <w:tcPr>
            <w:tcW w:w="2307"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Arial" w:hAnsi="Arial" w:cs="Arial" w:eastAsia="Arial" w:hint="default"/>
                <w:sz w:val="22"/>
                <w:szCs w:val="22"/>
              </w:rPr>
            </w:pPr>
            <w:r>
              <w:rPr>
                <w:rFonts w:ascii="Arial"/>
                <w:spacing w:val="-1"/>
                <w:sz w:val="22"/>
              </w:rPr>
              <w:t>95,745,696,314</w:t>
            </w:r>
          </w:p>
        </w:tc>
      </w:tr>
    </w:tbl>
    <w:p>
      <w:pPr>
        <w:spacing w:line="240" w:lineRule="auto" w:before="11"/>
        <w:rPr>
          <w:rFonts w:ascii="宋体" w:hAnsi="宋体" w:cs="宋体" w:eastAsia="宋体" w:hint="default"/>
          <w:sz w:val="13"/>
          <w:szCs w:val="13"/>
        </w:rPr>
      </w:pPr>
    </w:p>
    <w:p>
      <w:pPr>
        <w:pStyle w:val="BodyText"/>
        <w:spacing w:line="295" w:lineRule="exact" w:before="32"/>
        <w:ind w:left="578" w:right="0"/>
        <w:jc w:val="left"/>
      </w:pPr>
      <w:r>
        <w:rPr/>
        <w:t>于</w:t>
      </w:r>
      <w:r>
        <w:rPr>
          <w:spacing w:val="-54"/>
        </w:rPr>
        <w:t> </w:t>
      </w:r>
      <w:r>
        <w:rPr>
          <w:rFonts w:ascii="Arial" w:hAnsi="Arial" w:cs="Arial" w:eastAsia="Arial" w:hint="default"/>
        </w:rPr>
        <w:t>2014</w:t>
      </w:r>
      <w:r>
        <w:rPr>
          <w:rFonts w:ascii="Arial" w:hAnsi="Arial" w:cs="Arial" w:eastAsia="Arial" w:hint="default"/>
          <w:spacing w:val="-6"/>
        </w:rPr>
        <w:t> </w:t>
      </w:r>
      <w:r>
        <w:rPr/>
        <w:t>年</w:t>
      </w:r>
      <w:r>
        <w:rPr>
          <w:spacing w:val="-54"/>
        </w:rPr>
        <w:t> </w:t>
      </w:r>
      <w:r>
        <w:rPr>
          <w:rFonts w:ascii="Arial" w:hAnsi="Arial" w:cs="Arial" w:eastAsia="Arial" w:hint="default"/>
        </w:rPr>
        <w:t>12</w:t>
      </w:r>
      <w:r>
        <w:rPr>
          <w:rFonts w:ascii="Arial" w:hAnsi="Arial" w:cs="Arial" w:eastAsia="Arial" w:hint="default"/>
          <w:spacing w:val="-6"/>
        </w:rPr>
        <w:t> </w:t>
      </w:r>
      <w:r>
        <w:rPr/>
        <w:t>月</w:t>
      </w:r>
      <w:r>
        <w:rPr>
          <w:spacing w:val="-54"/>
        </w:rPr>
        <w:t> </w:t>
      </w:r>
      <w:r>
        <w:rPr>
          <w:rFonts w:ascii="Arial" w:hAnsi="Arial" w:cs="Arial" w:eastAsia="Arial" w:hint="default"/>
        </w:rPr>
        <w:t>31</w:t>
      </w:r>
      <w:r>
        <w:rPr>
          <w:rFonts w:ascii="Arial" w:hAnsi="Arial" w:cs="Arial" w:eastAsia="Arial" w:hint="default"/>
          <w:spacing w:val="-6"/>
        </w:rPr>
        <w:t> </w:t>
      </w:r>
      <w:r>
        <w:rPr>
          <w:spacing w:val="-5"/>
        </w:rPr>
        <w:t>日，账龄超过</w:t>
      </w:r>
      <w:r>
        <w:rPr>
          <w:spacing w:val="-54"/>
        </w:rPr>
        <w:t> </w:t>
      </w:r>
      <w:r>
        <w:rPr>
          <w:rFonts w:ascii="Arial" w:hAnsi="Arial" w:cs="Arial" w:eastAsia="Arial" w:hint="default"/>
        </w:rPr>
        <w:t>1</w:t>
      </w:r>
      <w:r>
        <w:rPr>
          <w:rFonts w:ascii="Arial" w:hAnsi="Arial" w:cs="Arial" w:eastAsia="Arial" w:hint="default"/>
          <w:spacing w:val="-8"/>
        </w:rPr>
        <w:t> </w:t>
      </w:r>
      <w:r>
        <w:rPr/>
        <w:t>年的应付账款约人民币</w:t>
      </w:r>
      <w:r>
        <w:rPr>
          <w:spacing w:val="-54"/>
        </w:rPr>
        <w:t> </w:t>
      </w:r>
      <w:r>
        <w:rPr>
          <w:rFonts w:ascii="Arial" w:hAnsi="Arial" w:cs="Arial" w:eastAsia="Arial" w:hint="default"/>
        </w:rPr>
        <w:t>99.24</w:t>
      </w:r>
      <w:r>
        <w:rPr>
          <w:rFonts w:ascii="Arial" w:hAnsi="Arial" w:cs="Arial" w:eastAsia="Arial" w:hint="default"/>
          <w:spacing w:val="-6"/>
        </w:rPr>
        <w:t> </w:t>
      </w:r>
      <w:r>
        <w:rPr>
          <w:spacing w:val="-5"/>
        </w:rPr>
        <w:t>亿元（</w:t>
      </w:r>
      <w:r>
        <w:rPr>
          <w:rFonts w:ascii="Arial" w:hAnsi="Arial" w:cs="Arial" w:eastAsia="Arial" w:hint="default"/>
          <w:spacing w:val="-5"/>
        </w:rPr>
        <w:t>2013</w:t>
      </w:r>
      <w:r>
        <w:rPr>
          <w:rFonts w:ascii="Arial" w:hAnsi="Arial" w:cs="Arial" w:eastAsia="Arial" w:hint="default"/>
          <w:spacing w:val="-6"/>
        </w:rPr>
        <w:t> </w:t>
      </w:r>
      <w:r>
        <w:rPr/>
        <w:t>年</w:t>
      </w:r>
      <w:r>
        <w:rPr>
          <w:spacing w:val="-54"/>
        </w:rPr>
        <w:t> </w:t>
      </w:r>
      <w:r>
        <w:rPr>
          <w:rFonts w:ascii="Arial" w:hAnsi="Arial" w:cs="Arial" w:eastAsia="Arial" w:hint="default"/>
        </w:rPr>
        <w:t>12</w:t>
      </w:r>
      <w:r>
        <w:rPr>
          <w:rFonts w:ascii="Arial" w:hAnsi="Arial" w:cs="Arial" w:eastAsia="Arial" w:hint="default"/>
          <w:spacing w:val="-6"/>
        </w:rPr>
        <w:t> </w:t>
      </w:r>
      <w:r>
        <w:rPr/>
        <w:t>月</w:t>
      </w:r>
      <w:r>
        <w:rPr>
          <w:spacing w:val="-54"/>
        </w:rPr>
        <w:t> </w:t>
      </w:r>
      <w:r>
        <w:rPr>
          <w:rFonts w:ascii="Arial" w:hAnsi="Arial" w:cs="Arial" w:eastAsia="Arial" w:hint="default"/>
        </w:rPr>
        <w:t>31</w:t>
      </w:r>
      <w:r>
        <w:rPr>
          <w:rFonts w:ascii="Arial" w:hAnsi="Arial" w:cs="Arial" w:eastAsia="Arial" w:hint="default"/>
          <w:spacing w:val="-6"/>
        </w:rPr>
        <w:t> </w:t>
      </w:r>
      <w:r>
        <w:rPr>
          <w:spacing w:val="-3"/>
        </w:rPr>
        <w:t>日：</w:t>
      </w:r>
      <w:r>
        <w:rPr/>
      </w:r>
    </w:p>
    <w:p>
      <w:pPr>
        <w:pStyle w:val="BodyText"/>
        <w:spacing w:line="286" w:lineRule="exact" w:before="19"/>
        <w:ind w:left="578" w:right="221"/>
        <w:jc w:val="left"/>
      </w:pPr>
      <w:r>
        <w:rPr/>
        <w:t>约人民币</w:t>
      </w:r>
      <w:r>
        <w:rPr>
          <w:spacing w:val="-60"/>
        </w:rPr>
        <w:t> </w:t>
      </w:r>
      <w:r>
        <w:rPr>
          <w:rFonts w:ascii="Arial" w:hAnsi="Arial" w:cs="Arial" w:eastAsia="Arial" w:hint="default"/>
        </w:rPr>
        <w:t>99.07</w:t>
      </w:r>
      <w:r>
        <w:rPr>
          <w:rFonts w:ascii="Arial" w:hAnsi="Arial" w:cs="Arial" w:eastAsia="Arial" w:hint="default"/>
          <w:spacing w:val="-12"/>
        </w:rPr>
        <w:t> </w:t>
      </w:r>
      <w:r>
        <w:rPr/>
        <w:t>亿元），主要为应付工程及设备款，包括账龄超过一年尚未支付的工程或设备</w:t>
      </w:r>
      <w:r>
        <w:rPr>
          <w:w w:val="100"/>
        </w:rPr>
        <w:t> </w:t>
      </w:r>
      <w:r>
        <w:rPr/>
        <w:t>质保金等，鉴于债权债务双方仍继续发生业务往来，该项账款尚未结清。</w:t>
      </w:r>
    </w:p>
    <w:p>
      <w:pPr>
        <w:spacing w:line="240" w:lineRule="auto" w:before="1"/>
        <w:rPr>
          <w:rFonts w:ascii="宋体" w:hAnsi="宋体" w:cs="宋体" w:eastAsia="宋体" w:hint="default"/>
          <w:sz w:val="17"/>
          <w:szCs w:val="17"/>
        </w:rPr>
      </w:pPr>
    </w:p>
    <w:p>
      <w:pPr>
        <w:pStyle w:val="BodyText"/>
        <w:spacing w:line="240" w:lineRule="auto"/>
        <w:ind w:left="102" w:right="0"/>
        <w:jc w:val="left"/>
      </w:pPr>
      <w:r>
        <w:rPr>
          <w:rFonts w:ascii="Arial" w:hAnsi="Arial" w:cs="Arial" w:eastAsia="Arial" w:hint="default"/>
        </w:rPr>
        <w:t>18</w:t>
      </w:r>
      <w:r>
        <w:rPr/>
        <w:t>、预收款项</w:t>
      </w:r>
    </w:p>
    <w:p>
      <w:pPr>
        <w:spacing w:line="240" w:lineRule="auto" w:before="2"/>
        <w:rPr>
          <w:rFonts w:ascii="宋体" w:hAnsi="宋体" w:cs="宋体" w:eastAsia="宋体" w:hint="default"/>
          <w:sz w:val="17"/>
          <w:szCs w:val="17"/>
        </w:rPr>
      </w:pPr>
    </w:p>
    <w:p>
      <w:pPr>
        <w:pStyle w:val="BodyText"/>
        <w:spacing w:line="240" w:lineRule="auto"/>
        <w:ind w:left="522" w:right="0"/>
        <w:jc w:val="left"/>
      </w:pPr>
      <w:r>
        <w:rPr/>
        <w:t>预收账款情况如下：</w:t>
      </w:r>
    </w:p>
    <w:p>
      <w:pPr>
        <w:spacing w:line="240" w:lineRule="auto" w:before="4"/>
        <w:rPr>
          <w:rFonts w:ascii="宋体" w:hAnsi="宋体" w:cs="宋体" w:eastAsia="宋体" w:hint="default"/>
          <w:sz w:val="23"/>
          <w:szCs w:val="23"/>
        </w:rPr>
      </w:pPr>
    </w:p>
    <w:tbl>
      <w:tblPr>
        <w:tblW w:w="0" w:type="auto"/>
        <w:jc w:val="left"/>
        <w:tblInd w:w="361" w:type="dxa"/>
        <w:tblLayout w:type="fixed"/>
        <w:tblCellMar>
          <w:top w:w="0" w:type="dxa"/>
          <w:left w:w="0" w:type="dxa"/>
          <w:bottom w:w="0" w:type="dxa"/>
          <w:right w:w="0" w:type="dxa"/>
        </w:tblCellMar>
        <w:tblLook w:val="01E0"/>
      </w:tblPr>
      <w:tblGrid>
        <w:gridCol w:w="4449"/>
        <w:gridCol w:w="2360"/>
        <w:gridCol w:w="108"/>
        <w:gridCol w:w="2304"/>
      </w:tblGrid>
      <w:tr>
        <w:trPr>
          <w:trHeight w:val="264" w:hRule="exact"/>
        </w:trPr>
        <w:tc>
          <w:tcPr>
            <w:tcW w:w="4449" w:type="dxa"/>
            <w:tcBorders>
              <w:top w:val="nil" w:sz="6" w:space="0" w:color="auto"/>
              <w:left w:val="nil" w:sz="6" w:space="0" w:color="auto"/>
              <w:bottom w:val="nil" w:sz="6" w:space="0" w:color="auto"/>
              <w:right w:val="nil" w:sz="6" w:space="0" w:color="auto"/>
            </w:tcBorders>
          </w:tcPr>
          <w:p>
            <w:pPr/>
          </w:p>
        </w:tc>
        <w:tc>
          <w:tcPr>
            <w:tcW w:w="2360" w:type="dxa"/>
            <w:tcBorders>
              <w:top w:val="nil" w:sz="6" w:space="0" w:color="auto"/>
              <w:left w:val="nil" w:sz="6" w:space="0" w:color="auto"/>
              <w:bottom w:val="single" w:sz="6" w:space="0" w:color="000000"/>
              <w:right w:val="nil" w:sz="6" w:space="0" w:color="auto"/>
            </w:tcBorders>
          </w:tcPr>
          <w:p>
            <w:pPr>
              <w:pStyle w:val="TableParagraph"/>
              <w:spacing w:line="236" w:lineRule="exact"/>
              <w:ind w:right="23"/>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08"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single" w:sz="6" w:space="0" w:color="000000"/>
              <w:right w:val="nil" w:sz="6" w:space="0" w:color="auto"/>
            </w:tcBorders>
          </w:tcPr>
          <w:p>
            <w:pPr>
              <w:pStyle w:val="TableParagraph"/>
              <w:spacing w:line="236" w:lineRule="exact"/>
              <w:ind w:right="57"/>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7" w:hRule="exact"/>
        </w:trPr>
        <w:tc>
          <w:tcPr>
            <w:tcW w:w="444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预收用户预存通信服务费</w:t>
            </w:r>
          </w:p>
        </w:tc>
        <w:tc>
          <w:tcPr>
            <w:tcW w:w="236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50"/>
              <w:jc w:val="right"/>
              <w:rPr>
                <w:rFonts w:ascii="Arial" w:hAnsi="Arial" w:cs="Arial" w:eastAsia="Arial" w:hint="default"/>
                <w:sz w:val="22"/>
                <w:szCs w:val="22"/>
              </w:rPr>
            </w:pPr>
            <w:r>
              <w:rPr>
                <w:rFonts w:ascii="Arial"/>
                <w:spacing w:val="-1"/>
                <w:sz w:val="22"/>
              </w:rPr>
              <w:t>45,617,303,886</w:t>
            </w:r>
          </w:p>
        </w:tc>
        <w:tc>
          <w:tcPr>
            <w:tcW w:w="108" w:type="dxa"/>
            <w:tcBorders>
              <w:top w:val="nil" w:sz="6" w:space="0" w:color="auto"/>
              <w:left w:val="nil" w:sz="6" w:space="0" w:color="auto"/>
              <w:bottom w:val="nil" w:sz="6" w:space="0" w:color="auto"/>
              <w:right w:val="nil" w:sz="6" w:space="0" w:color="auto"/>
            </w:tcBorders>
          </w:tcPr>
          <w:p>
            <w:pPr/>
          </w:p>
        </w:tc>
        <w:tc>
          <w:tcPr>
            <w:tcW w:w="2304"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0"/>
              <w:jc w:val="right"/>
              <w:rPr>
                <w:rFonts w:ascii="Arial" w:hAnsi="Arial" w:cs="Arial" w:eastAsia="Arial" w:hint="default"/>
                <w:sz w:val="22"/>
                <w:szCs w:val="22"/>
              </w:rPr>
            </w:pPr>
            <w:r>
              <w:rPr>
                <w:rFonts w:ascii="Arial"/>
                <w:spacing w:val="-1"/>
                <w:sz w:val="22"/>
              </w:rPr>
              <w:t>48,994,097,747</w:t>
            </w:r>
          </w:p>
        </w:tc>
      </w:tr>
      <w:tr>
        <w:trPr>
          <w:trHeight w:val="286" w:hRule="exact"/>
        </w:trPr>
        <w:tc>
          <w:tcPr>
            <w:tcW w:w="4449"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预收工程款</w:t>
            </w: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7"/>
              <w:jc w:val="right"/>
              <w:rPr>
                <w:rFonts w:ascii="Arial" w:hAnsi="Arial" w:cs="Arial" w:eastAsia="Arial" w:hint="default"/>
                <w:sz w:val="22"/>
                <w:szCs w:val="22"/>
              </w:rPr>
            </w:pPr>
            <w:r>
              <w:rPr>
                <w:rFonts w:ascii="Arial"/>
                <w:spacing w:val="-1"/>
                <w:sz w:val="22"/>
              </w:rPr>
              <w:t>506,651,435</w:t>
            </w:r>
          </w:p>
        </w:tc>
        <w:tc>
          <w:tcPr>
            <w:tcW w:w="108"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6"/>
              <w:jc w:val="right"/>
              <w:rPr>
                <w:rFonts w:ascii="Arial" w:hAnsi="Arial" w:cs="Arial" w:eastAsia="Arial" w:hint="default"/>
                <w:sz w:val="22"/>
                <w:szCs w:val="22"/>
              </w:rPr>
            </w:pPr>
            <w:r>
              <w:rPr>
                <w:rFonts w:ascii="Arial"/>
                <w:spacing w:val="-1"/>
                <w:sz w:val="22"/>
              </w:rPr>
              <w:t>329,360,374</w:t>
            </w:r>
          </w:p>
        </w:tc>
      </w:tr>
      <w:tr>
        <w:trPr>
          <w:trHeight w:val="286" w:hRule="exact"/>
        </w:trPr>
        <w:tc>
          <w:tcPr>
            <w:tcW w:w="4449"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递延收益（附注五</w:t>
            </w:r>
            <w:r>
              <w:rPr>
                <w:rFonts w:ascii="Arial" w:hAnsi="Arial" w:cs="Arial" w:eastAsia="Arial" w:hint="default"/>
                <w:sz w:val="22"/>
                <w:szCs w:val="22"/>
              </w:rPr>
              <w:t>(30)</w:t>
            </w:r>
            <w:r>
              <w:rPr>
                <w:rFonts w:ascii="宋体" w:hAnsi="宋体" w:cs="宋体" w:eastAsia="宋体" w:hint="default"/>
                <w:sz w:val="22"/>
                <w:szCs w:val="22"/>
              </w:rPr>
              <w:t>）</w:t>
            </w: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7"/>
              <w:jc w:val="right"/>
              <w:rPr>
                <w:rFonts w:ascii="Arial" w:hAnsi="Arial" w:cs="Arial" w:eastAsia="Arial" w:hint="default"/>
                <w:sz w:val="22"/>
                <w:szCs w:val="22"/>
              </w:rPr>
            </w:pPr>
            <w:r>
              <w:rPr>
                <w:rFonts w:ascii="Arial"/>
                <w:spacing w:val="-1"/>
                <w:sz w:val="22"/>
              </w:rPr>
              <w:t>461,830,010</w:t>
            </w:r>
          </w:p>
        </w:tc>
        <w:tc>
          <w:tcPr>
            <w:tcW w:w="108"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6"/>
              <w:jc w:val="right"/>
              <w:rPr>
                <w:rFonts w:ascii="Arial" w:hAnsi="Arial" w:cs="Arial" w:eastAsia="Arial" w:hint="default"/>
                <w:sz w:val="22"/>
                <w:szCs w:val="22"/>
              </w:rPr>
            </w:pPr>
            <w:r>
              <w:rPr>
                <w:rFonts w:ascii="Arial"/>
                <w:spacing w:val="-1"/>
                <w:sz w:val="22"/>
              </w:rPr>
              <w:t>452,022,978</w:t>
            </w:r>
          </w:p>
        </w:tc>
      </w:tr>
      <w:tr>
        <w:trPr>
          <w:trHeight w:val="419" w:hRule="exact"/>
        </w:trPr>
        <w:tc>
          <w:tcPr>
            <w:tcW w:w="444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360" w:type="dxa"/>
            <w:tcBorders>
              <w:top w:val="nil" w:sz="6" w:space="0" w:color="auto"/>
              <w:left w:val="nil" w:sz="6" w:space="0" w:color="auto"/>
              <w:bottom w:val="nil" w:sz="6" w:space="0" w:color="auto"/>
              <w:right w:val="nil" w:sz="6" w:space="0" w:color="auto"/>
            </w:tcBorders>
          </w:tcPr>
          <w:p>
            <w:pPr>
              <w:pStyle w:val="TableParagraph"/>
              <w:tabs>
                <w:tab w:pos="1082" w:val="left" w:leader="none"/>
              </w:tabs>
              <w:spacing w:line="240" w:lineRule="auto" w:before="19"/>
              <w:ind w:right="47"/>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884,638,375</w:t>
            </w:r>
            <w:r>
              <w:rPr>
                <w:rFonts w:ascii="Arial"/>
                <w:spacing w:val="-1"/>
                <w:sz w:val="22"/>
              </w:rPr>
            </w:r>
          </w:p>
        </w:tc>
        <w:tc>
          <w:tcPr>
            <w:tcW w:w="108"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tabs>
                <w:tab w:pos="1008" w:val="left" w:leader="none"/>
                <w:tab w:pos="2304" w:val="left" w:leader="none"/>
              </w:tabs>
              <w:spacing w:line="240" w:lineRule="auto" w:before="19"/>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576,999,336</w:t>
              <w:tab/>
            </w:r>
            <w:r>
              <w:rPr>
                <w:rFonts w:ascii="Arial"/>
                <w:spacing w:val="-1"/>
                <w:sz w:val="22"/>
              </w:rPr>
            </w:r>
          </w:p>
        </w:tc>
      </w:tr>
      <w:tr>
        <w:trPr>
          <w:trHeight w:val="433" w:hRule="exact"/>
        </w:trPr>
        <w:tc>
          <w:tcPr>
            <w:tcW w:w="444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60"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48"/>
              <w:jc w:val="right"/>
              <w:rPr>
                <w:rFonts w:ascii="Arial" w:hAnsi="Arial" w:cs="Arial" w:eastAsia="Arial" w:hint="default"/>
                <w:sz w:val="22"/>
                <w:szCs w:val="22"/>
              </w:rPr>
            </w:pPr>
            <w:r>
              <w:rPr>
                <w:rFonts w:ascii="Arial"/>
                <w:spacing w:val="-1"/>
                <w:sz w:val="22"/>
              </w:rPr>
              <w:t>47,470,423,706</w:t>
            </w:r>
          </w:p>
        </w:tc>
        <w:tc>
          <w:tcPr>
            <w:tcW w:w="108"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67"/>
              <w:jc w:val="right"/>
              <w:rPr>
                <w:rFonts w:ascii="Arial" w:hAnsi="Arial" w:cs="Arial" w:eastAsia="Arial" w:hint="default"/>
                <w:sz w:val="22"/>
                <w:szCs w:val="22"/>
              </w:rPr>
            </w:pPr>
            <w:r>
              <w:rPr>
                <w:rFonts w:ascii="Arial"/>
                <w:spacing w:val="-1"/>
                <w:sz w:val="22"/>
              </w:rPr>
              <w:t>50,352,480,435</w:t>
            </w:r>
          </w:p>
        </w:tc>
      </w:tr>
    </w:tbl>
    <w:p>
      <w:pPr>
        <w:spacing w:after="0" w:line="240" w:lineRule="auto"/>
        <w:jc w:val="right"/>
        <w:rPr>
          <w:rFonts w:ascii="Arial" w:hAnsi="Arial" w:cs="Arial" w:eastAsia="Arial" w:hint="default"/>
          <w:sz w:val="22"/>
          <w:szCs w:val="22"/>
        </w:rPr>
        <w:sectPr>
          <w:headerReference w:type="default" r:id="rId87"/>
          <w:pgSz w:w="11910" w:h="16840"/>
          <w:pgMar w:header="1185" w:footer="635" w:top="3040" w:bottom="820" w:left="1280" w:right="800"/>
        </w:sectPr>
      </w:pPr>
    </w:p>
    <w:p>
      <w:pPr>
        <w:spacing w:line="240" w:lineRule="auto" w:before="10"/>
        <w:rPr>
          <w:rFonts w:ascii="宋体" w:hAnsi="宋体" w:cs="宋体" w:eastAsia="宋体" w:hint="default"/>
          <w:sz w:val="16"/>
          <w:szCs w:val="16"/>
        </w:rPr>
      </w:pPr>
    </w:p>
    <w:p>
      <w:pPr>
        <w:pStyle w:val="BodyText"/>
        <w:spacing w:line="240" w:lineRule="auto" w:before="32"/>
        <w:ind w:left="102" w:right="0"/>
        <w:jc w:val="left"/>
      </w:pPr>
      <w:r>
        <w:rPr>
          <w:rFonts w:ascii="Arial" w:hAnsi="Arial" w:cs="Arial" w:eastAsia="Arial" w:hint="default"/>
        </w:rPr>
        <w:t>19</w:t>
      </w:r>
      <w:r>
        <w:rPr/>
        <w:t>、应付职工薪酬</w:t>
      </w:r>
    </w:p>
    <w:p>
      <w:pPr>
        <w:spacing w:line="240" w:lineRule="auto" w:before="13"/>
        <w:rPr>
          <w:rFonts w:ascii="宋体" w:hAnsi="宋体" w:cs="宋体" w:eastAsia="宋体" w:hint="default"/>
          <w:sz w:val="16"/>
          <w:szCs w:val="16"/>
        </w:rPr>
      </w:pPr>
    </w:p>
    <w:p>
      <w:pPr>
        <w:pStyle w:val="BodyText"/>
        <w:spacing w:line="240" w:lineRule="auto"/>
        <w:ind w:left="102" w:right="0"/>
        <w:jc w:val="left"/>
      </w:pPr>
      <w:r>
        <w:rPr>
          <w:rFonts w:ascii="Arial" w:hAnsi="Arial" w:cs="Arial" w:eastAsia="Arial" w:hint="default"/>
        </w:rPr>
        <w:t>(a) </w:t>
      </w:r>
      <w:r>
        <w:rPr>
          <w:rFonts w:ascii="Arial" w:hAnsi="Arial" w:cs="Arial" w:eastAsia="Arial" w:hint="default"/>
          <w:spacing w:val="28"/>
        </w:rPr>
        <w:t> </w:t>
      </w:r>
      <w:r>
        <w:rPr/>
        <w:t>应付职工薪酬列示</w:t>
      </w:r>
    </w:p>
    <w:p>
      <w:pPr>
        <w:spacing w:line="240" w:lineRule="auto" w:before="5"/>
        <w:rPr>
          <w:rFonts w:ascii="宋体" w:hAnsi="宋体" w:cs="宋体" w:eastAsia="宋体" w:hint="default"/>
          <w:sz w:val="22"/>
          <w:szCs w:val="22"/>
        </w:rPr>
      </w:pPr>
    </w:p>
    <w:tbl>
      <w:tblPr>
        <w:tblW w:w="0" w:type="auto"/>
        <w:jc w:val="left"/>
        <w:tblInd w:w="394" w:type="dxa"/>
        <w:tblLayout w:type="fixed"/>
        <w:tblCellMar>
          <w:top w:w="0" w:type="dxa"/>
          <w:left w:w="0" w:type="dxa"/>
          <w:bottom w:w="0" w:type="dxa"/>
          <w:right w:w="0" w:type="dxa"/>
        </w:tblCellMar>
        <w:tblLook w:val="01E0"/>
      </w:tblPr>
      <w:tblGrid>
        <w:gridCol w:w="2685"/>
        <w:gridCol w:w="1500"/>
        <w:gridCol w:w="1562"/>
        <w:gridCol w:w="104"/>
        <w:gridCol w:w="1616"/>
        <w:gridCol w:w="110"/>
        <w:gridCol w:w="1457"/>
      </w:tblGrid>
      <w:tr>
        <w:trPr>
          <w:trHeight w:val="523" w:hRule="exact"/>
        </w:trPr>
        <w:tc>
          <w:tcPr>
            <w:tcW w:w="2685"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single" w:sz="6" w:space="0" w:color="000000"/>
              <w:right w:val="nil" w:sz="6" w:space="0" w:color="auto"/>
            </w:tcBorders>
          </w:tcPr>
          <w:p>
            <w:pPr>
              <w:pStyle w:val="TableParagraph"/>
              <w:spacing w:line="217" w:lineRule="exact"/>
              <w:ind w:left="671"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81" w:lineRule="exact"/>
              <w:ind w:left="357"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562" w:type="dxa"/>
            <w:tcBorders>
              <w:top w:val="nil" w:sz="6" w:space="0" w:color="auto"/>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04"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10"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single" w:sz="6" w:space="0" w:color="000000"/>
              <w:right w:val="nil" w:sz="6" w:space="0" w:color="auto"/>
            </w:tcBorders>
          </w:tcPr>
          <w:p>
            <w:pPr>
              <w:pStyle w:val="TableParagraph"/>
              <w:spacing w:line="217" w:lineRule="exact"/>
              <w:ind w:left="686"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81" w:lineRule="exact"/>
              <w:ind w:left="372"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578"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00" w:right="0"/>
              <w:jc w:val="left"/>
              <w:rPr>
                <w:rFonts w:ascii="宋体" w:hAnsi="宋体" w:cs="宋体" w:eastAsia="宋体" w:hint="default"/>
                <w:sz w:val="20"/>
                <w:szCs w:val="20"/>
              </w:rPr>
            </w:pPr>
            <w:r>
              <w:rPr>
                <w:rFonts w:ascii="宋体" w:hAnsi="宋体" w:cs="宋体" w:eastAsia="宋体" w:hint="default"/>
                <w:sz w:val="20"/>
                <w:szCs w:val="20"/>
              </w:rPr>
              <w:t>短期薪酬</w:t>
            </w:r>
          </w:p>
        </w:tc>
        <w:tc>
          <w:tcPr>
            <w:tcW w:w="1500"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91"/>
              <w:jc w:val="right"/>
              <w:rPr>
                <w:rFonts w:ascii="Arial" w:hAnsi="Arial" w:cs="Arial" w:eastAsia="Arial" w:hint="default"/>
                <w:sz w:val="21"/>
                <w:szCs w:val="21"/>
              </w:rPr>
            </w:pPr>
            <w:r>
              <w:rPr>
                <w:rFonts w:ascii="Arial"/>
                <w:spacing w:val="-1"/>
                <w:sz w:val="21"/>
              </w:rPr>
              <w:t>3,786,315,108</w:t>
            </w:r>
          </w:p>
        </w:tc>
        <w:tc>
          <w:tcPr>
            <w:tcW w:w="1562"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right"/>
              <w:rPr>
                <w:rFonts w:ascii="Arial" w:hAnsi="Arial" w:cs="Arial" w:eastAsia="Arial" w:hint="default"/>
                <w:sz w:val="21"/>
                <w:szCs w:val="21"/>
              </w:rPr>
            </w:pPr>
            <w:r>
              <w:rPr>
                <w:rFonts w:ascii="Arial"/>
                <w:spacing w:val="-1"/>
                <w:sz w:val="21"/>
              </w:rPr>
              <w:t>30,724,901,019</w:t>
            </w:r>
          </w:p>
        </w:tc>
        <w:tc>
          <w:tcPr>
            <w:tcW w:w="104" w:type="dxa"/>
            <w:tcBorders>
              <w:top w:val="nil" w:sz="6" w:space="0" w:color="auto"/>
              <w:left w:val="nil" w:sz="6" w:space="0" w:color="auto"/>
              <w:bottom w:val="nil" w:sz="6" w:space="0" w:color="auto"/>
              <w:right w:val="nil" w:sz="6" w:space="0" w:color="auto"/>
            </w:tcBorders>
          </w:tcPr>
          <w:p>
            <w:pPr/>
          </w:p>
        </w:tc>
        <w:tc>
          <w:tcPr>
            <w:tcW w:w="161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right"/>
              <w:rPr>
                <w:rFonts w:ascii="Arial" w:hAnsi="Arial" w:cs="Arial" w:eastAsia="Arial" w:hint="default"/>
                <w:sz w:val="21"/>
                <w:szCs w:val="21"/>
              </w:rPr>
            </w:pPr>
            <w:r>
              <w:rPr>
                <w:rFonts w:ascii="Arial"/>
                <w:spacing w:val="-1"/>
                <w:sz w:val="21"/>
              </w:rPr>
              <w:t>(29,751,418,742)</w:t>
            </w:r>
          </w:p>
        </w:tc>
        <w:tc>
          <w:tcPr>
            <w:tcW w:w="110" w:type="dxa"/>
            <w:tcBorders>
              <w:top w:val="nil" w:sz="6" w:space="0" w:color="auto"/>
              <w:left w:val="nil" w:sz="6" w:space="0" w:color="auto"/>
              <w:bottom w:val="nil" w:sz="6" w:space="0" w:color="auto"/>
              <w:right w:val="nil" w:sz="6" w:space="0" w:color="auto"/>
            </w:tcBorders>
          </w:tcPr>
          <w:p>
            <w:pPr/>
          </w:p>
        </w:tc>
        <w:tc>
          <w:tcPr>
            <w:tcW w:w="1457"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25"/>
              <w:jc w:val="right"/>
              <w:rPr>
                <w:rFonts w:ascii="Arial" w:hAnsi="Arial" w:cs="Arial" w:eastAsia="Arial" w:hint="default"/>
                <w:sz w:val="21"/>
                <w:szCs w:val="21"/>
              </w:rPr>
            </w:pPr>
            <w:r>
              <w:rPr>
                <w:rFonts w:ascii="Arial"/>
                <w:spacing w:val="-1"/>
                <w:sz w:val="21"/>
              </w:rPr>
              <w:t>4,759,797,385</w:t>
            </w:r>
          </w:p>
        </w:tc>
      </w:tr>
      <w:tr>
        <w:trPr>
          <w:trHeight w:val="259"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33" w:lineRule="exact"/>
              <w:ind w:left="200" w:right="0"/>
              <w:jc w:val="left"/>
              <w:rPr>
                <w:rFonts w:ascii="宋体" w:hAnsi="宋体" w:cs="宋体" w:eastAsia="宋体" w:hint="default"/>
                <w:sz w:val="20"/>
                <w:szCs w:val="20"/>
              </w:rPr>
            </w:pPr>
            <w:r>
              <w:rPr>
                <w:rFonts w:ascii="宋体" w:hAnsi="宋体" w:cs="宋体" w:eastAsia="宋体" w:hint="default"/>
                <w:sz w:val="20"/>
                <w:szCs w:val="20"/>
              </w:rPr>
              <w:t>离职后福利</w:t>
            </w:r>
            <w:r>
              <w:rPr>
                <w:rFonts w:ascii="Arial" w:hAnsi="Arial" w:cs="Arial" w:eastAsia="Arial" w:hint="default"/>
                <w:sz w:val="20"/>
                <w:szCs w:val="20"/>
              </w:rPr>
              <w:t>-</w:t>
            </w:r>
            <w:r>
              <w:rPr>
                <w:rFonts w:ascii="宋体" w:hAnsi="宋体" w:cs="宋体" w:eastAsia="宋体" w:hint="default"/>
                <w:sz w:val="20"/>
                <w:szCs w:val="20"/>
              </w:rPr>
              <w:t>设定提存计划</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1"/>
              <w:jc w:val="right"/>
              <w:rPr>
                <w:rFonts w:ascii="Arial" w:hAnsi="Arial" w:cs="Arial" w:eastAsia="Arial" w:hint="default"/>
                <w:sz w:val="21"/>
                <w:szCs w:val="21"/>
              </w:rPr>
            </w:pPr>
            <w:r>
              <w:rPr>
                <w:rFonts w:ascii="Arial"/>
                <w:spacing w:val="-1"/>
                <w:sz w:val="21"/>
              </w:rPr>
              <w:t>1,123,854,185</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21"/>
                <w:szCs w:val="21"/>
              </w:rPr>
            </w:pPr>
            <w:r>
              <w:rPr>
                <w:rFonts w:ascii="Arial"/>
                <w:spacing w:val="-1"/>
                <w:sz w:val="21"/>
              </w:rPr>
              <w:t>5,002,299,800</w:t>
            </w:r>
          </w:p>
        </w:tc>
        <w:tc>
          <w:tcPr>
            <w:tcW w:w="104"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21"/>
                <w:szCs w:val="21"/>
              </w:rPr>
            </w:pPr>
            <w:r>
              <w:rPr>
                <w:rFonts w:ascii="Arial"/>
                <w:spacing w:val="-1"/>
                <w:sz w:val="21"/>
              </w:rPr>
              <w:t>(4,031,279,895)</w:t>
            </w:r>
          </w:p>
        </w:tc>
        <w:tc>
          <w:tcPr>
            <w:tcW w:w="110"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5"/>
              <w:jc w:val="right"/>
              <w:rPr>
                <w:rFonts w:ascii="Arial" w:hAnsi="Arial" w:cs="Arial" w:eastAsia="Arial" w:hint="default"/>
                <w:sz w:val="21"/>
                <w:szCs w:val="21"/>
              </w:rPr>
            </w:pPr>
            <w:r>
              <w:rPr>
                <w:rFonts w:ascii="Arial"/>
                <w:spacing w:val="-1"/>
                <w:sz w:val="21"/>
              </w:rPr>
              <w:t>2,094,874,090</w:t>
            </w:r>
          </w:p>
        </w:tc>
      </w:tr>
      <w:tr>
        <w:trPr>
          <w:trHeight w:val="259"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33" w:lineRule="exact"/>
              <w:ind w:left="200" w:right="0"/>
              <w:jc w:val="left"/>
              <w:rPr>
                <w:rFonts w:ascii="宋体" w:hAnsi="宋体" w:cs="宋体" w:eastAsia="宋体" w:hint="default"/>
                <w:sz w:val="20"/>
                <w:szCs w:val="20"/>
              </w:rPr>
            </w:pPr>
            <w:r>
              <w:rPr>
                <w:rFonts w:ascii="宋体" w:hAnsi="宋体" w:cs="宋体" w:eastAsia="宋体" w:hint="default"/>
                <w:sz w:val="20"/>
                <w:szCs w:val="20"/>
              </w:rPr>
              <w:t>内退员工补偿费（注</w:t>
            </w:r>
            <w:r>
              <w:rPr>
                <w:rFonts w:ascii="宋体" w:hAnsi="宋体" w:cs="宋体" w:eastAsia="宋体" w:hint="default"/>
                <w:spacing w:val="-53"/>
                <w:sz w:val="20"/>
                <w:szCs w:val="20"/>
              </w:rPr>
              <w:t> </w:t>
            </w:r>
            <w:r>
              <w:rPr>
                <w:rFonts w:ascii="Arial" w:hAnsi="Arial" w:cs="Arial" w:eastAsia="Arial" w:hint="default"/>
                <w:sz w:val="20"/>
                <w:szCs w:val="20"/>
              </w:rPr>
              <w:t>1</w:t>
            </w:r>
            <w:r>
              <w:rPr>
                <w:rFonts w:ascii="宋体" w:hAnsi="宋体" w:cs="宋体" w:eastAsia="宋体" w:hint="default"/>
                <w:sz w:val="20"/>
                <w:szCs w:val="20"/>
              </w:rPr>
              <w:t>）</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1"/>
              <w:jc w:val="right"/>
              <w:rPr>
                <w:rFonts w:ascii="Arial" w:hAnsi="Arial" w:cs="Arial" w:eastAsia="Arial" w:hint="default"/>
                <w:sz w:val="21"/>
                <w:szCs w:val="21"/>
              </w:rPr>
            </w:pPr>
            <w:r>
              <w:rPr>
                <w:rFonts w:ascii="Arial"/>
                <w:spacing w:val="-1"/>
                <w:sz w:val="21"/>
              </w:rPr>
              <w:t>9,327,677</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21"/>
                <w:szCs w:val="21"/>
              </w:rPr>
            </w:pPr>
            <w:r>
              <w:rPr>
                <w:rFonts w:ascii="Arial"/>
                <w:spacing w:val="-1"/>
                <w:sz w:val="21"/>
              </w:rPr>
              <w:t>3,648,287</w:t>
            </w:r>
          </w:p>
        </w:tc>
        <w:tc>
          <w:tcPr>
            <w:tcW w:w="104"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21"/>
                <w:szCs w:val="21"/>
              </w:rPr>
            </w:pPr>
            <w:r>
              <w:rPr>
                <w:rFonts w:ascii="Arial"/>
                <w:spacing w:val="-1"/>
                <w:sz w:val="21"/>
              </w:rPr>
              <w:t>(2,152,077)</w:t>
            </w:r>
          </w:p>
        </w:tc>
        <w:tc>
          <w:tcPr>
            <w:tcW w:w="110"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4"/>
              <w:jc w:val="right"/>
              <w:rPr>
                <w:rFonts w:ascii="Arial" w:hAnsi="Arial" w:cs="Arial" w:eastAsia="Arial" w:hint="default"/>
                <w:sz w:val="21"/>
                <w:szCs w:val="21"/>
              </w:rPr>
            </w:pPr>
            <w:r>
              <w:rPr>
                <w:rFonts w:ascii="Arial"/>
                <w:spacing w:val="-1"/>
                <w:sz w:val="21"/>
              </w:rPr>
              <w:t>10,823,887</w:t>
            </w:r>
          </w:p>
        </w:tc>
      </w:tr>
      <w:tr>
        <w:trPr>
          <w:trHeight w:val="388"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33" w:lineRule="exact"/>
              <w:ind w:left="200" w:right="0"/>
              <w:jc w:val="left"/>
              <w:rPr>
                <w:rFonts w:ascii="宋体" w:hAnsi="宋体" w:cs="宋体" w:eastAsia="宋体" w:hint="default"/>
                <w:sz w:val="20"/>
                <w:szCs w:val="20"/>
              </w:rPr>
            </w:pPr>
            <w:r>
              <w:rPr>
                <w:rFonts w:ascii="宋体" w:hAnsi="宋体" w:cs="宋体" w:eastAsia="宋体" w:hint="default"/>
                <w:sz w:val="20"/>
                <w:szCs w:val="20"/>
              </w:rPr>
              <w:t>离退休后补充福利（注</w:t>
            </w:r>
            <w:r>
              <w:rPr>
                <w:rFonts w:ascii="宋体" w:hAnsi="宋体" w:cs="宋体" w:eastAsia="宋体" w:hint="default"/>
                <w:spacing w:val="-53"/>
                <w:sz w:val="20"/>
                <w:szCs w:val="20"/>
              </w:rPr>
              <w:t> </w:t>
            </w:r>
            <w:r>
              <w:rPr>
                <w:rFonts w:ascii="Arial" w:hAnsi="Arial" w:cs="Arial" w:eastAsia="Arial" w:hint="default"/>
                <w:sz w:val="20"/>
                <w:szCs w:val="20"/>
              </w:rPr>
              <w:t>2</w:t>
            </w:r>
            <w:r>
              <w:rPr>
                <w:rFonts w:ascii="宋体" w:hAnsi="宋体" w:cs="宋体" w:eastAsia="宋体" w:hint="default"/>
                <w:sz w:val="20"/>
                <w:szCs w:val="20"/>
              </w:rPr>
              <w:t>）</w:t>
            </w:r>
          </w:p>
        </w:tc>
        <w:tc>
          <w:tcPr>
            <w:tcW w:w="1500" w:type="dxa"/>
            <w:tcBorders>
              <w:top w:val="nil" w:sz="6" w:space="0" w:color="auto"/>
              <w:left w:val="nil" w:sz="6" w:space="0" w:color="auto"/>
              <w:bottom w:val="nil" w:sz="6" w:space="0" w:color="auto"/>
              <w:right w:val="nil" w:sz="6" w:space="0" w:color="auto"/>
            </w:tcBorders>
          </w:tcPr>
          <w:p>
            <w:pPr>
              <w:pStyle w:val="TableParagraph"/>
              <w:tabs>
                <w:tab w:pos="470" w:val="left" w:leader="none"/>
              </w:tabs>
              <w:spacing w:line="240" w:lineRule="auto" w:before="3"/>
              <w:ind w:right="91"/>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7,573,502</w:t>
            </w:r>
            <w:r>
              <w:rPr>
                <w:rFonts w:ascii="Arial"/>
                <w:spacing w:val="-1"/>
                <w:sz w:val="21"/>
              </w:rPr>
            </w:r>
          </w:p>
        </w:tc>
        <w:tc>
          <w:tcPr>
            <w:tcW w:w="1562" w:type="dxa"/>
            <w:tcBorders>
              <w:top w:val="nil" w:sz="6" w:space="0" w:color="auto"/>
              <w:left w:val="nil" w:sz="6" w:space="0" w:color="auto"/>
              <w:bottom w:val="nil" w:sz="6" w:space="0" w:color="auto"/>
              <w:right w:val="nil" w:sz="6" w:space="0" w:color="auto"/>
            </w:tcBorders>
          </w:tcPr>
          <w:p>
            <w:pPr>
              <w:pStyle w:val="TableParagraph"/>
              <w:tabs>
                <w:tab w:pos="590" w:val="left" w:leader="none"/>
              </w:tabs>
              <w:spacing w:line="240" w:lineRule="auto" w:before="3"/>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7,638,206</w:t>
            </w:r>
            <w:r>
              <w:rPr>
                <w:rFonts w:ascii="Arial"/>
                <w:spacing w:val="-1"/>
                <w:sz w:val="21"/>
              </w:rPr>
            </w:r>
          </w:p>
        </w:tc>
        <w:tc>
          <w:tcPr>
            <w:tcW w:w="104"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tabs>
                <w:tab w:pos="537" w:val="left" w:leader="none"/>
              </w:tabs>
              <w:spacing w:line="240" w:lineRule="auto" w:before="3"/>
              <w:ind w:left="-12"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(7,690,935)</w:t>
            </w:r>
            <w:r>
              <w:rPr>
                <w:rFonts w:ascii="Arial"/>
                <w:spacing w:val="-1"/>
                <w:sz w:val="21"/>
              </w:rPr>
            </w:r>
          </w:p>
        </w:tc>
        <w:tc>
          <w:tcPr>
            <w:tcW w:w="110"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tabs>
                <w:tab w:pos="494" w:val="left" w:leader="none"/>
              </w:tabs>
              <w:spacing w:line="240" w:lineRule="auto" w:before="3"/>
              <w:ind w:right="24"/>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7,520,773</w:t>
            </w:r>
            <w:r>
              <w:rPr>
                <w:rFonts w:ascii="Arial"/>
                <w:spacing w:val="-1"/>
                <w:sz w:val="21"/>
              </w:rPr>
            </w:r>
          </w:p>
        </w:tc>
      </w:tr>
      <w:tr>
        <w:trPr>
          <w:trHeight w:val="400"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500" w:type="dxa"/>
            <w:tcBorders>
              <w:top w:val="nil" w:sz="6" w:space="0" w:color="auto"/>
              <w:left w:val="nil" w:sz="6" w:space="0" w:color="auto"/>
              <w:bottom w:val="single" w:sz="17" w:space="0" w:color="000000"/>
              <w:right w:val="nil" w:sz="6" w:space="0" w:color="auto"/>
            </w:tcBorders>
          </w:tcPr>
          <w:p>
            <w:pPr>
              <w:pStyle w:val="TableParagraph"/>
              <w:spacing w:line="240" w:lineRule="auto" w:before="131"/>
              <w:ind w:right="91"/>
              <w:jc w:val="right"/>
              <w:rPr>
                <w:rFonts w:ascii="Arial" w:hAnsi="Arial" w:cs="Arial" w:eastAsia="Arial" w:hint="default"/>
                <w:sz w:val="21"/>
                <w:szCs w:val="21"/>
              </w:rPr>
            </w:pPr>
            <w:r>
              <w:rPr>
                <w:rFonts w:ascii="Arial"/>
                <w:spacing w:val="-1"/>
                <w:sz w:val="21"/>
              </w:rPr>
              <w:t>4,927,070,472</w:t>
            </w:r>
          </w:p>
        </w:tc>
        <w:tc>
          <w:tcPr>
            <w:tcW w:w="1562" w:type="dxa"/>
            <w:tcBorders>
              <w:top w:val="nil" w:sz="6" w:space="0" w:color="auto"/>
              <w:left w:val="nil" w:sz="6" w:space="0" w:color="auto"/>
              <w:bottom w:val="single" w:sz="17" w:space="0" w:color="000000"/>
              <w:right w:val="nil" w:sz="6" w:space="0" w:color="auto"/>
            </w:tcBorders>
          </w:tcPr>
          <w:p>
            <w:pPr>
              <w:pStyle w:val="TableParagraph"/>
              <w:spacing w:line="240" w:lineRule="auto" w:before="131"/>
              <w:ind w:right="5"/>
              <w:jc w:val="right"/>
              <w:rPr>
                <w:rFonts w:ascii="Arial" w:hAnsi="Arial" w:cs="Arial" w:eastAsia="Arial" w:hint="default"/>
                <w:sz w:val="21"/>
                <w:szCs w:val="21"/>
              </w:rPr>
            </w:pPr>
            <w:r>
              <w:rPr>
                <w:rFonts w:ascii="Arial"/>
                <w:spacing w:val="-1"/>
                <w:sz w:val="21"/>
              </w:rPr>
              <w:t>35,738,487,312</w:t>
            </w:r>
          </w:p>
        </w:tc>
        <w:tc>
          <w:tcPr>
            <w:tcW w:w="104" w:type="dxa"/>
            <w:tcBorders>
              <w:top w:val="nil" w:sz="6" w:space="0" w:color="auto"/>
              <w:left w:val="nil" w:sz="6" w:space="0" w:color="auto"/>
              <w:bottom w:val="single" w:sz="17" w:space="0" w:color="000000"/>
              <w:right w:val="nil" w:sz="6" w:space="0" w:color="auto"/>
            </w:tcBorders>
          </w:tcPr>
          <w:p>
            <w:pPr/>
          </w:p>
        </w:tc>
        <w:tc>
          <w:tcPr>
            <w:tcW w:w="1616" w:type="dxa"/>
            <w:tcBorders>
              <w:top w:val="nil" w:sz="6" w:space="0" w:color="auto"/>
              <w:left w:val="nil" w:sz="6" w:space="0" w:color="auto"/>
              <w:bottom w:val="single" w:sz="17" w:space="0" w:color="000000"/>
              <w:right w:val="nil" w:sz="6" w:space="0" w:color="auto"/>
            </w:tcBorders>
          </w:tcPr>
          <w:p>
            <w:pPr>
              <w:pStyle w:val="TableParagraph"/>
              <w:spacing w:line="240" w:lineRule="auto" w:before="131"/>
              <w:ind w:right="0"/>
              <w:jc w:val="right"/>
              <w:rPr>
                <w:rFonts w:ascii="Arial" w:hAnsi="Arial" w:cs="Arial" w:eastAsia="Arial" w:hint="default"/>
                <w:sz w:val="21"/>
                <w:szCs w:val="21"/>
              </w:rPr>
            </w:pPr>
            <w:r>
              <w:rPr>
                <w:rFonts w:ascii="Arial"/>
                <w:spacing w:val="-1"/>
                <w:sz w:val="21"/>
              </w:rPr>
              <w:t>(33,792,541,649)</w:t>
            </w:r>
          </w:p>
        </w:tc>
        <w:tc>
          <w:tcPr>
            <w:tcW w:w="110"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single" w:sz="17" w:space="0" w:color="000000"/>
              <w:right w:val="nil" w:sz="6" w:space="0" w:color="auto"/>
            </w:tcBorders>
          </w:tcPr>
          <w:p>
            <w:pPr>
              <w:pStyle w:val="TableParagraph"/>
              <w:spacing w:line="240" w:lineRule="auto" w:before="131"/>
              <w:ind w:right="25"/>
              <w:jc w:val="right"/>
              <w:rPr>
                <w:rFonts w:ascii="Arial" w:hAnsi="Arial" w:cs="Arial" w:eastAsia="Arial" w:hint="default"/>
                <w:sz w:val="21"/>
                <w:szCs w:val="21"/>
              </w:rPr>
            </w:pPr>
            <w:r>
              <w:rPr>
                <w:rFonts w:ascii="Arial"/>
                <w:spacing w:val="-1"/>
                <w:sz w:val="21"/>
              </w:rPr>
              <w:t>6,873,016,135</w:t>
            </w:r>
          </w:p>
        </w:tc>
      </w:tr>
    </w:tbl>
    <w:p>
      <w:pPr>
        <w:spacing w:line="240" w:lineRule="auto" w:before="13"/>
        <w:rPr>
          <w:rFonts w:ascii="宋体" w:hAnsi="宋体" w:cs="宋体" w:eastAsia="宋体" w:hint="default"/>
          <w:sz w:val="13"/>
          <w:szCs w:val="13"/>
        </w:rPr>
      </w:pPr>
    </w:p>
    <w:p>
      <w:pPr>
        <w:pStyle w:val="BodyText"/>
        <w:spacing w:line="232" w:lineRule="auto" w:before="40"/>
        <w:ind w:left="1182" w:right="203" w:hanging="622"/>
        <w:jc w:val="both"/>
      </w:pPr>
      <w:r>
        <w:rPr/>
        <w:t>注</w:t>
      </w:r>
      <w:r>
        <w:rPr>
          <w:spacing w:val="-60"/>
        </w:rPr>
        <w:t> </w:t>
      </w:r>
      <w:r>
        <w:rPr>
          <w:rFonts w:ascii="Arial" w:hAnsi="Arial" w:cs="Arial" w:eastAsia="Arial" w:hint="default"/>
        </w:rPr>
        <w:t>1</w:t>
      </w:r>
      <w:r>
        <w:rPr/>
        <w:t>：根据联通运营公司及所属一家子公司于以前年度与内退员工签署的内退协议，其将在内</w:t>
      </w:r>
      <w:r>
        <w:rPr>
          <w:w w:val="100"/>
        </w:rPr>
        <w:t> </w:t>
      </w:r>
      <w:r>
        <w:rPr>
          <w:spacing w:val="-1"/>
        </w:rPr>
        <w:t>退员工达到国家法定退休年龄前分期支付一定的经济补偿，该等经济补偿已于内退协议</w:t>
      </w:r>
      <w:r>
        <w:rPr>
          <w:w w:val="100"/>
        </w:rPr>
        <w:t> </w:t>
      </w:r>
      <w:r>
        <w:rPr>
          <w:spacing w:val="-1"/>
        </w:rPr>
        <w:t>签署期间折现后分别由联通运营公司及该子公司全额一次性计入签约期间的费用当中。</w:t>
      </w:r>
      <w:r>
        <w:rPr>
          <w:w w:val="100"/>
        </w:rPr>
        <w:t> </w:t>
      </w:r>
      <w:r>
        <w:rPr/>
        <w:t>一年以上应付的部分列示于长期应付职工薪酬（附注五</w:t>
      </w:r>
      <w:r>
        <w:rPr>
          <w:rFonts w:ascii="Arial" w:hAnsi="Arial" w:cs="Arial" w:eastAsia="Arial" w:hint="default"/>
        </w:rPr>
        <w:t>(29)</w:t>
      </w:r>
      <w:r>
        <w:rPr/>
        <w:t>）。</w:t>
      </w:r>
    </w:p>
    <w:p>
      <w:pPr>
        <w:spacing w:line="240" w:lineRule="auto" w:before="2"/>
        <w:rPr>
          <w:rFonts w:ascii="宋体" w:hAnsi="宋体" w:cs="宋体" w:eastAsia="宋体" w:hint="default"/>
          <w:sz w:val="20"/>
          <w:szCs w:val="20"/>
        </w:rPr>
      </w:pPr>
    </w:p>
    <w:p>
      <w:pPr>
        <w:pStyle w:val="BodyText"/>
        <w:spacing w:line="286" w:lineRule="exact"/>
        <w:ind w:left="1146" w:right="109" w:hanging="603"/>
        <w:jc w:val="both"/>
      </w:pPr>
      <w:r>
        <w:rPr/>
        <w:t>注</w:t>
      </w:r>
      <w:r>
        <w:rPr>
          <w:spacing w:val="-13"/>
        </w:rPr>
        <w:t> </w:t>
      </w:r>
      <w:r>
        <w:rPr>
          <w:rFonts w:ascii="Arial" w:hAnsi="Arial" w:cs="Arial" w:eastAsia="Arial" w:hint="default"/>
          <w:spacing w:val="-4"/>
        </w:rPr>
        <w:t>2</w:t>
      </w:r>
      <w:r>
        <w:rPr>
          <w:spacing w:val="-4"/>
        </w:rPr>
        <w:t>：本集团所属个别子公司向职工提供其他离退休后补充福利，主要包括补充退休金津贴，医</w:t>
      </w:r>
      <w:r>
        <w:rPr>
          <w:spacing w:val="-101"/>
        </w:rPr>
        <w:t> </w:t>
      </w:r>
      <w:r>
        <w:rPr>
          <w:spacing w:val="-101"/>
        </w:rPr>
      </w:r>
      <w:r>
        <w:rPr>
          <w:spacing w:val="-4"/>
        </w:rPr>
        <w:t>药费用报销及补充医疗保险，该等离退休后补充福利被视为设定受益计划。设定受益计划</w:t>
      </w:r>
      <w:r>
        <w:rPr>
          <w:w w:val="100"/>
        </w:rPr>
        <w:t> </w:t>
      </w:r>
      <w:r>
        <w:rPr>
          <w:spacing w:val="-4"/>
          <w:w w:val="100"/>
        </w:rPr>
        <w:t>的现值以到期日与有关离退休后补充福利预计支付期相近的政府债券的利率，按估计未来</w:t>
      </w:r>
      <w:r>
        <w:rPr>
          <w:w w:val="100"/>
        </w:rPr>
        <w:t> </w:t>
      </w:r>
      <w:r>
        <w:rPr/>
        <w:t>现金流出折现确定。一年以上应付的部分列示于长期应付职工薪酬（附注五</w:t>
      </w:r>
      <w:r>
        <w:rPr>
          <w:rFonts w:ascii="Arial" w:hAnsi="Arial" w:cs="Arial" w:eastAsia="Arial" w:hint="default"/>
        </w:rPr>
        <w:t>(29)</w:t>
      </w:r>
      <w:r>
        <w:rPr/>
        <w:t>）。</w:t>
      </w:r>
    </w:p>
    <w:p>
      <w:pPr>
        <w:spacing w:after="0" w:line="286" w:lineRule="exact"/>
        <w:jc w:val="both"/>
        <w:sectPr>
          <w:headerReference w:type="default" r:id="rId88"/>
          <w:pgSz w:w="11910" w:h="16840"/>
          <w:pgMar w:header="1185" w:footer="635" w:top="3040" w:bottom="820" w:left="1280" w:right="880"/>
        </w:sectPr>
      </w:pPr>
    </w:p>
    <w:p>
      <w:pPr>
        <w:spacing w:line="240" w:lineRule="auto" w:before="7"/>
        <w:rPr>
          <w:rFonts w:ascii="宋体" w:hAnsi="宋体" w:cs="宋体" w:eastAsia="宋体" w:hint="default"/>
          <w:sz w:val="22"/>
          <w:szCs w:val="22"/>
        </w:rPr>
      </w:pPr>
    </w:p>
    <w:tbl>
      <w:tblPr>
        <w:tblW w:w="0" w:type="auto"/>
        <w:jc w:val="left"/>
        <w:tblInd w:w="394" w:type="dxa"/>
        <w:tblLayout w:type="fixed"/>
        <w:tblCellMar>
          <w:top w:w="0" w:type="dxa"/>
          <w:left w:w="0" w:type="dxa"/>
          <w:bottom w:w="0" w:type="dxa"/>
          <w:right w:w="0" w:type="dxa"/>
        </w:tblCellMar>
        <w:tblLook w:val="01E0"/>
      </w:tblPr>
      <w:tblGrid>
        <w:gridCol w:w="2685"/>
        <w:gridCol w:w="1458"/>
        <w:gridCol w:w="1549"/>
        <w:gridCol w:w="102"/>
        <w:gridCol w:w="1647"/>
        <w:gridCol w:w="107"/>
        <w:gridCol w:w="1637"/>
      </w:tblGrid>
      <w:tr>
        <w:trPr>
          <w:trHeight w:val="523" w:hRule="exact"/>
        </w:trPr>
        <w:tc>
          <w:tcPr>
            <w:tcW w:w="2685"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single" w:sz="6" w:space="0" w:color="000000"/>
              <w:right w:val="nil" w:sz="6" w:space="0" w:color="auto"/>
            </w:tcBorders>
          </w:tcPr>
          <w:p>
            <w:pPr>
              <w:pStyle w:val="TableParagraph"/>
              <w:spacing w:line="218" w:lineRule="exact"/>
              <w:ind w:left="645"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82" w:lineRule="exact"/>
              <w:ind w:left="331"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549"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02" w:type="dxa"/>
            <w:tcBorders>
              <w:top w:val="nil" w:sz="6" w:space="0" w:color="auto"/>
              <w:left w:val="nil" w:sz="6" w:space="0" w:color="auto"/>
              <w:bottom w:val="nil" w:sz="6" w:space="0" w:color="auto"/>
              <w:right w:val="nil" w:sz="6" w:space="0" w:color="auto"/>
            </w:tcBorders>
          </w:tcPr>
          <w:p>
            <w:pPr/>
          </w:p>
        </w:tc>
        <w:tc>
          <w:tcPr>
            <w:tcW w:w="1647"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76"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07"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single" w:sz="6" w:space="0" w:color="000000"/>
              <w:right w:val="nil" w:sz="6" w:space="0" w:color="auto"/>
            </w:tcBorders>
          </w:tcPr>
          <w:p>
            <w:pPr>
              <w:pStyle w:val="TableParagraph"/>
              <w:spacing w:line="218" w:lineRule="exact"/>
              <w:ind w:left="866"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82" w:lineRule="exact"/>
              <w:ind w:left="552"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579"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00" w:right="0"/>
              <w:jc w:val="left"/>
              <w:rPr>
                <w:rFonts w:ascii="宋体" w:hAnsi="宋体" w:cs="宋体" w:eastAsia="宋体" w:hint="default"/>
                <w:sz w:val="20"/>
                <w:szCs w:val="20"/>
              </w:rPr>
            </w:pPr>
            <w:r>
              <w:rPr>
                <w:rFonts w:ascii="宋体" w:hAnsi="宋体" w:cs="宋体" w:eastAsia="宋体" w:hint="default"/>
                <w:sz w:val="20"/>
                <w:szCs w:val="20"/>
              </w:rPr>
              <w:t>工资、奖金、津贴和补贴</w:t>
            </w:r>
          </w:p>
        </w:tc>
        <w:tc>
          <w:tcPr>
            <w:tcW w:w="145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76"/>
              <w:jc w:val="right"/>
              <w:rPr>
                <w:rFonts w:ascii="Arial" w:hAnsi="Arial" w:cs="Arial" w:eastAsia="Arial" w:hint="default"/>
                <w:sz w:val="21"/>
                <w:szCs w:val="21"/>
              </w:rPr>
            </w:pPr>
            <w:r>
              <w:rPr>
                <w:rFonts w:ascii="Arial"/>
                <w:spacing w:val="-1"/>
                <w:sz w:val="21"/>
              </w:rPr>
              <w:t>913,485,213</w:t>
            </w:r>
          </w:p>
        </w:tc>
        <w:tc>
          <w:tcPr>
            <w:tcW w:w="1549"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right"/>
              <w:rPr>
                <w:rFonts w:ascii="Arial" w:hAnsi="Arial" w:cs="Arial" w:eastAsia="Arial" w:hint="default"/>
                <w:sz w:val="21"/>
                <w:szCs w:val="21"/>
              </w:rPr>
            </w:pPr>
            <w:r>
              <w:rPr>
                <w:rFonts w:ascii="Arial"/>
                <w:spacing w:val="-1"/>
                <w:sz w:val="21"/>
              </w:rPr>
              <w:t>24,685,714,934</w:t>
            </w:r>
          </w:p>
        </w:tc>
        <w:tc>
          <w:tcPr>
            <w:tcW w:w="102" w:type="dxa"/>
            <w:tcBorders>
              <w:top w:val="nil" w:sz="6" w:space="0" w:color="auto"/>
              <w:left w:val="nil" w:sz="6" w:space="0" w:color="auto"/>
              <w:bottom w:val="nil" w:sz="6" w:space="0" w:color="auto"/>
              <w:right w:val="nil" w:sz="6" w:space="0" w:color="auto"/>
            </w:tcBorders>
          </w:tcPr>
          <w:p>
            <w:pPr/>
          </w:p>
        </w:tc>
        <w:tc>
          <w:tcPr>
            <w:tcW w:w="1647"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right"/>
              <w:rPr>
                <w:rFonts w:ascii="Arial" w:hAnsi="Arial" w:cs="Arial" w:eastAsia="Arial" w:hint="default"/>
                <w:sz w:val="21"/>
                <w:szCs w:val="21"/>
              </w:rPr>
            </w:pPr>
            <w:r>
              <w:rPr>
                <w:rFonts w:ascii="Arial"/>
                <w:spacing w:val="-1"/>
                <w:sz w:val="21"/>
              </w:rPr>
              <w:t>(23,785,365,915)</w:t>
            </w:r>
          </w:p>
        </w:tc>
        <w:tc>
          <w:tcPr>
            <w:tcW w:w="107" w:type="dxa"/>
            <w:tcBorders>
              <w:top w:val="nil" w:sz="6" w:space="0" w:color="auto"/>
              <w:left w:val="nil" w:sz="6" w:space="0" w:color="auto"/>
              <w:bottom w:val="nil" w:sz="6" w:space="0" w:color="auto"/>
              <w:right w:val="nil" w:sz="6" w:space="0" w:color="auto"/>
            </w:tcBorders>
          </w:tcPr>
          <w:p>
            <w:pPr/>
          </w:p>
        </w:tc>
        <w:tc>
          <w:tcPr>
            <w:tcW w:w="1637"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22"/>
              <w:jc w:val="right"/>
              <w:rPr>
                <w:rFonts w:ascii="Arial" w:hAnsi="Arial" w:cs="Arial" w:eastAsia="Arial" w:hint="default"/>
                <w:sz w:val="21"/>
                <w:szCs w:val="21"/>
              </w:rPr>
            </w:pPr>
            <w:r>
              <w:rPr>
                <w:rFonts w:ascii="Arial"/>
                <w:spacing w:val="-1"/>
                <w:sz w:val="21"/>
              </w:rPr>
              <w:t>1,813,834,232</w:t>
            </w:r>
          </w:p>
        </w:tc>
      </w:tr>
      <w:tr>
        <w:trPr>
          <w:trHeight w:val="259"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宋体" w:hAnsi="宋体" w:cs="宋体" w:eastAsia="宋体" w:hint="default"/>
                <w:sz w:val="20"/>
                <w:szCs w:val="20"/>
              </w:rPr>
            </w:pPr>
            <w:r>
              <w:rPr>
                <w:rFonts w:ascii="宋体" w:hAnsi="宋体" w:cs="宋体" w:eastAsia="宋体" w:hint="default"/>
                <w:sz w:val="20"/>
                <w:szCs w:val="20"/>
              </w:rPr>
              <w:t>职工福利费</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4"/>
              <w:jc w:val="right"/>
              <w:rPr>
                <w:rFonts w:ascii="Arial" w:hAnsi="Arial" w:cs="Arial" w:eastAsia="Arial" w:hint="default"/>
                <w:sz w:val="21"/>
                <w:szCs w:val="21"/>
              </w:rPr>
            </w:pPr>
            <w:r>
              <w:rPr>
                <w:rFonts w:ascii="Arial"/>
                <w:w w:val="100"/>
                <w:sz w:val="21"/>
              </w:rPr>
              <w:t>-</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Arial" w:hAnsi="Arial" w:cs="Arial" w:eastAsia="Arial" w:hint="default"/>
                <w:sz w:val="21"/>
                <w:szCs w:val="21"/>
              </w:rPr>
            </w:pPr>
            <w:r>
              <w:rPr>
                <w:rFonts w:ascii="Arial"/>
                <w:spacing w:val="-1"/>
                <w:sz w:val="21"/>
              </w:rPr>
              <w:t>1,070,618,230</w:t>
            </w:r>
          </w:p>
        </w:tc>
        <w:tc>
          <w:tcPr>
            <w:tcW w:w="102" w:type="dxa"/>
            <w:tcBorders>
              <w:top w:val="nil" w:sz="6" w:space="0" w:color="auto"/>
              <w:left w:val="nil" w:sz="6" w:space="0" w:color="auto"/>
              <w:bottom w:val="nil" w:sz="6" w:space="0" w:color="auto"/>
              <w:right w:val="nil" w:sz="6" w:space="0" w:color="auto"/>
            </w:tcBorders>
          </w:tcPr>
          <w:p>
            <w:pP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Arial" w:hAnsi="Arial" w:cs="Arial" w:eastAsia="Arial" w:hint="default"/>
                <w:sz w:val="21"/>
                <w:szCs w:val="21"/>
              </w:rPr>
            </w:pPr>
            <w:r>
              <w:rPr>
                <w:rFonts w:ascii="Arial"/>
                <w:spacing w:val="-1"/>
                <w:sz w:val="21"/>
              </w:rPr>
              <w:t>(1,070,618,230)</w:t>
            </w:r>
          </w:p>
        </w:tc>
        <w:tc>
          <w:tcPr>
            <w:tcW w:w="107"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3"/>
              <w:jc w:val="right"/>
              <w:rPr>
                <w:rFonts w:ascii="Arial" w:hAnsi="Arial" w:cs="Arial" w:eastAsia="Arial" w:hint="default"/>
                <w:sz w:val="21"/>
                <w:szCs w:val="21"/>
              </w:rPr>
            </w:pPr>
            <w:r>
              <w:rPr>
                <w:rFonts w:ascii="Arial"/>
                <w:w w:val="100"/>
                <w:sz w:val="21"/>
              </w:rPr>
              <w:t>-</w:t>
            </w:r>
          </w:p>
        </w:tc>
      </w:tr>
      <w:tr>
        <w:trPr>
          <w:trHeight w:val="260"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宋体" w:hAnsi="宋体" w:cs="宋体" w:eastAsia="宋体" w:hint="default"/>
                <w:sz w:val="20"/>
                <w:szCs w:val="20"/>
              </w:rPr>
            </w:pPr>
            <w:r>
              <w:rPr>
                <w:rFonts w:ascii="宋体" w:hAnsi="宋体" w:cs="宋体" w:eastAsia="宋体" w:hint="default"/>
                <w:sz w:val="20"/>
                <w:szCs w:val="20"/>
              </w:rPr>
              <w:t>社会保险费</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6"/>
              <w:jc w:val="right"/>
              <w:rPr>
                <w:rFonts w:ascii="Arial" w:hAnsi="Arial" w:cs="Arial" w:eastAsia="Arial" w:hint="default"/>
                <w:sz w:val="21"/>
                <w:szCs w:val="21"/>
              </w:rPr>
            </w:pPr>
            <w:r>
              <w:rPr>
                <w:rFonts w:ascii="Arial"/>
                <w:spacing w:val="-1"/>
                <w:sz w:val="21"/>
              </w:rPr>
              <w:t>62,507,827</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Arial" w:hAnsi="Arial" w:cs="Arial" w:eastAsia="Arial" w:hint="default"/>
                <w:sz w:val="21"/>
                <w:szCs w:val="21"/>
              </w:rPr>
            </w:pPr>
            <w:r>
              <w:rPr>
                <w:rFonts w:ascii="Arial"/>
                <w:spacing w:val="-1"/>
                <w:sz w:val="21"/>
              </w:rPr>
              <w:t>1,755,418,746</w:t>
            </w:r>
          </w:p>
        </w:tc>
        <w:tc>
          <w:tcPr>
            <w:tcW w:w="102" w:type="dxa"/>
            <w:tcBorders>
              <w:top w:val="nil" w:sz="6" w:space="0" w:color="auto"/>
              <w:left w:val="nil" w:sz="6" w:space="0" w:color="auto"/>
              <w:bottom w:val="nil" w:sz="6" w:space="0" w:color="auto"/>
              <w:right w:val="nil" w:sz="6" w:space="0" w:color="auto"/>
            </w:tcBorders>
          </w:tcPr>
          <w:p>
            <w:pP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Arial" w:hAnsi="Arial" w:cs="Arial" w:eastAsia="Arial" w:hint="default"/>
                <w:sz w:val="21"/>
                <w:szCs w:val="21"/>
              </w:rPr>
            </w:pPr>
            <w:r>
              <w:rPr>
                <w:rFonts w:ascii="Arial"/>
                <w:spacing w:val="-1"/>
                <w:sz w:val="21"/>
              </w:rPr>
              <w:t>(1,760,069,205)</w:t>
            </w:r>
          </w:p>
        </w:tc>
        <w:tc>
          <w:tcPr>
            <w:tcW w:w="107"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2"/>
              <w:jc w:val="right"/>
              <w:rPr>
                <w:rFonts w:ascii="Arial" w:hAnsi="Arial" w:cs="Arial" w:eastAsia="Arial" w:hint="default"/>
                <w:sz w:val="21"/>
                <w:szCs w:val="21"/>
              </w:rPr>
            </w:pPr>
            <w:r>
              <w:rPr>
                <w:rFonts w:ascii="Arial"/>
                <w:spacing w:val="-1"/>
                <w:sz w:val="21"/>
              </w:rPr>
              <w:t>57,857,368</w:t>
            </w:r>
          </w:p>
        </w:tc>
      </w:tr>
      <w:tr>
        <w:trPr>
          <w:trHeight w:val="259"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宋体" w:hAnsi="宋体" w:cs="宋体" w:eastAsia="宋体" w:hint="default"/>
                <w:sz w:val="20"/>
                <w:szCs w:val="20"/>
              </w:rPr>
            </w:pPr>
            <w:r>
              <w:rPr>
                <w:rFonts w:ascii="宋体" w:hAnsi="宋体" w:cs="宋体" w:eastAsia="宋体" w:hint="default"/>
                <w:sz w:val="20"/>
                <w:szCs w:val="20"/>
              </w:rPr>
              <w:t>其中：医疗保险费</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6"/>
              <w:jc w:val="right"/>
              <w:rPr>
                <w:rFonts w:ascii="Arial" w:hAnsi="Arial" w:cs="Arial" w:eastAsia="Arial" w:hint="default"/>
                <w:sz w:val="21"/>
                <w:szCs w:val="21"/>
              </w:rPr>
            </w:pPr>
            <w:r>
              <w:rPr>
                <w:rFonts w:ascii="Arial"/>
                <w:spacing w:val="-1"/>
                <w:sz w:val="21"/>
              </w:rPr>
              <w:t>47,830,673</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21"/>
                <w:szCs w:val="21"/>
              </w:rPr>
            </w:pPr>
            <w:r>
              <w:rPr>
                <w:rFonts w:ascii="Arial"/>
                <w:spacing w:val="-1"/>
                <w:sz w:val="21"/>
              </w:rPr>
              <w:t>1,526,311,815</w:t>
            </w:r>
          </w:p>
        </w:tc>
        <w:tc>
          <w:tcPr>
            <w:tcW w:w="102" w:type="dxa"/>
            <w:tcBorders>
              <w:top w:val="nil" w:sz="6" w:space="0" w:color="auto"/>
              <w:left w:val="nil" w:sz="6" w:space="0" w:color="auto"/>
              <w:bottom w:val="nil" w:sz="6" w:space="0" w:color="auto"/>
              <w:right w:val="nil" w:sz="6" w:space="0" w:color="auto"/>
            </w:tcBorders>
          </w:tcPr>
          <w:p>
            <w:pP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21"/>
                <w:szCs w:val="21"/>
              </w:rPr>
            </w:pPr>
            <w:r>
              <w:rPr>
                <w:rFonts w:ascii="Arial"/>
                <w:spacing w:val="-1"/>
                <w:sz w:val="21"/>
              </w:rPr>
              <w:t>(1,529,946,345)</w:t>
            </w:r>
          </w:p>
        </w:tc>
        <w:tc>
          <w:tcPr>
            <w:tcW w:w="107"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2"/>
              <w:jc w:val="right"/>
              <w:rPr>
                <w:rFonts w:ascii="Arial" w:hAnsi="Arial" w:cs="Arial" w:eastAsia="Arial" w:hint="default"/>
                <w:sz w:val="21"/>
                <w:szCs w:val="21"/>
              </w:rPr>
            </w:pPr>
            <w:r>
              <w:rPr>
                <w:rFonts w:ascii="Arial"/>
                <w:spacing w:val="-1"/>
                <w:sz w:val="21"/>
              </w:rPr>
              <w:t>44,196,143</w:t>
            </w:r>
          </w:p>
        </w:tc>
      </w:tr>
      <w:tr>
        <w:trPr>
          <w:trHeight w:val="259"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18" w:lineRule="exact"/>
              <w:ind w:left="826" w:right="0"/>
              <w:jc w:val="left"/>
              <w:rPr>
                <w:rFonts w:ascii="宋体" w:hAnsi="宋体" w:cs="宋体" w:eastAsia="宋体" w:hint="default"/>
                <w:sz w:val="20"/>
                <w:szCs w:val="20"/>
              </w:rPr>
            </w:pPr>
            <w:r>
              <w:rPr>
                <w:rFonts w:ascii="宋体" w:hAnsi="宋体" w:cs="宋体" w:eastAsia="宋体" w:hint="default"/>
                <w:sz w:val="20"/>
                <w:szCs w:val="20"/>
              </w:rPr>
              <w:t>工伤保险费</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8"/>
              <w:jc w:val="right"/>
              <w:rPr>
                <w:rFonts w:ascii="Arial" w:hAnsi="Arial" w:cs="Arial" w:eastAsia="Arial" w:hint="default"/>
                <w:sz w:val="21"/>
                <w:szCs w:val="21"/>
              </w:rPr>
            </w:pPr>
            <w:r>
              <w:rPr>
                <w:rFonts w:ascii="Arial"/>
                <w:spacing w:val="-1"/>
                <w:sz w:val="21"/>
              </w:rPr>
              <w:t>4,680,125</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21"/>
                <w:szCs w:val="21"/>
              </w:rPr>
            </w:pPr>
            <w:r>
              <w:rPr>
                <w:rFonts w:ascii="Arial"/>
                <w:spacing w:val="-1"/>
                <w:sz w:val="21"/>
              </w:rPr>
              <w:t>98,595,659</w:t>
            </w:r>
          </w:p>
        </w:tc>
        <w:tc>
          <w:tcPr>
            <w:tcW w:w="102" w:type="dxa"/>
            <w:tcBorders>
              <w:top w:val="nil" w:sz="6" w:space="0" w:color="auto"/>
              <w:left w:val="nil" w:sz="6" w:space="0" w:color="auto"/>
              <w:bottom w:val="nil" w:sz="6" w:space="0" w:color="auto"/>
              <w:right w:val="nil" w:sz="6" w:space="0" w:color="auto"/>
            </w:tcBorders>
          </w:tcPr>
          <w:p>
            <w:pP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21"/>
                <w:szCs w:val="21"/>
              </w:rPr>
            </w:pPr>
            <w:r>
              <w:rPr>
                <w:rFonts w:ascii="Arial"/>
                <w:spacing w:val="-1"/>
                <w:sz w:val="21"/>
              </w:rPr>
              <w:t>(99,328,082)</w:t>
            </w:r>
          </w:p>
        </w:tc>
        <w:tc>
          <w:tcPr>
            <w:tcW w:w="107"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2"/>
              <w:jc w:val="right"/>
              <w:rPr>
                <w:rFonts w:ascii="Arial" w:hAnsi="Arial" w:cs="Arial" w:eastAsia="Arial" w:hint="default"/>
                <w:sz w:val="21"/>
                <w:szCs w:val="21"/>
              </w:rPr>
            </w:pPr>
            <w:r>
              <w:rPr>
                <w:rFonts w:ascii="Arial"/>
                <w:spacing w:val="-1"/>
                <w:sz w:val="21"/>
              </w:rPr>
              <w:t>3,947,702</w:t>
            </w:r>
          </w:p>
        </w:tc>
      </w:tr>
      <w:tr>
        <w:trPr>
          <w:trHeight w:val="259"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18" w:lineRule="exact"/>
              <w:ind w:left="826" w:right="0"/>
              <w:jc w:val="left"/>
              <w:rPr>
                <w:rFonts w:ascii="宋体" w:hAnsi="宋体" w:cs="宋体" w:eastAsia="宋体" w:hint="default"/>
                <w:sz w:val="20"/>
                <w:szCs w:val="20"/>
              </w:rPr>
            </w:pPr>
            <w:r>
              <w:rPr>
                <w:rFonts w:ascii="宋体" w:hAnsi="宋体" w:cs="宋体" w:eastAsia="宋体" w:hint="default"/>
                <w:sz w:val="20"/>
                <w:szCs w:val="20"/>
              </w:rPr>
              <w:t>生育保险费</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8"/>
              <w:jc w:val="right"/>
              <w:rPr>
                <w:rFonts w:ascii="Arial" w:hAnsi="Arial" w:cs="Arial" w:eastAsia="Arial" w:hint="default"/>
                <w:sz w:val="21"/>
                <w:szCs w:val="21"/>
              </w:rPr>
            </w:pPr>
            <w:r>
              <w:rPr>
                <w:rFonts w:ascii="Arial"/>
                <w:spacing w:val="-1"/>
                <w:sz w:val="21"/>
              </w:rPr>
              <w:t>7,070,430</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21"/>
                <w:szCs w:val="21"/>
              </w:rPr>
            </w:pPr>
            <w:r>
              <w:rPr>
                <w:rFonts w:ascii="Arial"/>
                <w:spacing w:val="-1"/>
                <w:sz w:val="21"/>
              </w:rPr>
              <w:t>125,196,800</w:t>
            </w:r>
          </w:p>
        </w:tc>
        <w:tc>
          <w:tcPr>
            <w:tcW w:w="102" w:type="dxa"/>
            <w:tcBorders>
              <w:top w:val="nil" w:sz="6" w:space="0" w:color="auto"/>
              <w:left w:val="nil" w:sz="6" w:space="0" w:color="auto"/>
              <w:bottom w:val="nil" w:sz="6" w:space="0" w:color="auto"/>
              <w:right w:val="nil" w:sz="6" w:space="0" w:color="auto"/>
            </w:tcBorders>
          </w:tcPr>
          <w:p>
            <w:pP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21"/>
                <w:szCs w:val="21"/>
              </w:rPr>
            </w:pPr>
            <w:r>
              <w:rPr>
                <w:rFonts w:ascii="Arial"/>
                <w:spacing w:val="-1"/>
                <w:sz w:val="21"/>
              </w:rPr>
              <w:t>(125,110,223)</w:t>
            </w:r>
          </w:p>
        </w:tc>
        <w:tc>
          <w:tcPr>
            <w:tcW w:w="107"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2"/>
              <w:jc w:val="right"/>
              <w:rPr>
                <w:rFonts w:ascii="Arial" w:hAnsi="Arial" w:cs="Arial" w:eastAsia="Arial" w:hint="default"/>
                <w:sz w:val="21"/>
                <w:szCs w:val="21"/>
              </w:rPr>
            </w:pPr>
            <w:r>
              <w:rPr>
                <w:rFonts w:ascii="Arial"/>
                <w:spacing w:val="-1"/>
                <w:sz w:val="21"/>
              </w:rPr>
              <w:t>7,157,007</w:t>
            </w:r>
          </w:p>
        </w:tc>
      </w:tr>
      <w:tr>
        <w:trPr>
          <w:trHeight w:val="272"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8"/>
              <w:jc w:val="right"/>
              <w:rPr>
                <w:rFonts w:ascii="Arial" w:hAnsi="Arial" w:cs="Arial" w:eastAsia="Arial" w:hint="default"/>
                <w:sz w:val="21"/>
                <w:szCs w:val="21"/>
              </w:rPr>
            </w:pPr>
            <w:r>
              <w:rPr>
                <w:rFonts w:ascii="Arial"/>
                <w:spacing w:val="-1"/>
                <w:sz w:val="21"/>
              </w:rPr>
              <w:t>61,796,849</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right"/>
              <w:rPr>
                <w:rFonts w:ascii="Arial" w:hAnsi="Arial" w:cs="Arial" w:eastAsia="Arial" w:hint="default"/>
                <w:sz w:val="21"/>
                <w:szCs w:val="21"/>
              </w:rPr>
            </w:pPr>
            <w:r>
              <w:rPr>
                <w:rFonts w:ascii="Arial"/>
                <w:spacing w:val="-1"/>
                <w:sz w:val="21"/>
              </w:rPr>
              <w:t>2,125,406,865</w:t>
            </w:r>
          </w:p>
        </w:tc>
        <w:tc>
          <w:tcPr>
            <w:tcW w:w="102" w:type="dxa"/>
            <w:tcBorders>
              <w:top w:val="nil" w:sz="6" w:space="0" w:color="auto"/>
              <w:left w:val="nil" w:sz="6" w:space="0" w:color="auto"/>
              <w:bottom w:val="nil" w:sz="6" w:space="0" w:color="auto"/>
              <w:right w:val="nil" w:sz="6" w:space="0" w:color="auto"/>
            </w:tcBorders>
          </w:tcPr>
          <w:p>
            <w:pP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right"/>
              <w:rPr>
                <w:rFonts w:ascii="Arial" w:hAnsi="Arial" w:cs="Arial" w:eastAsia="Arial" w:hint="default"/>
                <w:sz w:val="21"/>
                <w:szCs w:val="21"/>
              </w:rPr>
            </w:pPr>
            <w:r>
              <w:rPr>
                <w:rFonts w:ascii="Arial"/>
                <w:spacing w:val="-1"/>
                <w:sz w:val="21"/>
              </w:rPr>
              <w:t>(2,120,464,549)</w:t>
            </w:r>
          </w:p>
        </w:tc>
        <w:tc>
          <w:tcPr>
            <w:tcW w:w="107"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2"/>
              <w:jc w:val="right"/>
              <w:rPr>
                <w:rFonts w:ascii="Arial" w:hAnsi="Arial" w:cs="Arial" w:eastAsia="Arial" w:hint="default"/>
                <w:sz w:val="21"/>
                <w:szCs w:val="21"/>
              </w:rPr>
            </w:pPr>
            <w:r>
              <w:rPr>
                <w:rFonts w:ascii="Arial"/>
                <w:spacing w:val="-1"/>
                <w:sz w:val="21"/>
              </w:rPr>
              <w:t>66,739,165</w:t>
            </w:r>
          </w:p>
        </w:tc>
      </w:tr>
      <w:tr>
        <w:trPr>
          <w:trHeight w:val="273"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31" w:lineRule="exact"/>
              <w:ind w:left="200" w:right="0"/>
              <w:jc w:val="left"/>
              <w:rPr>
                <w:rFonts w:ascii="宋体" w:hAnsi="宋体" w:cs="宋体" w:eastAsia="宋体" w:hint="default"/>
                <w:sz w:val="21"/>
                <w:szCs w:val="21"/>
              </w:rPr>
            </w:pPr>
            <w:r>
              <w:rPr>
                <w:rFonts w:ascii="宋体" w:hAnsi="宋体" w:cs="宋体" w:eastAsia="宋体" w:hint="default"/>
                <w:sz w:val="21"/>
                <w:szCs w:val="21"/>
              </w:rPr>
              <w:t>工会经费和职工教育经费</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6"/>
              <w:jc w:val="right"/>
              <w:rPr>
                <w:rFonts w:ascii="Arial" w:hAnsi="Arial" w:cs="Arial" w:eastAsia="Arial" w:hint="default"/>
                <w:sz w:val="21"/>
                <w:szCs w:val="21"/>
              </w:rPr>
            </w:pPr>
            <w:r>
              <w:rPr>
                <w:rFonts w:ascii="Arial"/>
                <w:spacing w:val="-1"/>
                <w:sz w:val="21"/>
              </w:rPr>
              <w:t>207,085,370</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right"/>
              <w:rPr>
                <w:rFonts w:ascii="Arial" w:hAnsi="Arial" w:cs="Arial" w:eastAsia="Arial" w:hint="default"/>
                <w:sz w:val="21"/>
                <w:szCs w:val="21"/>
              </w:rPr>
            </w:pPr>
            <w:r>
              <w:rPr>
                <w:rFonts w:ascii="Arial"/>
                <w:spacing w:val="-1"/>
                <w:sz w:val="21"/>
              </w:rPr>
              <w:t>777,589,943</w:t>
            </w:r>
          </w:p>
        </w:tc>
        <w:tc>
          <w:tcPr>
            <w:tcW w:w="102" w:type="dxa"/>
            <w:tcBorders>
              <w:top w:val="nil" w:sz="6" w:space="0" w:color="auto"/>
              <w:left w:val="nil" w:sz="6" w:space="0" w:color="auto"/>
              <w:bottom w:val="nil" w:sz="6" w:space="0" w:color="auto"/>
              <w:right w:val="nil" w:sz="6" w:space="0" w:color="auto"/>
            </w:tcBorders>
          </w:tcPr>
          <w:p>
            <w:pP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right"/>
              <w:rPr>
                <w:rFonts w:ascii="Arial" w:hAnsi="Arial" w:cs="Arial" w:eastAsia="Arial" w:hint="default"/>
                <w:sz w:val="21"/>
                <w:szCs w:val="21"/>
              </w:rPr>
            </w:pPr>
            <w:r>
              <w:rPr>
                <w:rFonts w:ascii="Arial"/>
                <w:spacing w:val="-1"/>
                <w:sz w:val="21"/>
              </w:rPr>
              <w:t>(690,615,982)</w:t>
            </w:r>
          </w:p>
        </w:tc>
        <w:tc>
          <w:tcPr>
            <w:tcW w:w="107"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2"/>
              <w:jc w:val="right"/>
              <w:rPr>
                <w:rFonts w:ascii="Arial" w:hAnsi="Arial" w:cs="Arial" w:eastAsia="Arial" w:hint="default"/>
                <w:sz w:val="21"/>
                <w:szCs w:val="21"/>
              </w:rPr>
            </w:pPr>
            <w:r>
              <w:rPr>
                <w:rFonts w:ascii="Arial"/>
                <w:spacing w:val="-1"/>
                <w:sz w:val="21"/>
              </w:rPr>
              <w:t>294,059,331</w:t>
            </w:r>
          </w:p>
        </w:tc>
      </w:tr>
      <w:tr>
        <w:trPr>
          <w:trHeight w:val="259"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33" w:lineRule="exact"/>
              <w:ind w:left="200" w:right="0"/>
              <w:jc w:val="left"/>
              <w:rPr>
                <w:rFonts w:ascii="宋体" w:hAnsi="宋体" w:cs="宋体" w:eastAsia="宋体" w:hint="default"/>
                <w:sz w:val="20"/>
                <w:szCs w:val="20"/>
              </w:rPr>
            </w:pPr>
            <w:r>
              <w:rPr>
                <w:rFonts w:ascii="宋体" w:hAnsi="宋体" w:cs="宋体" w:eastAsia="宋体" w:hint="default"/>
                <w:w w:val="99"/>
                <w:sz w:val="20"/>
                <w:szCs w:val="20"/>
              </w:rPr>
              <w:t>一次性</w:t>
            </w:r>
            <w:r>
              <w:rPr>
                <w:rFonts w:ascii="宋体" w:hAnsi="宋体" w:cs="宋体" w:eastAsia="宋体" w:hint="default"/>
                <w:spacing w:val="2"/>
                <w:w w:val="99"/>
                <w:sz w:val="20"/>
                <w:szCs w:val="20"/>
              </w:rPr>
              <w:t>货</w:t>
            </w:r>
            <w:r>
              <w:rPr>
                <w:rFonts w:ascii="宋体" w:hAnsi="宋体" w:cs="宋体" w:eastAsia="宋体" w:hint="default"/>
                <w:w w:val="99"/>
                <w:sz w:val="20"/>
                <w:szCs w:val="20"/>
              </w:rPr>
              <w:t>币住</w:t>
            </w:r>
            <w:r>
              <w:rPr>
                <w:rFonts w:ascii="宋体" w:hAnsi="宋体" w:cs="宋体" w:eastAsia="宋体" w:hint="default"/>
                <w:spacing w:val="2"/>
                <w:w w:val="99"/>
                <w:sz w:val="20"/>
                <w:szCs w:val="20"/>
              </w:rPr>
              <w:t>房</w:t>
            </w:r>
            <w:r>
              <w:rPr>
                <w:rFonts w:ascii="宋体" w:hAnsi="宋体" w:cs="宋体" w:eastAsia="宋体" w:hint="default"/>
                <w:w w:val="99"/>
                <w:sz w:val="20"/>
                <w:szCs w:val="20"/>
              </w:rPr>
              <w:t>补</w:t>
            </w:r>
            <w:r>
              <w:rPr>
                <w:rFonts w:ascii="宋体" w:hAnsi="宋体" w:cs="宋体" w:eastAsia="宋体" w:hint="default"/>
                <w:spacing w:val="-99"/>
                <w:w w:val="99"/>
                <w:sz w:val="20"/>
                <w:szCs w:val="20"/>
              </w:rPr>
              <w:t>贴</w:t>
            </w:r>
            <w:r>
              <w:rPr>
                <w:rFonts w:ascii="宋体" w:hAnsi="宋体" w:cs="宋体" w:eastAsia="宋体" w:hint="default"/>
                <w:w w:val="99"/>
                <w:sz w:val="20"/>
                <w:szCs w:val="20"/>
              </w:rPr>
              <w:t>（注</w:t>
            </w:r>
            <w:r>
              <w:rPr>
                <w:rFonts w:ascii="宋体" w:hAnsi="宋体" w:cs="宋体" w:eastAsia="宋体" w:hint="default"/>
                <w:spacing w:val="-71"/>
                <w:sz w:val="20"/>
                <w:szCs w:val="20"/>
              </w:rPr>
              <w:t> </w:t>
            </w:r>
            <w:r>
              <w:rPr>
                <w:rFonts w:ascii="Arial" w:hAnsi="Arial" w:cs="Arial" w:eastAsia="Arial" w:hint="default"/>
                <w:spacing w:val="2"/>
                <w:w w:val="99"/>
                <w:sz w:val="20"/>
                <w:szCs w:val="20"/>
              </w:rPr>
              <w:t>1</w:t>
            </w:r>
            <w:r>
              <w:rPr>
                <w:rFonts w:ascii="宋体" w:hAnsi="宋体" w:cs="宋体" w:eastAsia="宋体" w:hint="default"/>
                <w:w w:val="99"/>
                <w:sz w:val="20"/>
                <w:szCs w:val="20"/>
              </w:rPr>
              <w:t>）</w:t>
            </w:r>
            <w:r>
              <w:rPr>
                <w:rFonts w:ascii="宋体" w:hAnsi="宋体" w:cs="宋体" w:eastAsia="宋体" w:hint="default"/>
                <w:sz w:val="20"/>
                <w:szCs w:val="20"/>
              </w:rPr>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8"/>
              <w:jc w:val="right"/>
              <w:rPr>
                <w:rFonts w:ascii="Arial" w:hAnsi="Arial" w:cs="Arial" w:eastAsia="Arial" w:hint="default"/>
                <w:sz w:val="21"/>
                <w:szCs w:val="21"/>
              </w:rPr>
            </w:pPr>
            <w:r>
              <w:rPr>
                <w:rFonts w:ascii="Arial"/>
                <w:spacing w:val="-1"/>
                <w:sz w:val="21"/>
              </w:rPr>
              <w:t>2,508,341,201</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21"/>
                <w:szCs w:val="21"/>
              </w:rPr>
            </w:pPr>
            <w:r>
              <w:rPr>
                <w:rFonts w:ascii="Arial"/>
                <w:w w:val="100"/>
                <w:sz w:val="21"/>
              </w:rPr>
              <w:t>-</w:t>
            </w:r>
          </w:p>
        </w:tc>
        <w:tc>
          <w:tcPr>
            <w:tcW w:w="102" w:type="dxa"/>
            <w:tcBorders>
              <w:top w:val="nil" w:sz="6" w:space="0" w:color="auto"/>
              <w:left w:val="nil" w:sz="6" w:space="0" w:color="auto"/>
              <w:bottom w:val="nil" w:sz="6" w:space="0" w:color="auto"/>
              <w:right w:val="nil" w:sz="6" w:space="0" w:color="auto"/>
            </w:tcBorders>
          </w:tcPr>
          <w:p>
            <w:pP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21"/>
                <w:szCs w:val="21"/>
              </w:rPr>
            </w:pPr>
            <w:r>
              <w:rPr>
                <w:rFonts w:ascii="Arial"/>
                <w:spacing w:val="-1"/>
                <w:sz w:val="21"/>
              </w:rPr>
              <w:t>(6,470,430)</w:t>
            </w:r>
          </w:p>
        </w:tc>
        <w:tc>
          <w:tcPr>
            <w:tcW w:w="107"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4"/>
              <w:jc w:val="right"/>
              <w:rPr>
                <w:rFonts w:ascii="Arial" w:hAnsi="Arial" w:cs="Arial" w:eastAsia="Arial" w:hint="default"/>
                <w:sz w:val="21"/>
                <w:szCs w:val="21"/>
              </w:rPr>
            </w:pPr>
            <w:r>
              <w:rPr>
                <w:rFonts w:ascii="Arial"/>
                <w:spacing w:val="-1"/>
                <w:sz w:val="21"/>
              </w:rPr>
              <w:t>2,501,870,771</w:t>
            </w:r>
          </w:p>
        </w:tc>
      </w:tr>
      <w:tr>
        <w:trPr>
          <w:trHeight w:val="388"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19" w:lineRule="exact"/>
              <w:ind w:left="200" w:right="0"/>
              <w:jc w:val="left"/>
              <w:rPr>
                <w:rFonts w:ascii="宋体" w:hAnsi="宋体" w:cs="宋体" w:eastAsia="宋体" w:hint="default"/>
                <w:sz w:val="20"/>
                <w:szCs w:val="20"/>
              </w:rPr>
            </w:pPr>
            <w:r>
              <w:rPr>
                <w:rFonts w:ascii="宋体" w:hAnsi="宋体" w:cs="宋体" w:eastAsia="宋体" w:hint="default"/>
                <w:sz w:val="20"/>
                <w:szCs w:val="20"/>
              </w:rPr>
              <w:t>其他短期薪酬</w:t>
            </w:r>
          </w:p>
        </w:tc>
        <w:tc>
          <w:tcPr>
            <w:tcW w:w="1458"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3"/>
              <w:ind w:right="76"/>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33,098,648</w:t>
            </w:r>
            <w:r>
              <w:rPr>
                <w:rFonts w:ascii="Arial"/>
                <w:spacing w:val="-1"/>
                <w:sz w:val="21"/>
              </w:rPr>
            </w:r>
          </w:p>
        </w:tc>
        <w:tc>
          <w:tcPr>
            <w:tcW w:w="1549"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40" w:lineRule="auto" w:before="3"/>
              <w:ind w:right="22"/>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310,152,301</w:t>
            </w:r>
            <w:r>
              <w:rPr>
                <w:rFonts w:ascii="Arial"/>
                <w:spacing w:val="-1"/>
                <w:sz w:val="21"/>
              </w:rPr>
            </w:r>
          </w:p>
        </w:tc>
        <w:tc>
          <w:tcPr>
            <w:tcW w:w="102" w:type="dxa"/>
            <w:tcBorders>
              <w:top w:val="nil" w:sz="6" w:space="0" w:color="auto"/>
              <w:left w:val="nil" w:sz="6" w:space="0" w:color="auto"/>
              <w:bottom w:val="nil" w:sz="6" w:space="0" w:color="auto"/>
              <w:right w:val="nil" w:sz="6" w:space="0" w:color="auto"/>
            </w:tcBorders>
          </w:tcPr>
          <w:p>
            <w:pPr/>
          </w:p>
        </w:tc>
        <w:tc>
          <w:tcPr>
            <w:tcW w:w="1647" w:type="dxa"/>
            <w:tcBorders>
              <w:top w:val="nil" w:sz="6" w:space="0" w:color="auto"/>
              <w:left w:val="nil" w:sz="6" w:space="0" w:color="auto"/>
              <w:bottom w:val="nil" w:sz="6" w:space="0" w:color="auto"/>
              <w:right w:val="nil" w:sz="6" w:space="0" w:color="auto"/>
            </w:tcBorders>
          </w:tcPr>
          <w:p>
            <w:pPr>
              <w:pStyle w:val="TableParagraph"/>
              <w:tabs>
                <w:tab w:pos="333" w:val="left" w:leader="none"/>
              </w:tabs>
              <w:spacing w:line="240" w:lineRule="auto" w:before="3"/>
              <w:ind w:left="-10" w:right="2"/>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(317,814,431)</w:t>
            </w:r>
            <w:r>
              <w:rPr>
                <w:rFonts w:ascii="Arial"/>
                <w:spacing w:val="-1"/>
                <w:sz w:val="21"/>
              </w:rPr>
            </w:r>
          </w:p>
        </w:tc>
        <w:tc>
          <w:tcPr>
            <w:tcW w:w="107"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tabs>
                <w:tab w:pos="559" w:val="left" w:leader="none"/>
              </w:tabs>
              <w:spacing w:line="240" w:lineRule="auto" w:before="3"/>
              <w:ind w:right="22"/>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25,436,518</w:t>
            </w:r>
            <w:r>
              <w:rPr>
                <w:rFonts w:ascii="Arial"/>
                <w:spacing w:val="-1"/>
                <w:sz w:val="21"/>
              </w:rPr>
            </w:r>
          </w:p>
        </w:tc>
      </w:tr>
      <w:tr>
        <w:trPr>
          <w:trHeight w:val="400"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458" w:type="dxa"/>
            <w:tcBorders>
              <w:top w:val="nil" w:sz="6" w:space="0" w:color="auto"/>
              <w:left w:val="nil" w:sz="6" w:space="0" w:color="auto"/>
              <w:bottom w:val="single" w:sz="17" w:space="0" w:color="000000"/>
              <w:right w:val="nil" w:sz="6" w:space="0" w:color="auto"/>
            </w:tcBorders>
          </w:tcPr>
          <w:p>
            <w:pPr>
              <w:pStyle w:val="TableParagraph"/>
              <w:spacing w:line="240" w:lineRule="auto" w:before="131"/>
              <w:ind w:right="76"/>
              <w:jc w:val="right"/>
              <w:rPr>
                <w:rFonts w:ascii="Arial" w:hAnsi="Arial" w:cs="Arial" w:eastAsia="Arial" w:hint="default"/>
                <w:sz w:val="21"/>
                <w:szCs w:val="21"/>
              </w:rPr>
            </w:pPr>
            <w:r>
              <w:rPr>
                <w:rFonts w:ascii="Arial"/>
                <w:spacing w:val="-1"/>
                <w:sz w:val="21"/>
              </w:rPr>
              <w:t>3,786,315,108</w:t>
            </w:r>
          </w:p>
        </w:tc>
        <w:tc>
          <w:tcPr>
            <w:tcW w:w="1549" w:type="dxa"/>
            <w:tcBorders>
              <w:top w:val="nil" w:sz="6" w:space="0" w:color="auto"/>
              <w:left w:val="nil" w:sz="6" w:space="0" w:color="auto"/>
              <w:bottom w:val="single" w:sz="17" w:space="0" w:color="000000"/>
              <w:right w:val="nil" w:sz="6" w:space="0" w:color="auto"/>
            </w:tcBorders>
          </w:tcPr>
          <w:p>
            <w:pPr>
              <w:pStyle w:val="TableParagraph"/>
              <w:spacing w:line="240" w:lineRule="auto" w:before="131"/>
              <w:ind w:right="7"/>
              <w:jc w:val="right"/>
              <w:rPr>
                <w:rFonts w:ascii="Arial" w:hAnsi="Arial" w:cs="Arial" w:eastAsia="Arial" w:hint="default"/>
                <w:sz w:val="21"/>
                <w:szCs w:val="21"/>
              </w:rPr>
            </w:pPr>
            <w:r>
              <w:rPr>
                <w:rFonts w:ascii="Arial"/>
                <w:spacing w:val="-1"/>
                <w:sz w:val="21"/>
              </w:rPr>
              <w:t>30,724,901,019</w:t>
            </w:r>
          </w:p>
        </w:tc>
        <w:tc>
          <w:tcPr>
            <w:tcW w:w="102" w:type="dxa"/>
            <w:tcBorders>
              <w:top w:val="nil" w:sz="6" w:space="0" w:color="auto"/>
              <w:left w:val="nil" w:sz="6" w:space="0" w:color="auto"/>
              <w:bottom w:val="nil" w:sz="6" w:space="0" w:color="auto"/>
              <w:right w:val="nil" w:sz="6" w:space="0" w:color="auto"/>
            </w:tcBorders>
          </w:tcPr>
          <w:p>
            <w:pPr/>
          </w:p>
        </w:tc>
        <w:tc>
          <w:tcPr>
            <w:tcW w:w="1647" w:type="dxa"/>
            <w:tcBorders>
              <w:top w:val="nil" w:sz="6" w:space="0" w:color="auto"/>
              <w:left w:val="nil" w:sz="6" w:space="0" w:color="auto"/>
              <w:bottom w:val="single" w:sz="17" w:space="0" w:color="000000"/>
              <w:right w:val="nil" w:sz="6" w:space="0" w:color="auto"/>
            </w:tcBorders>
          </w:tcPr>
          <w:p>
            <w:pPr>
              <w:pStyle w:val="TableParagraph"/>
              <w:spacing w:line="240" w:lineRule="auto" w:before="131"/>
              <w:ind w:right="0"/>
              <w:jc w:val="right"/>
              <w:rPr>
                <w:rFonts w:ascii="Arial" w:hAnsi="Arial" w:cs="Arial" w:eastAsia="Arial" w:hint="default"/>
                <w:sz w:val="21"/>
                <w:szCs w:val="21"/>
              </w:rPr>
            </w:pPr>
            <w:r>
              <w:rPr>
                <w:rFonts w:ascii="Arial"/>
                <w:spacing w:val="-1"/>
                <w:sz w:val="21"/>
              </w:rPr>
              <w:t>(29,751,418,742)</w:t>
            </w:r>
          </w:p>
        </w:tc>
        <w:tc>
          <w:tcPr>
            <w:tcW w:w="107"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single" w:sz="17" w:space="0" w:color="000000"/>
              <w:right w:val="nil" w:sz="6" w:space="0" w:color="auto"/>
            </w:tcBorders>
          </w:tcPr>
          <w:p>
            <w:pPr>
              <w:pStyle w:val="TableParagraph"/>
              <w:spacing w:line="240" w:lineRule="auto" w:before="131"/>
              <w:ind w:right="22"/>
              <w:jc w:val="right"/>
              <w:rPr>
                <w:rFonts w:ascii="Arial" w:hAnsi="Arial" w:cs="Arial" w:eastAsia="Arial" w:hint="default"/>
                <w:sz w:val="21"/>
                <w:szCs w:val="21"/>
              </w:rPr>
            </w:pPr>
            <w:r>
              <w:rPr>
                <w:rFonts w:ascii="Arial"/>
                <w:spacing w:val="-1"/>
                <w:sz w:val="21"/>
              </w:rPr>
              <w:t>4,759,797,385</w:t>
            </w:r>
          </w:p>
        </w:tc>
      </w:tr>
    </w:tbl>
    <w:p>
      <w:pPr>
        <w:spacing w:line="240" w:lineRule="auto" w:before="13"/>
        <w:rPr>
          <w:rFonts w:ascii="宋体" w:hAnsi="宋体" w:cs="宋体" w:eastAsia="宋体" w:hint="default"/>
          <w:sz w:val="13"/>
          <w:szCs w:val="13"/>
        </w:rPr>
      </w:pPr>
    </w:p>
    <w:p>
      <w:pPr>
        <w:pStyle w:val="BodyText"/>
        <w:spacing w:line="240" w:lineRule="auto" w:before="32"/>
        <w:ind w:left="551" w:right="0"/>
        <w:jc w:val="left"/>
      </w:pPr>
      <w:r>
        <w:rPr/>
        <w:t>本集团</w:t>
      </w:r>
      <w:r>
        <w:rPr>
          <w:spacing w:val="-57"/>
        </w:rPr>
        <w:t> </w:t>
      </w:r>
      <w:r>
        <w:rPr>
          <w:rFonts w:ascii="Arial" w:hAnsi="Arial" w:cs="Arial" w:eastAsia="Arial" w:hint="default"/>
        </w:rPr>
        <w:t>2014</w:t>
      </w:r>
      <w:r>
        <w:rPr>
          <w:rFonts w:ascii="Arial" w:hAnsi="Arial" w:cs="Arial" w:eastAsia="Arial" w:hint="default"/>
          <w:spacing w:val="-11"/>
        </w:rPr>
        <w:t> </w:t>
      </w:r>
      <w:r>
        <w:rPr/>
        <w:t>年度并无重大非货币性职工福利支出。</w:t>
      </w:r>
    </w:p>
    <w:p>
      <w:pPr>
        <w:spacing w:line="240" w:lineRule="auto" w:before="0"/>
        <w:rPr>
          <w:rFonts w:ascii="宋体" w:hAnsi="宋体" w:cs="宋体" w:eastAsia="宋体" w:hint="default"/>
          <w:sz w:val="20"/>
          <w:szCs w:val="20"/>
        </w:rPr>
      </w:pPr>
    </w:p>
    <w:p>
      <w:pPr>
        <w:pStyle w:val="BodyText"/>
        <w:spacing w:line="286" w:lineRule="exact"/>
        <w:ind w:left="1146" w:right="108" w:hanging="610"/>
        <w:jc w:val="both"/>
      </w:pPr>
      <w:r>
        <w:rPr/>
        <w:t>注</w:t>
      </w:r>
      <w:r>
        <w:rPr>
          <w:spacing w:val="-63"/>
        </w:rPr>
        <w:t> </w:t>
      </w:r>
      <w:r>
        <w:rPr>
          <w:rFonts w:ascii="Arial" w:hAnsi="Arial" w:cs="Arial" w:eastAsia="Arial" w:hint="default"/>
          <w:spacing w:val="-4"/>
        </w:rPr>
        <w:t>1</w:t>
      </w:r>
      <w:r>
        <w:rPr>
          <w:spacing w:val="-4"/>
        </w:rPr>
        <w:t>：国务院</w:t>
      </w:r>
      <w:r>
        <w:rPr>
          <w:spacing w:val="-63"/>
        </w:rPr>
        <w:t> </w:t>
      </w:r>
      <w:r>
        <w:rPr>
          <w:rFonts w:ascii="Arial" w:hAnsi="Arial" w:cs="Arial" w:eastAsia="Arial" w:hint="default"/>
        </w:rPr>
        <w:t>1998</w:t>
      </w:r>
      <w:r>
        <w:rPr>
          <w:rFonts w:ascii="Arial" w:hAnsi="Arial" w:cs="Arial" w:eastAsia="Arial" w:hint="default"/>
          <w:spacing w:val="-16"/>
        </w:rPr>
        <w:t> </w:t>
      </w:r>
      <w:r>
        <w:rPr/>
        <w:t>年公布的住房改革政策，企业应停止向员工进行实物分房，而应采用现金补</w:t>
      </w:r>
      <w:r>
        <w:rPr>
          <w:w w:val="100"/>
        </w:rPr>
        <w:t> </w:t>
      </w:r>
      <w:r>
        <w:rPr>
          <w:spacing w:val="-4"/>
        </w:rPr>
        <w:t>贴形式实行货币分房。在住房改革政策实施中，企业可按照自身实际情况及财务能力考虑</w:t>
      </w:r>
      <w:r>
        <w:rPr>
          <w:w w:val="100"/>
        </w:rPr>
        <w:t> </w:t>
      </w:r>
      <w:r>
        <w:rPr>
          <w:spacing w:val="-4"/>
        </w:rPr>
        <w:t>制定适合本企业的房改方案。另外，还需按属地化原则在各省市内执行当地政府的房改条</w:t>
      </w:r>
      <w:r>
        <w:rPr>
          <w:w w:val="100"/>
        </w:rPr>
        <w:t> </w:t>
      </w:r>
      <w:r>
        <w:rPr/>
        <w:t>例。</w:t>
      </w:r>
    </w:p>
    <w:p>
      <w:pPr>
        <w:spacing w:line="240" w:lineRule="auto" w:before="2"/>
        <w:rPr>
          <w:rFonts w:ascii="宋体" w:hAnsi="宋体" w:cs="宋体" w:eastAsia="宋体" w:hint="default"/>
          <w:sz w:val="17"/>
          <w:szCs w:val="17"/>
        </w:rPr>
      </w:pPr>
    </w:p>
    <w:p>
      <w:pPr>
        <w:pStyle w:val="BodyText"/>
        <w:spacing w:line="295" w:lineRule="exact"/>
        <w:ind w:left="1125" w:right="0"/>
        <w:jc w:val="both"/>
      </w:pPr>
      <w:r>
        <w:rPr>
          <w:rFonts w:ascii="Arial" w:hAnsi="Arial" w:cs="Arial" w:eastAsia="Arial" w:hint="default"/>
        </w:rPr>
        <w:t>1998 </w:t>
      </w:r>
      <w:r>
        <w:rPr>
          <w:rFonts w:ascii="Arial" w:hAnsi="Arial" w:cs="Arial" w:eastAsia="Arial" w:hint="default"/>
          <w:spacing w:val="44"/>
        </w:rPr>
        <w:t> </w:t>
      </w:r>
      <w:r>
        <w:rPr>
          <w:spacing w:val="2"/>
        </w:rPr>
        <w:t>年以前，网通运营公司以优惠价向其符合规定的员工出售员工住房（</w:t>
      </w:r>
      <w:r>
        <w:rPr>
          <w:rFonts w:ascii="Arial" w:hAnsi="Arial" w:cs="Arial" w:eastAsia="Arial" w:hint="default"/>
          <w:spacing w:val="2"/>
        </w:rPr>
        <w:t>“</w:t>
      </w:r>
      <w:r>
        <w:rPr>
          <w:spacing w:val="2"/>
        </w:rPr>
        <w:t>优惠出售计</w:t>
      </w:r>
    </w:p>
    <w:p>
      <w:pPr>
        <w:pStyle w:val="BodyText"/>
        <w:spacing w:line="286" w:lineRule="exact"/>
        <w:ind w:left="1125" w:right="0"/>
        <w:jc w:val="both"/>
      </w:pPr>
      <w:r>
        <w:rPr>
          <w:spacing w:val="-6"/>
        </w:rPr>
        <w:t>划</w:t>
      </w:r>
      <w:r>
        <w:rPr>
          <w:rFonts w:ascii="Arial" w:hAnsi="Arial" w:cs="Arial" w:eastAsia="Arial" w:hint="default"/>
          <w:spacing w:val="-6"/>
        </w:rPr>
        <w:t>”</w:t>
      </w:r>
      <w:r>
        <w:rPr>
          <w:spacing w:val="-6"/>
        </w:rPr>
        <w:t>），根据国务院 </w:t>
      </w:r>
      <w:r>
        <w:rPr>
          <w:rFonts w:ascii="Arial" w:hAnsi="Arial" w:cs="Arial" w:eastAsia="Arial" w:hint="default"/>
        </w:rPr>
        <w:t>1998</w:t>
      </w:r>
      <w:r>
        <w:rPr>
          <w:rFonts w:ascii="Arial" w:hAnsi="Arial" w:cs="Arial" w:eastAsia="Arial" w:hint="default"/>
          <w:spacing w:val="-5"/>
        </w:rPr>
        <w:t> </w:t>
      </w:r>
      <w:r>
        <w:rPr>
          <w:spacing w:val="-3"/>
        </w:rPr>
        <w:t>年公布的住房改革政策，网通运营公司取消了优惠出售计划。于</w:t>
      </w:r>
    </w:p>
    <w:p>
      <w:pPr>
        <w:pStyle w:val="BodyText"/>
        <w:spacing w:line="232" w:lineRule="auto"/>
        <w:ind w:left="1125" w:right="107"/>
        <w:jc w:val="both"/>
      </w:pPr>
      <w:r>
        <w:rPr>
          <w:rFonts w:ascii="Arial" w:hAnsi="Arial" w:cs="Arial" w:eastAsia="Arial" w:hint="default"/>
        </w:rPr>
        <w:t>2000</w:t>
      </w:r>
      <w:r>
        <w:rPr>
          <w:rFonts w:ascii="Arial" w:hAnsi="Arial" w:cs="Arial" w:eastAsia="Arial" w:hint="default"/>
          <w:spacing w:val="34"/>
        </w:rPr>
        <w:t> </w:t>
      </w:r>
      <w:r>
        <w:rPr/>
        <w:t>年，国务院进一步发布通告，说明取消员工住房分配后，须给予符合条件的员工现</w:t>
      </w:r>
      <w:r>
        <w:rPr>
          <w:w w:val="100"/>
        </w:rPr>
        <w:t> </w:t>
      </w:r>
      <w:r>
        <w:rPr>
          <w:spacing w:val="-3"/>
        </w:rPr>
        <w:t>金补贴，故网通运营公司所属各省分公司按照当地政府颁布的相关详细条例采纳了现金住</w:t>
      </w:r>
      <w:r>
        <w:rPr>
          <w:spacing w:val="-67"/>
        </w:rPr>
        <w:t> </w:t>
      </w:r>
      <w:r>
        <w:rPr>
          <w:spacing w:val="-67"/>
        </w:rPr>
      </w:r>
      <w:r>
        <w:rPr>
          <w:spacing w:val="-3"/>
        </w:rPr>
        <w:t>房补贴计划。根据现金住房补贴计划，对于在优惠出售计划终止前未获分配住房或分配住</w:t>
      </w:r>
      <w:r>
        <w:rPr>
          <w:spacing w:val="-67"/>
        </w:rPr>
        <w:t> </w:t>
      </w:r>
      <w:r>
        <w:rPr>
          <w:spacing w:val="-67"/>
        </w:rPr>
      </w:r>
      <w:r>
        <w:rPr>
          <w:spacing w:val="-3"/>
        </w:rPr>
        <w:t>房不达标的符合资格员工，网通运营公司须支付一笔按其服务年份、职位和其他标准计算</w:t>
      </w:r>
      <w:r>
        <w:rPr>
          <w:spacing w:val="-69"/>
        </w:rPr>
        <w:t> </w:t>
      </w:r>
      <w:r>
        <w:rPr>
          <w:spacing w:val="-69"/>
        </w:rPr>
      </w:r>
      <w:r>
        <w:rPr>
          <w:spacing w:val="-4"/>
        </w:rPr>
        <w:t>的一次性货币住房补贴。网通运营公司据此全额计提了约人民币</w:t>
      </w:r>
      <w:r>
        <w:rPr>
          <w:spacing w:val="-38"/>
        </w:rPr>
        <w:t> </w:t>
      </w:r>
      <w:r>
        <w:rPr>
          <w:rFonts w:ascii="Arial" w:hAnsi="Arial" w:cs="Arial" w:eastAsia="Arial" w:hint="default"/>
        </w:rPr>
        <w:t>41.42</w:t>
      </w:r>
      <w:r>
        <w:rPr>
          <w:rFonts w:ascii="Arial" w:hAnsi="Arial" w:cs="Arial" w:eastAsia="Arial" w:hint="default"/>
          <w:spacing w:val="9"/>
        </w:rPr>
        <w:t> </w:t>
      </w:r>
      <w:r>
        <w:rPr/>
        <w:t>亿元的现金住房补</w:t>
      </w:r>
      <w:r>
        <w:rPr>
          <w:spacing w:val="-107"/>
        </w:rPr>
        <w:t> </w:t>
      </w:r>
      <w:r>
        <w:rPr>
          <w:spacing w:val="-107"/>
        </w:rPr>
      </w:r>
      <w:r>
        <w:rPr/>
        <w:t>贴。</w:t>
      </w:r>
    </w:p>
    <w:p>
      <w:pPr>
        <w:spacing w:line="240" w:lineRule="auto" w:before="10"/>
        <w:rPr>
          <w:rFonts w:ascii="宋体" w:hAnsi="宋体" w:cs="宋体" w:eastAsia="宋体" w:hint="default"/>
          <w:sz w:val="19"/>
          <w:szCs w:val="19"/>
        </w:rPr>
      </w:pPr>
    </w:p>
    <w:p>
      <w:pPr>
        <w:pStyle w:val="BodyText"/>
        <w:spacing w:line="232" w:lineRule="auto"/>
        <w:ind w:left="1125" w:right="107"/>
        <w:jc w:val="both"/>
      </w:pPr>
      <w:r>
        <w:rPr/>
        <w:t>于</w:t>
      </w:r>
      <w:r>
        <w:rPr>
          <w:spacing w:val="-62"/>
        </w:rPr>
        <w:t> </w:t>
      </w:r>
      <w:r>
        <w:rPr>
          <w:rFonts w:ascii="Arial" w:hAnsi="Arial" w:cs="Arial" w:eastAsia="Arial" w:hint="default"/>
        </w:rPr>
        <w:t>2009</w:t>
      </w:r>
      <w:r>
        <w:rPr>
          <w:rFonts w:ascii="Arial" w:hAnsi="Arial" w:cs="Arial" w:eastAsia="Arial" w:hint="default"/>
          <w:spacing w:val="-14"/>
        </w:rPr>
        <w:t> </w:t>
      </w:r>
      <w:r>
        <w:rPr/>
        <w:t>年</w:t>
      </w:r>
      <w:r>
        <w:rPr>
          <w:spacing w:val="-62"/>
        </w:rPr>
        <w:t> </w:t>
      </w:r>
      <w:r>
        <w:rPr>
          <w:rFonts w:ascii="Arial" w:hAnsi="Arial" w:cs="Arial" w:eastAsia="Arial" w:hint="default"/>
        </w:rPr>
        <w:t>1</w:t>
      </w:r>
      <w:r>
        <w:rPr>
          <w:rFonts w:ascii="Arial" w:hAnsi="Arial" w:cs="Arial" w:eastAsia="Arial" w:hint="default"/>
          <w:spacing w:val="-14"/>
        </w:rPr>
        <w:t> </w:t>
      </w:r>
      <w:r>
        <w:rPr/>
        <w:t>月，由于网通运营公司已被联通运营公司吸收合并，网通集团也被联通集团</w:t>
      </w:r>
      <w:r>
        <w:rPr>
          <w:w w:val="100"/>
        </w:rPr>
        <w:t> </w:t>
      </w:r>
      <w:r>
        <w:rPr>
          <w:spacing w:val="-3"/>
        </w:rPr>
        <w:t>吸收合并，因此网通运营公司和网通集团在上述一次性货币住房补贴中的权利和义务分别</w:t>
      </w:r>
      <w:r>
        <w:rPr>
          <w:spacing w:val="-67"/>
        </w:rPr>
        <w:t> </w:t>
      </w:r>
      <w:r>
        <w:rPr>
          <w:spacing w:val="-67"/>
        </w:rPr>
      </w:r>
      <w:r>
        <w:rPr>
          <w:spacing w:val="-3"/>
        </w:rPr>
        <w:t>由联通运营公司和联通集团承继。于</w:t>
      </w:r>
      <w:r>
        <w:rPr>
          <w:spacing w:val="-52"/>
        </w:rPr>
        <w:t> </w:t>
      </w:r>
      <w:r>
        <w:rPr>
          <w:rFonts w:ascii="Arial" w:hAnsi="Arial" w:cs="Arial" w:eastAsia="Arial" w:hint="default"/>
        </w:rPr>
        <w:t>2014</w:t>
      </w:r>
      <w:r>
        <w:rPr>
          <w:rFonts w:ascii="Arial" w:hAnsi="Arial" w:cs="Arial" w:eastAsia="Arial" w:hint="default"/>
          <w:spacing w:val="-4"/>
        </w:rPr>
        <w:t> </w:t>
      </w:r>
      <w:r>
        <w:rPr/>
        <w:t>年</w:t>
      </w:r>
      <w:r>
        <w:rPr>
          <w:spacing w:val="-52"/>
        </w:rPr>
        <w:t> </w:t>
      </w:r>
      <w:r>
        <w:rPr>
          <w:rFonts w:ascii="Arial" w:hAnsi="Arial" w:cs="Arial" w:eastAsia="Arial" w:hint="default"/>
        </w:rPr>
        <w:t>12</w:t>
      </w:r>
      <w:r>
        <w:rPr>
          <w:rFonts w:ascii="Arial" w:hAnsi="Arial" w:cs="Arial" w:eastAsia="Arial" w:hint="default"/>
          <w:spacing w:val="-6"/>
        </w:rPr>
        <w:t> </w:t>
      </w:r>
      <w:r>
        <w:rPr/>
        <w:t>月</w:t>
      </w:r>
      <w:r>
        <w:rPr>
          <w:spacing w:val="-52"/>
        </w:rPr>
        <w:t> </w:t>
      </w:r>
      <w:r>
        <w:rPr>
          <w:rFonts w:ascii="Arial" w:hAnsi="Arial" w:cs="Arial" w:eastAsia="Arial" w:hint="default"/>
        </w:rPr>
        <w:t>31</w:t>
      </w:r>
      <w:r>
        <w:rPr>
          <w:rFonts w:ascii="Arial" w:hAnsi="Arial" w:cs="Arial" w:eastAsia="Arial" w:hint="default"/>
          <w:spacing w:val="-4"/>
        </w:rPr>
        <w:t> </w:t>
      </w:r>
      <w:r>
        <w:rPr>
          <w:spacing w:val="-5"/>
        </w:rPr>
        <w:t>日，尚有约人民币</w:t>
      </w:r>
      <w:r>
        <w:rPr>
          <w:spacing w:val="-54"/>
        </w:rPr>
        <w:t> </w:t>
      </w:r>
      <w:r>
        <w:rPr>
          <w:rFonts w:ascii="Arial" w:hAnsi="Arial" w:cs="Arial" w:eastAsia="Arial" w:hint="default"/>
        </w:rPr>
        <w:t>25.02</w:t>
      </w:r>
      <w:r>
        <w:rPr>
          <w:rFonts w:ascii="Arial" w:hAnsi="Arial" w:cs="Arial" w:eastAsia="Arial" w:hint="default"/>
          <w:spacing w:val="-4"/>
        </w:rPr>
        <w:t> </w:t>
      </w:r>
      <w:r>
        <w:rPr/>
        <w:t>亿元的一</w:t>
      </w:r>
      <w:r>
        <w:rPr>
          <w:w w:val="100"/>
        </w:rPr>
        <w:t> </w:t>
      </w:r>
      <w:r>
        <w:rPr>
          <w:spacing w:val="-3"/>
        </w:rPr>
        <w:t>次性货币住房补贴尚未支付完毕，对于实际支付金额多于已计提金额，联通集团将补发其</w:t>
      </w:r>
      <w:r>
        <w:rPr>
          <w:spacing w:val="-66"/>
        </w:rPr>
        <w:t> </w:t>
      </w:r>
      <w:r>
        <w:rPr>
          <w:spacing w:val="-66"/>
        </w:rPr>
      </w:r>
      <w:r>
        <w:rPr/>
        <w:t>差额，如果实际支付金额少于已计提金额，联通运营公司将支付给联通集团。</w:t>
      </w:r>
    </w:p>
    <w:p>
      <w:pPr>
        <w:spacing w:after="0" w:line="232" w:lineRule="auto"/>
        <w:jc w:val="both"/>
        <w:sectPr>
          <w:headerReference w:type="default" r:id="rId89"/>
          <w:pgSz w:w="11910" w:h="16840"/>
          <w:pgMar w:header="1185" w:footer="635" w:top="4140" w:bottom="820" w:left="1280" w:right="880"/>
        </w:sectPr>
      </w:pPr>
    </w:p>
    <w:p>
      <w:pPr>
        <w:spacing w:line="240" w:lineRule="auto" w:before="6"/>
        <w:rPr>
          <w:rFonts w:ascii="宋体" w:hAnsi="宋体" w:cs="宋体" w:eastAsia="宋体" w:hint="default"/>
          <w:sz w:val="23"/>
          <w:szCs w:val="23"/>
        </w:rPr>
      </w:pPr>
    </w:p>
    <w:tbl>
      <w:tblPr>
        <w:tblW w:w="0" w:type="auto"/>
        <w:jc w:val="left"/>
        <w:tblInd w:w="394" w:type="dxa"/>
        <w:tblLayout w:type="fixed"/>
        <w:tblCellMar>
          <w:top w:w="0" w:type="dxa"/>
          <w:left w:w="0" w:type="dxa"/>
          <w:bottom w:w="0" w:type="dxa"/>
          <w:right w:w="0" w:type="dxa"/>
        </w:tblCellMar>
        <w:tblLook w:val="01E0"/>
      </w:tblPr>
      <w:tblGrid>
        <w:gridCol w:w="2685"/>
        <w:gridCol w:w="1634"/>
        <w:gridCol w:w="1469"/>
        <w:gridCol w:w="103"/>
        <w:gridCol w:w="1632"/>
        <w:gridCol w:w="108"/>
        <w:gridCol w:w="1541"/>
      </w:tblGrid>
      <w:tr>
        <w:trPr>
          <w:trHeight w:val="523" w:hRule="exact"/>
        </w:trPr>
        <w:tc>
          <w:tcPr>
            <w:tcW w:w="2685"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single" w:sz="6" w:space="0" w:color="000000"/>
              <w:right w:val="nil" w:sz="6" w:space="0" w:color="auto"/>
            </w:tcBorders>
          </w:tcPr>
          <w:p>
            <w:pPr>
              <w:pStyle w:val="TableParagraph"/>
              <w:spacing w:line="218" w:lineRule="exact"/>
              <w:ind w:left="784"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82" w:lineRule="exact"/>
              <w:ind w:left="470"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469"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76"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03"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0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6" w:space="0" w:color="000000"/>
              <w:right w:val="nil" w:sz="6" w:space="0" w:color="auto"/>
            </w:tcBorders>
          </w:tcPr>
          <w:p>
            <w:pPr>
              <w:pStyle w:val="TableParagraph"/>
              <w:spacing w:line="218" w:lineRule="exact"/>
              <w:ind w:left="771"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82" w:lineRule="exact"/>
              <w:ind w:left="456"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579"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00" w:right="0"/>
              <w:jc w:val="left"/>
              <w:rPr>
                <w:rFonts w:ascii="宋体" w:hAnsi="宋体" w:cs="宋体" w:eastAsia="宋体" w:hint="default"/>
                <w:sz w:val="20"/>
                <w:szCs w:val="20"/>
              </w:rPr>
            </w:pPr>
            <w:r>
              <w:rPr>
                <w:rFonts w:ascii="宋体" w:hAnsi="宋体" w:cs="宋体" w:eastAsia="宋体" w:hint="default"/>
                <w:sz w:val="20"/>
                <w:szCs w:val="20"/>
              </w:rPr>
              <w:t>基本养老保险</w:t>
            </w:r>
          </w:p>
        </w:tc>
        <w:tc>
          <w:tcPr>
            <w:tcW w:w="163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13"/>
              <w:jc w:val="right"/>
              <w:rPr>
                <w:rFonts w:ascii="Arial" w:hAnsi="Arial" w:cs="Arial" w:eastAsia="Arial" w:hint="default"/>
                <w:sz w:val="21"/>
                <w:szCs w:val="21"/>
              </w:rPr>
            </w:pPr>
            <w:r>
              <w:rPr>
                <w:rFonts w:ascii="Arial"/>
                <w:spacing w:val="-1"/>
                <w:sz w:val="21"/>
              </w:rPr>
              <w:t>194,816,767</w:t>
            </w:r>
          </w:p>
        </w:tc>
        <w:tc>
          <w:tcPr>
            <w:tcW w:w="1469"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right"/>
              <w:rPr>
                <w:rFonts w:ascii="Arial" w:hAnsi="Arial" w:cs="Arial" w:eastAsia="Arial" w:hint="default"/>
                <w:sz w:val="21"/>
                <w:szCs w:val="21"/>
              </w:rPr>
            </w:pPr>
            <w:r>
              <w:rPr>
                <w:rFonts w:ascii="Arial"/>
                <w:spacing w:val="-1"/>
                <w:sz w:val="21"/>
              </w:rPr>
              <w:t>3,744,443,540</w:t>
            </w:r>
          </w:p>
        </w:tc>
        <w:tc>
          <w:tcPr>
            <w:tcW w:w="103" w:type="dxa"/>
            <w:tcBorders>
              <w:top w:val="nil" w:sz="6" w:space="0" w:color="auto"/>
              <w:left w:val="nil" w:sz="6" w:space="0" w:color="auto"/>
              <w:bottom w:val="nil" w:sz="6" w:space="0" w:color="auto"/>
              <w:right w:val="nil" w:sz="6" w:space="0" w:color="auto"/>
            </w:tcBorders>
          </w:tcPr>
          <w:p>
            <w:pPr/>
          </w:p>
        </w:tc>
        <w:tc>
          <w:tcPr>
            <w:tcW w:w="1632"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right"/>
              <w:rPr>
                <w:rFonts w:ascii="Arial" w:hAnsi="Arial" w:cs="Arial" w:eastAsia="Arial" w:hint="default"/>
                <w:sz w:val="21"/>
                <w:szCs w:val="21"/>
              </w:rPr>
            </w:pPr>
            <w:r>
              <w:rPr>
                <w:rFonts w:ascii="Arial"/>
                <w:spacing w:val="-1"/>
                <w:sz w:val="21"/>
              </w:rPr>
              <w:t>(3,744,651,863)</w:t>
            </w:r>
          </w:p>
        </w:tc>
        <w:tc>
          <w:tcPr>
            <w:tcW w:w="108" w:type="dxa"/>
            <w:tcBorders>
              <w:top w:val="nil" w:sz="6" w:space="0" w:color="auto"/>
              <w:left w:val="nil" w:sz="6" w:space="0" w:color="auto"/>
              <w:bottom w:val="nil" w:sz="6" w:space="0" w:color="auto"/>
              <w:right w:val="nil" w:sz="6" w:space="0" w:color="auto"/>
            </w:tcBorders>
          </w:tcPr>
          <w:p>
            <w:pPr/>
          </w:p>
        </w:tc>
        <w:tc>
          <w:tcPr>
            <w:tcW w:w="1541"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24"/>
              <w:jc w:val="right"/>
              <w:rPr>
                <w:rFonts w:ascii="Arial" w:hAnsi="Arial" w:cs="Arial" w:eastAsia="Arial" w:hint="default"/>
                <w:sz w:val="21"/>
                <w:szCs w:val="21"/>
              </w:rPr>
            </w:pPr>
            <w:r>
              <w:rPr>
                <w:rFonts w:ascii="Arial"/>
                <w:spacing w:val="-1"/>
                <w:sz w:val="21"/>
              </w:rPr>
              <w:t>194,608,444</w:t>
            </w:r>
          </w:p>
        </w:tc>
      </w:tr>
      <w:tr>
        <w:trPr>
          <w:trHeight w:val="259"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宋体" w:hAnsi="宋体" w:cs="宋体" w:eastAsia="宋体" w:hint="default"/>
                <w:sz w:val="20"/>
                <w:szCs w:val="20"/>
              </w:rPr>
            </w:pPr>
            <w:r>
              <w:rPr>
                <w:rFonts w:ascii="宋体" w:hAnsi="宋体" w:cs="宋体" w:eastAsia="宋体" w:hint="default"/>
                <w:sz w:val="20"/>
                <w:szCs w:val="20"/>
              </w:rPr>
              <w:t>补充养老保险</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13"/>
              <w:jc w:val="right"/>
              <w:rPr>
                <w:rFonts w:ascii="Arial" w:hAnsi="Arial" w:cs="Arial" w:eastAsia="Arial" w:hint="default"/>
                <w:sz w:val="21"/>
                <w:szCs w:val="21"/>
              </w:rPr>
            </w:pPr>
            <w:r>
              <w:rPr>
                <w:rFonts w:ascii="Arial"/>
                <w:spacing w:val="-1"/>
                <w:sz w:val="21"/>
              </w:rPr>
              <w:t>19,077,618</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Arial" w:hAnsi="Arial" w:cs="Arial" w:eastAsia="Arial" w:hint="default"/>
                <w:sz w:val="21"/>
                <w:szCs w:val="21"/>
              </w:rPr>
            </w:pPr>
            <w:r>
              <w:rPr>
                <w:rFonts w:ascii="Arial"/>
                <w:spacing w:val="-1"/>
                <w:sz w:val="21"/>
              </w:rPr>
              <w:t>12,404,883</w:t>
            </w:r>
          </w:p>
        </w:tc>
        <w:tc>
          <w:tcPr>
            <w:tcW w:w="103"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Arial" w:hAnsi="Arial" w:cs="Arial" w:eastAsia="Arial" w:hint="default"/>
                <w:sz w:val="21"/>
                <w:szCs w:val="21"/>
              </w:rPr>
            </w:pPr>
            <w:r>
              <w:rPr>
                <w:rFonts w:ascii="Arial"/>
                <w:spacing w:val="-1"/>
                <w:sz w:val="21"/>
              </w:rPr>
              <w:t>(7,462,447)</w:t>
            </w:r>
          </w:p>
        </w:tc>
        <w:tc>
          <w:tcPr>
            <w:tcW w:w="10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
              <w:jc w:val="right"/>
              <w:rPr>
                <w:rFonts w:ascii="Arial" w:hAnsi="Arial" w:cs="Arial" w:eastAsia="Arial" w:hint="default"/>
                <w:sz w:val="21"/>
                <w:szCs w:val="21"/>
              </w:rPr>
            </w:pPr>
            <w:r>
              <w:rPr>
                <w:rFonts w:ascii="Arial"/>
                <w:spacing w:val="-1"/>
                <w:sz w:val="21"/>
              </w:rPr>
              <w:t>24,020,054</w:t>
            </w:r>
          </w:p>
        </w:tc>
      </w:tr>
      <w:tr>
        <w:trPr>
          <w:trHeight w:val="259"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宋体" w:hAnsi="宋体" w:cs="宋体" w:eastAsia="宋体" w:hint="default"/>
                <w:sz w:val="20"/>
                <w:szCs w:val="20"/>
              </w:rPr>
            </w:pPr>
            <w:r>
              <w:rPr>
                <w:rFonts w:ascii="宋体" w:hAnsi="宋体" w:cs="宋体" w:eastAsia="宋体" w:hint="default"/>
                <w:sz w:val="20"/>
                <w:szCs w:val="20"/>
              </w:rPr>
              <w:t>失业保险费</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13"/>
              <w:jc w:val="right"/>
              <w:rPr>
                <w:rFonts w:ascii="Arial" w:hAnsi="Arial" w:cs="Arial" w:eastAsia="Arial" w:hint="default"/>
                <w:sz w:val="21"/>
                <w:szCs w:val="21"/>
              </w:rPr>
            </w:pPr>
            <w:r>
              <w:rPr>
                <w:rFonts w:ascii="Arial"/>
                <w:spacing w:val="-1"/>
                <w:sz w:val="21"/>
              </w:rPr>
              <w:t>31,909,812</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Arial" w:hAnsi="Arial" w:cs="Arial" w:eastAsia="Arial" w:hint="default"/>
                <w:sz w:val="21"/>
                <w:szCs w:val="21"/>
              </w:rPr>
            </w:pPr>
            <w:r>
              <w:rPr>
                <w:rFonts w:ascii="Arial"/>
                <w:spacing w:val="-1"/>
                <w:sz w:val="21"/>
              </w:rPr>
              <w:t>281,193,905</w:t>
            </w:r>
          </w:p>
        </w:tc>
        <w:tc>
          <w:tcPr>
            <w:tcW w:w="103"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Arial" w:hAnsi="Arial" w:cs="Arial" w:eastAsia="Arial" w:hint="default"/>
                <w:sz w:val="21"/>
                <w:szCs w:val="21"/>
              </w:rPr>
            </w:pPr>
            <w:r>
              <w:rPr>
                <w:rFonts w:ascii="Arial"/>
                <w:spacing w:val="-1"/>
                <w:sz w:val="21"/>
              </w:rPr>
              <w:t>(279,165,585)</w:t>
            </w:r>
          </w:p>
        </w:tc>
        <w:tc>
          <w:tcPr>
            <w:tcW w:w="10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
              <w:jc w:val="right"/>
              <w:rPr>
                <w:rFonts w:ascii="Arial" w:hAnsi="Arial" w:cs="Arial" w:eastAsia="Arial" w:hint="default"/>
                <w:sz w:val="21"/>
                <w:szCs w:val="21"/>
              </w:rPr>
            </w:pPr>
            <w:r>
              <w:rPr>
                <w:rFonts w:ascii="Arial"/>
                <w:spacing w:val="-1"/>
                <w:sz w:val="21"/>
              </w:rPr>
              <w:t>33,938,132</w:t>
            </w:r>
          </w:p>
        </w:tc>
      </w:tr>
      <w:tr>
        <w:trPr>
          <w:trHeight w:val="388"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宋体" w:hAnsi="宋体" w:cs="宋体" w:eastAsia="宋体" w:hint="default"/>
                <w:sz w:val="20"/>
                <w:szCs w:val="20"/>
              </w:rPr>
            </w:pPr>
            <w:r>
              <w:rPr>
                <w:rFonts w:ascii="宋体" w:hAnsi="宋体" w:cs="宋体" w:eastAsia="宋体" w:hint="default"/>
                <w:sz w:val="20"/>
                <w:szCs w:val="20"/>
              </w:rPr>
              <w:t>企业年金缴费</w:t>
            </w:r>
          </w:p>
        </w:tc>
        <w:tc>
          <w:tcPr>
            <w:tcW w:w="1634" w:type="dxa"/>
            <w:tcBorders>
              <w:top w:val="nil" w:sz="6" w:space="0" w:color="auto"/>
              <w:left w:val="nil" w:sz="6" w:space="0" w:color="auto"/>
              <w:bottom w:val="nil" w:sz="6" w:space="0" w:color="auto"/>
              <w:right w:val="nil" w:sz="6" w:space="0" w:color="auto"/>
            </w:tcBorders>
          </w:tcPr>
          <w:p>
            <w:pPr>
              <w:pStyle w:val="TableParagraph"/>
              <w:tabs>
                <w:tab w:pos="347" w:val="left" w:leader="none"/>
              </w:tabs>
              <w:spacing w:line="240" w:lineRule="auto" w:before="1"/>
              <w:ind w:right="113"/>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878,049,988</w:t>
            </w:r>
            <w:r>
              <w:rPr>
                <w:rFonts w:ascii="Arial"/>
                <w:spacing w:val="-1"/>
                <w:sz w:val="21"/>
              </w:rPr>
            </w:r>
          </w:p>
        </w:tc>
        <w:tc>
          <w:tcPr>
            <w:tcW w:w="1469" w:type="dxa"/>
            <w:tcBorders>
              <w:top w:val="nil" w:sz="6" w:space="0" w:color="auto"/>
              <w:left w:val="nil" w:sz="6" w:space="0" w:color="auto"/>
              <w:bottom w:val="nil" w:sz="6" w:space="0" w:color="auto"/>
              <w:right w:val="nil" w:sz="6" w:space="0" w:color="auto"/>
            </w:tcBorders>
          </w:tcPr>
          <w:p>
            <w:pPr>
              <w:pStyle w:val="TableParagraph"/>
              <w:tabs>
                <w:tab w:pos="283" w:val="left" w:leader="none"/>
              </w:tabs>
              <w:spacing w:line="240" w:lineRule="auto" w:before="1"/>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964,257,472</w:t>
            </w:r>
            <w:r>
              <w:rPr>
                <w:rFonts w:ascii="Arial"/>
                <w:spacing w:val="-1"/>
                <w:sz w:val="21"/>
              </w:rPr>
            </w:r>
          </w:p>
        </w:tc>
        <w:tc>
          <w:tcPr>
            <w:tcW w:w="103"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tabs>
                <w:tab w:pos="1483" w:val="left" w:leader="none"/>
                <w:tab w:pos="1629" w:val="left" w:leader="none"/>
              </w:tabs>
              <w:spacing w:line="240" w:lineRule="auto" w:before="1"/>
              <w:ind w:left="-10"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tab/>
            </w:r>
            <w:r>
              <w:rPr>
                <w:rFonts w:ascii="Arial"/>
                <w:sz w:val="21"/>
              </w:rPr>
            </w:r>
          </w:p>
        </w:tc>
        <w:tc>
          <w:tcPr>
            <w:tcW w:w="10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7"/>
                <w:sz w:val="21"/>
                <w:u w:val="single" w:color="000000"/>
              </w:rPr>
              <w:t> </w:t>
            </w:r>
            <w:r>
              <w:rPr>
                <w:rFonts w:ascii="Arial"/>
                <w:spacing w:val="-1"/>
                <w:sz w:val="21"/>
                <w:u w:val="single" w:color="000000"/>
              </w:rPr>
              <w:t>1,842,307,460</w:t>
            </w:r>
            <w:r>
              <w:rPr>
                <w:rFonts w:ascii="Arial"/>
                <w:spacing w:val="-1"/>
                <w:sz w:val="21"/>
              </w:rPr>
            </w:r>
          </w:p>
        </w:tc>
      </w:tr>
      <w:tr>
        <w:trPr>
          <w:trHeight w:val="402"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00"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634" w:type="dxa"/>
            <w:tcBorders>
              <w:top w:val="nil" w:sz="6" w:space="0" w:color="auto"/>
              <w:left w:val="nil" w:sz="6" w:space="0" w:color="auto"/>
              <w:bottom w:val="single" w:sz="17" w:space="0" w:color="000000"/>
              <w:right w:val="nil" w:sz="6" w:space="0" w:color="auto"/>
            </w:tcBorders>
          </w:tcPr>
          <w:p>
            <w:pPr>
              <w:pStyle w:val="TableParagraph"/>
              <w:spacing w:line="240" w:lineRule="auto" w:before="130"/>
              <w:ind w:right="113"/>
              <w:jc w:val="right"/>
              <w:rPr>
                <w:rFonts w:ascii="Arial" w:hAnsi="Arial" w:cs="Arial" w:eastAsia="Arial" w:hint="default"/>
                <w:sz w:val="21"/>
                <w:szCs w:val="21"/>
              </w:rPr>
            </w:pPr>
            <w:r>
              <w:rPr>
                <w:rFonts w:ascii="Arial"/>
                <w:spacing w:val="-1"/>
                <w:sz w:val="21"/>
              </w:rPr>
              <w:t>1,123,854,185</w:t>
            </w:r>
          </w:p>
        </w:tc>
        <w:tc>
          <w:tcPr>
            <w:tcW w:w="1469" w:type="dxa"/>
            <w:tcBorders>
              <w:top w:val="nil" w:sz="6" w:space="0" w:color="auto"/>
              <w:left w:val="nil" w:sz="6" w:space="0" w:color="auto"/>
              <w:bottom w:val="single" w:sz="17" w:space="0" w:color="000000"/>
              <w:right w:val="nil" w:sz="6" w:space="0" w:color="auto"/>
            </w:tcBorders>
          </w:tcPr>
          <w:p>
            <w:pPr>
              <w:pStyle w:val="TableParagraph"/>
              <w:spacing w:line="240" w:lineRule="auto" w:before="130"/>
              <w:ind w:right="5"/>
              <w:jc w:val="right"/>
              <w:rPr>
                <w:rFonts w:ascii="Arial" w:hAnsi="Arial" w:cs="Arial" w:eastAsia="Arial" w:hint="default"/>
                <w:sz w:val="21"/>
                <w:szCs w:val="21"/>
              </w:rPr>
            </w:pPr>
            <w:r>
              <w:rPr>
                <w:rFonts w:ascii="Arial"/>
                <w:spacing w:val="-1"/>
                <w:sz w:val="21"/>
              </w:rPr>
              <w:t>5,002,299,800</w:t>
            </w:r>
          </w:p>
        </w:tc>
        <w:tc>
          <w:tcPr>
            <w:tcW w:w="103"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single" w:sz="17" w:space="0" w:color="000000"/>
              <w:right w:val="nil" w:sz="6" w:space="0" w:color="auto"/>
            </w:tcBorders>
          </w:tcPr>
          <w:p>
            <w:pPr>
              <w:pStyle w:val="TableParagraph"/>
              <w:spacing w:line="240" w:lineRule="auto" w:before="130"/>
              <w:ind w:right="0"/>
              <w:jc w:val="right"/>
              <w:rPr>
                <w:rFonts w:ascii="Arial" w:hAnsi="Arial" w:cs="Arial" w:eastAsia="Arial" w:hint="default"/>
                <w:sz w:val="21"/>
                <w:szCs w:val="21"/>
              </w:rPr>
            </w:pPr>
            <w:r>
              <w:rPr>
                <w:rFonts w:ascii="Arial"/>
                <w:spacing w:val="-1"/>
                <w:sz w:val="21"/>
              </w:rPr>
              <w:t>(4,031,279,895)</w:t>
            </w:r>
          </w:p>
        </w:tc>
        <w:tc>
          <w:tcPr>
            <w:tcW w:w="10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17" w:space="0" w:color="000000"/>
              <w:right w:val="nil" w:sz="6" w:space="0" w:color="auto"/>
            </w:tcBorders>
          </w:tcPr>
          <w:p>
            <w:pPr>
              <w:pStyle w:val="TableParagraph"/>
              <w:spacing w:line="240" w:lineRule="auto" w:before="130"/>
              <w:ind w:right="24"/>
              <w:jc w:val="right"/>
              <w:rPr>
                <w:rFonts w:ascii="Arial" w:hAnsi="Arial" w:cs="Arial" w:eastAsia="Arial" w:hint="default"/>
                <w:sz w:val="21"/>
                <w:szCs w:val="21"/>
              </w:rPr>
            </w:pPr>
            <w:r>
              <w:rPr>
                <w:rFonts w:ascii="Arial"/>
                <w:spacing w:val="-1"/>
                <w:sz w:val="21"/>
              </w:rPr>
              <w:t>2,094,874,090</w:t>
            </w:r>
          </w:p>
        </w:tc>
      </w:tr>
    </w:tbl>
    <w:p>
      <w:pPr>
        <w:spacing w:line="240" w:lineRule="auto" w:before="11"/>
        <w:rPr>
          <w:rFonts w:ascii="宋体" w:hAnsi="宋体" w:cs="宋体" w:eastAsia="宋体" w:hint="default"/>
          <w:sz w:val="13"/>
          <w:szCs w:val="13"/>
        </w:rPr>
      </w:pPr>
    </w:p>
    <w:p>
      <w:pPr>
        <w:pStyle w:val="BodyText"/>
        <w:spacing w:line="240" w:lineRule="auto" w:before="32"/>
        <w:ind w:left="102" w:right="0"/>
        <w:jc w:val="left"/>
      </w:pPr>
      <w:r>
        <w:rPr>
          <w:rFonts w:ascii="Arial" w:hAnsi="Arial" w:cs="Arial" w:eastAsia="Arial" w:hint="default"/>
        </w:rPr>
        <w:t>20</w:t>
      </w:r>
      <w:r>
        <w:rPr/>
        <w:t>、应交税费</w:t>
      </w:r>
    </w:p>
    <w:p>
      <w:pPr>
        <w:spacing w:line="240" w:lineRule="auto" w:before="1"/>
        <w:rPr>
          <w:rFonts w:ascii="宋体" w:hAnsi="宋体" w:cs="宋体" w:eastAsia="宋体" w:hint="default"/>
          <w:sz w:val="23"/>
          <w:szCs w:val="23"/>
        </w:rPr>
      </w:pPr>
    </w:p>
    <w:tbl>
      <w:tblPr>
        <w:tblW w:w="0" w:type="auto"/>
        <w:jc w:val="left"/>
        <w:tblInd w:w="366" w:type="dxa"/>
        <w:tblLayout w:type="fixed"/>
        <w:tblCellMar>
          <w:top w:w="0" w:type="dxa"/>
          <w:left w:w="0" w:type="dxa"/>
          <w:bottom w:w="0" w:type="dxa"/>
          <w:right w:w="0" w:type="dxa"/>
        </w:tblCellMar>
        <w:tblLook w:val="01E0"/>
      </w:tblPr>
      <w:tblGrid>
        <w:gridCol w:w="4506"/>
        <w:gridCol w:w="2319"/>
        <w:gridCol w:w="2391"/>
      </w:tblGrid>
      <w:tr>
        <w:trPr>
          <w:trHeight w:val="264" w:hRule="exact"/>
        </w:trPr>
        <w:tc>
          <w:tcPr>
            <w:tcW w:w="4506"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single" w:sz="6" w:space="0" w:color="000000"/>
              <w:right w:val="nil" w:sz="6" w:space="0" w:color="auto"/>
            </w:tcBorders>
          </w:tcPr>
          <w:p>
            <w:pPr>
              <w:pStyle w:val="TableParagraph"/>
              <w:spacing w:line="236" w:lineRule="exact"/>
              <w:ind w:right="50"/>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2391" w:type="dxa"/>
            <w:tcBorders>
              <w:top w:val="nil" w:sz="6" w:space="0" w:color="auto"/>
              <w:left w:val="nil" w:sz="6" w:space="0" w:color="auto"/>
              <w:bottom w:val="single" w:sz="6" w:space="0" w:color="000000"/>
              <w:right w:val="nil" w:sz="6" w:space="0" w:color="auto"/>
            </w:tcBorders>
          </w:tcPr>
          <w:p>
            <w:pPr>
              <w:pStyle w:val="TableParagraph"/>
              <w:spacing w:line="236" w:lineRule="exact"/>
              <w:ind w:left="405" w:right="0"/>
              <w:jc w:val="lef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7" w:hRule="exact"/>
        </w:trPr>
        <w:tc>
          <w:tcPr>
            <w:tcW w:w="45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应交营业税</w:t>
            </w:r>
          </w:p>
        </w:tc>
        <w:tc>
          <w:tcPr>
            <w:tcW w:w="2319"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5"/>
              <w:jc w:val="right"/>
              <w:rPr>
                <w:rFonts w:ascii="Arial" w:hAnsi="Arial" w:cs="Arial" w:eastAsia="Arial" w:hint="default"/>
                <w:sz w:val="22"/>
                <w:szCs w:val="22"/>
              </w:rPr>
            </w:pPr>
            <w:r>
              <w:rPr>
                <w:rFonts w:ascii="Arial"/>
                <w:spacing w:val="-1"/>
                <w:sz w:val="22"/>
              </w:rPr>
              <w:t>25,909,341</w:t>
            </w:r>
          </w:p>
        </w:tc>
        <w:tc>
          <w:tcPr>
            <w:tcW w:w="2391"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49" w:right="0"/>
              <w:jc w:val="left"/>
              <w:rPr>
                <w:rFonts w:ascii="Arial" w:hAnsi="Arial" w:cs="Arial" w:eastAsia="Arial" w:hint="default"/>
                <w:sz w:val="22"/>
                <w:szCs w:val="22"/>
              </w:rPr>
            </w:pPr>
            <w:r>
              <w:rPr>
                <w:rFonts w:ascii="Arial"/>
                <w:sz w:val="22"/>
              </w:rPr>
              <w:t>735,740,306</w:t>
            </w:r>
          </w:p>
        </w:tc>
      </w:tr>
      <w:tr>
        <w:trPr>
          <w:trHeight w:val="286" w:hRule="exact"/>
        </w:trPr>
        <w:tc>
          <w:tcPr>
            <w:tcW w:w="4506"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应交增值税（注</w:t>
            </w:r>
            <w:r>
              <w:rPr>
                <w:rFonts w:ascii="宋体" w:hAnsi="宋体" w:cs="宋体" w:eastAsia="宋体" w:hint="default"/>
                <w:spacing w:val="-55"/>
                <w:sz w:val="22"/>
                <w:szCs w:val="22"/>
              </w:rPr>
              <w:t> </w:t>
            </w:r>
            <w:r>
              <w:rPr>
                <w:rFonts w:ascii="Arial" w:hAnsi="Arial" w:cs="Arial" w:eastAsia="Arial" w:hint="default"/>
                <w:sz w:val="22"/>
                <w:szCs w:val="22"/>
              </w:rPr>
              <w:t>1</w:t>
            </w:r>
            <w:r>
              <w:rPr>
                <w:rFonts w:ascii="宋体" w:hAnsi="宋体" w:cs="宋体" w:eastAsia="宋体" w:hint="default"/>
                <w:sz w:val="22"/>
                <w:szCs w:val="22"/>
              </w:rPr>
              <w:t>）</w:t>
            </w: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5"/>
              <w:jc w:val="right"/>
              <w:rPr>
                <w:rFonts w:ascii="Arial" w:hAnsi="Arial" w:cs="Arial" w:eastAsia="Arial" w:hint="default"/>
                <w:sz w:val="22"/>
                <w:szCs w:val="22"/>
              </w:rPr>
            </w:pPr>
            <w:r>
              <w:rPr>
                <w:rFonts w:ascii="Arial"/>
                <w:spacing w:val="-1"/>
                <w:sz w:val="22"/>
              </w:rPr>
              <w:t>487,883,140</w:t>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69" w:right="0"/>
              <w:jc w:val="left"/>
              <w:rPr>
                <w:rFonts w:ascii="Arial" w:hAnsi="Arial" w:cs="Arial" w:eastAsia="Arial" w:hint="default"/>
                <w:sz w:val="22"/>
                <w:szCs w:val="22"/>
              </w:rPr>
            </w:pPr>
            <w:r>
              <w:rPr>
                <w:rFonts w:ascii="Arial"/>
                <w:sz w:val="22"/>
              </w:rPr>
              <w:t>16,614,282</w:t>
            </w:r>
          </w:p>
        </w:tc>
      </w:tr>
      <w:tr>
        <w:trPr>
          <w:trHeight w:val="286" w:hRule="exact"/>
        </w:trPr>
        <w:tc>
          <w:tcPr>
            <w:tcW w:w="4506"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应交企业所得税（注</w:t>
            </w:r>
            <w:r>
              <w:rPr>
                <w:rFonts w:ascii="宋体" w:hAnsi="宋体" w:cs="宋体" w:eastAsia="宋体" w:hint="default"/>
                <w:spacing w:val="-54"/>
                <w:sz w:val="22"/>
                <w:szCs w:val="22"/>
              </w:rPr>
              <w:t> </w:t>
            </w:r>
            <w:r>
              <w:rPr>
                <w:rFonts w:ascii="Arial" w:hAnsi="Arial" w:cs="Arial" w:eastAsia="Arial" w:hint="default"/>
                <w:sz w:val="22"/>
                <w:szCs w:val="22"/>
              </w:rPr>
              <w:t>2</w:t>
            </w:r>
            <w:r>
              <w:rPr>
                <w:rFonts w:ascii="宋体" w:hAnsi="宋体" w:cs="宋体" w:eastAsia="宋体" w:hint="default"/>
                <w:sz w:val="22"/>
                <w:szCs w:val="22"/>
              </w:rPr>
              <w:t>）</w:t>
            </w: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5"/>
              <w:jc w:val="right"/>
              <w:rPr>
                <w:rFonts w:ascii="Arial" w:hAnsi="Arial" w:cs="Arial" w:eastAsia="Arial" w:hint="default"/>
                <w:sz w:val="22"/>
                <w:szCs w:val="22"/>
              </w:rPr>
            </w:pPr>
            <w:r>
              <w:rPr>
                <w:rFonts w:ascii="Arial"/>
                <w:spacing w:val="-1"/>
                <w:sz w:val="22"/>
              </w:rPr>
              <w:t>35,126,546</w:t>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63" w:right="0"/>
              <w:jc w:val="left"/>
              <w:rPr>
                <w:rFonts w:ascii="Arial" w:hAnsi="Arial" w:cs="Arial" w:eastAsia="Arial" w:hint="default"/>
                <w:sz w:val="22"/>
                <w:szCs w:val="22"/>
              </w:rPr>
            </w:pPr>
            <w:r>
              <w:rPr>
                <w:rFonts w:ascii="Arial"/>
                <w:sz w:val="22"/>
              </w:rPr>
              <w:t>1,099,542,417</w:t>
            </w:r>
          </w:p>
        </w:tc>
      </w:tr>
      <w:tr>
        <w:trPr>
          <w:trHeight w:val="284" w:hRule="exact"/>
        </w:trPr>
        <w:tc>
          <w:tcPr>
            <w:tcW w:w="4506"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应交个人所得税</w:t>
            </w: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5"/>
              <w:jc w:val="right"/>
              <w:rPr>
                <w:rFonts w:ascii="Arial" w:hAnsi="Arial" w:cs="Arial" w:eastAsia="Arial" w:hint="default"/>
                <w:sz w:val="22"/>
                <w:szCs w:val="22"/>
              </w:rPr>
            </w:pPr>
            <w:r>
              <w:rPr>
                <w:rFonts w:ascii="Arial"/>
                <w:spacing w:val="-1"/>
                <w:sz w:val="22"/>
              </w:rPr>
              <w:t>297,627,031</w:t>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49" w:right="0"/>
              <w:jc w:val="left"/>
              <w:rPr>
                <w:rFonts w:ascii="Arial" w:hAnsi="Arial" w:cs="Arial" w:eastAsia="Arial" w:hint="default"/>
                <w:sz w:val="22"/>
                <w:szCs w:val="22"/>
              </w:rPr>
            </w:pPr>
            <w:r>
              <w:rPr>
                <w:rFonts w:ascii="Arial"/>
                <w:sz w:val="22"/>
              </w:rPr>
              <w:t>275,242,661</w:t>
            </w:r>
          </w:p>
        </w:tc>
      </w:tr>
      <w:tr>
        <w:trPr>
          <w:trHeight w:val="286" w:hRule="exact"/>
        </w:trPr>
        <w:tc>
          <w:tcPr>
            <w:tcW w:w="4506"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应交房产税</w:t>
            </w: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5"/>
              <w:jc w:val="right"/>
              <w:rPr>
                <w:rFonts w:ascii="Arial" w:hAnsi="Arial" w:cs="Arial" w:eastAsia="Arial" w:hint="default"/>
                <w:sz w:val="22"/>
                <w:szCs w:val="22"/>
              </w:rPr>
            </w:pPr>
            <w:r>
              <w:rPr>
                <w:rFonts w:ascii="Arial"/>
                <w:spacing w:val="-1"/>
                <w:sz w:val="22"/>
              </w:rPr>
              <w:t>58,540,121</w:t>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71" w:right="0"/>
              <w:jc w:val="left"/>
              <w:rPr>
                <w:rFonts w:ascii="Arial" w:hAnsi="Arial" w:cs="Arial" w:eastAsia="Arial" w:hint="default"/>
                <w:sz w:val="22"/>
                <w:szCs w:val="22"/>
              </w:rPr>
            </w:pPr>
            <w:r>
              <w:rPr>
                <w:rFonts w:ascii="Arial"/>
                <w:sz w:val="22"/>
              </w:rPr>
              <w:t>58,934,284</w:t>
            </w:r>
          </w:p>
        </w:tc>
      </w:tr>
      <w:tr>
        <w:trPr>
          <w:trHeight w:val="420" w:hRule="exact"/>
        </w:trPr>
        <w:tc>
          <w:tcPr>
            <w:tcW w:w="4506"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319" w:type="dxa"/>
            <w:tcBorders>
              <w:top w:val="nil" w:sz="6" w:space="0" w:color="auto"/>
              <w:left w:val="nil" w:sz="6" w:space="0" w:color="auto"/>
              <w:bottom w:val="nil" w:sz="6" w:space="0" w:color="auto"/>
              <w:right w:val="nil" w:sz="6" w:space="0" w:color="auto"/>
            </w:tcBorders>
          </w:tcPr>
          <w:p>
            <w:pPr>
              <w:pStyle w:val="TableParagraph"/>
              <w:tabs>
                <w:tab w:pos="991" w:val="left" w:leader="none"/>
                <w:tab w:pos="2318"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561,425,342</w:t>
              <w:tab/>
            </w:r>
            <w:r>
              <w:rPr>
                <w:rFonts w:ascii="Arial"/>
                <w:spacing w:val="-1"/>
                <w:sz w:val="22"/>
              </w:rPr>
            </w:r>
          </w:p>
        </w:tc>
        <w:tc>
          <w:tcPr>
            <w:tcW w:w="2391" w:type="dxa"/>
            <w:tcBorders>
              <w:top w:val="nil" w:sz="6" w:space="0" w:color="auto"/>
              <w:left w:val="nil" w:sz="6" w:space="0" w:color="auto"/>
              <w:bottom w:val="nil" w:sz="6" w:space="0" w:color="auto"/>
              <w:right w:val="nil" w:sz="6" w:space="0" w:color="auto"/>
            </w:tcBorders>
          </w:tcPr>
          <w:p>
            <w:pPr>
              <w:pStyle w:val="TableParagraph"/>
              <w:tabs>
                <w:tab w:pos="1039" w:val="left" w:leader="none"/>
                <w:tab w:pos="2390" w:val="left" w:leader="none"/>
              </w:tabs>
              <w:spacing w:line="240" w:lineRule="auto" w:before="20"/>
              <w:ind w:left="83"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448,035,992</w:t>
              <w:tab/>
            </w:r>
            <w:r>
              <w:rPr>
                <w:rFonts w:ascii="Arial"/>
                <w:sz w:val="22"/>
              </w:rPr>
            </w:r>
          </w:p>
        </w:tc>
      </w:tr>
      <w:tr>
        <w:trPr>
          <w:trHeight w:val="433" w:hRule="exact"/>
        </w:trPr>
        <w:tc>
          <w:tcPr>
            <w:tcW w:w="450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19"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136"/>
              <w:jc w:val="right"/>
              <w:rPr>
                <w:rFonts w:ascii="Arial" w:hAnsi="Arial" w:cs="Arial" w:eastAsia="Arial" w:hint="default"/>
                <w:sz w:val="22"/>
                <w:szCs w:val="22"/>
              </w:rPr>
            </w:pPr>
            <w:r>
              <w:rPr>
                <w:rFonts w:ascii="Arial"/>
                <w:spacing w:val="-1"/>
                <w:sz w:val="22"/>
              </w:rPr>
              <w:t>1,466,511,521</w:t>
            </w:r>
          </w:p>
        </w:tc>
        <w:tc>
          <w:tcPr>
            <w:tcW w:w="2391"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left="866" w:right="0"/>
              <w:jc w:val="left"/>
              <w:rPr>
                <w:rFonts w:ascii="Arial" w:hAnsi="Arial" w:cs="Arial" w:eastAsia="Arial" w:hint="default"/>
                <w:sz w:val="22"/>
                <w:szCs w:val="22"/>
              </w:rPr>
            </w:pPr>
            <w:r>
              <w:rPr>
                <w:rFonts w:ascii="Arial"/>
                <w:sz w:val="22"/>
              </w:rPr>
              <w:t>2,634,109,942</w:t>
            </w:r>
          </w:p>
        </w:tc>
      </w:tr>
    </w:tbl>
    <w:p>
      <w:pPr>
        <w:spacing w:line="240" w:lineRule="auto" w:before="11"/>
        <w:rPr>
          <w:rFonts w:ascii="宋体" w:hAnsi="宋体" w:cs="宋体" w:eastAsia="宋体" w:hint="default"/>
          <w:sz w:val="13"/>
          <w:szCs w:val="13"/>
        </w:rPr>
      </w:pPr>
    </w:p>
    <w:p>
      <w:pPr>
        <w:pStyle w:val="BodyText"/>
        <w:spacing w:line="295" w:lineRule="exact" w:before="32"/>
        <w:ind w:left="551" w:right="0"/>
        <w:jc w:val="left"/>
      </w:pPr>
      <w:r>
        <w:rPr/>
        <w:t>注</w:t>
      </w:r>
      <w:r>
        <w:rPr>
          <w:spacing w:val="-56"/>
        </w:rPr>
        <w:t> </w:t>
      </w:r>
      <w:r>
        <w:rPr>
          <w:rFonts w:ascii="Arial" w:hAnsi="Arial" w:cs="Arial" w:eastAsia="Arial" w:hint="default"/>
        </w:rPr>
        <w:t>1</w:t>
      </w:r>
      <w:r>
        <w:rPr/>
        <w:t>：于</w:t>
      </w:r>
      <w:r>
        <w:rPr>
          <w:spacing w:val="-56"/>
        </w:rPr>
        <w:t> </w:t>
      </w:r>
      <w:r>
        <w:rPr>
          <w:rFonts w:ascii="Arial" w:hAnsi="Arial" w:cs="Arial" w:eastAsia="Arial" w:hint="default"/>
        </w:rPr>
        <w:t>2014</w:t>
      </w:r>
      <w:r>
        <w:rPr>
          <w:rFonts w:ascii="Arial" w:hAnsi="Arial" w:cs="Arial" w:eastAsia="Arial" w:hint="default"/>
          <w:spacing w:val="-10"/>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日，联通运营公司所属部分子公司应交税费</w:t>
      </w:r>
      <w:r>
        <w:rPr>
          <w:rFonts w:ascii="Arial" w:hAnsi="Arial" w:cs="Arial" w:eastAsia="Arial" w:hint="default"/>
        </w:rPr>
        <w:t>-</w:t>
      </w:r>
      <w:r>
        <w:rPr/>
        <w:t>应交增值税借方余额约</w:t>
      </w:r>
    </w:p>
    <w:p>
      <w:pPr>
        <w:pStyle w:val="BodyText"/>
        <w:spacing w:line="295" w:lineRule="exact"/>
        <w:ind w:left="1166" w:right="0"/>
        <w:jc w:val="left"/>
      </w:pPr>
      <w:r>
        <w:rPr/>
        <w:t>人民币</w:t>
      </w:r>
      <w:r>
        <w:rPr>
          <w:spacing w:val="-56"/>
        </w:rPr>
        <w:t> </w:t>
      </w:r>
      <w:r>
        <w:rPr>
          <w:rFonts w:ascii="Arial" w:hAnsi="Arial" w:cs="Arial" w:eastAsia="Arial" w:hint="default"/>
        </w:rPr>
        <w:t>9.20</w:t>
      </w:r>
      <w:r>
        <w:rPr>
          <w:rFonts w:ascii="Arial" w:hAnsi="Arial" w:cs="Arial" w:eastAsia="Arial" w:hint="default"/>
          <w:spacing w:val="-8"/>
        </w:rPr>
        <w:t> </w:t>
      </w:r>
      <w:r>
        <w:rPr/>
        <w:t>亿元被记录于其他流动资产（</w:t>
      </w:r>
      <w:r>
        <w:rPr>
          <w:rFonts w:ascii="Arial" w:hAnsi="Arial" w:cs="Arial" w:eastAsia="Arial" w:hint="default"/>
        </w:rPr>
        <w:t>2013</w:t>
      </w:r>
      <w:r>
        <w:rPr>
          <w:rFonts w:ascii="Arial" w:hAnsi="Arial" w:cs="Arial" w:eastAsia="Arial" w:hint="default"/>
          <w:spacing w:val="-10"/>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日：约人民币</w:t>
      </w:r>
      <w:r>
        <w:rPr>
          <w:spacing w:val="-56"/>
        </w:rPr>
        <w:t> </w:t>
      </w:r>
      <w:r>
        <w:rPr>
          <w:rFonts w:ascii="Arial" w:hAnsi="Arial" w:cs="Arial" w:eastAsia="Arial" w:hint="default"/>
        </w:rPr>
        <w:t>1.50</w:t>
      </w:r>
      <w:r>
        <w:rPr>
          <w:rFonts w:ascii="Arial" w:hAnsi="Arial" w:cs="Arial" w:eastAsia="Arial" w:hint="default"/>
          <w:spacing w:val="-7"/>
        </w:rPr>
        <w:t> </w:t>
      </w:r>
      <w:r>
        <w:rPr/>
        <w:t>亿元）。</w:t>
      </w:r>
    </w:p>
    <w:p>
      <w:pPr>
        <w:spacing w:line="240" w:lineRule="auto" w:before="12"/>
        <w:rPr>
          <w:rFonts w:ascii="宋体" w:hAnsi="宋体" w:cs="宋体" w:eastAsia="宋体" w:hint="default"/>
          <w:sz w:val="17"/>
          <w:szCs w:val="17"/>
        </w:rPr>
      </w:pPr>
    </w:p>
    <w:p>
      <w:pPr>
        <w:pStyle w:val="BodyText"/>
        <w:spacing w:line="295" w:lineRule="exact"/>
        <w:ind w:left="551" w:right="0"/>
        <w:jc w:val="left"/>
      </w:pPr>
      <w:r>
        <w:rPr/>
        <w:t>注</w:t>
      </w:r>
      <w:r>
        <w:rPr>
          <w:spacing w:val="-56"/>
        </w:rPr>
        <w:t> </w:t>
      </w:r>
      <w:r>
        <w:rPr>
          <w:rFonts w:ascii="Arial" w:hAnsi="Arial" w:cs="Arial" w:eastAsia="Arial" w:hint="default"/>
        </w:rPr>
        <w:t>2</w:t>
      </w:r>
      <w:r>
        <w:rPr/>
        <w:t>：于</w:t>
      </w:r>
      <w:r>
        <w:rPr>
          <w:spacing w:val="-56"/>
        </w:rPr>
        <w:t> </w:t>
      </w:r>
      <w:r>
        <w:rPr>
          <w:rFonts w:ascii="Arial" w:hAnsi="Arial" w:cs="Arial" w:eastAsia="Arial" w:hint="default"/>
        </w:rPr>
        <w:t>2014</w:t>
      </w:r>
      <w:r>
        <w:rPr>
          <w:rFonts w:ascii="Arial" w:hAnsi="Arial" w:cs="Arial" w:eastAsia="Arial" w:hint="default"/>
          <w:spacing w:val="-10"/>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日，联通运营公司所属部分子公司实际预缴的企业所得税超过预计</w:t>
      </w:r>
    </w:p>
    <w:p>
      <w:pPr>
        <w:pStyle w:val="BodyText"/>
        <w:spacing w:line="286" w:lineRule="exact"/>
        <w:ind w:left="1166" w:right="0"/>
        <w:jc w:val="left"/>
      </w:pPr>
      <w:r>
        <w:rPr/>
        <w:t>应缴纳的企业所得税约人民币</w:t>
      </w:r>
      <w:r>
        <w:rPr>
          <w:spacing w:val="-55"/>
        </w:rPr>
        <w:t> </w:t>
      </w:r>
      <w:r>
        <w:rPr>
          <w:rFonts w:ascii="Arial" w:hAnsi="Arial" w:cs="Arial" w:eastAsia="Arial" w:hint="default"/>
        </w:rPr>
        <w:t>3.42</w:t>
      </w:r>
      <w:r>
        <w:rPr>
          <w:rFonts w:ascii="Arial" w:hAnsi="Arial" w:cs="Arial" w:eastAsia="Arial" w:hint="default"/>
          <w:spacing w:val="-9"/>
        </w:rPr>
        <w:t> </w:t>
      </w:r>
      <w:r>
        <w:rPr/>
        <w:t>亿元被记录于其他流动资产（</w:t>
      </w:r>
      <w:r>
        <w:rPr>
          <w:rFonts w:ascii="Arial" w:hAnsi="Arial" w:cs="Arial" w:eastAsia="Arial" w:hint="default"/>
        </w:rPr>
        <w:t>2013</w:t>
      </w:r>
      <w:r>
        <w:rPr>
          <w:rFonts w:ascii="Arial" w:hAnsi="Arial" w:cs="Arial" w:eastAsia="Arial" w:hint="default"/>
          <w:spacing w:val="-9"/>
        </w:rPr>
        <w:t> </w:t>
      </w:r>
      <w:r>
        <w:rPr/>
        <w:t>年</w:t>
      </w:r>
      <w:r>
        <w:rPr>
          <w:spacing w:val="-57"/>
        </w:rPr>
        <w:t> </w:t>
      </w:r>
      <w:r>
        <w:rPr>
          <w:rFonts w:ascii="Arial" w:hAnsi="Arial" w:cs="Arial" w:eastAsia="Arial" w:hint="default"/>
        </w:rPr>
        <w:t>12</w:t>
      </w:r>
      <w:r>
        <w:rPr>
          <w:rFonts w:ascii="Arial" w:hAnsi="Arial" w:cs="Arial" w:eastAsia="Arial" w:hint="default"/>
          <w:spacing w:val="-7"/>
        </w:rPr>
        <w:t> </w:t>
      </w:r>
      <w:r>
        <w:rPr/>
        <w:t>月</w:t>
      </w:r>
      <w:r>
        <w:rPr>
          <w:spacing w:val="-55"/>
        </w:rPr>
        <w:t> </w:t>
      </w:r>
      <w:r>
        <w:rPr>
          <w:rFonts w:ascii="Arial" w:hAnsi="Arial" w:cs="Arial" w:eastAsia="Arial" w:hint="default"/>
        </w:rPr>
        <w:t>31</w:t>
      </w:r>
      <w:r>
        <w:rPr>
          <w:rFonts w:ascii="Arial" w:hAnsi="Arial" w:cs="Arial" w:eastAsia="Arial" w:hint="default"/>
          <w:spacing w:val="-7"/>
        </w:rPr>
        <w:t> </w:t>
      </w:r>
      <w:r>
        <w:rPr/>
        <w:t>日：</w:t>
      </w:r>
    </w:p>
    <w:p>
      <w:pPr>
        <w:pStyle w:val="BodyText"/>
        <w:spacing w:line="295" w:lineRule="exact"/>
        <w:ind w:left="1166" w:right="0"/>
        <w:jc w:val="left"/>
      </w:pPr>
      <w:r>
        <w:rPr/>
        <w:t>约人民币</w:t>
      </w:r>
      <w:r>
        <w:rPr>
          <w:spacing w:val="-55"/>
        </w:rPr>
        <w:t> </w:t>
      </w:r>
      <w:r>
        <w:rPr>
          <w:rFonts w:ascii="Arial" w:hAnsi="Arial" w:cs="Arial" w:eastAsia="Arial" w:hint="default"/>
        </w:rPr>
        <w:t>0.11</w:t>
      </w:r>
      <w:r>
        <w:rPr>
          <w:rFonts w:ascii="Arial" w:hAnsi="Arial" w:cs="Arial" w:eastAsia="Arial" w:hint="default"/>
          <w:spacing w:val="-7"/>
        </w:rPr>
        <w:t> </w:t>
      </w:r>
      <w:r>
        <w:rPr/>
        <w:t>亿元）。</w:t>
      </w:r>
    </w:p>
    <w:p>
      <w:pPr>
        <w:spacing w:after="0" w:line="295" w:lineRule="exact"/>
        <w:jc w:val="left"/>
        <w:sectPr>
          <w:headerReference w:type="default" r:id="rId90"/>
          <w:pgSz w:w="11910" w:h="16840"/>
          <w:pgMar w:header="1185" w:footer="635" w:top="4140" w:bottom="820" w:left="1280" w:right="860"/>
        </w:sectPr>
      </w:pPr>
    </w:p>
    <w:p>
      <w:pPr>
        <w:spacing w:line="240" w:lineRule="auto" w:before="5"/>
        <w:rPr>
          <w:rFonts w:ascii="宋体" w:hAnsi="宋体" w:cs="宋体" w:eastAsia="宋体" w:hint="default"/>
          <w:sz w:val="23"/>
          <w:szCs w:val="23"/>
        </w:rPr>
      </w:pPr>
    </w:p>
    <w:tbl>
      <w:tblPr>
        <w:tblW w:w="0" w:type="auto"/>
        <w:jc w:val="left"/>
        <w:tblInd w:w="344" w:type="dxa"/>
        <w:tblLayout w:type="fixed"/>
        <w:tblCellMar>
          <w:top w:w="0" w:type="dxa"/>
          <w:left w:w="0" w:type="dxa"/>
          <w:bottom w:w="0" w:type="dxa"/>
          <w:right w:w="0" w:type="dxa"/>
        </w:tblCellMar>
        <w:tblLook w:val="01E0"/>
      </w:tblPr>
      <w:tblGrid>
        <w:gridCol w:w="4492"/>
        <w:gridCol w:w="2288"/>
        <w:gridCol w:w="106"/>
        <w:gridCol w:w="2326"/>
      </w:tblGrid>
      <w:tr>
        <w:trPr>
          <w:trHeight w:val="264" w:hRule="exact"/>
        </w:trPr>
        <w:tc>
          <w:tcPr>
            <w:tcW w:w="449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single" w:sz="6" w:space="0" w:color="000000"/>
              <w:right w:val="nil" w:sz="6" w:space="0" w:color="auto"/>
            </w:tcBorders>
          </w:tcPr>
          <w:p>
            <w:pPr>
              <w:pStyle w:val="TableParagraph"/>
              <w:spacing w:line="236" w:lineRule="exact"/>
              <w:ind w:right="0"/>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06"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single" w:sz="6" w:space="0" w:color="000000"/>
              <w:right w:val="nil" w:sz="6" w:space="0" w:color="auto"/>
            </w:tcBorders>
          </w:tcPr>
          <w:p>
            <w:pPr>
              <w:pStyle w:val="TableParagraph"/>
              <w:spacing w:line="236" w:lineRule="exact"/>
              <w:ind w:right="57"/>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7" w:hRule="exact"/>
        </w:trPr>
        <w:tc>
          <w:tcPr>
            <w:tcW w:w="44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应付短期借款利息</w:t>
            </w:r>
          </w:p>
        </w:tc>
        <w:tc>
          <w:tcPr>
            <w:tcW w:w="2288"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83"/>
              <w:jc w:val="right"/>
              <w:rPr>
                <w:rFonts w:ascii="Arial" w:hAnsi="Arial" w:cs="Arial" w:eastAsia="Arial" w:hint="default"/>
                <w:sz w:val="22"/>
                <w:szCs w:val="22"/>
              </w:rPr>
            </w:pPr>
            <w:r>
              <w:rPr>
                <w:rFonts w:ascii="Arial"/>
                <w:spacing w:val="-1"/>
                <w:sz w:val="22"/>
              </w:rPr>
              <w:t>100,259,556</w:t>
            </w:r>
          </w:p>
        </w:tc>
        <w:tc>
          <w:tcPr>
            <w:tcW w:w="106" w:type="dxa"/>
            <w:tcBorders>
              <w:top w:val="nil" w:sz="6" w:space="0" w:color="auto"/>
              <w:left w:val="nil" w:sz="6" w:space="0" w:color="auto"/>
              <w:bottom w:val="nil" w:sz="6" w:space="0" w:color="auto"/>
              <w:right w:val="nil" w:sz="6" w:space="0" w:color="auto"/>
            </w:tcBorders>
          </w:tcPr>
          <w:p>
            <w:pPr/>
          </w:p>
        </w:tc>
        <w:tc>
          <w:tcPr>
            <w:tcW w:w="2326"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9"/>
              <w:jc w:val="right"/>
              <w:rPr>
                <w:rFonts w:ascii="Arial" w:hAnsi="Arial" w:cs="Arial" w:eastAsia="Arial" w:hint="default"/>
                <w:sz w:val="22"/>
                <w:szCs w:val="22"/>
              </w:rPr>
            </w:pPr>
            <w:r>
              <w:rPr>
                <w:rFonts w:ascii="Arial"/>
                <w:spacing w:val="-1"/>
                <w:sz w:val="22"/>
              </w:rPr>
              <w:t>113,801,311</w:t>
            </w:r>
          </w:p>
        </w:tc>
      </w:tr>
      <w:tr>
        <w:trPr>
          <w:trHeight w:val="286" w:hRule="exact"/>
        </w:trPr>
        <w:tc>
          <w:tcPr>
            <w:tcW w:w="4492"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应付长期借款利息</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3"/>
              <w:jc w:val="right"/>
              <w:rPr>
                <w:rFonts w:ascii="Arial" w:hAnsi="Arial" w:cs="Arial" w:eastAsia="Arial" w:hint="default"/>
                <w:sz w:val="22"/>
                <w:szCs w:val="22"/>
              </w:rPr>
            </w:pPr>
            <w:r>
              <w:rPr>
                <w:rFonts w:ascii="Arial"/>
                <w:spacing w:val="-1"/>
                <w:sz w:val="22"/>
              </w:rPr>
              <w:t>599,088</w:t>
            </w:r>
          </w:p>
        </w:tc>
        <w:tc>
          <w:tcPr>
            <w:tcW w:w="106"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9"/>
              <w:jc w:val="right"/>
              <w:rPr>
                <w:rFonts w:ascii="Arial" w:hAnsi="Arial" w:cs="Arial" w:eastAsia="Arial" w:hint="default"/>
                <w:sz w:val="22"/>
                <w:szCs w:val="22"/>
              </w:rPr>
            </w:pPr>
            <w:r>
              <w:rPr>
                <w:rFonts w:ascii="Arial"/>
                <w:sz w:val="22"/>
              </w:rPr>
              <w:t>5,145,423</w:t>
            </w:r>
          </w:p>
        </w:tc>
      </w:tr>
      <w:tr>
        <w:trPr>
          <w:trHeight w:val="286" w:hRule="exact"/>
        </w:trPr>
        <w:tc>
          <w:tcPr>
            <w:tcW w:w="4492"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应付短期债券利息</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3"/>
              <w:jc w:val="right"/>
              <w:rPr>
                <w:rFonts w:ascii="Arial" w:hAnsi="Arial" w:cs="Arial" w:eastAsia="Arial" w:hint="default"/>
                <w:sz w:val="22"/>
                <w:szCs w:val="22"/>
              </w:rPr>
            </w:pPr>
            <w:r>
              <w:rPr>
                <w:rFonts w:ascii="Arial"/>
                <w:spacing w:val="-1"/>
                <w:sz w:val="22"/>
              </w:rPr>
              <w:t>214,654,126</w:t>
            </w:r>
          </w:p>
        </w:tc>
        <w:tc>
          <w:tcPr>
            <w:tcW w:w="106"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9"/>
              <w:jc w:val="right"/>
              <w:rPr>
                <w:rFonts w:ascii="Arial" w:hAnsi="Arial" w:cs="Arial" w:eastAsia="Arial" w:hint="default"/>
                <w:sz w:val="22"/>
                <w:szCs w:val="22"/>
              </w:rPr>
            </w:pPr>
            <w:r>
              <w:rPr>
                <w:rFonts w:ascii="Arial"/>
                <w:spacing w:val="-1"/>
                <w:sz w:val="22"/>
              </w:rPr>
              <w:t>397,865,753</w:t>
            </w:r>
          </w:p>
        </w:tc>
      </w:tr>
      <w:tr>
        <w:trPr>
          <w:trHeight w:val="420" w:hRule="exact"/>
        </w:trPr>
        <w:tc>
          <w:tcPr>
            <w:tcW w:w="4492"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应付长期债券利息</w:t>
            </w:r>
          </w:p>
        </w:tc>
        <w:tc>
          <w:tcPr>
            <w:tcW w:w="2288" w:type="dxa"/>
            <w:tcBorders>
              <w:top w:val="nil" w:sz="6" w:space="0" w:color="auto"/>
              <w:left w:val="nil" w:sz="6" w:space="0" w:color="auto"/>
              <w:bottom w:val="nil" w:sz="6" w:space="0" w:color="auto"/>
              <w:right w:val="nil" w:sz="6" w:space="0" w:color="auto"/>
            </w:tcBorders>
          </w:tcPr>
          <w:p>
            <w:pPr>
              <w:pStyle w:val="TableParagraph"/>
              <w:tabs>
                <w:tab w:pos="974" w:val="left" w:leader="none"/>
                <w:tab w:pos="2287"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449,990,988</w:t>
              <w:tab/>
            </w:r>
            <w:r>
              <w:rPr>
                <w:rFonts w:ascii="Arial"/>
                <w:spacing w:val="-1"/>
                <w:sz w:val="22"/>
              </w:rPr>
            </w:r>
          </w:p>
        </w:tc>
        <w:tc>
          <w:tcPr>
            <w:tcW w:w="106"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nil" w:sz="6" w:space="0" w:color="auto"/>
              <w:right w:val="nil" w:sz="6" w:space="0" w:color="auto"/>
            </w:tcBorders>
          </w:tcPr>
          <w:p>
            <w:pPr>
              <w:pStyle w:val="TableParagraph"/>
              <w:tabs>
                <w:tab w:pos="1162" w:val="left" w:leader="none"/>
              </w:tabs>
              <w:spacing w:line="240" w:lineRule="auto" w:before="20"/>
              <w:ind w:right="57"/>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51,287,671</w:t>
            </w:r>
            <w:r>
              <w:rPr>
                <w:rFonts w:ascii="Arial"/>
                <w:spacing w:val="-1"/>
                <w:sz w:val="22"/>
              </w:rPr>
            </w:r>
          </w:p>
        </w:tc>
      </w:tr>
      <w:tr>
        <w:trPr>
          <w:trHeight w:val="430" w:hRule="exact"/>
        </w:trPr>
        <w:tc>
          <w:tcPr>
            <w:tcW w:w="449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88"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83"/>
              <w:jc w:val="right"/>
              <w:rPr>
                <w:rFonts w:ascii="Arial" w:hAnsi="Arial" w:cs="Arial" w:eastAsia="Arial" w:hint="default"/>
                <w:sz w:val="22"/>
                <w:szCs w:val="22"/>
              </w:rPr>
            </w:pPr>
            <w:r>
              <w:rPr>
                <w:rFonts w:ascii="Arial"/>
                <w:spacing w:val="-1"/>
                <w:sz w:val="22"/>
              </w:rPr>
              <w:t>765,503,758</w:t>
            </w:r>
          </w:p>
        </w:tc>
        <w:tc>
          <w:tcPr>
            <w:tcW w:w="106"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59"/>
              <w:jc w:val="right"/>
              <w:rPr>
                <w:rFonts w:ascii="Arial" w:hAnsi="Arial" w:cs="Arial" w:eastAsia="Arial" w:hint="default"/>
                <w:sz w:val="22"/>
                <w:szCs w:val="22"/>
              </w:rPr>
            </w:pPr>
            <w:r>
              <w:rPr>
                <w:rFonts w:ascii="Arial"/>
                <w:spacing w:val="-1"/>
                <w:sz w:val="22"/>
              </w:rPr>
              <w:t>568,100,158</w:t>
            </w:r>
          </w:p>
        </w:tc>
      </w:tr>
    </w:tbl>
    <w:p>
      <w:pPr>
        <w:spacing w:line="240" w:lineRule="auto" w:before="13"/>
        <w:rPr>
          <w:rFonts w:ascii="宋体" w:hAnsi="宋体" w:cs="宋体" w:eastAsia="宋体" w:hint="default"/>
          <w:sz w:val="13"/>
          <w:szCs w:val="13"/>
        </w:rPr>
      </w:pPr>
    </w:p>
    <w:p>
      <w:pPr>
        <w:pStyle w:val="BodyText"/>
        <w:spacing w:line="240" w:lineRule="auto" w:before="32"/>
        <w:ind w:left="102" w:right="106"/>
        <w:jc w:val="left"/>
      </w:pPr>
      <w:r>
        <w:rPr>
          <w:rFonts w:ascii="Arial" w:hAnsi="Arial" w:cs="Arial" w:eastAsia="Arial" w:hint="default"/>
        </w:rPr>
        <w:t>22</w:t>
      </w:r>
      <w:r>
        <w:rPr/>
        <w:t>、应付股利</w:t>
      </w:r>
    </w:p>
    <w:p>
      <w:pPr>
        <w:spacing w:line="240" w:lineRule="auto" w:before="3"/>
        <w:rPr>
          <w:rFonts w:ascii="宋体" w:hAnsi="宋体" w:cs="宋体" w:eastAsia="宋体" w:hint="default"/>
          <w:sz w:val="25"/>
          <w:szCs w:val="25"/>
        </w:rPr>
      </w:pPr>
    </w:p>
    <w:tbl>
      <w:tblPr>
        <w:tblW w:w="0" w:type="auto"/>
        <w:jc w:val="left"/>
        <w:tblInd w:w="344" w:type="dxa"/>
        <w:tblLayout w:type="fixed"/>
        <w:tblCellMar>
          <w:top w:w="0" w:type="dxa"/>
          <w:left w:w="0" w:type="dxa"/>
          <w:bottom w:w="0" w:type="dxa"/>
          <w:right w:w="0" w:type="dxa"/>
        </w:tblCellMar>
        <w:tblLook w:val="01E0"/>
      </w:tblPr>
      <w:tblGrid>
        <w:gridCol w:w="4482"/>
        <w:gridCol w:w="2316"/>
        <w:gridCol w:w="2391"/>
      </w:tblGrid>
      <w:tr>
        <w:trPr>
          <w:trHeight w:val="264" w:hRule="exact"/>
        </w:trPr>
        <w:tc>
          <w:tcPr>
            <w:tcW w:w="4482" w:type="dxa"/>
            <w:tcBorders>
              <w:top w:val="nil" w:sz="6" w:space="0" w:color="auto"/>
              <w:left w:val="nil" w:sz="6" w:space="0" w:color="auto"/>
              <w:bottom w:val="nil" w:sz="6" w:space="0" w:color="auto"/>
              <w:right w:val="nil" w:sz="6" w:space="0" w:color="auto"/>
            </w:tcBorders>
          </w:tcPr>
          <w:p>
            <w:pPr/>
          </w:p>
        </w:tc>
        <w:tc>
          <w:tcPr>
            <w:tcW w:w="2316" w:type="dxa"/>
            <w:tcBorders>
              <w:top w:val="nil" w:sz="6" w:space="0" w:color="auto"/>
              <w:left w:val="nil" w:sz="6" w:space="0" w:color="auto"/>
              <w:bottom w:val="single" w:sz="6" w:space="0" w:color="000000"/>
              <w:right w:val="nil" w:sz="6" w:space="0" w:color="auto"/>
            </w:tcBorders>
          </w:tcPr>
          <w:p>
            <w:pPr>
              <w:pStyle w:val="TableParagraph"/>
              <w:spacing w:line="236" w:lineRule="exact"/>
              <w:ind w:right="26"/>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2391" w:type="dxa"/>
            <w:tcBorders>
              <w:top w:val="nil" w:sz="6" w:space="0" w:color="auto"/>
              <w:left w:val="nil" w:sz="6" w:space="0" w:color="auto"/>
              <w:bottom w:val="single" w:sz="6" w:space="0" w:color="000000"/>
              <w:right w:val="nil" w:sz="6" w:space="0" w:color="auto"/>
            </w:tcBorders>
          </w:tcPr>
          <w:p>
            <w:pPr>
              <w:pStyle w:val="TableParagraph"/>
              <w:spacing w:line="236" w:lineRule="exact"/>
              <w:ind w:right="26"/>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62" w:hRule="exact"/>
        </w:trPr>
        <w:tc>
          <w:tcPr>
            <w:tcW w:w="44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普通股股利</w:t>
            </w:r>
          </w:p>
        </w:tc>
        <w:tc>
          <w:tcPr>
            <w:tcW w:w="2316" w:type="dxa"/>
            <w:tcBorders>
              <w:top w:val="single" w:sz="6" w:space="0" w:color="000000"/>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5"/>
              <w:jc w:val="right"/>
              <w:rPr>
                <w:rFonts w:ascii="Arial" w:hAnsi="Arial" w:cs="Arial" w:eastAsia="Arial" w:hint="default"/>
                <w:sz w:val="22"/>
                <w:szCs w:val="22"/>
              </w:rPr>
            </w:pPr>
            <w:r>
              <w:rPr>
                <w:rFonts w:ascii="Arial"/>
                <w:sz w:val="22"/>
              </w:rPr>
              <w:t>2,266,014</w:t>
            </w:r>
          </w:p>
        </w:tc>
        <w:tc>
          <w:tcPr>
            <w:tcW w:w="2391" w:type="dxa"/>
            <w:tcBorders>
              <w:top w:val="single" w:sz="6" w:space="0" w:color="000000"/>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3"/>
              <w:jc w:val="right"/>
              <w:rPr>
                <w:rFonts w:ascii="Arial" w:hAnsi="Arial" w:cs="Arial" w:eastAsia="Arial" w:hint="default"/>
                <w:sz w:val="22"/>
                <w:szCs w:val="22"/>
              </w:rPr>
            </w:pPr>
            <w:r>
              <w:rPr>
                <w:rFonts w:ascii="Arial"/>
                <w:sz w:val="22"/>
              </w:rPr>
              <w:t>2,266,014</w:t>
            </w:r>
          </w:p>
        </w:tc>
      </w:tr>
    </w:tbl>
    <w:p>
      <w:pPr>
        <w:spacing w:line="240" w:lineRule="auto" w:before="13"/>
        <w:rPr>
          <w:rFonts w:ascii="宋体" w:hAnsi="宋体" w:cs="宋体" w:eastAsia="宋体" w:hint="default"/>
          <w:sz w:val="13"/>
          <w:szCs w:val="13"/>
        </w:rPr>
      </w:pPr>
    </w:p>
    <w:p>
      <w:pPr>
        <w:pStyle w:val="BodyText"/>
        <w:spacing w:line="240" w:lineRule="auto" w:before="32"/>
        <w:ind w:left="551" w:right="106"/>
        <w:jc w:val="left"/>
      </w:pPr>
      <w:r>
        <w:rPr/>
        <w:t>于</w:t>
      </w:r>
      <w:r>
        <w:rPr>
          <w:spacing w:val="-56"/>
        </w:rPr>
        <w:t> </w:t>
      </w:r>
      <w:r>
        <w:rPr>
          <w:rFonts w:ascii="Arial" w:hAnsi="Arial" w:cs="Arial" w:eastAsia="Arial" w:hint="default"/>
        </w:rPr>
        <w:t>2014</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日，余额为联通</w:t>
      </w:r>
      <w:r>
        <w:rPr>
          <w:spacing w:val="-56"/>
        </w:rPr>
        <w:t> </w:t>
      </w:r>
      <w:r>
        <w:rPr>
          <w:rFonts w:ascii="Arial" w:hAnsi="Arial" w:cs="Arial" w:eastAsia="Arial" w:hint="default"/>
        </w:rPr>
        <w:t>BVI</w:t>
      </w:r>
      <w:r>
        <w:rPr>
          <w:rFonts w:ascii="Arial" w:hAnsi="Arial" w:cs="Arial" w:eastAsia="Arial" w:hint="default"/>
          <w:spacing w:val="-6"/>
        </w:rPr>
        <w:t> </w:t>
      </w:r>
      <w:r>
        <w:rPr/>
        <w:t>公司应付联通集团</w:t>
      </w:r>
      <w:r>
        <w:rPr>
          <w:spacing w:val="-56"/>
        </w:rPr>
        <w:t> </w:t>
      </w:r>
      <w:r>
        <w:rPr>
          <w:rFonts w:ascii="Arial" w:hAnsi="Arial" w:cs="Arial" w:eastAsia="Arial" w:hint="default"/>
        </w:rPr>
        <w:t>2012</w:t>
      </w:r>
      <w:r>
        <w:rPr>
          <w:rFonts w:ascii="Arial" w:hAnsi="Arial" w:cs="Arial" w:eastAsia="Arial" w:hint="default"/>
          <w:spacing w:val="-8"/>
        </w:rPr>
        <w:t> </w:t>
      </w:r>
      <w:r>
        <w:rPr/>
        <w:t>年尚未支付部分股利。</w:t>
      </w:r>
    </w:p>
    <w:p>
      <w:pPr>
        <w:spacing w:line="240" w:lineRule="auto" w:before="12"/>
        <w:rPr>
          <w:rFonts w:ascii="宋体" w:hAnsi="宋体" w:cs="宋体" w:eastAsia="宋体" w:hint="default"/>
          <w:sz w:val="17"/>
          <w:szCs w:val="17"/>
        </w:rPr>
      </w:pPr>
    </w:p>
    <w:p>
      <w:pPr>
        <w:pStyle w:val="BodyText"/>
        <w:spacing w:line="240" w:lineRule="auto"/>
        <w:ind w:left="102" w:right="106"/>
        <w:jc w:val="left"/>
      </w:pPr>
      <w:r>
        <w:rPr>
          <w:rFonts w:ascii="Arial" w:hAnsi="Arial" w:cs="Arial" w:eastAsia="Arial" w:hint="default"/>
        </w:rPr>
        <w:t>23</w:t>
      </w:r>
      <w:r>
        <w:rPr/>
        <w:t>、其他应付款</w:t>
      </w:r>
    </w:p>
    <w:p>
      <w:pPr>
        <w:spacing w:line="240" w:lineRule="auto" w:before="0"/>
        <w:rPr>
          <w:rFonts w:ascii="宋体" w:hAnsi="宋体" w:cs="宋体" w:eastAsia="宋体" w:hint="default"/>
          <w:sz w:val="23"/>
          <w:szCs w:val="23"/>
        </w:rPr>
      </w:pPr>
    </w:p>
    <w:tbl>
      <w:tblPr>
        <w:tblW w:w="0" w:type="auto"/>
        <w:jc w:val="left"/>
        <w:tblInd w:w="361" w:type="dxa"/>
        <w:tblLayout w:type="fixed"/>
        <w:tblCellMar>
          <w:top w:w="0" w:type="dxa"/>
          <w:left w:w="0" w:type="dxa"/>
          <w:bottom w:w="0" w:type="dxa"/>
          <w:right w:w="0" w:type="dxa"/>
        </w:tblCellMar>
        <w:tblLook w:val="01E0"/>
      </w:tblPr>
      <w:tblGrid>
        <w:gridCol w:w="5311"/>
        <w:gridCol w:w="1903"/>
        <w:gridCol w:w="2005"/>
      </w:tblGrid>
      <w:tr>
        <w:trPr>
          <w:trHeight w:val="264" w:hRule="exact"/>
        </w:trPr>
        <w:tc>
          <w:tcPr>
            <w:tcW w:w="7214" w:type="dxa"/>
            <w:gridSpan w:val="2"/>
            <w:tcBorders>
              <w:top w:val="nil" w:sz="6" w:space="0" w:color="auto"/>
              <w:left w:val="nil" w:sz="6" w:space="0" w:color="auto"/>
              <w:bottom w:val="nil" w:sz="6" w:space="0" w:color="auto"/>
              <w:right w:val="nil" w:sz="6" w:space="0" w:color="auto"/>
            </w:tcBorders>
          </w:tcPr>
          <w:p>
            <w:pPr>
              <w:pStyle w:val="TableParagraph"/>
              <w:spacing w:line="236" w:lineRule="exact"/>
              <w:ind w:right="0"/>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9"/>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Arial" w:hAnsi="Arial" w:cs="Arial" w:eastAsia="Arial" w:hint="default"/>
                <w:sz w:val="22"/>
                <w:szCs w:val="22"/>
              </w:rPr>
              <w:t>12</w:t>
            </w:r>
            <w:r>
              <w:rPr>
                <w:rFonts w:ascii="Arial" w:hAnsi="Arial" w:cs="Arial" w:eastAsia="Arial" w:hint="default"/>
                <w:spacing w:val="-9"/>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2005" w:type="dxa"/>
            <w:tcBorders>
              <w:top w:val="nil" w:sz="6" w:space="0" w:color="auto"/>
              <w:left w:val="nil" w:sz="6" w:space="0" w:color="auto"/>
              <w:bottom w:val="single" w:sz="6" w:space="0" w:color="000000"/>
              <w:right w:val="nil" w:sz="6" w:space="0" w:color="auto"/>
            </w:tcBorders>
          </w:tcPr>
          <w:p>
            <w:pPr>
              <w:pStyle w:val="TableParagraph"/>
              <w:spacing w:line="236" w:lineRule="exact"/>
              <w:ind w:right="0"/>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8"/>
                <w:sz w:val="22"/>
                <w:szCs w:val="22"/>
              </w:rPr>
              <w:t> </w:t>
            </w:r>
            <w:r>
              <w:rPr>
                <w:rFonts w:ascii="宋体" w:hAnsi="宋体" w:cs="宋体" w:eastAsia="宋体" w:hint="default"/>
                <w:sz w:val="22"/>
                <w:szCs w:val="22"/>
              </w:rPr>
              <w:t>日</w:t>
            </w:r>
          </w:p>
        </w:tc>
      </w:tr>
      <w:tr>
        <w:trPr>
          <w:trHeight w:val="557" w:hRule="exact"/>
        </w:trPr>
        <w:tc>
          <w:tcPr>
            <w:tcW w:w="531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押金及暂收款</w:t>
            </w:r>
          </w:p>
        </w:tc>
        <w:tc>
          <w:tcPr>
            <w:tcW w:w="1903"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0"/>
              <w:jc w:val="right"/>
              <w:rPr>
                <w:rFonts w:ascii="Arial" w:hAnsi="Arial" w:cs="Arial" w:eastAsia="Arial" w:hint="default"/>
                <w:sz w:val="22"/>
                <w:szCs w:val="22"/>
              </w:rPr>
            </w:pPr>
            <w:r>
              <w:rPr>
                <w:rFonts w:ascii="Arial"/>
                <w:spacing w:val="-1"/>
                <w:sz w:val="22"/>
              </w:rPr>
              <w:t>6,283,677,468</w:t>
            </w:r>
          </w:p>
        </w:tc>
        <w:tc>
          <w:tcPr>
            <w:tcW w:w="2005"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89" w:right="0"/>
              <w:jc w:val="left"/>
              <w:rPr>
                <w:rFonts w:ascii="Arial" w:hAnsi="Arial" w:cs="Arial" w:eastAsia="Arial" w:hint="default"/>
                <w:sz w:val="22"/>
                <w:szCs w:val="22"/>
              </w:rPr>
            </w:pPr>
            <w:r>
              <w:rPr>
                <w:rFonts w:ascii="Arial"/>
                <w:sz w:val="22"/>
              </w:rPr>
              <w:t>6,097,183,799</w:t>
            </w:r>
          </w:p>
        </w:tc>
      </w:tr>
      <w:tr>
        <w:trPr>
          <w:trHeight w:val="286" w:hRule="exact"/>
        </w:trPr>
        <w:tc>
          <w:tcPr>
            <w:tcW w:w="5311"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1"/>
              <w:jc w:val="left"/>
              <w:rPr>
                <w:rFonts w:ascii="宋体" w:hAnsi="宋体" w:cs="宋体" w:eastAsia="宋体" w:hint="default"/>
                <w:sz w:val="22"/>
                <w:szCs w:val="22"/>
              </w:rPr>
            </w:pPr>
            <w:r>
              <w:rPr>
                <w:rFonts w:ascii="宋体" w:hAnsi="宋体" w:cs="宋体" w:eastAsia="宋体" w:hint="default"/>
                <w:spacing w:val="-1"/>
                <w:sz w:val="22"/>
                <w:szCs w:val="22"/>
              </w:rPr>
              <w:t>应付联通集团及其非上市附属公司款项（附注十</w:t>
            </w:r>
            <w:r>
              <w:rPr>
                <w:rFonts w:ascii="Arial" w:hAnsi="Arial" w:cs="Arial" w:eastAsia="Arial" w:hint="default"/>
                <w:spacing w:val="-1"/>
                <w:sz w:val="22"/>
                <w:szCs w:val="22"/>
              </w:rPr>
              <w:t>(6)</w:t>
            </w:r>
            <w:r>
              <w:rPr>
                <w:rFonts w:ascii="宋体" w:hAnsi="宋体" w:cs="宋体" w:eastAsia="宋体" w:hint="default"/>
                <w:spacing w:val="-1"/>
                <w:sz w:val="22"/>
                <w:szCs w:val="22"/>
              </w:rPr>
              <w:t>）</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0"/>
              <w:jc w:val="right"/>
              <w:rPr>
                <w:rFonts w:ascii="Arial" w:hAnsi="Arial" w:cs="Arial" w:eastAsia="Arial" w:hint="default"/>
                <w:sz w:val="22"/>
                <w:szCs w:val="22"/>
              </w:rPr>
            </w:pPr>
            <w:r>
              <w:rPr>
                <w:rFonts w:ascii="Arial"/>
                <w:spacing w:val="-1"/>
                <w:sz w:val="22"/>
              </w:rPr>
              <w:t>259,094,322</w:t>
            </w:r>
          </w:p>
        </w:tc>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92" w:right="0"/>
              <w:jc w:val="left"/>
              <w:rPr>
                <w:rFonts w:ascii="Arial" w:hAnsi="Arial" w:cs="Arial" w:eastAsia="Arial" w:hint="default"/>
                <w:sz w:val="22"/>
                <w:szCs w:val="22"/>
              </w:rPr>
            </w:pPr>
            <w:r>
              <w:rPr>
                <w:rFonts w:ascii="Arial"/>
                <w:sz w:val="22"/>
              </w:rPr>
              <w:t>2,269,985,218</w:t>
            </w:r>
          </w:p>
        </w:tc>
      </w:tr>
      <w:tr>
        <w:trPr>
          <w:trHeight w:val="286" w:hRule="exact"/>
        </w:trPr>
        <w:tc>
          <w:tcPr>
            <w:tcW w:w="5311"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应付关联公司借款利息（附注十</w:t>
            </w:r>
            <w:r>
              <w:rPr>
                <w:rFonts w:ascii="Arial" w:hAnsi="Arial" w:cs="Arial" w:eastAsia="Arial" w:hint="default"/>
                <w:sz w:val="22"/>
                <w:szCs w:val="22"/>
              </w:rPr>
              <w:t>(6)</w:t>
            </w:r>
            <w:r>
              <w:rPr>
                <w:rFonts w:ascii="宋体" w:hAnsi="宋体" w:cs="宋体" w:eastAsia="宋体" w:hint="default"/>
                <w:sz w:val="22"/>
                <w:szCs w:val="22"/>
              </w:rPr>
              <w:t>）</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0"/>
              <w:jc w:val="right"/>
              <w:rPr>
                <w:rFonts w:ascii="Arial" w:hAnsi="Arial" w:cs="Arial" w:eastAsia="Arial" w:hint="default"/>
                <w:sz w:val="22"/>
                <w:szCs w:val="22"/>
              </w:rPr>
            </w:pPr>
            <w:r>
              <w:rPr>
                <w:rFonts w:ascii="Arial"/>
                <w:spacing w:val="-1"/>
                <w:sz w:val="22"/>
              </w:rPr>
              <w:t>64,812,067</w:t>
            </w:r>
          </w:p>
        </w:tc>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97" w:right="0"/>
              <w:jc w:val="left"/>
              <w:rPr>
                <w:rFonts w:ascii="Arial" w:hAnsi="Arial" w:cs="Arial" w:eastAsia="Arial" w:hint="default"/>
                <w:sz w:val="22"/>
                <w:szCs w:val="22"/>
              </w:rPr>
            </w:pPr>
            <w:r>
              <w:rPr>
                <w:rFonts w:ascii="Arial"/>
                <w:sz w:val="22"/>
              </w:rPr>
              <w:t>64,590,249</w:t>
            </w:r>
          </w:p>
        </w:tc>
      </w:tr>
      <w:tr>
        <w:trPr>
          <w:trHeight w:val="285" w:hRule="exact"/>
        </w:trPr>
        <w:tc>
          <w:tcPr>
            <w:tcW w:w="531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2"/>
                <w:szCs w:val="22"/>
              </w:rPr>
            </w:pPr>
            <w:r>
              <w:rPr>
                <w:rFonts w:ascii="宋体" w:hAnsi="宋体" w:cs="宋体" w:eastAsia="宋体" w:hint="default"/>
                <w:sz w:val="22"/>
                <w:szCs w:val="22"/>
              </w:rPr>
              <w:t>代扣代缴员工社保支出</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0"/>
              <w:jc w:val="right"/>
              <w:rPr>
                <w:rFonts w:ascii="Arial" w:hAnsi="Arial" w:cs="Arial" w:eastAsia="Arial" w:hint="default"/>
                <w:sz w:val="22"/>
                <w:szCs w:val="22"/>
              </w:rPr>
            </w:pPr>
            <w:r>
              <w:rPr>
                <w:rFonts w:ascii="Arial"/>
                <w:spacing w:val="-1"/>
                <w:sz w:val="22"/>
              </w:rPr>
              <w:t>221,879,045</w:t>
            </w:r>
          </w:p>
        </w:tc>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675" w:right="0"/>
              <w:jc w:val="left"/>
              <w:rPr>
                <w:rFonts w:ascii="Arial" w:hAnsi="Arial" w:cs="Arial" w:eastAsia="Arial" w:hint="default"/>
                <w:sz w:val="22"/>
                <w:szCs w:val="22"/>
              </w:rPr>
            </w:pPr>
            <w:r>
              <w:rPr>
                <w:rFonts w:ascii="Arial"/>
                <w:sz w:val="22"/>
              </w:rPr>
              <w:t>141,126,170</w:t>
            </w:r>
          </w:p>
        </w:tc>
      </w:tr>
      <w:tr>
        <w:trPr>
          <w:trHeight w:val="420" w:hRule="exact"/>
        </w:trPr>
        <w:tc>
          <w:tcPr>
            <w:tcW w:w="5311"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903"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0" w:lineRule="auto" w:before="20"/>
              <w:ind w:left="-5" w:right="4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596,526,354</w:t>
            </w:r>
            <w:r>
              <w:rPr>
                <w:rFonts w:ascii="Arial"/>
                <w:spacing w:val="-1"/>
                <w:sz w:val="22"/>
              </w:rPr>
            </w:r>
          </w:p>
        </w:tc>
        <w:tc>
          <w:tcPr>
            <w:tcW w:w="2005" w:type="dxa"/>
            <w:tcBorders>
              <w:top w:val="nil" w:sz="6" w:space="0" w:color="auto"/>
              <w:left w:val="nil" w:sz="6" w:space="0" w:color="auto"/>
              <w:bottom w:val="nil" w:sz="6" w:space="0" w:color="auto"/>
              <w:right w:val="nil" w:sz="6" w:space="0" w:color="auto"/>
            </w:tcBorders>
          </w:tcPr>
          <w:p>
            <w:pPr>
              <w:pStyle w:val="TableParagraph"/>
              <w:tabs>
                <w:tab w:pos="583" w:val="left" w:leader="none"/>
                <w:tab w:pos="1913"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508,467,392</w:t>
              <w:tab/>
            </w:r>
            <w:r>
              <w:rPr>
                <w:rFonts w:ascii="Arial"/>
                <w:spacing w:val="-1"/>
                <w:sz w:val="22"/>
              </w:rPr>
            </w:r>
          </w:p>
        </w:tc>
      </w:tr>
      <w:tr>
        <w:trPr>
          <w:trHeight w:val="433" w:hRule="exact"/>
        </w:trPr>
        <w:tc>
          <w:tcPr>
            <w:tcW w:w="531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903"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40"/>
              <w:jc w:val="right"/>
              <w:rPr>
                <w:rFonts w:ascii="Arial" w:hAnsi="Arial" w:cs="Arial" w:eastAsia="Arial" w:hint="default"/>
                <w:sz w:val="22"/>
                <w:szCs w:val="22"/>
              </w:rPr>
            </w:pPr>
            <w:r>
              <w:rPr>
                <w:rFonts w:ascii="Arial"/>
                <w:spacing w:val="-1"/>
                <w:sz w:val="22"/>
              </w:rPr>
              <w:t>7,425,989,256</w:t>
            </w:r>
          </w:p>
        </w:tc>
        <w:tc>
          <w:tcPr>
            <w:tcW w:w="2005"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left="492" w:right="0"/>
              <w:jc w:val="left"/>
              <w:rPr>
                <w:rFonts w:ascii="Arial" w:hAnsi="Arial" w:cs="Arial" w:eastAsia="Arial" w:hint="default"/>
                <w:sz w:val="22"/>
                <w:szCs w:val="22"/>
              </w:rPr>
            </w:pPr>
            <w:r>
              <w:rPr>
                <w:rFonts w:ascii="Arial"/>
                <w:sz w:val="22"/>
              </w:rPr>
              <w:t>9,081,352,828</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95" w:lineRule="exact"/>
        <w:ind w:left="551" w:right="106"/>
        <w:jc w:val="left"/>
        <w:rPr>
          <w:rFonts w:ascii="Arial" w:hAnsi="Arial" w:cs="Arial" w:eastAsia="Arial" w:hint="default"/>
        </w:rPr>
      </w:pPr>
      <w:r>
        <w:rPr/>
        <w:t>于</w:t>
      </w:r>
      <w:r>
        <w:rPr>
          <w:spacing w:val="-55"/>
        </w:rPr>
        <w:t> </w:t>
      </w:r>
      <w:r>
        <w:rPr>
          <w:rFonts w:ascii="Arial" w:hAnsi="Arial" w:cs="Arial" w:eastAsia="Arial" w:hint="default"/>
        </w:rPr>
        <w:t>2014</w:t>
      </w:r>
      <w:r>
        <w:rPr>
          <w:rFonts w:ascii="Arial" w:hAnsi="Arial" w:cs="Arial" w:eastAsia="Arial" w:hint="default"/>
          <w:spacing w:val="-7"/>
        </w:rPr>
        <w:t> </w:t>
      </w:r>
      <w:r>
        <w:rPr/>
        <w:t>年</w:t>
      </w:r>
      <w:r>
        <w:rPr>
          <w:spacing w:val="-55"/>
        </w:rPr>
        <w:t> </w:t>
      </w:r>
      <w:r>
        <w:rPr>
          <w:rFonts w:ascii="Arial" w:hAnsi="Arial" w:cs="Arial" w:eastAsia="Arial" w:hint="default"/>
        </w:rPr>
        <w:t>12</w:t>
      </w:r>
      <w:r>
        <w:rPr>
          <w:rFonts w:ascii="Arial" w:hAnsi="Arial" w:cs="Arial" w:eastAsia="Arial" w:hint="default"/>
          <w:spacing w:val="-7"/>
        </w:rPr>
        <w:t> </w:t>
      </w:r>
      <w:r>
        <w:rPr/>
        <w:t>月</w:t>
      </w:r>
      <w:r>
        <w:rPr>
          <w:spacing w:val="-55"/>
        </w:rPr>
        <w:t> </w:t>
      </w:r>
      <w:r>
        <w:rPr>
          <w:rFonts w:ascii="Arial" w:hAnsi="Arial" w:cs="Arial" w:eastAsia="Arial" w:hint="default"/>
        </w:rPr>
        <w:t>31</w:t>
      </w:r>
      <w:r>
        <w:rPr>
          <w:rFonts w:ascii="Arial" w:hAnsi="Arial" w:cs="Arial" w:eastAsia="Arial" w:hint="default"/>
          <w:spacing w:val="-7"/>
        </w:rPr>
        <w:t> </w:t>
      </w:r>
      <w:r>
        <w:rPr/>
        <w:t>日，账龄超过</w:t>
      </w:r>
      <w:r>
        <w:rPr>
          <w:spacing w:val="-55"/>
        </w:rPr>
        <w:t> </w:t>
      </w:r>
      <w:r>
        <w:rPr>
          <w:rFonts w:ascii="Arial" w:hAnsi="Arial" w:cs="Arial" w:eastAsia="Arial" w:hint="default"/>
        </w:rPr>
        <w:t>1</w:t>
      </w:r>
      <w:r>
        <w:rPr>
          <w:rFonts w:ascii="Arial" w:hAnsi="Arial" w:cs="Arial" w:eastAsia="Arial" w:hint="default"/>
          <w:spacing w:val="-9"/>
        </w:rPr>
        <w:t> </w:t>
      </w:r>
      <w:r>
        <w:rPr/>
        <w:t>年的其他应付款约人民币</w:t>
      </w:r>
      <w:r>
        <w:rPr>
          <w:spacing w:val="-55"/>
        </w:rPr>
        <w:t> </w:t>
      </w:r>
      <w:r>
        <w:rPr>
          <w:rFonts w:ascii="Arial" w:hAnsi="Arial" w:cs="Arial" w:eastAsia="Arial" w:hint="default"/>
        </w:rPr>
        <w:t>24.75</w:t>
      </w:r>
      <w:r>
        <w:rPr>
          <w:rFonts w:ascii="Arial" w:hAnsi="Arial" w:cs="Arial" w:eastAsia="Arial" w:hint="default"/>
          <w:spacing w:val="-9"/>
        </w:rPr>
        <w:t> </w:t>
      </w:r>
      <w:r>
        <w:rPr/>
        <w:t>亿元（</w:t>
      </w:r>
      <w:r>
        <w:rPr>
          <w:rFonts w:ascii="Arial" w:hAnsi="Arial" w:cs="Arial" w:eastAsia="Arial" w:hint="default"/>
        </w:rPr>
        <w:t>2013</w:t>
      </w:r>
      <w:r>
        <w:rPr>
          <w:rFonts w:ascii="Arial" w:hAnsi="Arial" w:cs="Arial" w:eastAsia="Arial" w:hint="default"/>
          <w:spacing w:val="-6"/>
        </w:rPr>
        <w:t> </w:t>
      </w:r>
      <w:r>
        <w:rPr/>
        <w:t>年</w:t>
      </w:r>
      <w:r>
        <w:rPr>
          <w:spacing w:val="-55"/>
        </w:rPr>
        <w:t> </w:t>
      </w:r>
      <w:r>
        <w:rPr>
          <w:rFonts w:ascii="Arial" w:hAnsi="Arial" w:cs="Arial" w:eastAsia="Arial" w:hint="default"/>
        </w:rPr>
        <w:t>12</w:t>
      </w:r>
      <w:r>
        <w:rPr>
          <w:rFonts w:ascii="Arial" w:hAnsi="Arial" w:cs="Arial" w:eastAsia="Arial" w:hint="default"/>
          <w:spacing w:val="-7"/>
        </w:rPr>
        <w:t> </w:t>
      </w:r>
      <w:r>
        <w:rPr/>
        <w:t>月</w:t>
      </w:r>
      <w:r>
        <w:rPr>
          <w:spacing w:val="-55"/>
        </w:rPr>
        <w:t> </w:t>
      </w:r>
      <w:r>
        <w:rPr>
          <w:rFonts w:ascii="Arial" w:hAnsi="Arial" w:cs="Arial" w:eastAsia="Arial" w:hint="default"/>
        </w:rPr>
        <w:t>31</w:t>
      </w:r>
    </w:p>
    <w:p>
      <w:pPr>
        <w:pStyle w:val="BodyText"/>
        <w:spacing w:line="286" w:lineRule="exact" w:before="19"/>
        <w:ind w:left="551" w:right="106"/>
        <w:jc w:val="left"/>
      </w:pPr>
      <w:r>
        <w:rPr/>
        <w:t>日：约人民币</w:t>
      </w:r>
      <w:r>
        <w:rPr>
          <w:spacing w:val="-59"/>
        </w:rPr>
        <w:t> </w:t>
      </w:r>
      <w:r>
        <w:rPr>
          <w:rFonts w:ascii="Arial" w:hAnsi="Arial" w:cs="Arial" w:eastAsia="Arial" w:hint="default"/>
        </w:rPr>
        <w:t>37.38</w:t>
      </w:r>
      <w:r>
        <w:rPr>
          <w:rFonts w:ascii="Arial" w:hAnsi="Arial" w:cs="Arial" w:eastAsia="Arial" w:hint="default"/>
          <w:spacing w:val="-11"/>
        </w:rPr>
        <w:t> </w:t>
      </w:r>
      <w:r>
        <w:rPr/>
        <w:t>亿元），主要为本集团收取的押金和保证金及应付关联方的款项，因交易</w:t>
      </w:r>
      <w:r>
        <w:rPr>
          <w:w w:val="100"/>
        </w:rPr>
        <w:t> </w:t>
      </w:r>
      <w:r>
        <w:rPr/>
        <w:t>双方仍继续发生业务往来，故此项账款尚未完全结清。</w:t>
      </w:r>
    </w:p>
    <w:p>
      <w:pPr>
        <w:spacing w:after="0" w:line="286" w:lineRule="exact"/>
        <w:jc w:val="left"/>
        <w:sectPr>
          <w:headerReference w:type="default" r:id="rId91"/>
          <w:pgSz w:w="11910" w:h="16840"/>
          <w:pgMar w:header="1185" w:footer="635" w:top="3600" w:bottom="820" w:left="1280" w:right="940"/>
        </w:sectPr>
      </w:pPr>
    </w:p>
    <w:p>
      <w:pPr>
        <w:spacing w:line="240" w:lineRule="auto" w:before="5"/>
        <w:rPr>
          <w:rFonts w:ascii="宋体" w:hAnsi="宋体" w:cs="宋体" w:eastAsia="宋体" w:hint="default"/>
          <w:sz w:val="23"/>
          <w:szCs w:val="23"/>
        </w:rPr>
      </w:pPr>
    </w:p>
    <w:tbl>
      <w:tblPr>
        <w:tblW w:w="0" w:type="auto"/>
        <w:jc w:val="left"/>
        <w:tblInd w:w="363" w:type="dxa"/>
        <w:tblLayout w:type="fixed"/>
        <w:tblCellMar>
          <w:top w:w="0" w:type="dxa"/>
          <w:left w:w="0" w:type="dxa"/>
          <w:bottom w:w="0" w:type="dxa"/>
          <w:right w:w="0" w:type="dxa"/>
        </w:tblCellMar>
        <w:tblLook w:val="01E0"/>
      </w:tblPr>
      <w:tblGrid>
        <w:gridCol w:w="4432"/>
        <w:gridCol w:w="2309"/>
        <w:gridCol w:w="127"/>
        <w:gridCol w:w="2290"/>
      </w:tblGrid>
      <w:tr>
        <w:trPr>
          <w:trHeight w:val="264" w:hRule="exact"/>
        </w:trPr>
        <w:tc>
          <w:tcPr>
            <w:tcW w:w="4432"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single" w:sz="6" w:space="0" w:color="000000"/>
              <w:right w:val="nil" w:sz="6" w:space="0" w:color="auto"/>
            </w:tcBorders>
          </w:tcPr>
          <w:p>
            <w:pPr>
              <w:pStyle w:val="TableParagraph"/>
              <w:spacing w:line="236" w:lineRule="exact"/>
              <w:ind w:right="53"/>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27"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single" w:sz="6" w:space="0" w:color="000000"/>
              <w:right w:val="nil" w:sz="6" w:space="0" w:color="auto"/>
            </w:tcBorders>
          </w:tcPr>
          <w:p>
            <w:pPr>
              <w:pStyle w:val="TableParagraph"/>
              <w:spacing w:line="236" w:lineRule="exact"/>
              <w:ind w:left="319" w:right="0"/>
              <w:jc w:val="lef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7" w:hRule="exact"/>
        </w:trPr>
        <w:tc>
          <w:tcPr>
            <w:tcW w:w="443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一年内到期的长期借款</w:t>
            </w:r>
          </w:p>
        </w:tc>
        <w:tc>
          <w:tcPr>
            <w:tcW w:w="2309"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5"/>
              <w:jc w:val="right"/>
              <w:rPr>
                <w:rFonts w:ascii="Arial" w:hAnsi="Arial" w:cs="Arial" w:eastAsia="Arial" w:hint="default"/>
                <w:sz w:val="22"/>
                <w:szCs w:val="22"/>
              </w:rPr>
            </w:pPr>
            <w:r>
              <w:rPr>
                <w:rFonts w:ascii="Arial"/>
                <w:spacing w:val="-1"/>
                <w:sz w:val="22"/>
              </w:rPr>
              <w:t>45,451,857</w:t>
            </w:r>
          </w:p>
        </w:tc>
        <w:tc>
          <w:tcPr>
            <w:tcW w:w="127" w:type="dxa"/>
            <w:tcBorders>
              <w:top w:val="nil" w:sz="6" w:space="0" w:color="auto"/>
              <w:left w:val="nil" w:sz="6" w:space="0" w:color="auto"/>
              <w:bottom w:val="nil" w:sz="6" w:space="0" w:color="auto"/>
              <w:right w:val="nil" w:sz="6" w:space="0" w:color="auto"/>
            </w:tcBorders>
          </w:tcPr>
          <w:p>
            <w:pPr/>
          </w:p>
        </w:tc>
        <w:tc>
          <w:tcPr>
            <w:tcW w:w="2290"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9"/>
              <w:jc w:val="right"/>
              <w:rPr>
                <w:rFonts w:ascii="Arial" w:hAnsi="Arial" w:cs="Arial" w:eastAsia="Arial" w:hint="default"/>
                <w:sz w:val="22"/>
                <w:szCs w:val="22"/>
              </w:rPr>
            </w:pPr>
            <w:r>
              <w:rPr>
                <w:rFonts w:ascii="Arial"/>
                <w:spacing w:val="-1"/>
                <w:sz w:val="22"/>
              </w:rPr>
              <w:t>48,258,827</w:t>
            </w:r>
          </w:p>
        </w:tc>
      </w:tr>
      <w:tr>
        <w:trPr>
          <w:trHeight w:val="286" w:hRule="exact"/>
        </w:trPr>
        <w:tc>
          <w:tcPr>
            <w:tcW w:w="4432"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宋体" w:hAnsi="宋体" w:cs="宋体" w:eastAsia="宋体" w:hint="default"/>
                <w:sz w:val="22"/>
                <w:szCs w:val="22"/>
              </w:rPr>
              <w:t>一年内到期的应付债券（附注五</w:t>
            </w:r>
            <w:r>
              <w:rPr>
                <w:rFonts w:ascii="Arial" w:hAnsi="Arial" w:cs="Arial" w:eastAsia="Arial" w:hint="default"/>
                <w:sz w:val="22"/>
                <w:szCs w:val="22"/>
              </w:rPr>
              <w:t>(27)</w:t>
            </w:r>
            <w:r>
              <w:rPr>
                <w:rFonts w:ascii="宋体" w:hAnsi="宋体" w:cs="宋体" w:eastAsia="宋体" w:hint="default"/>
                <w:sz w:val="22"/>
                <w:szCs w:val="22"/>
              </w:rPr>
              <w:t>）</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5"/>
              <w:jc w:val="right"/>
              <w:rPr>
                <w:rFonts w:ascii="Arial" w:hAnsi="Arial" w:cs="Arial" w:eastAsia="Arial" w:hint="default"/>
                <w:sz w:val="22"/>
                <w:szCs w:val="22"/>
              </w:rPr>
            </w:pPr>
            <w:r>
              <w:rPr>
                <w:rFonts w:ascii="Arial"/>
                <w:spacing w:val="-1"/>
                <w:sz w:val="22"/>
              </w:rPr>
              <w:t>11,167,085,839</w:t>
            </w:r>
          </w:p>
        </w:tc>
        <w:tc>
          <w:tcPr>
            <w:tcW w:w="127"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2"/>
              <w:jc w:val="right"/>
              <w:rPr>
                <w:rFonts w:ascii="Arial" w:hAnsi="Arial" w:cs="Arial" w:eastAsia="Arial" w:hint="default"/>
                <w:sz w:val="22"/>
                <w:szCs w:val="22"/>
              </w:rPr>
            </w:pPr>
            <w:r>
              <w:rPr>
                <w:rFonts w:ascii="Arial"/>
                <w:w w:val="100"/>
                <w:sz w:val="22"/>
              </w:rPr>
              <w:t>-</w:t>
            </w:r>
          </w:p>
        </w:tc>
      </w:tr>
      <w:tr>
        <w:trPr>
          <w:trHeight w:val="440" w:hRule="exact"/>
        </w:trPr>
        <w:tc>
          <w:tcPr>
            <w:tcW w:w="4432"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宋体" w:hAnsi="宋体" w:cs="宋体" w:eastAsia="宋体" w:hint="default"/>
                <w:sz w:val="22"/>
                <w:szCs w:val="22"/>
              </w:rPr>
              <w:t>一年内到期的长期应付款（附注五</w:t>
            </w:r>
            <w:r>
              <w:rPr>
                <w:rFonts w:ascii="Arial" w:hAnsi="Arial" w:cs="Arial" w:eastAsia="Arial" w:hint="default"/>
                <w:sz w:val="22"/>
                <w:szCs w:val="22"/>
              </w:rPr>
              <w:t>(28)</w:t>
            </w:r>
            <w:r>
              <w:rPr>
                <w:rFonts w:ascii="宋体" w:hAnsi="宋体" w:cs="宋体" w:eastAsia="宋体" w:hint="default"/>
                <w:sz w:val="22"/>
                <w:szCs w:val="22"/>
              </w:rPr>
              <w:t>）</w:t>
            </w:r>
          </w:p>
        </w:tc>
        <w:tc>
          <w:tcPr>
            <w:tcW w:w="2309" w:type="dxa"/>
            <w:tcBorders>
              <w:top w:val="nil" w:sz="6" w:space="0" w:color="auto"/>
              <w:left w:val="nil" w:sz="6" w:space="0" w:color="auto"/>
              <w:bottom w:val="nil" w:sz="6" w:space="0" w:color="auto"/>
              <w:right w:val="nil" w:sz="6" w:space="0" w:color="auto"/>
            </w:tcBorders>
          </w:tcPr>
          <w:p>
            <w:pPr>
              <w:pStyle w:val="TableParagraph"/>
              <w:tabs>
                <w:tab w:pos="974" w:val="left" w:leader="none"/>
                <w:tab w:pos="2309"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167,762,670</w:t>
              <w:tab/>
            </w:r>
            <w:r>
              <w:rPr>
                <w:rFonts w:ascii="Arial"/>
                <w:spacing w:val="-1"/>
                <w:sz w:val="22"/>
              </w:rPr>
            </w:r>
          </w:p>
        </w:tc>
        <w:tc>
          <w:tcPr>
            <w:tcW w:w="127"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nil" w:sz="6" w:space="0" w:color="auto"/>
              <w:right w:val="nil" w:sz="6" w:space="0" w:color="auto"/>
            </w:tcBorders>
          </w:tcPr>
          <w:p>
            <w:pPr>
              <w:pStyle w:val="TableParagraph"/>
              <w:tabs>
                <w:tab w:pos="974" w:val="left" w:leader="none"/>
                <w:tab w:pos="2282"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161,474,459</w:t>
              <w:tab/>
            </w:r>
            <w:r>
              <w:rPr>
                <w:rFonts w:ascii="Arial"/>
                <w:spacing w:val="-1"/>
                <w:sz w:val="22"/>
              </w:rPr>
            </w:r>
          </w:p>
        </w:tc>
      </w:tr>
      <w:tr>
        <w:trPr>
          <w:trHeight w:val="453" w:hRule="exact"/>
        </w:trPr>
        <w:tc>
          <w:tcPr>
            <w:tcW w:w="4432"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09" w:type="dxa"/>
            <w:tcBorders>
              <w:top w:val="nil" w:sz="6" w:space="0" w:color="auto"/>
              <w:left w:val="nil" w:sz="6" w:space="0" w:color="auto"/>
              <w:bottom w:val="single" w:sz="17" w:space="0" w:color="000000"/>
              <w:right w:val="nil" w:sz="6" w:space="0" w:color="auto"/>
            </w:tcBorders>
          </w:tcPr>
          <w:p>
            <w:pPr>
              <w:pStyle w:val="TableParagraph"/>
              <w:spacing w:line="240" w:lineRule="auto" w:before="174"/>
              <w:ind w:right="105"/>
              <w:jc w:val="right"/>
              <w:rPr>
                <w:rFonts w:ascii="Arial" w:hAnsi="Arial" w:cs="Arial" w:eastAsia="Arial" w:hint="default"/>
                <w:sz w:val="22"/>
                <w:szCs w:val="22"/>
              </w:rPr>
            </w:pPr>
            <w:r>
              <w:rPr>
                <w:rFonts w:ascii="Arial"/>
                <w:spacing w:val="-1"/>
                <w:sz w:val="22"/>
              </w:rPr>
              <w:t>11,380,300,366</w:t>
            </w:r>
          </w:p>
        </w:tc>
        <w:tc>
          <w:tcPr>
            <w:tcW w:w="127"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single" w:sz="17" w:space="0" w:color="000000"/>
              <w:right w:val="nil" w:sz="6" w:space="0" w:color="auto"/>
            </w:tcBorders>
          </w:tcPr>
          <w:p>
            <w:pPr>
              <w:pStyle w:val="TableParagraph"/>
              <w:spacing w:line="240" w:lineRule="auto" w:before="174"/>
              <w:ind w:right="78"/>
              <w:jc w:val="right"/>
              <w:rPr>
                <w:rFonts w:ascii="Arial" w:hAnsi="Arial" w:cs="Arial" w:eastAsia="Arial" w:hint="default"/>
                <w:sz w:val="22"/>
                <w:szCs w:val="22"/>
              </w:rPr>
            </w:pPr>
            <w:r>
              <w:rPr>
                <w:rFonts w:ascii="Arial"/>
                <w:spacing w:val="-1"/>
                <w:sz w:val="22"/>
              </w:rPr>
              <w:t>209,733,286</w:t>
            </w:r>
          </w:p>
        </w:tc>
      </w:tr>
    </w:tbl>
    <w:p>
      <w:pPr>
        <w:spacing w:line="240" w:lineRule="auto" w:before="11"/>
        <w:rPr>
          <w:rFonts w:ascii="宋体" w:hAnsi="宋体" w:cs="宋体" w:eastAsia="宋体" w:hint="default"/>
          <w:sz w:val="13"/>
          <w:szCs w:val="13"/>
        </w:rPr>
      </w:pPr>
    </w:p>
    <w:p>
      <w:pPr>
        <w:pStyle w:val="BodyText"/>
        <w:spacing w:line="240" w:lineRule="auto" w:before="32"/>
        <w:ind w:left="102" w:right="1639"/>
        <w:jc w:val="left"/>
      </w:pPr>
      <w:r>
        <w:rPr>
          <w:rFonts w:ascii="Arial" w:hAnsi="Arial" w:cs="Arial" w:eastAsia="Arial" w:hint="default"/>
        </w:rPr>
        <w:t>(a) </w:t>
      </w:r>
      <w:r>
        <w:rPr>
          <w:rFonts w:ascii="Arial" w:hAnsi="Arial" w:cs="Arial" w:eastAsia="Arial" w:hint="default"/>
          <w:spacing w:val="29"/>
        </w:rPr>
        <w:t> </w:t>
      </w:r>
      <w:r>
        <w:rPr/>
        <w:t>一年内到期的长期借款</w:t>
      </w:r>
    </w:p>
    <w:p>
      <w:pPr>
        <w:spacing w:line="240" w:lineRule="auto" w:before="3"/>
        <w:rPr>
          <w:rFonts w:ascii="宋体" w:hAnsi="宋体" w:cs="宋体" w:eastAsia="宋体" w:hint="default"/>
          <w:sz w:val="23"/>
          <w:szCs w:val="23"/>
        </w:rPr>
      </w:pPr>
    </w:p>
    <w:tbl>
      <w:tblPr>
        <w:tblW w:w="0" w:type="auto"/>
        <w:jc w:val="left"/>
        <w:tblInd w:w="363" w:type="dxa"/>
        <w:tblLayout w:type="fixed"/>
        <w:tblCellMar>
          <w:top w:w="0" w:type="dxa"/>
          <w:left w:w="0" w:type="dxa"/>
          <w:bottom w:w="0" w:type="dxa"/>
          <w:right w:w="0" w:type="dxa"/>
        </w:tblCellMar>
        <w:tblLook w:val="01E0"/>
      </w:tblPr>
      <w:tblGrid>
        <w:gridCol w:w="4429"/>
        <w:gridCol w:w="2309"/>
        <w:gridCol w:w="127"/>
        <w:gridCol w:w="2292"/>
      </w:tblGrid>
      <w:tr>
        <w:trPr>
          <w:trHeight w:val="262" w:hRule="exact"/>
        </w:trPr>
        <w:tc>
          <w:tcPr>
            <w:tcW w:w="4429"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single" w:sz="6" w:space="0" w:color="000000"/>
              <w:right w:val="nil" w:sz="6" w:space="0" w:color="auto"/>
            </w:tcBorders>
          </w:tcPr>
          <w:p>
            <w:pPr>
              <w:pStyle w:val="TableParagraph"/>
              <w:spacing w:line="236" w:lineRule="exact"/>
              <w:ind w:right="50"/>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27" w:type="dxa"/>
            <w:tcBorders>
              <w:top w:val="nil" w:sz="6" w:space="0" w:color="auto"/>
              <w:left w:val="nil" w:sz="6" w:space="0" w:color="auto"/>
              <w:bottom w:val="nil" w:sz="6" w:space="0" w:color="auto"/>
              <w:right w:val="nil" w:sz="6" w:space="0" w:color="auto"/>
            </w:tcBorders>
          </w:tcPr>
          <w:p>
            <w:pPr/>
          </w:p>
        </w:tc>
        <w:tc>
          <w:tcPr>
            <w:tcW w:w="2292" w:type="dxa"/>
            <w:tcBorders>
              <w:top w:val="nil" w:sz="6" w:space="0" w:color="auto"/>
              <w:left w:val="nil" w:sz="6" w:space="0" w:color="auto"/>
              <w:bottom w:val="single" w:sz="6" w:space="0" w:color="000000"/>
              <w:right w:val="nil" w:sz="6" w:space="0" w:color="auto"/>
            </w:tcBorders>
          </w:tcPr>
          <w:p>
            <w:pPr>
              <w:pStyle w:val="TableParagraph"/>
              <w:spacing w:line="236" w:lineRule="exact"/>
              <w:ind w:left="321" w:right="0"/>
              <w:jc w:val="lef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9" w:hRule="exact"/>
        </w:trPr>
        <w:tc>
          <w:tcPr>
            <w:tcW w:w="442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保证借款</w:t>
            </w:r>
          </w:p>
        </w:tc>
        <w:tc>
          <w:tcPr>
            <w:tcW w:w="2309"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3"/>
              <w:jc w:val="right"/>
              <w:rPr>
                <w:rFonts w:ascii="Arial" w:hAnsi="Arial" w:cs="Arial" w:eastAsia="Arial" w:hint="default"/>
                <w:sz w:val="22"/>
                <w:szCs w:val="22"/>
              </w:rPr>
            </w:pPr>
            <w:r>
              <w:rPr>
                <w:rFonts w:ascii="Arial"/>
                <w:sz w:val="22"/>
              </w:rPr>
              <w:t>7,042,495</w:t>
            </w:r>
          </w:p>
        </w:tc>
        <w:tc>
          <w:tcPr>
            <w:tcW w:w="127" w:type="dxa"/>
            <w:tcBorders>
              <w:top w:val="nil" w:sz="6" w:space="0" w:color="auto"/>
              <w:left w:val="nil" w:sz="6" w:space="0" w:color="auto"/>
              <w:bottom w:val="nil" w:sz="6" w:space="0" w:color="auto"/>
              <w:right w:val="nil" w:sz="6" w:space="0" w:color="auto"/>
            </w:tcBorders>
          </w:tcPr>
          <w:p>
            <w:pPr/>
          </w:p>
        </w:tc>
        <w:tc>
          <w:tcPr>
            <w:tcW w:w="2292"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78"/>
              <w:jc w:val="right"/>
              <w:rPr>
                <w:rFonts w:ascii="Arial" w:hAnsi="Arial" w:cs="Arial" w:eastAsia="Arial" w:hint="default"/>
                <w:sz w:val="22"/>
                <w:szCs w:val="22"/>
              </w:rPr>
            </w:pPr>
            <w:r>
              <w:rPr>
                <w:rFonts w:ascii="Arial"/>
                <w:sz w:val="22"/>
              </w:rPr>
              <w:t>7,012,446</w:t>
            </w:r>
          </w:p>
        </w:tc>
      </w:tr>
      <w:tr>
        <w:trPr>
          <w:trHeight w:val="418" w:hRule="exact"/>
        </w:trPr>
        <w:tc>
          <w:tcPr>
            <w:tcW w:w="4429"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信用借款</w:t>
            </w:r>
          </w:p>
        </w:tc>
        <w:tc>
          <w:tcPr>
            <w:tcW w:w="2309" w:type="dxa"/>
            <w:tcBorders>
              <w:top w:val="nil" w:sz="6" w:space="0" w:color="auto"/>
              <w:left w:val="nil" w:sz="6" w:space="0" w:color="auto"/>
              <w:bottom w:val="nil" w:sz="6" w:space="0" w:color="auto"/>
              <w:right w:val="nil" w:sz="6" w:space="0" w:color="auto"/>
            </w:tcBorders>
          </w:tcPr>
          <w:p>
            <w:pPr>
              <w:pStyle w:val="TableParagraph"/>
              <w:tabs>
                <w:tab w:pos="1099" w:val="left" w:leader="none"/>
                <w:tab w:pos="2309" w:val="left" w:leader="none"/>
              </w:tabs>
              <w:spacing w:line="240" w:lineRule="auto" w:before="17"/>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38,409,362</w:t>
              <w:tab/>
            </w:r>
            <w:r>
              <w:rPr>
                <w:rFonts w:ascii="Arial"/>
                <w:spacing w:val="-1"/>
                <w:sz w:val="22"/>
              </w:rPr>
            </w:r>
          </w:p>
        </w:tc>
        <w:tc>
          <w:tcPr>
            <w:tcW w:w="127" w:type="dxa"/>
            <w:tcBorders>
              <w:top w:val="nil" w:sz="6" w:space="0" w:color="auto"/>
              <w:left w:val="nil" w:sz="6" w:space="0" w:color="auto"/>
              <w:bottom w:val="nil" w:sz="6" w:space="0" w:color="auto"/>
              <w:right w:val="nil" w:sz="6" w:space="0" w:color="auto"/>
            </w:tcBorders>
          </w:tcPr>
          <w:p>
            <w:pPr/>
          </w:p>
        </w:tc>
        <w:tc>
          <w:tcPr>
            <w:tcW w:w="2292" w:type="dxa"/>
            <w:tcBorders>
              <w:top w:val="nil" w:sz="6" w:space="0" w:color="auto"/>
              <w:left w:val="nil" w:sz="6" w:space="0" w:color="auto"/>
              <w:bottom w:val="nil" w:sz="6" w:space="0" w:color="auto"/>
              <w:right w:val="nil" w:sz="6" w:space="0" w:color="auto"/>
            </w:tcBorders>
          </w:tcPr>
          <w:p>
            <w:pPr>
              <w:pStyle w:val="TableParagraph"/>
              <w:tabs>
                <w:tab w:pos="1099" w:val="left" w:leader="none"/>
                <w:tab w:pos="2285" w:val="left" w:leader="none"/>
              </w:tabs>
              <w:spacing w:line="240" w:lineRule="auto" w:before="17"/>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41,246,381</w:t>
              <w:tab/>
            </w:r>
            <w:r>
              <w:rPr>
                <w:rFonts w:ascii="Arial"/>
                <w:spacing w:val="-1"/>
                <w:sz w:val="22"/>
              </w:rPr>
            </w:r>
          </w:p>
        </w:tc>
      </w:tr>
      <w:tr>
        <w:trPr>
          <w:trHeight w:val="433" w:hRule="exact"/>
        </w:trPr>
        <w:tc>
          <w:tcPr>
            <w:tcW w:w="442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09"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103"/>
              <w:jc w:val="right"/>
              <w:rPr>
                <w:rFonts w:ascii="Arial" w:hAnsi="Arial" w:cs="Arial" w:eastAsia="Arial" w:hint="default"/>
                <w:sz w:val="22"/>
                <w:szCs w:val="22"/>
              </w:rPr>
            </w:pPr>
            <w:r>
              <w:rPr>
                <w:rFonts w:ascii="Arial"/>
                <w:spacing w:val="-1"/>
                <w:sz w:val="22"/>
              </w:rPr>
              <w:t>45,451,857</w:t>
            </w:r>
            <w:r>
              <w:rPr>
                <w:rFonts w:ascii="Arial"/>
                <w:sz w:val="22"/>
              </w:rPr>
            </w:r>
          </w:p>
        </w:tc>
        <w:tc>
          <w:tcPr>
            <w:tcW w:w="127" w:type="dxa"/>
            <w:tcBorders>
              <w:top w:val="nil" w:sz="6" w:space="0" w:color="auto"/>
              <w:left w:val="nil" w:sz="6" w:space="0" w:color="auto"/>
              <w:bottom w:val="nil" w:sz="6" w:space="0" w:color="auto"/>
              <w:right w:val="nil" w:sz="6" w:space="0" w:color="auto"/>
            </w:tcBorders>
          </w:tcPr>
          <w:p>
            <w:pPr/>
          </w:p>
        </w:tc>
        <w:tc>
          <w:tcPr>
            <w:tcW w:w="2292"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78"/>
              <w:jc w:val="right"/>
              <w:rPr>
                <w:rFonts w:ascii="Arial" w:hAnsi="Arial" w:cs="Arial" w:eastAsia="Arial" w:hint="default"/>
                <w:sz w:val="22"/>
                <w:szCs w:val="22"/>
              </w:rPr>
            </w:pPr>
            <w:r>
              <w:rPr>
                <w:rFonts w:ascii="Arial"/>
                <w:spacing w:val="-1"/>
                <w:sz w:val="22"/>
              </w:rPr>
              <w:t>48,258,827</w:t>
            </w:r>
          </w:p>
        </w:tc>
      </w:tr>
    </w:tbl>
    <w:p>
      <w:pPr>
        <w:spacing w:line="240" w:lineRule="auto" w:before="13"/>
        <w:rPr>
          <w:rFonts w:ascii="宋体" w:hAnsi="宋体" w:cs="宋体" w:eastAsia="宋体" w:hint="default"/>
          <w:sz w:val="13"/>
          <w:szCs w:val="13"/>
        </w:rPr>
      </w:pPr>
    </w:p>
    <w:p>
      <w:pPr>
        <w:pStyle w:val="BodyText"/>
        <w:spacing w:line="240" w:lineRule="auto" w:before="32"/>
        <w:ind w:left="508" w:right="110"/>
        <w:jc w:val="left"/>
      </w:pPr>
      <w:r>
        <w:rPr/>
        <w:t>于</w:t>
      </w:r>
      <w:r>
        <w:rPr>
          <w:spacing w:val="-56"/>
        </w:rPr>
        <w:t> </w:t>
      </w:r>
      <w:r>
        <w:rPr>
          <w:rFonts w:ascii="Arial" w:hAnsi="Arial" w:cs="Arial" w:eastAsia="Arial" w:hint="default"/>
        </w:rPr>
        <w:t>2014</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日，本集团无已到期但尚未偿还的长期借款（</w:t>
      </w:r>
      <w:r>
        <w:rPr>
          <w:rFonts w:ascii="Arial" w:hAnsi="Arial" w:cs="Arial" w:eastAsia="Arial" w:hint="default"/>
        </w:rPr>
        <w:t>2013</w:t>
      </w:r>
      <w:r>
        <w:rPr>
          <w:rFonts w:ascii="Arial" w:hAnsi="Arial" w:cs="Arial" w:eastAsia="Arial" w:hint="default"/>
          <w:spacing w:val="-10"/>
        </w:rPr>
        <w:t> </w:t>
      </w:r>
      <w:r>
        <w:rPr/>
        <w:t>年</w:t>
      </w:r>
      <w:r>
        <w:rPr>
          <w:spacing w:val="-59"/>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日：无）。</w:t>
      </w:r>
    </w:p>
    <w:p>
      <w:pPr>
        <w:spacing w:line="240" w:lineRule="auto" w:before="12"/>
        <w:rPr>
          <w:rFonts w:ascii="宋体" w:hAnsi="宋体" w:cs="宋体" w:eastAsia="宋体" w:hint="default"/>
          <w:sz w:val="17"/>
          <w:szCs w:val="17"/>
        </w:rPr>
      </w:pPr>
    </w:p>
    <w:p>
      <w:pPr>
        <w:pStyle w:val="BodyText"/>
        <w:spacing w:line="240" w:lineRule="auto"/>
        <w:ind w:left="102" w:right="1639"/>
        <w:jc w:val="left"/>
      </w:pPr>
      <w:r>
        <w:rPr>
          <w:rFonts w:ascii="Arial" w:hAnsi="Arial" w:cs="Arial" w:eastAsia="Arial" w:hint="default"/>
        </w:rPr>
        <w:t>25</w:t>
      </w:r>
      <w:r>
        <w:rPr/>
        <w:t>、其他流动负债</w:t>
      </w:r>
    </w:p>
    <w:p>
      <w:pPr>
        <w:spacing w:line="240" w:lineRule="auto" w:before="0"/>
        <w:rPr>
          <w:rFonts w:ascii="宋体" w:hAnsi="宋体" w:cs="宋体" w:eastAsia="宋体" w:hint="default"/>
          <w:sz w:val="23"/>
          <w:szCs w:val="23"/>
        </w:rPr>
      </w:pPr>
    </w:p>
    <w:tbl>
      <w:tblPr>
        <w:tblW w:w="0" w:type="auto"/>
        <w:jc w:val="left"/>
        <w:tblInd w:w="361" w:type="dxa"/>
        <w:tblLayout w:type="fixed"/>
        <w:tblCellMar>
          <w:top w:w="0" w:type="dxa"/>
          <w:left w:w="0" w:type="dxa"/>
          <w:bottom w:w="0" w:type="dxa"/>
          <w:right w:w="0" w:type="dxa"/>
        </w:tblCellMar>
        <w:tblLook w:val="01E0"/>
      </w:tblPr>
      <w:tblGrid>
        <w:gridCol w:w="4477"/>
        <w:gridCol w:w="2316"/>
        <w:gridCol w:w="118"/>
        <w:gridCol w:w="2434"/>
      </w:tblGrid>
      <w:tr>
        <w:trPr>
          <w:trHeight w:val="264" w:hRule="exact"/>
        </w:trPr>
        <w:tc>
          <w:tcPr>
            <w:tcW w:w="4477" w:type="dxa"/>
            <w:tcBorders>
              <w:top w:val="nil" w:sz="6" w:space="0" w:color="auto"/>
              <w:left w:val="nil" w:sz="6" w:space="0" w:color="auto"/>
              <w:bottom w:val="nil" w:sz="6" w:space="0" w:color="auto"/>
              <w:right w:val="nil" w:sz="6" w:space="0" w:color="auto"/>
            </w:tcBorders>
          </w:tcPr>
          <w:p>
            <w:pPr/>
          </w:p>
        </w:tc>
        <w:tc>
          <w:tcPr>
            <w:tcW w:w="2316" w:type="dxa"/>
            <w:tcBorders>
              <w:top w:val="nil" w:sz="6" w:space="0" w:color="auto"/>
              <w:left w:val="nil" w:sz="6" w:space="0" w:color="auto"/>
              <w:bottom w:val="single" w:sz="6" w:space="0" w:color="000000"/>
              <w:right w:val="nil" w:sz="6" w:space="0" w:color="auto"/>
            </w:tcBorders>
          </w:tcPr>
          <w:p>
            <w:pPr>
              <w:pStyle w:val="TableParagraph"/>
              <w:spacing w:line="236" w:lineRule="exact"/>
              <w:ind w:right="65"/>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18" w:type="dxa"/>
            <w:tcBorders>
              <w:top w:val="nil" w:sz="6" w:space="0" w:color="auto"/>
              <w:left w:val="nil" w:sz="6" w:space="0" w:color="auto"/>
              <w:bottom w:val="nil" w:sz="6" w:space="0" w:color="auto"/>
              <w:right w:val="nil" w:sz="6" w:space="0" w:color="auto"/>
            </w:tcBorders>
          </w:tcPr>
          <w:p>
            <w:pPr/>
          </w:p>
        </w:tc>
        <w:tc>
          <w:tcPr>
            <w:tcW w:w="2434" w:type="dxa"/>
            <w:tcBorders>
              <w:top w:val="nil" w:sz="6" w:space="0" w:color="auto"/>
              <w:left w:val="nil" w:sz="6" w:space="0" w:color="auto"/>
              <w:bottom w:val="single" w:sz="6" w:space="0" w:color="000000"/>
              <w:right w:val="nil" w:sz="6" w:space="0" w:color="auto"/>
            </w:tcBorders>
          </w:tcPr>
          <w:p>
            <w:pPr>
              <w:pStyle w:val="TableParagraph"/>
              <w:spacing w:line="236" w:lineRule="exact"/>
              <w:ind w:right="84"/>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8" w:hRule="exact"/>
        </w:trPr>
        <w:tc>
          <w:tcPr>
            <w:tcW w:w="44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10"/>
                <w:sz w:val="22"/>
                <w:szCs w:val="22"/>
              </w:rPr>
              <w:t> </w:t>
            </w:r>
            <w:r>
              <w:rPr>
                <w:rFonts w:ascii="宋体" w:hAnsi="宋体" w:cs="宋体" w:eastAsia="宋体" w:hint="default"/>
                <w:sz w:val="22"/>
                <w:szCs w:val="22"/>
              </w:rPr>
              <w:t>年第二期超短期融资券</w:t>
            </w:r>
          </w:p>
        </w:tc>
        <w:tc>
          <w:tcPr>
            <w:tcW w:w="2316"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2"/>
              <w:jc w:val="right"/>
              <w:rPr>
                <w:rFonts w:ascii="Arial" w:hAnsi="Arial" w:cs="Arial" w:eastAsia="Arial" w:hint="default"/>
                <w:sz w:val="22"/>
                <w:szCs w:val="22"/>
              </w:rPr>
            </w:pPr>
            <w:r>
              <w:rPr>
                <w:rFonts w:ascii="Arial"/>
                <w:w w:val="100"/>
                <w:sz w:val="22"/>
              </w:rPr>
              <w:t>-</w:t>
            </w:r>
          </w:p>
        </w:tc>
        <w:tc>
          <w:tcPr>
            <w:tcW w:w="118" w:type="dxa"/>
            <w:tcBorders>
              <w:top w:val="nil" w:sz="6" w:space="0" w:color="auto"/>
              <w:left w:val="nil" w:sz="6" w:space="0" w:color="auto"/>
              <w:bottom w:val="nil" w:sz="6" w:space="0" w:color="auto"/>
              <w:right w:val="nil" w:sz="6" w:space="0" w:color="auto"/>
            </w:tcBorders>
          </w:tcPr>
          <w:p>
            <w:pPr/>
          </w:p>
        </w:tc>
        <w:tc>
          <w:tcPr>
            <w:tcW w:w="2434"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Arial" w:hAnsi="Arial" w:cs="Arial" w:eastAsia="Arial" w:hint="default"/>
                <w:sz w:val="22"/>
                <w:szCs w:val="22"/>
              </w:rPr>
            </w:pPr>
            <w:r>
              <w:rPr>
                <w:rFonts w:ascii="Arial"/>
                <w:spacing w:val="-1"/>
                <w:sz w:val="22"/>
              </w:rPr>
              <w:t>15,000,000,000</w:t>
            </w:r>
          </w:p>
        </w:tc>
      </w:tr>
      <w:tr>
        <w:trPr>
          <w:trHeight w:val="285" w:hRule="exact"/>
        </w:trPr>
        <w:tc>
          <w:tcPr>
            <w:tcW w:w="4477"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10"/>
                <w:sz w:val="22"/>
                <w:szCs w:val="22"/>
              </w:rPr>
              <w:t> </w:t>
            </w:r>
            <w:r>
              <w:rPr>
                <w:rFonts w:ascii="宋体" w:hAnsi="宋体" w:cs="宋体" w:eastAsia="宋体" w:hint="default"/>
                <w:sz w:val="22"/>
                <w:szCs w:val="22"/>
              </w:rPr>
              <w:t>年第三期超短期融资券</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2"/>
              <w:jc w:val="right"/>
              <w:rPr>
                <w:rFonts w:ascii="Arial" w:hAnsi="Arial" w:cs="Arial" w:eastAsia="Arial" w:hint="default"/>
                <w:sz w:val="22"/>
                <w:szCs w:val="22"/>
              </w:rPr>
            </w:pPr>
            <w:r>
              <w:rPr>
                <w:rFonts w:ascii="Arial"/>
                <w:w w:val="100"/>
                <w:sz w:val="22"/>
              </w:rPr>
              <w:t>-</w:t>
            </w:r>
          </w:p>
        </w:tc>
        <w:tc>
          <w:tcPr>
            <w:tcW w:w="118" w:type="dxa"/>
            <w:tcBorders>
              <w:top w:val="nil" w:sz="6" w:space="0" w:color="auto"/>
              <w:left w:val="nil" w:sz="6" w:space="0" w:color="auto"/>
              <w:bottom w:val="nil" w:sz="6" w:space="0" w:color="auto"/>
              <w:right w:val="nil" w:sz="6" w:space="0" w:color="auto"/>
            </w:tcBorders>
          </w:tcPr>
          <w:p>
            <w:pPr/>
          </w:p>
        </w:tc>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3"/>
              <w:jc w:val="right"/>
              <w:rPr>
                <w:rFonts w:ascii="Arial" w:hAnsi="Arial" w:cs="Arial" w:eastAsia="Arial" w:hint="default"/>
                <w:sz w:val="22"/>
                <w:szCs w:val="22"/>
              </w:rPr>
            </w:pPr>
            <w:r>
              <w:rPr>
                <w:rFonts w:ascii="Arial"/>
                <w:spacing w:val="-1"/>
                <w:sz w:val="22"/>
              </w:rPr>
              <w:t>10,000,000,000</w:t>
            </w:r>
          </w:p>
        </w:tc>
      </w:tr>
      <w:tr>
        <w:trPr>
          <w:trHeight w:val="286" w:hRule="exact"/>
        </w:trPr>
        <w:tc>
          <w:tcPr>
            <w:tcW w:w="4477"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10"/>
                <w:sz w:val="22"/>
                <w:szCs w:val="22"/>
              </w:rPr>
              <w:t> </w:t>
            </w:r>
            <w:r>
              <w:rPr>
                <w:rFonts w:ascii="宋体" w:hAnsi="宋体" w:cs="宋体" w:eastAsia="宋体" w:hint="default"/>
                <w:sz w:val="22"/>
                <w:szCs w:val="22"/>
              </w:rPr>
              <w:t>年第四期超短期融资券</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2"/>
              <w:jc w:val="right"/>
              <w:rPr>
                <w:rFonts w:ascii="Arial" w:hAnsi="Arial" w:cs="Arial" w:eastAsia="Arial" w:hint="default"/>
                <w:sz w:val="22"/>
                <w:szCs w:val="22"/>
              </w:rPr>
            </w:pPr>
            <w:r>
              <w:rPr>
                <w:rFonts w:ascii="Arial"/>
                <w:w w:val="100"/>
                <w:sz w:val="22"/>
              </w:rPr>
              <w:t>-</w:t>
            </w:r>
          </w:p>
        </w:tc>
        <w:tc>
          <w:tcPr>
            <w:tcW w:w="118" w:type="dxa"/>
            <w:tcBorders>
              <w:top w:val="nil" w:sz="6" w:space="0" w:color="auto"/>
              <w:left w:val="nil" w:sz="6" w:space="0" w:color="auto"/>
              <w:bottom w:val="nil" w:sz="6" w:space="0" w:color="auto"/>
              <w:right w:val="nil" w:sz="6" w:space="0" w:color="auto"/>
            </w:tcBorders>
          </w:tcPr>
          <w:p>
            <w:pPr/>
          </w:p>
        </w:tc>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3"/>
              <w:jc w:val="right"/>
              <w:rPr>
                <w:rFonts w:ascii="Arial" w:hAnsi="Arial" w:cs="Arial" w:eastAsia="Arial" w:hint="default"/>
                <w:sz w:val="22"/>
                <w:szCs w:val="22"/>
              </w:rPr>
            </w:pPr>
            <w:r>
              <w:rPr>
                <w:rFonts w:ascii="Arial"/>
                <w:spacing w:val="-1"/>
                <w:sz w:val="22"/>
              </w:rPr>
              <w:t>10,000,000,000</w:t>
            </w:r>
          </w:p>
        </w:tc>
      </w:tr>
      <w:tr>
        <w:trPr>
          <w:trHeight w:val="536" w:hRule="exact"/>
        </w:trPr>
        <w:tc>
          <w:tcPr>
            <w:tcW w:w="4477"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11"/>
                <w:sz w:val="22"/>
                <w:szCs w:val="22"/>
              </w:rPr>
              <w:t> </w:t>
            </w:r>
            <w:r>
              <w:rPr>
                <w:rFonts w:ascii="宋体" w:hAnsi="宋体" w:cs="宋体" w:eastAsia="宋体" w:hint="default"/>
                <w:sz w:val="22"/>
                <w:szCs w:val="22"/>
              </w:rPr>
              <w:t>年第一期短期融资券</w:t>
            </w:r>
          </w:p>
        </w:tc>
        <w:tc>
          <w:tcPr>
            <w:tcW w:w="2316" w:type="dxa"/>
            <w:tcBorders>
              <w:top w:val="nil" w:sz="6" w:space="0" w:color="auto"/>
              <w:left w:val="nil" w:sz="6" w:space="0" w:color="auto"/>
              <w:bottom w:val="single" w:sz="6" w:space="0" w:color="000000"/>
              <w:right w:val="nil" w:sz="6" w:space="0" w:color="auto"/>
            </w:tcBorders>
          </w:tcPr>
          <w:p>
            <w:pPr>
              <w:pStyle w:val="TableParagraph"/>
              <w:spacing w:line="240" w:lineRule="auto" w:before="20"/>
              <w:ind w:right="79"/>
              <w:jc w:val="right"/>
              <w:rPr>
                <w:rFonts w:ascii="Arial" w:hAnsi="Arial" w:cs="Arial" w:eastAsia="Arial" w:hint="default"/>
                <w:sz w:val="22"/>
                <w:szCs w:val="22"/>
              </w:rPr>
            </w:pPr>
            <w:r>
              <w:rPr>
                <w:rFonts w:ascii="Arial"/>
                <w:spacing w:val="-1"/>
                <w:sz w:val="22"/>
              </w:rPr>
              <w:t>9,978,520,548</w:t>
            </w:r>
          </w:p>
        </w:tc>
        <w:tc>
          <w:tcPr>
            <w:tcW w:w="118" w:type="dxa"/>
            <w:tcBorders>
              <w:top w:val="nil" w:sz="6" w:space="0" w:color="auto"/>
              <w:left w:val="nil" w:sz="6" w:space="0" w:color="auto"/>
              <w:bottom w:val="nil" w:sz="6" w:space="0" w:color="auto"/>
              <w:right w:val="nil" w:sz="6" w:space="0" w:color="auto"/>
            </w:tcBorders>
          </w:tcPr>
          <w:p>
            <w:pPr/>
          </w:p>
        </w:tc>
        <w:tc>
          <w:tcPr>
            <w:tcW w:w="2434" w:type="dxa"/>
            <w:tcBorders>
              <w:top w:val="nil" w:sz="6" w:space="0" w:color="auto"/>
              <w:left w:val="nil" w:sz="6" w:space="0" w:color="auto"/>
              <w:bottom w:val="single" w:sz="6" w:space="0" w:color="000000"/>
              <w:right w:val="nil" w:sz="6" w:space="0" w:color="auto"/>
            </w:tcBorders>
          </w:tcPr>
          <w:p>
            <w:pPr>
              <w:pStyle w:val="TableParagraph"/>
              <w:spacing w:line="240" w:lineRule="auto" w:before="20"/>
              <w:ind w:right="106"/>
              <w:jc w:val="right"/>
              <w:rPr>
                <w:rFonts w:ascii="Arial" w:hAnsi="Arial" w:cs="Arial" w:eastAsia="Arial" w:hint="default"/>
                <w:sz w:val="22"/>
                <w:szCs w:val="22"/>
              </w:rPr>
            </w:pPr>
            <w:r>
              <w:rPr>
                <w:rFonts w:ascii="Arial"/>
                <w:w w:val="100"/>
                <w:sz w:val="22"/>
              </w:rPr>
              <w:t>-</w:t>
            </w:r>
          </w:p>
        </w:tc>
      </w:tr>
      <w:tr>
        <w:trPr>
          <w:trHeight w:val="569" w:hRule="exact"/>
        </w:trPr>
        <w:tc>
          <w:tcPr>
            <w:tcW w:w="44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16"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9"/>
              <w:jc w:val="right"/>
              <w:rPr>
                <w:rFonts w:ascii="Arial" w:hAnsi="Arial" w:cs="Arial" w:eastAsia="Arial" w:hint="default"/>
                <w:sz w:val="22"/>
                <w:szCs w:val="22"/>
              </w:rPr>
            </w:pPr>
            <w:r>
              <w:rPr>
                <w:rFonts w:ascii="Arial"/>
                <w:spacing w:val="-1"/>
                <w:sz w:val="22"/>
              </w:rPr>
              <w:t>9,978,520,548</w:t>
            </w:r>
          </w:p>
        </w:tc>
        <w:tc>
          <w:tcPr>
            <w:tcW w:w="118" w:type="dxa"/>
            <w:tcBorders>
              <w:top w:val="nil" w:sz="6" w:space="0" w:color="auto"/>
              <w:left w:val="nil" w:sz="6" w:space="0" w:color="auto"/>
              <w:bottom w:val="nil" w:sz="6" w:space="0" w:color="auto"/>
              <w:right w:val="nil" w:sz="6" w:space="0" w:color="auto"/>
            </w:tcBorders>
          </w:tcPr>
          <w:p>
            <w:pPr/>
          </w:p>
        </w:tc>
        <w:tc>
          <w:tcPr>
            <w:tcW w:w="2434"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Arial" w:hAnsi="Arial" w:cs="Arial" w:eastAsia="Arial" w:hint="default"/>
                <w:sz w:val="22"/>
                <w:szCs w:val="22"/>
              </w:rPr>
            </w:pPr>
            <w:r>
              <w:rPr>
                <w:rFonts w:ascii="Arial"/>
                <w:spacing w:val="-1"/>
                <w:sz w:val="22"/>
              </w:rPr>
              <w:t>35,000,000,000</w:t>
            </w:r>
          </w:p>
        </w:tc>
      </w:tr>
    </w:tbl>
    <w:p>
      <w:pPr>
        <w:spacing w:after="0" w:line="240" w:lineRule="auto"/>
        <w:jc w:val="right"/>
        <w:rPr>
          <w:rFonts w:ascii="Arial" w:hAnsi="Arial" w:cs="Arial" w:eastAsia="Arial" w:hint="default"/>
          <w:sz w:val="22"/>
          <w:szCs w:val="22"/>
        </w:rPr>
        <w:sectPr>
          <w:headerReference w:type="default" r:id="rId92"/>
          <w:footerReference w:type="default" r:id="rId93"/>
          <w:pgSz w:w="11910" w:h="16840"/>
          <w:pgMar w:header="1185" w:footer="635" w:top="3600" w:bottom="820" w:left="1280" w:right="820"/>
          <w:pgNumType w:start="110"/>
        </w:sectPr>
      </w:pPr>
    </w:p>
    <w:p>
      <w:pPr>
        <w:pStyle w:val="BodyText"/>
        <w:spacing w:line="240" w:lineRule="auto" w:before="10"/>
        <w:ind w:left="106" w:right="11682"/>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1"/>
        <w:rPr>
          <w:rFonts w:ascii="黑体" w:hAnsi="黑体" w:cs="黑体" w:eastAsia="黑体" w:hint="default"/>
          <w:sz w:val="19"/>
          <w:szCs w:val="19"/>
        </w:rPr>
      </w:pPr>
    </w:p>
    <w:p>
      <w:pPr>
        <w:pStyle w:val="BodyText"/>
        <w:spacing w:line="287" w:lineRule="exact"/>
        <w:ind w:left="106" w:right="11682"/>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left="106" w:right="11682"/>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tabs>
          <w:tab w:pos="557" w:val="left" w:leader="none"/>
        </w:tabs>
        <w:spacing w:line="448" w:lineRule="auto"/>
        <w:ind w:left="106" w:right="11682"/>
        <w:jc w:val="left"/>
        <w:rPr>
          <w:rFonts w:ascii="黑体" w:hAnsi="黑体" w:cs="黑体" w:eastAsia="黑体" w:hint="default"/>
        </w:rPr>
      </w:pPr>
      <w:r>
        <w:rPr>
          <w:rFonts w:ascii="黑体" w:hAnsi="黑体" w:cs="黑体" w:eastAsia="黑体" w:hint="default"/>
          <w:spacing w:val="-1"/>
        </w:rPr>
        <w:t>（除特别注明外，金额单位为人民币元）</w:t>
      </w:r>
      <w:r>
        <w:rPr>
          <w:rFonts w:ascii="黑体" w:hAnsi="黑体" w:cs="黑体" w:eastAsia="黑体" w:hint="default"/>
          <w:spacing w:val="-93"/>
        </w:rPr>
        <w:t> </w:t>
      </w:r>
      <w:r>
        <w:rPr>
          <w:rFonts w:ascii="黑体" w:hAnsi="黑体" w:cs="黑体" w:eastAsia="黑体" w:hint="default"/>
          <w:spacing w:val="-93"/>
        </w:rPr>
      </w:r>
      <w:r>
        <w:rPr>
          <w:rFonts w:ascii="黑体" w:hAnsi="黑体" w:cs="黑体" w:eastAsia="黑体" w:hint="default"/>
        </w:rPr>
        <w:t>五</w:t>
        <w:tab/>
        <w:t>合并财务报表项目附注（续）</w:t>
      </w:r>
    </w:p>
    <w:p>
      <w:pPr>
        <w:pStyle w:val="BodyText"/>
        <w:spacing w:line="424" w:lineRule="auto" w:before="60"/>
        <w:ind w:left="555" w:right="12769" w:hanging="449"/>
        <w:jc w:val="left"/>
      </w:pPr>
      <w:r>
        <w:rPr>
          <w:rFonts w:ascii="Arial" w:hAnsi="Arial" w:cs="Arial" w:eastAsia="Arial" w:hint="default"/>
        </w:rPr>
        <w:t>25</w:t>
      </w:r>
      <w:r>
        <w:rPr/>
        <w:t>、其他流动负债（续）</w:t>
      </w:r>
      <w:r>
        <w:rPr>
          <w:w w:val="100"/>
        </w:rPr>
        <w:t> </w:t>
      </w:r>
      <w:r>
        <w:rPr>
          <w:spacing w:val="-1"/>
        </w:rPr>
        <w:t>其他流动负债的增减变动</w:t>
      </w:r>
    </w:p>
    <w:p>
      <w:pPr>
        <w:spacing w:line="240" w:lineRule="auto" w:before="0"/>
        <w:rPr>
          <w:rFonts w:ascii="宋体" w:hAnsi="宋体" w:cs="宋体" w:eastAsia="宋体" w:hint="default"/>
          <w:sz w:val="24"/>
          <w:szCs w:val="24"/>
        </w:rPr>
      </w:pPr>
    </w:p>
    <w:tbl>
      <w:tblPr>
        <w:tblW w:w="0" w:type="auto"/>
        <w:jc w:val="left"/>
        <w:tblInd w:w="550" w:type="dxa"/>
        <w:tblLayout w:type="fixed"/>
        <w:tblCellMar>
          <w:top w:w="0" w:type="dxa"/>
          <w:left w:w="0" w:type="dxa"/>
          <w:bottom w:w="0" w:type="dxa"/>
          <w:right w:w="0" w:type="dxa"/>
        </w:tblCellMar>
        <w:tblLook w:val="01E0"/>
      </w:tblPr>
      <w:tblGrid>
        <w:gridCol w:w="1541"/>
        <w:gridCol w:w="1457"/>
        <w:gridCol w:w="893"/>
        <w:gridCol w:w="101"/>
        <w:gridCol w:w="713"/>
        <w:gridCol w:w="701"/>
        <w:gridCol w:w="110"/>
        <w:gridCol w:w="1443"/>
        <w:gridCol w:w="1332"/>
        <w:gridCol w:w="110"/>
        <w:gridCol w:w="1399"/>
        <w:gridCol w:w="1092"/>
        <w:gridCol w:w="1301"/>
        <w:gridCol w:w="1527"/>
        <w:gridCol w:w="1375"/>
      </w:tblGrid>
      <w:tr>
        <w:trPr>
          <w:trHeight w:val="397" w:hRule="exact"/>
        </w:trPr>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432" w:right="0"/>
              <w:jc w:val="left"/>
              <w:rPr>
                <w:rFonts w:ascii="宋体" w:hAnsi="宋体" w:cs="宋体" w:eastAsia="宋体" w:hint="default"/>
                <w:sz w:val="16"/>
                <w:szCs w:val="16"/>
              </w:rPr>
            </w:pPr>
            <w:r>
              <w:rPr>
                <w:rFonts w:ascii="宋体" w:hAnsi="宋体" w:cs="宋体" w:eastAsia="宋体" w:hint="default"/>
                <w:sz w:val="16"/>
                <w:szCs w:val="16"/>
              </w:rPr>
              <w:t>债券名称</w:t>
            </w:r>
          </w:p>
        </w:tc>
        <w:tc>
          <w:tcPr>
            <w:tcW w:w="1457"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53"/>
              <w:jc w:val="center"/>
              <w:rPr>
                <w:rFonts w:ascii="宋体" w:hAnsi="宋体" w:cs="宋体" w:eastAsia="宋体" w:hint="default"/>
                <w:sz w:val="16"/>
                <w:szCs w:val="16"/>
              </w:rPr>
            </w:pPr>
            <w:r>
              <w:rPr>
                <w:rFonts w:ascii="宋体" w:hAnsi="宋体" w:cs="宋体" w:eastAsia="宋体" w:hint="default"/>
                <w:sz w:val="16"/>
                <w:szCs w:val="16"/>
              </w:rPr>
              <w:t>面值</w:t>
            </w:r>
          </w:p>
        </w:tc>
        <w:tc>
          <w:tcPr>
            <w:tcW w:w="89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146" w:right="0"/>
              <w:jc w:val="left"/>
              <w:rPr>
                <w:rFonts w:ascii="宋体" w:hAnsi="宋体" w:cs="宋体" w:eastAsia="宋体" w:hint="default"/>
                <w:sz w:val="16"/>
                <w:szCs w:val="16"/>
              </w:rPr>
            </w:pPr>
            <w:r>
              <w:rPr>
                <w:rFonts w:ascii="宋体" w:hAnsi="宋体" w:cs="宋体" w:eastAsia="宋体" w:hint="default"/>
                <w:sz w:val="16"/>
                <w:szCs w:val="16"/>
              </w:rPr>
              <w:t>发行日期</w:t>
            </w:r>
          </w:p>
        </w:tc>
        <w:tc>
          <w:tcPr>
            <w:tcW w:w="101"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53"/>
              <w:jc w:val="right"/>
              <w:rPr>
                <w:rFonts w:ascii="宋体" w:hAnsi="宋体" w:cs="宋体" w:eastAsia="宋体" w:hint="default"/>
                <w:sz w:val="16"/>
                <w:szCs w:val="16"/>
              </w:rPr>
            </w:pPr>
            <w:r>
              <w:rPr>
                <w:rFonts w:ascii="宋体" w:hAnsi="宋体" w:cs="宋体" w:eastAsia="宋体" w:hint="default"/>
                <w:sz w:val="16"/>
                <w:szCs w:val="16"/>
              </w:rPr>
              <w:t>债券期限</w:t>
            </w:r>
          </w:p>
        </w:tc>
        <w:tc>
          <w:tcPr>
            <w:tcW w:w="701"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2"/>
              <w:jc w:val="right"/>
              <w:rPr>
                <w:rFonts w:ascii="宋体" w:hAnsi="宋体" w:cs="宋体" w:eastAsia="宋体" w:hint="default"/>
                <w:sz w:val="16"/>
                <w:szCs w:val="16"/>
              </w:rPr>
            </w:pPr>
            <w:r>
              <w:rPr>
                <w:rFonts w:ascii="宋体" w:hAnsi="宋体" w:cs="宋体" w:eastAsia="宋体" w:hint="default"/>
                <w:sz w:val="16"/>
                <w:szCs w:val="16"/>
              </w:rPr>
              <w:t>票面利率</w:t>
            </w:r>
          </w:p>
        </w:tc>
        <w:tc>
          <w:tcPr>
            <w:tcW w:w="110"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381" w:right="0"/>
              <w:jc w:val="left"/>
              <w:rPr>
                <w:rFonts w:ascii="宋体" w:hAnsi="宋体" w:cs="宋体" w:eastAsia="宋体" w:hint="default"/>
                <w:sz w:val="16"/>
                <w:szCs w:val="16"/>
              </w:rPr>
            </w:pPr>
            <w:r>
              <w:rPr>
                <w:rFonts w:ascii="宋体" w:hAnsi="宋体" w:cs="宋体" w:eastAsia="宋体" w:hint="default"/>
                <w:sz w:val="16"/>
                <w:szCs w:val="16"/>
              </w:rPr>
              <w:t>发行金额</w:t>
            </w:r>
          </w:p>
        </w:tc>
        <w:tc>
          <w:tcPr>
            <w:tcW w:w="1332" w:type="dxa"/>
            <w:tcBorders>
              <w:top w:val="nil" w:sz="6" w:space="0" w:color="auto"/>
              <w:left w:val="nil" w:sz="6" w:space="0" w:color="auto"/>
              <w:bottom w:val="single" w:sz="4" w:space="0" w:color="000000"/>
              <w:right w:val="nil" w:sz="6" w:space="0" w:color="auto"/>
            </w:tcBorders>
          </w:tcPr>
          <w:p>
            <w:pPr>
              <w:pStyle w:val="TableParagraph"/>
              <w:spacing w:line="160" w:lineRule="exact"/>
              <w:ind w:left="364" w:right="0"/>
              <w:jc w:val="left"/>
              <w:rPr>
                <w:rFonts w:ascii="宋体" w:hAnsi="宋体" w:cs="宋体" w:eastAsia="宋体" w:hint="default"/>
                <w:sz w:val="16"/>
                <w:szCs w:val="16"/>
              </w:rPr>
            </w:pPr>
            <w:r>
              <w:rPr>
                <w:rFonts w:ascii="宋体" w:hAnsi="宋体" w:cs="宋体" w:eastAsia="宋体" w:hint="default"/>
                <w:sz w:val="16"/>
                <w:szCs w:val="16"/>
              </w:rPr>
              <w:t>年初余额</w:t>
            </w:r>
          </w:p>
          <w:p>
            <w:pPr>
              <w:pStyle w:val="TableParagraph"/>
              <w:spacing w:line="220" w:lineRule="exact"/>
              <w:ind w:left="381" w:right="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39"/>
                <w:sz w:val="16"/>
                <w:szCs w:val="16"/>
              </w:rPr>
              <w:t> </w:t>
            </w:r>
            <w:r>
              <w:rPr>
                <w:rFonts w:ascii="Arial" w:hAnsi="Arial" w:cs="Arial" w:eastAsia="Arial" w:hint="default"/>
                <w:sz w:val="16"/>
                <w:szCs w:val="16"/>
              </w:rPr>
              <w:t>1</w:t>
            </w:r>
            <w:r>
              <w:rPr>
                <w:rFonts w:ascii="宋体" w:hAnsi="宋体" w:cs="宋体" w:eastAsia="宋体" w:hint="default"/>
                <w:sz w:val="16"/>
                <w:szCs w:val="16"/>
              </w:rPr>
              <w:t>）</w:t>
            </w:r>
          </w:p>
        </w:tc>
        <w:tc>
          <w:tcPr>
            <w:tcW w:w="110"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333" w:right="0"/>
              <w:jc w:val="left"/>
              <w:rPr>
                <w:rFonts w:ascii="宋体" w:hAnsi="宋体" w:cs="宋体" w:eastAsia="宋体" w:hint="default"/>
                <w:sz w:val="16"/>
                <w:szCs w:val="16"/>
              </w:rPr>
            </w:pPr>
            <w:r>
              <w:rPr>
                <w:rFonts w:ascii="宋体" w:hAnsi="宋体" w:cs="宋体" w:eastAsia="宋体" w:hint="default"/>
                <w:sz w:val="16"/>
                <w:szCs w:val="16"/>
              </w:rPr>
              <w:t>本年发行</w:t>
            </w:r>
          </w:p>
        </w:tc>
        <w:tc>
          <w:tcPr>
            <w:tcW w:w="1092" w:type="dxa"/>
            <w:tcBorders>
              <w:top w:val="nil" w:sz="6" w:space="0" w:color="auto"/>
              <w:left w:val="nil" w:sz="6" w:space="0" w:color="auto"/>
              <w:bottom w:val="single" w:sz="4" w:space="0" w:color="000000"/>
              <w:right w:val="nil" w:sz="6" w:space="0" w:color="auto"/>
            </w:tcBorders>
          </w:tcPr>
          <w:p>
            <w:pPr>
              <w:pStyle w:val="TableParagraph"/>
              <w:spacing w:line="160" w:lineRule="exact"/>
              <w:ind w:left="247" w:right="0" w:firstLine="81"/>
              <w:jc w:val="left"/>
              <w:rPr>
                <w:rFonts w:ascii="宋体" w:hAnsi="宋体" w:cs="宋体" w:eastAsia="宋体" w:hint="default"/>
                <w:sz w:val="16"/>
                <w:szCs w:val="16"/>
              </w:rPr>
            </w:pPr>
            <w:r>
              <w:rPr>
                <w:rFonts w:ascii="宋体" w:hAnsi="宋体" w:cs="宋体" w:eastAsia="宋体" w:hint="default"/>
                <w:sz w:val="16"/>
                <w:szCs w:val="16"/>
              </w:rPr>
              <w:t>按面值</w:t>
            </w:r>
          </w:p>
          <w:p>
            <w:pPr>
              <w:pStyle w:val="TableParagraph"/>
              <w:spacing w:line="209" w:lineRule="exact"/>
              <w:ind w:left="247" w:right="0"/>
              <w:jc w:val="left"/>
              <w:rPr>
                <w:rFonts w:ascii="宋体" w:hAnsi="宋体" w:cs="宋体" w:eastAsia="宋体" w:hint="default"/>
                <w:sz w:val="16"/>
                <w:szCs w:val="16"/>
              </w:rPr>
            </w:pPr>
            <w:r>
              <w:rPr>
                <w:rFonts w:ascii="宋体" w:hAnsi="宋体" w:cs="宋体" w:eastAsia="宋体" w:hint="default"/>
                <w:sz w:val="16"/>
                <w:szCs w:val="16"/>
              </w:rPr>
              <w:t>计提利息</w:t>
            </w:r>
          </w:p>
        </w:tc>
        <w:tc>
          <w:tcPr>
            <w:tcW w:w="1301"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242" w:right="0"/>
              <w:jc w:val="left"/>
              <w:rPr>
                <w:rFonts w:ascii="宋体" w:hAnsi="宋体" w:cs="宋体" w:eastAsia="宋体" w:hint="default"/>
                <w:sz w:val="16"/>
                <w:szCs w:val="16"/>
              </w:rPr>
            </w:pPr>
            <w:r>
              <w:rPr>
                <w:rFonts w:ascii="宋体" w:hAnsi="宋体" w:cs="宋体" w:eastAsia="宋体" w:hint="default"/>
                <w:sz w:val="16"/>
                <w:szCs w:val="16"/>
              </w:rPr>
              <w:t>折溢价摊销</w:t>
            </w:r>
          </w:p>
        </w:tc>
        <w:tc>
          <w:tcPr>
            <w:tcW w:w="1527"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420" w:right="0"/>
              <w:jc w:val="left"/>
              <w:rPr>
                <w:rFonts w:ascii="宋体" w:hAnsi="宋体" w:cs="宋体" w:eastAsia="宋体" w:hint="default"/>
                <w:sz w:val="16"/>
                <w:szCs w:val="16"/>
              </w:rPr>
            </w:pPr>
            <w:r>
              <w:rPr>
                <w:rFonts w:ascii="宋体" w:hAnsi="宋体" w:cs="宋体" w:eastAsia="宋体" w:hint="default"/>
                <w:sz w:val="16"/>
                <w:szCs w:val="16"/>
              </w:rPr>
              <w:t>本期偿还</w:t>
            </w:r>
          </w:p>
        </w:tc>
        <w:tc>
          <w:tcPr>
            <w:tcW w:w="1375" w:type="dxa"/>
            <w:tcBorders>
              <w:top w:val="nil" w:sz="6" w:space="0" w:color="auto"/>
              <w:left w:val="nil" w:sz="6" w:space="0" w:color="auto"/>
              <w:bottom w:val="single" w:sz="4" w:space="0" w:color="000000"/>
              <w:right w:val="nil" w:sz="6" w:space="0" w:color="auto"/>
            </w:tcBorders>
          </w:tcPr>
          <w:p>
            <w:pPr>
              <w:pStyle w:val="TableParagraph"/>
              <w:spacing w:line="160" w:lineRule="exact"/>
              <w:ind w:left="383" w:right="0"/>
              <w:jc w:val="left"/>
              <w:rPr>
                <w:rFonts w:ascii="宋体" w:hAnsi="宋体" w:cs="宋体" w:eastAsia="宋体" w:hint="default"/>
                <w:sz w:val="16"/>
                <w:szCs w:val="16"/>
              </w:rPr>
            </w:pPr>
            <w:r>
              <w:rPr>
                <w:rFonts w:ascii="宋体" w:hAnsi="宋体" w:cs="宋体" w:eastAsia="宋体" w:hint="default"/>
                <w:sz w:val="16"/>
                <w:szCs w:val="16"/>
              </w:rPr>
              <w:t>年末余额</w:t>
            </w:r>
          </w:p>
          <w:p>
            <w:pPr>
              <w:pStyle w:val="TableParagraph"/>
              <w:spacing w:line="220" w:lineRule="exact"/>
              <w:ind w:left="400" w:right="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39"/>
                <w:sz w:val="16"/>
                <w:szCs w:val="16"/>
              </w:rPr>
              <w:t> </w:t>
            </w:r>
            <w:r>
              <w:rPr>
                <w:rFonts w:ascii="Arial" w:hAnsi="Arial" w:cs="Arial" w:eastAsia="Arial" w:hint="default"/>
                <w:sz w:val="16"/>
                <w:szCs w:val="16"/>
              </w:rPr>
              <w:t>1</w:t>
            </w:r>
            <w:r>
              <w:rPr>
                <w:rFonts w:ascii="宋体" w:hAnsi="宋体" w:cs="宋体" w:eastAsia="宋体" w:hint="default"/>
                <w:sz w:val="16"/>
                <w:szCs w:val="16"/>
              </w:rPr>
              <w:t>）</w:t>
            </w:r>
          </w:p>
        </w:tc>
      </w:tr>
      <w:tr>
        <w:trPr>
          <w:trHeight w:val="631" w:hRule="exact"/>
        </w:trPr>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15" w:lineRule="exact"/>
              <w:ind w:right="0"/>
              <w:jc w:val="left"/>
              <w:rPr>
                <w:rFonts w:ascii="宋体" w:hAnsi="宋体" w:cs="宋体" w:eastAsia="宋体" w:hint="default"/>
                <w:sz w:val="16"/>
                <w:szCs w:val="16"/>
              </w:rPr>
            </w:pPr>
            <w:r>
              <w:rPr>
                <w:rFonts w:ascii="Arial" w:hAnsi="Arial" w:cs="Arial" w:eastAsia="Arial" w:hint="default"/>
                <w:sz w:val="16"/>
                <w:szCs w:val="16"/>
              </w:rPr>
              <w:t>2013</w:t>
            </w:r>
            <w:r>
              <w:rPr>
                <w:rFonts w:ascii="Arial" w:hAnsi="Arial" w:cs="Arial" w:eastAsia="Arial" w:hint="default"/>
                <w:spacing w:val="-4"/>
                <w:sz w:val="16"/>
                <w:szCs w:val="16"/>
              </w:rPr>
              <w:t> </w:t>
            </w:r>
            <w:r>
              <w:rPr>
                <w:rFonts w:ascii="宋体" w:hAnsi="宋体" w:cs="宋体" w:eastAsia="宋体" w:hint="default"/>
                <w:sz w:val="16"/>
                <w:szCs w:val="16"/>
              </w:rPr>
              <w:t>年第二期</w:t>
            </w:r>
          </w:p>
          <w:p>
            <w:pPr>
              <w:pStyle w:val="TableParagraph"/>
              <w:spacing w:line="203" w:lineRule="exact"/>
              <w:ind w:left="468" w:right="0"/>
              <w:jc w:val="left"/>
              <w:rPr>
                <w:rFonts w:ascii="宋体" w:hAnsi="宋体" w:cs="宋体" w:eastAsia="宋体" w:hint="default"/>
                <w:sz w:val="16"/>
                <w:szCs w:val="16"/>
              </w:rPr>
            </w:pPr>
            <w:r>
              <w:rPr>
                <w:rFonts w:ascii="宋体" w:hAnsi="宋体" w:cs="宋体" w:eastAsia="宋体" w:hint="default"/>
                <w:sz w:val="16"/>
                <w:szCs w:val="16"/>
              </w:rPr>
              <w:t>超短期融资券</w:t>
            </w:r>
          </w:p>
        </w:tc>
        <w:tc>
          <w:tcPr>
            <w:tcW w:w="145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6"/>
                <w:szCs w:val="16"/>
              </w:rPr>
            </w:pPr>
            <w:r>
              <w:rPr>
                <w:rFonts w:ascii="Arial"/>
                <w:spacing w:val="-1"/>
                <w:sz w:val="16"/>
              </w:rPr>
              <w:t>15,000,000,000</w:t>
            </w:r>
          </w:p>
        </w:tc>
        <w:tc>
          <w:tcPr>
            <w:tcW w:w="89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15" w:lineRule="exact"/>
              <w:ind w:left="331" w:right="0"/>
              <w:jc w:val="center"/>
              <w:rPr>
                <w:rFonts w:ascii="宋体" w:hAnsi="宋体" w:cs="宋体" w:eastAsia="宋体" w:hint="default"/>
                <w:sz w:val="16"/>
                <w:szCs w:val="16"/>
              </w:rPr>
            </w:pPr>
            <w:r>
              <w:rPr>
                <w:rFonts w:ascii="Arial" w:hAnsi="Arial" w:cs="Arial" w:eastAsia="Arial" w:hint="default"/>
                <w:sz w:val="16"/>
                <w:szCs w:val="16"/>
              </w:rPr>
              <w:t>2013</w:t>
            </w:r>
            <w:r>
              <w:rPr>
                <w:rFonts w:ascii="Arial" w:hAnsi="Arial" w:cs="Arial" w:eastAsia="Arial" w:hint="default"/>
                <w:spacing w:val="-5"/>
                <w:sz w:val="16"/>
                <w:szCs w:val="16"/>
              </w:rPr>
              <w:t> </w:t>
            </w:r>
            <w:r>
              <w:rPr>
                <w:rFonts w:ascii="宋体" w:hAnsi="宋体" w:cs="宋体" w:eastAsia="宋体" w:hint="default"/>
                <w:sz w:val="16"/>
                <w:szCs w:val="16"/>
              </w:rPr>
              <w:t>年</w:t>
            </w:r>
          </w:p>
          <w:p>
            <w:pPr>
              <w:pStyle w:val="TableParagraph"/>
              <w:spacing w:line="215" w:lineRule="exact"/>
              <w:ind w:left="182" w:right="0"/>
              <w:jc w:val="center"/>
              <w:rPr>
                <w:rFonts w:ascii="宋体" w:hAnsi="宋体" w:cs="宋体" w:eastAsia="宋体" w:hint="default"/>
                <w:sz w:val="16"/>
                <w:szCs w:val="16"/>
              </w:rPr>
            </w:pPr>
            <w:r>
              <w:rPr>
                <w:rFonts w:ascii="Arial" w:hAnsi="Arial" w:cs="Arial" w:eastAsia="Arial" w:hint="default"/>
                <w:sz w:val="16"/>
                <w:szCs w:val="16"/>
              </w:rPr>
              <w:t>9</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17</w:t>
            </w:r>
            <w:r>
              <w:rPr>
                <w:rFonts w:ascii="Arial" w:hAnsi="Arial" w:cs="Arial" w:eastAsia="Arial" w:hint="default"/>
                <w:spacing w:val="-4"/>
                <w:sz w:val="16"/>
                <w:szCs w:val="16"/>
              </w:rPr>
              <w:t> </w:t>
            </w:r>
            <w:r>
              <w:rPr>
                <w:rFonts w:ascii="宋体" w:hAnsi="宋体" w:cs="宋体" w:eastAsia="宋体" w:hint="default"/>
                <w:sz w:val="16"/>
                <w:szCs w:val="16"/>
              </w:rPr>
              <w:t>日</w:t>
            </w:r>
          </w:p>
        </w:tc>
        <w:tc>
          <w:tcPr>
            <w:tcW w:w="101" w:type="dxa"/>
            <w:tcBorders>
              <w:top w:val="nil" w:sz="6" w:space="0" w:color="auto"/>
              <w:left w:val="nil" w:sz="6" w:space="0" w:color="auto"/>
              <w:bottom w:val="nil" w:sz="6" w:space="0" w:color="auto"/>
              <w:right w:val="nil" w:sz="6" w:space="0" w:color="auto"/>
            </w:tcBorders>
          </w:tcPr>
          <w:p>
            <w:pPr/>
          </w:p>
        </w:tc>
        <w:tc>
          <w:tcPr>
            <w:tcW w:w="71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6"/>
                <w:szCs w:val="16"/>
              </w:rPr>
            </w:pPr>
            <w:r>
              <w:rPr>
                <w:rFonts w:ascii="Arial" w:hAnsi="Arial" w:cs="Arial" w:eastAsia="Arial" w:hint="default"/>
                <w:sz w:val="16"/>
                <w:szCs w:val="16"/>
              </w:rPr>
              <w:t>180</w:t>
            </w:r>
            <w:r>
              <w:rPr>
                <w:rFonts w:ascii="Arial" w:hAnsi="Arial" w:cs="Arial" w:eastAsia="Arial" w:hint="default"/>
                <w:spacing w:val="-5"/>
                <w:sz w:val="16"/>
                <w:szCs w:val="16"/>
              </w:rPr>
              <w:t> </w:t>
            </w:r>
            <w:r>
              <w:rPr>
                <w:rFonts w:ascii="宋体" w:hAnsi="宋体" w:cs="宋体" w:eastAsia="宋体" w:hint="default"/>
                <w:sz w:val="16"/>
                <w:szCs w:val="16"/>
              </w:rPr>
              <w:t>天</w:t>
            </w:r>
          </w:p>
        </w:tc>
        <w:tc>
          <w:tcPr>
            <w:tcW w:w="70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right"/>
              <w:rPr>
                <w:rFonts w:ascii="Arial" w:hAnsi="Arial" w:cs="Arial" w:eastAsia="Arial" w:hint="default"/>
                <w:sz w:val="16"/>
                <w:szCs w:val="16"/>
              </w:rPr>
            </w:pPr>
            <w:r>
              <w:rPr>
                <w:rFonts w:ascii="Arial"/>
                <w:spacing w:val="-1"/>
                <w:sz w:val="16"/>
              </w:rPr>
              <w:t>4.63%</w:t>
            </w:r>
          </w:p>
        </w:tc>
        <w:tc>
          <w:tcPr>
            <w:tcW w:w="110" w:type="dxa"/>
            <w:tcBorders>
              <w:top w:val="nil" w:sz="6" w:space="0" w:color="auto"/>
              <w:left w:val="nil" w:sz="6" w:space="0" w:color="auto"/>
              <w:bottom w:val="nil" w:sz="6" w:space="0" w:color="auto"/>
              <w:right w:val="nil" w:sz="6" w:space="0" w:color="auto"/>
            </w:tcBorders>
          </w:tcPr>
          <w:p>
            <w:pPr/>
          </w:p>
        </w:tc>
        <w:tc>
          <w:tcPr>
            <w:tcW w:w="144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82"/>
              <w:jc w:val="right"/>
              <w:rPr>
                <w:rFonts w:ascii="Arial" w:hAnsi="Arial" w:cs="Arial" w:eastAsia="Arial" w:hint="default"/>
                <w:sz w:val="16"/>
                <w:szCs w:val="16"/>
              </w:rPr>
            </w:pPr>
            <w:r>
              <w:rPr>
                <w:rFonts w:ascii="Arial"/>
                <w:spacing w:val="-1"/>
                <w:sz w:val="16"/>
              </w:rPr>
              <w:t>15,000,000,000</w:t>
            </w:r>
          </w:p>
        </w:tc>
        <w:tc>
          <w:tcPr>
            <w:tcW w:w="133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right"/>
              <w:rPr>
                <w:rFonts w:ascii="Arial" w:hAnsi="Arial" w:cs="Arial" w:eastAsia="Arial" w:hint="default"/>
                <w:sz w:val="16"/>
                <w:szCs w:val="16"/>
              </w:rPr>
            </w:pPr>
            <w:r>
              <w:rPr>
                <w:rFonts w:ascii="Arial"/>
                <w:spacing w:val="-1"/>
                <w:sz w:val="16"/>
              </w:rPr>
              <w:t>15,201,690,411</w:t>
            </w:r>
          </w:p>
        </w:tc>
        <w:tc>
          <w:tcPr>
            <w:tcW w:w="110" w:type="dxa"/>
            <w:tcBorders>
              <w:top w:val="nil" w:sz="6" w:space="0" w:color="auto"/>
              <w:left w:val="nil" w:sz="6" w:space="0" w:color="auto"/>
              <w:bottom w:val="nil" w:sz="6" w:space="0" w:color="auto"/>
              <w:right w:val="nil" w:sz="6" w:space="0" w:color="auto"/>
            </w:tcBorders>
          </w:tcPr>
          <w:p>
            <w:pPr/>
          </w:p>
        </w:tc>
        <w:tc>
          <w:tcPr>
            <w:tcW w:w="139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78"/>
              <w:jc w:val="right"/>
              <w:rPr>
                <w:rFonts w:ascii="Arial" w:hAnsi="Arial" w:cs="Arial" w:eastAsia="Arial" w:hint="default"/>
                <w:sz w:val="16"/>
                <w:szCs w:val="16"/>
              </w:rPr>
            </w:pPr>
            <w:r>
              <w:rPr>
                <w:rFonts w:ascii="Arial"/>
                <w:w w:val="100"/>
                <w:sz w:val="16"/>
              </w:rPr>
              <w:t>-</w:t>
            </w:r>
          </w:p>
        </w:tc>
        <w:tc>
          <w:tcPr>
            <w:tcW w:w="109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right"/>
              <w:rPr>
                <w:rFonts w:ascii="Arial" w:hAnsi="Arial" w:cs="Arial" w:eastAsia="Arial" w:hint="default"/>
                <w:sz w:val="16"/>
                <w:szCs w:val="16"/>
              </w:rPr>
            </w:pPr>
            <w:r>
              <w:rPr>
                <w:rFonts w:ascii="Arial"/>
                <w:spacing w:val="-1"/>
                <w:sz w:val="16"/>
              </w:rPr>
              <w:t>140,802,740</w:t>
            </w:r>
          </w:p>
        </w:tc>
        <w:tc>
          <w:tcPr>
            <w:tcW w:w="130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67"/>
              <w:jc w:val="right"/>
              <w:rPr>
                <w:rFonts w:ascii="Arial" w:hAnsi="Arial" w:cs="Arial" w:eastAsia="Arial" w:hint="default"/>
                <w:sz w:val="16"/>
                <w:szCs w:val="16"/>
              </w:rPr>
            </w:pPr>
            <w:r>
              <w:rPr>
                <w:rFonts w:ascii="Arial"/>
                <w:w w:val="100"/>
                <w:sz w:val="16"/>
              </w:rPr>
              <w:t>-</w:t>
            </w:r>
          </w:p>
        </w:tc>
        <w:tc>
          <w:tcPr>
            <w:tcW w:w="152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right"/>
              <w:rPr>
                <w:rFonts w:ascii="Arial" w:hAnsi="Arial" w:cs="Arial" w:eastAsia="Arial" w:hint="default"/>
                <w:sz w:val="16"/>
                <w:szCs w:val="16"/>
              </w:rPr>
            </w:pPr>
            <w:r>
              <w:rPr>
                <w:rFonts w:ascii="Arial"/>
                <w:spacing w:val="-1"/>
                <w:sz w:val="16"/>
              </w:rPr>
              <w:t>(15,342,493,151)</w:t>
            </w:r>
          </w:p>
        </w:tc>
        <w:tc>
          <w:tcPr>
            <w:tcW w:w="137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59"/>
              <w:jc w:val="right"/>
              <w:rPr>
                <w:rFonts w:ascii="Arial" w:hAnsi="Arial" w:cs="Arial" w:eastAsia="Arial" w:hint="default"/>
                <w:sz w:val="16"/>
                <w:szCs w:val="16"/>
              </w:rPr>
            </w:pPr>
            <w:r>
              <w:rPr>
                <w:rFonts w:ascii="Arial"/>
                <w:w w:val="100"/>
                <w:sz w:val="16"/>
              </w:rPr>
              <w:t>-</w:t>
            </w:r>
          </w:p>
        </w:tc>
      </w:tr>
      <w:tr>
        <w:trPr>
          <w:trHeight w:val="415" w:hRule="exact"/>
        </w:trPr>
        <w:tc>
          <w:tcPr>
            <w:tcW w:w="1541" w:type="dxa"/>
            <w:tcBorders>
              <w:top w:val="nil" w:sz="6" w:space="0" w:color="auto"/>
              <w:left w:val="nil" w:sz="6" w:space="0" w:color="auto"/>
              <w:bottom w:val="nil" w:sz="6" w:space="0" w:color="auto"/>
              <w:right w:val="nil" w:sz="6" w:space="0" w:color="auto"/>
            </w:tcBorders>
          </w:tcPr>
          <w:p>
            <w:pPr>
              <w:pStyle w:val="TableParagraph"/>
              <w:spacing w:line="181" w:lineRule="exact"/>
              <w:ind w:right="0"/>
              <w:jc w:val="left"/>
              <w:rPr>
                <w:rFonts w:ascii="宋体" w:hAnsi="宋体" w:cs="宋体" w:eastAsia="宋体" w:hint="default"/>
                <w:sz w:val="16"/>
                <w:szCs w:val="16"/>
              </w:rPr>
            </w:pPr>
            <w:r>
              <w:rPr>
                <w:rFonts w:ascii="Arial" w:hAnsi="Arial" w:cs="Arial" w:eastAsia="Arial" w:hint="default"/>
                <w:sz w:val="16"/>
                <w:szCs w:val="16"/>
              </w:rPr>
              <w:t>2013</w:t>
            </w:r>
            <w:r>
              <w:rPr>
                <w:rFonts w:ascii="Arial" w:hAnsi="Arial" w:cs="Arial" w:eastAsia="Arial" w:hint="default"/>
                <w:spacing w:val="-4"/>
                <w:sz w:val="16"/>
                <w:szCs w:val="16"/>
              </w:rPr>
              <w:t> </w:t>
            </w:r>
            <w:r>
              <w:rPr>
                <w:rFonts w:ascii="宋体" w:hAnsi="宋体" w:cs="宋体" w:eastAsia="宋体" w:hint="default"/>
                <w:sz w:val="16"/>
                <w:szCs w:val="16"/>
              </w:rPr>
              <w:t>年第三期</w:t>
            </w:r>
          </w:p>
          <w:p>
            <w:pPr>
              <w:pStyle w:val="TableParagraph"/>
              <w:spacing w:line="203" w:lineRule="exact"/>
              <w:ind w:left="468" w:right="0"/>
              <w:jc w:val="left"/>
              <w:rPr>
                <w:rFonts w:ascii="宋体" w:hAnsi="宋体" w:cs="宋体" w:eastAsia="宋体" w:hint="default"/>
                <w:sz w:val="16"/>
                <w:szCs w:val="16"/>
              </w:rPr>
            </w:pPr>
            <w:r>
              <w:rPr>
                <w:rFonts w:ascii="宋体" w:hAnsi="宋体" w:cs="宋体" w:eastAsia="宋体" w:hint="default"/>
                <w:sz w:val="16"/>
                <w:szCs w:val="16"/>
              </w:rPr>
              <w:t>超短期融资券</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6"/>
                <w:szCs w:val="16"/>
              </w:rPr>
            </w:pPr>
            <w:r>
              <w:rPr>
                <w:rFonts w:ascii="Arial"/>
                <w:spacing w:val="-1"/>
                <w:sz w:val="16"/>
              </w:rPr>
              <w:t>10,000,000,000</w:t>
            </w:r>
          </w:p>
        </w:tc>
        <w:tc>
          <w:tcPr>
            <w:tcW w:w="893" w:type="dxa"/>
            <w:tcBorders>
              <w:top w:val="nil" w:sz="6" w:space="0" w:color="auto"/>
              <w:left w:val="nil" w:sz="6" w:space="0" w:color="auto"/>
              <w:bottom w:val="nil" w:sz="6" w:space="0" w:color="auto"/>
              <w:right w:val="nil" w:sz="6" w:space="0" w:color="auto"/>
            </w:tcBorders>
          </w:tcPr>
          <w:p>
            <w:pPr>
              <w:pStyle w:val="TableParagraph"/>
              <w:spacing w:line="181" w:lineRule="exact"/>
              <w:ind w:left="333" w:right="0"/>
              <w:jc w:val="left"/>
              <w:rPr>
                <w:rFonts w:ascii="宋体" w:hAnsi="宋体" w:cs="宋体" w:eastAsia="宋体" w:hint="default"/>
                <w:sz w:val="16"/>
                <w:szCs w:val="16"/>
              </w:rPr>
            </w:pPr>
            <w:r>
              <w:rPr>
                <w:rFonts w:ascii="Arial" w:hAnsi="Arial" w:cs="Arial" w:eastAsia="Arial" w:hint="default"/>
                <w:sz w:val="16"/>
                <w:szCs w:val="16"/>
              </w:rPr>
              <w:t>2013</w:t>
            </w:r>
            <w:r>
              <w:rPr>
                <w:rFonts w:ascii="Arial" w:hAnsi="Arial" w:cs="Arial" w:eastAsia="Arial" w:hint="default"/>
                <w:spacing w:val="-5"/>
                <w:sz w:val="16"/>
                <w:szCs w:val="16"/>
              </w:rPr>
              <w:t> </w:t>
            </w:r>
            <w:r>
              <w:rPr>
                <w:rFonts w:ascii="宋体" w:hAnsi="宋体" w:cs="宋体" w:eastAsia="宋体" w:hint="default"/>
                <w:sz w:val="16"/>
                <w:szCs w:val="16"/>
              </w:rPr>
              <w:t>年</w:t>
            </w:r>
          </w:p>
          <w:p>
            <w:pPr>
              <w:pStyle w:val="TableParagraph"/>
              <w:spacing w:line="215" w:lineRule="exact"/>
              <w:ind w:left="93" w:right="0"/>
              <w:jc w:val="left"/>
              <w:rPr>
                <w:rFonts w:ascii="宋体" w:hAnsi="宋体" w:cs="宋体" w:eastAsia="宋体" w:hint="default"/>
                <w:sz w:val="16"/>
                <w:szCs w:val="16"/>
              </w:rPr>
            </w:pPr>
            <w:r>
              <w:rPr>
                <w:rFonts w:ascii="Arial" w:hAnsi="Arial" w:cs="Arial" w:eastAsia="Arial" w:hint="default"/>
                <w:sz w:val="16"/>
                <w:szCs w:val="16"/>
              </w:rPr>
              <w:t>10</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12</w:t>
            </w:r>
            <w:r>
              <w:rPr>
                <w:rFonts w:ascii="Arial" w:hAnsi="Arial" w:cs="Arial" w:eastAsia="Arial" w:hint="default"/>
                <w:spacing w:val="-4"/>
                <w:sz w:val="16"/>
                <w:szCs w:val="16"/>
              </w:rPr>
              <w:t> </w:t>
            </w:r>
            <w:r>
              <w:rPr>
                <w:rFonts w:ascii="宋体" w:hAnsi="宋体" w:cs="宋体" w:eastAsia="宋体" w:hint="default"/>
                <w:sz w:val="16"/>
                <w:szCs w:val="16"/>
              </w:rPr>
              <w:t>日</w:t>
            </w:r>
          </w:p>
        </w:tc>
        <w:tc>
          <w:tcPr>
            <w:tcW w:w="101"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6"/>
                <w:szCs w:val="16"/>
              </w:rPr>
            </w:pPr>
            <w:r>
              <w:rPr>
                <w:rFonts w:ascii="Arial" w:hAnsi="Arial" w:cs="Arial" w:eastAsia="Arial" w:hint="default"/>
                <w:sz w:val="16"/>
                <w:szCs w:val="16"/>
              </w:rPr>
              <w:t>180</w:t>
            </w:r>
            <w:r>
              <w:rPr>
                <w:rFonts w:ascii="Arial" w:hAnsi="Arial" w:cs="Arial" w:eastAsia="Arial" w:hint="default"/>
                <w:spacing w:val="-5"/>
                <w:sz w:val="16"/>
                <w:szCs w:val="16"/>
              </w:rPr>
              <w:t> </w:t>
            </w:r>
            <w:r>
              <w:rPr>
                <w:rFonts w:ascii="宋体" w:hAnsi="宋体" w:cs="宋体" w:eastAsia="宋体" w:hint="default"/>
                <w:sz w:val="16"/>
                <w:szCs w:val="16"/>
              </w:rPr>
              <w:t>天</w:t>
            </w:r>
          </w:p>
        </w:tc>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right"/>
              <w:rPr>
                <w:rFonts w:ascii="Arial" w:hAnsi="Arial" w:cs="Arial" w:eastAsia="Arial" w:hint="default"/>
                <w:sz w:val="16"/>
                <w:szCs w:val="16"/>
              </w:rPr>
            </w:pPr>
            <w:r>
              <w:rPr>
                <w:rFonts w:ascii="Arial"/>
                <w:spacing w:val="-1"/>
                <w:sz w:val="16"/>
              </w:rPr>
              <w:t>4.68%</w:t>
            </w:r>
          </w:p>
        </w:tc>
        <w:tc>
          <w:tcPr>
            <w:tcW w:w="110"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82"/>
              <w:jc w:val="right"/>
              <w:rPr>
                <w:rFonts w:ascii="Arial" w:hAnsi="Arial" w:cs="Arial" w:eastAsia="Arial" w:hint="default"/>
                <w:sz w:val="16"/>
                <w:szCs w:val="16"/>
              </w:rPr>
            </w:pPr>
            <w:r>
              <w:rPr>
                <w:rFonts w:ascii="Arial"/>
                <w:spacing w:val="-1"/>
                <w:sz w:val="16"/>
              </w:rPr>
              <w:t>10,000,000,000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right"/>
              <w:rPr>
                <w:rFonts w:ascii="Arial" w:hAnsi="Arial" w:cs="Arial" w:eastAsia="Arial" w:hint="default"/>
                <w:sz w:val="16"/>
                <w:szCs w:val="16"/>
              </w:rPr>
            </w:pPr>
            <w:r>
              <w:rPr>
                <w:rFonts w:ascii="Arial"/>
                <w:spacing w:val="-1"/>
                <w:sz w:val="16"/>
              </w:rPr>
              <w:t>10,103,857,534</w:t>
            </w:r>
          </w:p>
        </w:tc>
        <w:tc>
          <w:tcPr>
            <w:tcW w:w="110"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88"/>
              <w:jc w:val="right"/>
              <w:rPr>
                <w:rFonts w:ascii="Arial" w:hAnsi="Arial" w:cs="Arial" w:eastAsia="Arial" w:hint="default"/>
                <w:sz w:val="16"/>
                <w:szCs w:val="16"/>
              </w:rPr>
            </w:pPr>
            <w:r>
              <w:rPr>
                <w:rFonts w:ascii="Arial"/>
                <w:w w:val="100"/>
                <w:sz w:val="16"/>
              </w:rPr>
              <w:t>-</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right"/>
              <w:rPr>
                <w:rFonts w:ascii="Arial" w:hAnsi="Arial" w:cs="Arial" w:eastAsia="Arial" w:hint="default"/>
                <w:sz w:val="16"/>
                <w:szCs w:val="16"/>
              </w:rPr>
            </w:pPr>
            <w:r>
              <w:rPr>
                <w:rFonts w:ascii="Arial"/>
                <w:spacing w:val="-1"/>
                <w:sz w:val="16"/>
              </w:rPr>
              <w:t>126,936,986</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67"/>
              <w:jc w:val="right"/>
              <w:rPr>
                <w:rFonts w:ascii="Arial" w:hAnsi="Arial" w:cs="Arial" w:eastAsia="Arial" w:hint="default"/>
                <w:sz w:val="16"/>
                <w:szCs w:val="16"/>
              </w:rPr>
            </w:pPr>
            <w:r>
              <w:rPr>
                <w:rFonts w:ascii="Arial"/>
                <w:w w:val="100"/>
                <w:sz w:val="16"/>
              </w:rPr>
              <w:t>-</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right"/>
              <w:rPr>
                <w:rFonts w:ascii="Arial" w:hAnsi="Arial" w:cs="Arial" w:eastAsia="Arial" w:hint="default"/>
                <w:sz w:val="16"/>
                <w:szCs w:val="16"/>
              </w:rPr>
            </w:pPr>
            <w:r>
              <w:rPr>
                <w:rFonts w:ascii="Arial"/>
                <w:spacing w:val="-1"/>
                <w:sz w:val="16"/>
              </w:rPr>
              <w:t>(10,230,794,520)</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40"/>
              <w:jc w:val="right"/>
              <w:rPr>
                <w:rFonts w:ascii="Arial" w:hAnsi="Arial" w:cs="Arial" w:eastAsia="Arial" w:hint="default"/>
                <w:sz w:val="16"/>
                <w:szCs w:val="16"/>
              </w:rPr>
            </w:pPr>
            <w:r>
              <w:rPr>
                <w:rFonts w:ascii="Arial"/>
                <w:w w:val="100"/>
                <w:sz w:val="16"/>
              </w:rPr>
              <w:t>-</w:t>
            </w:r>
          </w:p>
        </w:tc>
      </w:tr>
      <w:tr>
        <w:trPr>
          <w:trHeight w:val="415" w:hRule="exact"/>
        </w:trPr>
        <w:tc>
          <w:tcPr>
            <w:tcW w:w="1541" w:type="dxa"/>
            <w:tcBorders>
              <w:top w:val="nil" w:sz="6" w:space="0" w:color="auto"/>
              <w:left w:val="nil" w:sz="6" w:space="0" w:color="auto"/>
              <w:bottom w:val="nil" w:sz="6" w:space="0" w:color="auto"/>
              <w:right w:val="nil" w:sz="6" w:space="0" w:color="auto"/>
            </w:tcBorders>
          </w:tcPr>
          <w:p>
            <w:pPr>
              <w:pStyle w:val="TableParagraph"/>
              <w:spacing w:line="181" w:lineRule="exact"/>
              <w:ind w:left="16" w:right="0"/>
              <w:jc w:val="left"/>
              <w:rPr>
                <w:rFonts w:ascii="宋体" w:hAnsi="宋体" w:cs="宋体" w:eastAsia="宋体" w:hint="default"/>
                <w:sz w:val="16"/>
                <w:szCs w:val="16"/>
              </w:rPr>
            </w:pPr>
            <w:r>
              <w:rPr>
                <w:rFonts w:ascii="Arial" w:hAnsi="Arial" w:cs="Arial" w:eastAsia="Arial" w:hint="default"/>
                <w:sz w:val="16"/>
                <w:szCs w:val="16"/>
              </w:rPr>
              <w:t>2013</w:t>
            </w:r>
            <w:r>
              <w:rPr>
                <w:rFonts w:ascii="Arial" w:hAnsi="Arial" w:cs="Arial" w:eastAsia="Arial" w:hint="default"/>
                <w:spacing w:val="-4"/>
                <w:sz w:val="16"/>
                <w:szCs w:val="16"/>
              </w:rPr>
              <w:t> </w:t>
            </w:r>
            <w:r>
              <w:rPr>
                <w:rFonts w:ascii="宋体" w:hAnsi="宋体" w:cs="宋体" w:eastAsia="宋体" w:hint="default"/>
                <w:sz w:val="16"/>
                <w:szCs w:val="16"/>
              </w:rPr>
              <w:t>年第四期</w:t>
            </w:r>
          </w:p>
          <w:p>
            <w:pPr>
              <w:pStyle w:val="TableParagraph"/>
              <w:spacing w:line="203" w:lineRule="exact"/>
              <w:ind w:left="468" w:right="0"/>
              <w:jc w:val="left"/>
              <w:rPr>
                <w:rFonts w:ascii="宋体" w:hAnsi="宋体" w:cs="宋体" w:eastAsia="宋体" w:hint="default"/>
                <w:sz w:val="16"/>
                <w:szCs w:val="16"/>
              </w:rPr>
            </w:pPr>
            <w:r>
              <w:rPr>
                <w:rFonts w:ascii="宋体" w:hAnsi="宋体" w:cs="宋体" w:eastAsia="宋体" w:hint="default"/>
                <w:sz w:val="16"/>
                <w:szCs w:val="16"/>
              </w:rPr>
              <w:t>超短期融资券</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6"/>
                <w:szCs w:val="16"/>
              </w:rPr>
            </w:pPr>
            <w:r>
              <w:rPr>
                <w:rFonts w:ascii="Arial"/>
                <w:spacing w:val="-1"/>
                <w:sz w:val="16"/>
              </w:rPr>
              <w:t>10,000,000,000</w:t>
            </w:r>
          </w:p>
        </w:tc>
        <w:tc>
          <w:tcPr>
            <w:tcW w:w="893" w:type="dxa"/>
            <w:tcBorders>
              <w:top w:val="nil" w:sz="6" w:space="0" w:color="auto"/>
              <w:left w:val="nil" w:sz="6" w:space="0" w:color="auto"/>
              <w:bottom w:val="nil" w:sz="6" w:space="0" w:color="auto"/>
              <w:right w:val="nil" w:sz="6" w:space="0" w:color="auto"/>
            </w:tcBorders>
          </w:tcPr>
          <w:p>
            <w:pPr>
              <w:pStyle w:val="TableParagraph"/>
              <w:spacing w:line="181" w:lineRule="exact"/>
              <w:ind w:left="333" w:right="0"/>
              <w:jc w:val="left"/>
              <w:rPr>
                <w:rFonts w:ascii="宋体" w:hAnsi="宋体" w:cs="宋体" w:eastAsia="宋体" w:hint="default"/>
                <w:sz w:val="16"/>
                <w:szCs w:val="16"/>
              </w:rPr>
            </w:pPr>
            <w:r>
              <w:rPr>
                <w:rFonts w:ascii="Arial" w:hAnsi="Arial" w:cs="Arial" w:eastAsia="Arial" w:hint="default"/>
                <w:sz w:val="16"/>
                <w:szCs w:val="16"/>
              </w:rPr>
              <w:t>2013</w:t>
            </w:r>
            <w:r>
              <w:rPr>
                <w:rFonts w:ascii="Arial" w:hAnsi="Arial" w:cs="Arial" w:eastAsia="Arial" w:hint="default"/>
                <w:spacing w:val="-5"/>
                <w:sz w:val="16"/>
                <w:szCs w:val="16"/>
              </w:rPr>
              <w:t> </w:t>
            </w:r>
            <w:r>
              <w:rPr>
                <w:rFonts w:ascii="宋体" w:hAnsi="宋体" w:cs="宋体" w:eastAsia="宋体" w:hint="default"/>
                <w:sz w:val="16"/>
                <w:szCs w:val="16"/>
              </w:rPr>
              <w:t>年</w:t>
            </w:r>
          </w:p>
          <w:p>
            <w:pPr>
              <w:pStyle w:val="TableParagraph"/>
              <w:spacing w:line="215" w:lineRule="exact"/>
              <w:ind w:left="93" w:right="0"/>
              <w:jc w:val="left"/>
              <w:rPr>
                <w:rFonts w:ascii="宋体" w:hAnsi="宋体" w:cs="宋体" w:eastAsia="宋体" w:hint="default"/>
                <w:sz w:val="16"/>
                <w:szCs w:val="16"/>
              </w:rPr>
            </w:pPr>
            <w:r>
              <w:rPr>
                <w:rFonts w:ascii="Arial" w:hAnsi="Arial" w:cs="Arial" w:eastAsia="Arial" w:hint="default"/>
                <w:sz w:val="16"/>
                <w:szCs w:val="16"/>
              </w:rPr>
              <w:t>10</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21</w:t>
            </w:r>
            <w:r>
              <w:rPr>
                <w:rFonts w:ascii="Arial" w:hAnsi="Arial" w:cs="Arial" w:eastAsia="Arial" w:hint="default"/>
                <w:spacing w:val="-4"/>
                <w:sz w:val="16"/>
                <w:szCs w:val="16"/>
              </w:rPr>
              <w:t> </w:t>
            </w:r>
            <w:r>
              <w:rPr>
                <w:rFonts w:ascii="宋体" w:hAnsi="宋体" w:cs="宋体" w:eastAsia="宋体" w:hint="default"/>
                <w:sz w:val="16"/>
                <w:szCs w:val="16"/>
              </w:rPr>
              <w:t>日</w:t>
            </w:r>
          </w:p>
        </w:tc>
        <w:tc>
          <w:tcPr>
            <w:tcW w:w="101"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6"/>
                <w:szCs w:val="16"/>
              </w:rPr>
            </w:pPr>
            <w:r>
              <w:rPr>
                <w:rFonts w:ascii="Arial" w:hAnsi="Arial" w:cs="Arial" w:eastAsia="Arial" w:hint="default"/>
                <w:sz w:val="16"/>
                <w:szCs w:val="16"/>
              </w:rPr>
              <w:t>180</w:t>
            </w:r>
            <w:r>
              <w:rPr>
                <w:rFonts w:ascii="Arial" w:hAnsi="Arial" w:cs="Arial" w:eastAsia="Arial" w:hint="default"/>
                <w:spacing w:val="-5"/>
                <w:sz w:val="16"/>
                <w:szCs w:val="16"/>
              </w:rPr>
              <w:t> </w:t>
            </w:r>
            <w:r>
              <w:rPr>
                <w:rFonts w:ascii="宋体" w:hAnsi="宋体" w:cs="宋体" w:eastAsia="宋体" w:hint="default"/>
                <w:sz w:val="16"/>
                <w:szCs w:val="16"/>
              </w:rPr>
              <w:t>天</w:t>
            </w:r>
          </w:p>
        </w:tc>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right"/>
              <w:rPr>
                <w:rFonts w:ascii="Arial" w:hAnsi="Arial" w:cs="Arial" w:eastAsia="Arial" w:hint="default"/>
                <w:sz w:val="16"/>
                <w:szCs w:val="16"/>
              </w:rPr>
            </w:pPr>
            <w:r>
              <w:rPr>
                <w:rFonts w:ascii="Arial"/>
                <w:spacing w:val="-1"/>
                <w:sz w:val="16"/>
              </w:rPr>
              <w:t>4.68%</w:t>
            </w:r>
          </w:p>
        </w:tc>
        <w:tc>
          <w:tcPr>
            <w:tcW w:w="110"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82"/>
              <w:jc w:val="right"/>
              <w:rPr>
                <w:rFonts w:ascii="Arial" w:hAnsi="Arial" w:cs="Arial" w:eastAsia="Arial" w:hint="default"/>
                <w:sz w:val="16"/>
                <w:szCs w:val="16"/>
              </w:rPr>
            </w:pPr>
            <w:r>
              <w:rPr>
                <w:rFonts w:ascii="Arial"/>
                <w:spacing w:val="-1"/>
                <w:sz w:val="16"/>
              </w:rPr>
              <w:t>10,000,000,000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right"/>
              <w:rPr>
                <w:rFonts w:ascii="Arial" w:hAnsi="Arial" w:cs="Arial" w:eastAsia="Arial" w:hint="default"/>
                <w:sz w:val="16"/>
                <w:szCs w:val="16"/>
              </w:rPr>
            </w:pPr>
            <w:r>
              <w:rPr>
                <w:rFonts w:ascii="Arial"/>
                <w:spacing w:val="-1"/>
                <w:sz w:val="16"/>
              </w:rPr>
              <w:t>10,092,317,808</w:t>
            </w:r>
          </w:p>
        </w:tc>
        <w:tc>
          <w:tcPr>
            <w:tcW w:w="110"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88"/>
              <w:jc w:val="right"/>
              <w:rPr>
                <w:rFonts w:ascii="Arial" w:hAnsi="Arial" w:cs="Arial" w:eastAsia="Arial" w:hint="default"/>
                <w:sz w:val="16"/>
                <w:szCs w:val="16"/>
              </w:rPr>
            </w:pPr>
            <w:r>
              <w:rPr>
                <w:rFonts w:ascii="Arial"/>
                <w:w w:val="100"/>
                <w:sz w:val="16"/>
              </w:rPr>
              <w:t>-</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right"/>
              <w:rPr>
                <w:rFonts w:ascii="Arial" w:hAnsi="Arial" w:cs="Arial" w:eastAsia="Arial" w:hint="default"/>
                <w:sz w:val="16"/>
                <w:szCs w:val="16"/>
              </w:rPr>
            </w:pPr>
            <w:r>
              <w:rPr>
                <w:rFonts w:ascii="Arial"/>
                <w:spacing w:val="-1"/>
                <w:sz w:val="16"/>
              </w:rPr>
              <w:t>138,476,712</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67"/>
              <w:jc w:val="right"/>
              <w:rPr>
                <w:rFonts w:ascii="Arial" w:hAnsi="Arial" w:cs="Arial" w:eastAsia="Arial" w:hint="default"/>
                <w:sz w:val="16"/>
                <w:szCs w:val="16"/>
              </w:rPr>
            </w:pPr>
            <w:r>
              <w:rPr>
                <w:rFonts w:ascii="Arial"/>
                <w:w w:val="100"/>
                <w:sz w:val="16"/>
              </w:rPr>
              <w:t>-</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right"/>
              <w:rPr>
                <w:rFonts w:ascii="Arial" w:hAnsi="Arial" w:cs="Arial" w:eastAsia="Arial" w:hint="default"/>
                <w:sz w:val="16"/>
                <w:szCs w:val="16"/>
              </w:rPr>
            </w:pPr>
            <w:r>
              <w:rPr>
                <w:rFonts w:ascii="Arial"/>
                <w:spacing w:val="-1"/>
                <w:sz w:val="16"/>
              </w:rPr>
              <w:t>(10,230,794,520)</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40"/>
              <w:jc w:val="right"/>
              <w:rPr>
                <w:rFonts w:ascii="Arial" w:hAnsi="Arial" w:cs="Arial" w:eastAsia="Arial" w:hint="default"/>
                <w:sz w:val="16"/>
                <w:szCs w:val="16"/>
              </w:rPr>
            </w:pPr>
            <w:r>
              <w:rPr>
                <w:rFonts w:ascii="Arial"/>
                <w:w w:val="100"/>
                <w:sz w:val="16"/>
              </w:rPr>
              <w:t>-</w:t>
            </w:r>
          </w:p>
        </w:tc>
      </w:tr>
      <w:tr>
        <w:trPr>
          <w:trHeight w:val="416" w:hRule="exact"/>
        </w:trPr>
        <w:tc>
          <w:tcPr>
            <w:tcW w:w="1541" w:type="dxa"/>
            <w:tcBorders>
              <w:top w:val="nil" w:sz="6" w:space="0" w:color="auto"/>
              <w:left w:val="nil" w:sz="6" w:space="0" w:color="auto"/>
              <w:bottom w:val="nil" w:sz="6" w:space="0" w:color="auto"/>
              <w:right w:val="nil" w:sz="6" w:space="0" w:color="auto"/>
            </w:tcBorders>
          </w:tcPr>
          <w:p>
            <w:pPr>
              <w:pStyle w:val="TableParagraph"/>
              <w:spacing w:line="180" w:lineRule="exact"/>
              <w:ind w:left="16" w:right="0"/>
              <w:jc w:val="lef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4"/>
                <w:sz w:val="16"/>
                <w:szCs w:val="16"/>
              </w:rPr>
              <w:t> </w:t>
            </w:r>
            <w:r>
              <w:rPr>
                <w:rFonts w:ascii="宋体" w:hAnsi="宋体" w:cs="宋体" w:eastAsia="宋体" w:hint="default"/>
                <w:sz w:val="16"/>
                <w:szCs w:val="16"/>
              </w:rPr>
              <w:t>年第一期</w:t>
            </w:r>
          </w:p>
          <w:p>
            <w:pPr>
              <w:pStyle w:val="TableParagraph"/>
              <w:spacing w:line="202" w:lineRule="exact"/>
              <w:ind w:left="468" w:right="0"/>
              <w:jc w:val="left"/>
              <w:rPr>
                <w:rFonts w:ascii="宋体" w:hAnsi="宋体" w:cs="宋体" w:eastAsia="宋体" w:hint="default"/>
                <w:sz w:val="16"/>
                <w:szCs w:val="16"/>
              </w:rPr>
            </w:pPr>
            <w:r>
              <w:rPr>
                <w:rFonts w:ascii="宋体" w:hAnsi="宋体" w:cs="宋体" w:eastAsia="宋体" w:hint="default"/>
                <w:sz w:val="16"/>
                <w:szCs w:val="16"/>
              </w:rPr>
              <w:t>超短期融资券</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6"/>
                <w:szCs w:val="16"/>
              </w:rPr>
            </w:pPr>
            <w:r>
              <w:rPr>
                <w:rFonts w:ascii="Arial"/>
                <w:spacing w:val="-1"/>
                <w:sz w:val="16"/>
              </w:rPr>
              <w:t>10,000,000,000</w:t>
            </w:r>
          </w:p>
        </w:tc>
        <w:tc>
          <w:tcPr>
            <w:tcW w:w="893" w:type="dxa"/>
            <w:tcBorders>
              <w:top w:val="nil" w:sz="6" w:space="0" w:color="auto"/>
              <w:left w:val="nil" w:sz="6" w:space="0" w:color="auto"/>
              <w:bottom w:val="nil" w:sz="6" w:space="0" w:color="auto"/>
              <w:right w:val="nil" w:sz="6" w:space="0" w:color="auto"/>
            </w:tcBorders>
          </w:tcPr>
          <w:p>
            <w:pPr>
              <w:pStyle w:val="TableParagraph"/>
              <w:spacing w:line="180" w:lineRule="exact"/>
              <w:ind w:left="331" w:right="0"/>
              <w:jc w:val="center"/>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5"/>
                <w:sz w:val="16"/>
                <w:szCs w:val="16"/>
              </w:rPr>
              <w:t> </w:t>
            </w:r>
            <w:r>
              <w:rPr>
                <w:rFonts w:ascii="宋体" w:hAnsi="宋体" w:cs="宋体" w:eastAsia="宋体" w:hint="default"/>
                <w:sz w:val="16"/>
                <w:szCs w:val="16"/>
              </w:rPr>
              <w:t>年</w:t>
            </w:r>
          </w:p>
          <w:p>
            <w:pPr>
              <w:pStyle w:val="TableParagraph"/>
              <w:spacing w:line="214" w:lineRule="exact"/>
              <w:ind w:left="182" w:right="0"/>
              <w:jc w:val="center"/>
              <w:rPr>
                <w:rFonts w:ascii="宋体" w:hAnsi="宋体" w:cs="宋体" w:eastAsia="宋体" w:hint="default"/>
                <w:sz w:val="16"/>
                <w:szCs w:val="16"/>
              </w:rPr>
            </w:pPr>
            <w:r>
              <w:rPr>
                <w:rFonts w:ascii="Arial" w:hAnsi="Arial" w:cs="Arial" w:eastAsia="Arial" w:hint="default"/>
                <w:sz w:val="16"/>
                <w:szCs w:val="16"/>
              </w:rPr>
              <w:t>3</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24</w:t>
            </w:r>
            <w:r>
              <w:rPr>
                <w:rFonts w:ascii="Arial" w:hAnsi="Arial" w:cs="Arial" w:eastAsia="Arial" w:hint="default"/>
                <w:spacing w:val="-4"/>
                <w:sz w:val="16"/>
                <w:szCs w:val="16"/>
              </w:rPr>
              <w:t> </w:t>
            </w:r>
            <w:r>
              <w:rPr>
                <w:rFonts w:ascii="宋体" w:hAnsi="宋体" w:cs="宋体" w:eastAsia="宋体" w:hint="default"/>
                <w:sz w:val="16"/>
                <w:szCs w:val="16"/>
              </w:rPr>
              <w:t>日</w:t>
            </w:r>
          </w:p>
        </w:tc>
        <w:tc>
          <w:tcPr>
            <w:tcW w:w="101"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6"/>
                <w:szCs w:val="16"/>
              </w:rPr>
            </w:pPr>
            <w:r>
              <w:rPr>
                <w:rFonts w:ascii="Arial" w:hAnsi="Arial" w:cs="Arial" w:eastAsia="Arial" w:hint="default"/>
                <w:sz w:val="16"/>
                <w:szCs w:val="16"/>
              </w:rPr>
              <w:t>270</w:t>
            </w:r>
            <w:r>
              <w:rPr>
                <w:rFonts w:ascii="Arial" w:hAnsi="Arial" w:cs="Arial" w:eastAsia="Arial" w:hint="default"/>
                <w:spacing w:val="-5"/>
                <w:sz w:val="16"/>
                <w:szCs w:val="16"/>
              </w:rPr>
              <w:t> </w:t>
            </w:r>
            <w:r>
              <w:rPr>
                <w:rFonts w:ascii="宋体" w:hAnsi="宋体" w:cs="宋体" w:eastAsia="宋体" w:hint="default"/>
                <w:sz w:val="16"/>
                <w:szCs w:val="16"/>
              </w:rPr>
              <w:t>天</w:t>
            </w:r>
          </w:p>
        </w:tc>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right"/>
              <w:rPr>
                <w:rFonts w:ascii="Arial" w:hAnsi="Arial" w:cs="Arial" w:eastAsia="Arial" w:hint="default"/>
                <w:sz w:val="16"/>
                <w:szCs w:val="16"/>
              </w:rPr>
            </w:pPr>
            <w:r>
              <w:rPr>
                <w:rFonts w:ascii="Arial"/>
                <w:spacing w:val="-1"/>
                <w:sz w:val="16"/>
              </w:rPr>
              <w:t>5.10%</w:t>
            </w:r>
          </w:p>
        </w:tc>
        <w:tc>
          <w:tcPr>
            <w:tcW w:w="110"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82"/>
              <w:jc w:val="right"/>
              <w:rPr>
                <w:rFonts w:ascii="Arial" w:hAnsi="Arial" w:cs="Arial" w:eastAsia="Arial" w:hint="default"/>
                <w:sz w:val="16"/>
                <w:szCs w:val="16"/>
              </w:rPr>
            </w:pPr>
            <w:r>
              <w:rPr>
                <w:rFonts w:ascii="Arial"/>
                <w:spacing w:val="-1"/>
                <w:sz w:val="16"/>
              </w:rPr>
              <w:t>10,000,000,000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
              <w:jc w:val="right"/>
              <w:rPr>
                <w:rFonts w:ascii="Arial" w:hAnsi="Arial" w:cs="Arial" w:eastAsia="Arial" w:hint="default"/>
                <w:sz w:val="16"/>
                <w:szCs w:val="16"/>
              </w:rPr>
            </w:pPr>
            <w:r>
              <w:rPr>
                <w:rFonts w:ascii="Arial"/>
                <w:w w:val="100"/>
                <w:sz w:val="16"/>
              </w:rPr>
              <w:t>-</w:t>
            </w:r>
          </w:p>
        </w:tc>
        <w:tc>
          <w:tcPr>
            <w:tcW w:w="110"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86"/>
              <w:jc w:val="right"/>
              <w:rPr>
                <w:rFonts w:ascii="Arial" w:hAnsi="Arial" w:cs="Arial" w:eastAsia="Arial" w:hint="default"/>
                <w:sz w:val="16"/>
                <w:szCs w:val="16"/>
              </w:rPr>
            </w:pPr>
            <w:r>
              <w:rPr>
                <w:rFonts w:ascii="Arial"/>
                <w:spacing w:val="-1"/>
                <w:sz w:val="16"/>
              </w:rPr>
              <w:t>10,000,000,000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right"/>
              <w:rPr>
                <w:rFonts w:ascii="Arial" w:hAnsi="Arial" w:cs="Arial" w:eastAsia="Arial" w:hint="default"/>
                <w:sz w:val="16"/>
                <w:szCs w:val="16"/>
              </w:rPr>
            </w:pPr>
            <w:r>
              <w:rPr>
                <w:rFonts w:ascii="Arial"/>
                <w:spacing w:val="-1"/>
                <w:sz w:val="16"/>
              </w:rPr>
              <w:t>377,260,274</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67"/>
              <w:jc w:val="right"/>
              <w:rPr>
                <w:rFonts w:ascii="Arial" w:hAnsi="Arial" w:cs="Arial" w:eastAsia="Arial" w:hint="default"/>
                <w:sz w:val="16"/>
                <w:szCs w:val="16"/>
              </w:rPr>
            </w:pPr>
            <w:r>
              <w:rPr>
                <w:rFonts w:ascii="Arial"/>
                <w:w w:val="100"/>
                <w:sz w:val="16"/>
              </w:rPr>
              <w:t>-</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right"/>
              <w:rPr>
                <w:rFonts w:ascii="Arial" w:hAnsi="Arial" w:cs="Arial" w:eastAsia="Arial" w:hint="default"/>
                <w:sz w:val="16"/>
                <w:szCs w:val="16"/>
              </w:rPr>
            </w:pPr>
            <w:r>
              <w:rPr>
                <w:rFonts w:ascii="Arial"/>
                <w:spacing w:val="-1"/>
                <w:sz w:val="16"/>
              </w:rPr>
              <w:t>(10,377,260,274)</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40"/>
              <w:jc w:val="right"/>
              <w:rPr>
                <w:rFonts w:ascii="Arial" w:hAnsi="Arial" w:cs="Arial" w:eastAsia="Arial" w:hint="default"/>
                <w:sz w:val="16"/>
                <w:szCs w:val="16"/>
              </w:rPr>
            </w:pPr>
            <w:r>
              <w:rPr>
                <w:rFonts w:ascii="Arial"/>
                <w:w w:val="100"/>
                <w:sz w:val="16"/>
              </w:rPr>
              <w:t>-</w:t>
            </w:r>
          </w:p>
        </w:tc>
      </w:tr>
      <w:tr>
        <w:trPr>
          <w:trHeight w:val="509" w:hRule="exact"/>
        </w:trPr>
        <w:tc>
          <w:tcPr>
            <w:tcW w:w="1541" w:type="dxa"/>
            <w:tcBorders>
              <w:top w:val="nil" w:sz="6" w:space="0" w:color="auto"/>
              <w:left w:val="nil" w:sz="6" w:space="0" w:color="auto"/>
              <w:bottom w:val="nil" w:sz="6" w:space="0" w:color="auto"/>
              <w:right w:val="nil" w:sz="6" w:space="0" w:color="auto"/>
            </w:tcBorders>
          </w:tcPr>
          <w:p>
            <w:pPr>
              <w:pStyle w:val="TableParagraph"/>
              <w:spacing w:line="180" w:lineRule="exact"/>
              <w:ind w:left="16" w:right="0"/>
              <w:jc w:val="lef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4"/>
                <w:sz w:val="16"/>
                <w:szCs w:val="16"/>
              </w:rPr>
              <w:t> </w:t>
            </w:r>
            <w:r>
              <w:rPr>
                <w:rFonts w:ascii="宋体" w:hAnsi="宋体" w:cs="宋体" w:eastAsia="宋体" w:hint="default"/>
                <w:sz w:val="16"/>
                <w:szCs w:val="16"/>
              </w:rPr>
              <w:t>年第一期</w:t>
            </w:r>
          </w:p>
          <w:p>
            <w:pPr>
              <w:pStyle w:val="TableParagraph"/>
              <w:spacing w:line="202" w:lineRule="exact"/>
              <w:ind w:left="468" w:right="0"/>
              <w:jc w:val="left"/>
              <w:rPr>
                <w:rFonts w:ascii="宋体" w:hAnsi="宋体" w:cs="宋体" w:eastAsia="宋体" w:hint="default"/>
                <w:sz w:val="16"/>
                <w:szCs w:val="16"/>
              </w:rPr>
            </w:pPr>
            <w:r>
              <w:rPr>
                <w:rFonts w:ascii="宋体" w:hAnsi="宋体" w:cs="宋体" w:eastAsia="宋体" w:hint="default"/>
                <w:sz w:val="16"/>
                <w:szCs w:val="16"/>
              </w:rPr>
              <w:t>短期融资券</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6"/>
              <w:jc w:val="right"/>
              <w:rPr>
                <w:rFonts w:ascii="Arial" w:hAnsi="Arial" w:cs="Arial" w:eastAsia="Arial" w:hint="default"/>
                <w:sz w:val="16"/>
                <w:szCs w:val="16"/>
              </w:rPr>
            </w:pPr>
            <w:r>
              <w:rPr>
                <w:rFonts w:ascii="Arial"/>
                <w:spacing w:val="-1"/>
                <w:sz w:val="16"/>
              </w:rPr>
              <w:t>10,000,000,000</w:t>
            </w:r>
          </w:p>
        </w:tc>
        <w:tc>
          <w:tcPr>
            <w:tcW w:w="893" w:type="dxa"/>
            <w:tcBorders>
              <w:top w:val="nil" w:sz="6" w:space="0" w:color="auto"/>
              <w:left w:val="nil" w:sz="6" w:space="0" w:color="auto"/>
              <w:bottom w:val="nil" w:sz="6" w:space="0" w:color="auto"/>
              <w:right w:val="nil" w:sz="6" w:space="0" w:color="auto"/>
            </w:tcBorders>
          </w:tcPr>
          <w:p>
            <w:pPr>
              <w:pStyle w:val="TableParagraph"/>
              <w:spacing w:line="180" w:lineRule="exact"/>
              <w:ind w:left="331" w:right="0"/>
              <w:jc w:val="center"/>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5"/>
                <w:sz w:val="16"/>
                <w:szCs w:val="16"/>
              </w:rPr>
              <w:t> </w:t>
            </w:r>
            <w:r>
              <w:rPr>
                <w:rFonts w:ascii="宋体" w:hAnsi="宋体" w:cs="宋体" w:eastAsia="宋体" w:hint="default"/>
                <w:sz w:val="16"/>
                <w:szCs w:val="16"/>
              </w:rPr>
              <w:t>年</w:t>
            </w:r>
          </w:p>
          <w:p>
            <w:pPr>
              <w:pStyle w:val="TableParagraph"/>
              <w:spacing w:line="214" w:lineRule="exact"/>
              <w:ind w:left="182" w:right="0"/>
              <w:jc w:val="center"/>
              <w:rPr>
                <w:rFonts w:ascii="宋体" w:hAnsi="宋体" w:cs="宋体" w:eastAsia="宋体" w:hint="default"/>
                <w:sz w:val="16"/>
                <w:szCs w:val="16"/>
              </w:rPr>
            </w:pPr>
            <w:r>
              <w:rPr>
                <w:rFonts w:ascii="Arial" w:hAnsi="Arial" w:cs="Arial" w:eastAsia="Arial" w:hint="default"/>
                <w:sz w:val="16"/>
                <w:szCs w:val="16"/>
              </w:rPr>
              <w:t>7</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14</w:t>
            </w:r>
            <w:r>
              <w:rPr>
                <w:rFonts w:ascii="Arial" w:hAnsi="Arial" w:cs="Arial" w:eastAsia="Arial" w:hint="default"/>
                <w:spacing w:val="-4"/>
                <w:sz w:val="16"/>
                <w:szCs w:val="16"/>
              </w:rPr>
              <w:t> </w:t>
            </w:r>
            <w:r>
              <w:rPr>
                <w:rFonts w:ascii="宋体" w:hAnsi="宋体" w:cs="宋体" w:eastAsia="宋体" w:hint="default"/>
                <w:sz w:val="16"/>
                <w:szCs w:val="16"/>
              </w:rPr>
              <w:t>日</w:t>
            </w:r>
          </w:p>
        </w:tc>
        <w:tc>
          <w:tcPr>
            <w:tcW w:w="101"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84"/>
              <w:jc w:val="right"/>
              <w:rPr>
                <w:rFonts w:ascii="宋体" w:hAnsi="宋体" w:cs="宋体" w:eastAsia="宋体" w:hint="default"/>
                <w:sz w:val="16"/>
                <w:szCs w:val="16"/>
              </w:rPr>
            </w:pPr>
            <w:r>
              <w:rPr>
                <w:rFonts w:ascii="Arial" w:hAnsi="Arial" w:cs="Arial" w:eastAsia="Arial" w:hint="default"/>
                <w:sz w:val="16"/>
                <w:szCs w:val="16"/>
              </w:rPr>
              <w:t>365</w:t>
            </w:r>
            <w:r>
              <w:rPr>
                <w:rFonts w:ascii="Arial" w:hAnsi="Arial" w:cs="Arial" w:eastAsia="Arial" w:hint="default"/>
                <w:spacing w:val="-5"/>
                <w:sz w:val="16"/>
                <w:szCs w:val="16"/>
              </w:rPr>
              <w:t> </w:t>
            </w:r>
            <w:r>
              <w:rPr>
                <w:rFonts w:ascii="宋体" w:hAnsi="宋体" w:cs="宋体" w:eastAsia="宋体" w:hint="default"/>
                <w:sz w:val="16"/>
                <w:szCs w:val="16"/>
              </w:rPr>
              <w:t>天</w:t>
            </w:r>
          </w:p>
        </w:tc>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right"/>
              <w:rPr>
                <w:rFonts w:ascii="Arial" w:hAnsi="Arial" w:cs="Arial" w:eastAsia="Arial" w:hint="default"/>
                <w:sz w:val="16"/>
                <w:szCs w:val="16"/>
              </w:rPr>
            </w:pPr>
            <w:r>
              <w:rPr>
                <w:rFonts w:ascii="Arial"/>
                <w:spacing w:val="-1"/>
                <w:sz w:val="16"/>
              </w:rPr>
              <w:t>4.60%</w:t>
            </w:r>
          </w:p>
        </w:tc>
        <w:tc>
          <w:tcPr>
            <w:tcW w:w="110"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tabs>
                <w:tab w:pos="244" w:val="left" w:leader="none"/>
              </w:tabs>
              <w:spacing w:line="240" w:lineRule="auto"/>
              <w:ind w:right="82"/>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r>
            <w:r>
              <w:rPr>
                <w:rFonts w:ascii="Arial"/>
                <w:spacing w:val="-1"/>
                <w:sz w:val="16"/>
                <w:u w:val="single" w:color="000000"/>
              </w:rPr>
              <w:t>10,000,000,000</w:t>
            </w:r>
            <w:r>
              <w:rPr>
                <w:rFonts w:ascii="Arial"/>
                <w:spacing w:val="-1"/>
                <w:sz w:val="16"/>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tabs>
                <w:tab w:pos="1274" w:val="left" w:leader="none"/>
              </w:tabs>
              <w:spacing w:line="240" w:lineRule="auto"/>
              <w:ind w:right="2"/>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r>
            <w:r>
              <w:rPr>
                <w:rFonts w:ascii="Arial"/>
                <w:sz w:val="16"/>
              </w:rPr>
            </w:r>
          </w:p>
        </w:tc>
        <w:tc>
          <w:tcPr>
            <w:tcW w:w="110"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86"/>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8"/>
                <w:sz w:val="16"/>
                <w:u w:val="single" w:color="000000"/>
              </w:rPr>
              <w:t> </w:t>
            </w:r>
            <w:r>
              <w:rPr>
                <w:rFonts w:ascii="Arial"/>
                <w:spacing w:val="-1"/>
                <w:sz w:val="16"/>
                <w:u w:val="single" w:color="000000"/>
              </w:rPr>
              <w:t>10,000,000,000</w:t>
            </w:r>
            <w:r>
              <w:rPr>
                <w:rFonts w:ascii="Arial"/>
                <w:spacing w:val="-1"/>
                <w:sz w:val="16"/>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21"/>
                <w:sz w:val="16"/>
                <w:u w:val="single" w:color="000000"/>
              </w:rPr>
              <w:t> </w:t>
            </w:r>
            <w:r>
              <w:rPr>
                <w:rFonts w:ascii="Arial"/>
                <w:spacing w:val="-1"/>
                <w:sz w:val="16"/>
                <w:u w:val="single" w:color="000000"/>
              </w:rPr>
              <w:t>214,654,126</w:t>
            </w:r>
            <w:r>
              <w:rPr>
                <w:rFonts w:ascii="Arial"/>
                <w:spacing w:val="-1"/>
                <w:sz w:val="16"/>
              </w:rPr>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1"/>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7"/>
                <w:sz w:val="16"/>
                <w:u w:val="single" w:color="000000"/>
              </w:rPr>
              <w:t> </w:t>
            </w:r>
            <w:r>
              <w:rPr>
                <w:rFonts w:ascii="Arial"/>
                <w:spacing w:val="-1"/>
                <w:sz w:val="16"/>
                <w:u w:val="single" w:color="000000"/>
              </w:rPr>
              <w:t>(21,479,452)</w:t>
            </w:r>
            <w:r>
              <w:rPr>
                <w:rFonts w:ascii="Arial"/>
                <w:spacing w:val="-1"/>
                <w:sz w:val="16"/>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tabs>
                <w:tab w:pos="1382" w:val="left" w:leader="none"/>
                <w:tab w:pos="1526" w:val="left" w:leader="none"/>
              </w:tabs>
              <w:spacing w:line="240" w:lineRule="auto"/>
              <w:ind w:right="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tab/>
            </w:r>
            <w:r>
              <w:rPr>
                <w:rFonts w:ascii="Arial"/>
                <w:sz w:val="16"/>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38"/>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2"/>
                <w:sz w:val="16"/>
                <w:u w:val="single" w:color="000000"/>
              </w:rPr>
              <w:t> </w:t>
            </w:r>
            <w:r>
              <w:rPr>
                <w:rFonts w:ascii="Arial"/>
                <w:spacing w:val="-1"/>
                <w:sz w:val="16"/>
                <w:u w:val="single" w:color="000000"/>
              </w:rPr>
              <w:t>10,193,174,674</w:t>
            </w:r>
            <w:r>
              <w:rPr>
                <w:rFonts w:ascii="Arial"/>
                <w:spacing w:val="-1"/>
                <w:sz w:val="16"/>
              </w:rPr>
            </w:r>
          </w:p>
        </w:tc>
      </w:tr>
      <w:tr>
        <w:trPr>
          <w:trHeight w:val="314" w:hRule="exact"/>
        </w:trPr>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6"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457"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701"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82"/>
              <w:jc w:val="right"/>
              <w:rPr>
                <w:rFonts w:ascii="Arial" w:hAnsi="Arial" w:cs="Arial" w:eastAsia="Arial" w:hint="default"/>
                <w:sz w:val="16"/>
                <w:szCs w:val="16"/>
              </w:rPr>
            </w:pPr>
            <w:r>
              <w:rPr>
                <w:rFonts w:ascii="Arial"/>
                <w:spacing w:val="-1"/>
                <w:sz w:val="16"/>
              </w:rPr>
              <w:t>55,000,000,000</w:t>
            </w:r>
          </w:p>
        </w:tc>
        <w:tc>
          <w:tcPr>
            <w:tcW w:w="1332" w:type="dxa"/>
            <w:tcBorders>
              <w:top w:val="nil" w:sz="6" w:space="0" w:color="auto"/>
              <w:left w:val="nil" w:sz="6" w:space="0" w:color="auto"/>
              <w:bottom w:val="single" w:sz="12" w:space="0" w:color="000000"/>
              <w:right w:val="nil" w:sz="6" w:space="0" w:color="auto"/>
            </w:tcBorders>
          </w:tcPr>
          <w:p>
            <w:pPr>
              <w:pStyle w:val="TableParagraph"/>
              <w:spacing w:line="240" w:lineRule="auto" w:before="111"/>
              <w:ind w:right="0"/>
              <w:jc w:val="right"/>
              <w:rPr>
                <w:rFonts w:ascii="Arial" w:hAnsi="Arial" w:cs="Arial" w:eastAsia="Arial" w:hint="default"/>
                <w:sz w:val="16"/>
                <w:szCs w:val="16"/>
              </w:rPr>
            </w:pPr>
            <w:r>
              <w:rPr>
                <w:rFonts w:ascii="Arial"/>
                <w:spacing w:val="-1"/>
                <w:sz w:val="16"/>
              </w:rPr>
              <w:t>35,397,865,753</w:t>
            </w:r>
          </w:p>
        </w:tc>
        <w:tc>
          <w:tcPr>
            <w:tcW w:w="110"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single" w:sz="12" w:space="0" w:color="000000"/>
              <w:right w:val="nil" w:sz="6" w:space="0" w:color="auto"/>
            </w:tcBorders>
          </w:tcPr>
          <w:p>
            <w:pPr>
              <w:pStyle w:val="TableParagraph"/>
              <w:spacing w:line="240" w:lineRule="auto" w:before="111"/>
              <w:ind w:right="86"/>
              <w:jc w:val="right"/>
              <w:rPr>
                <w:rFonts w:ascii="Arial" w:hAnsi="Arial" w:cs="Arial" w:eastAsia="Arial" w:hint="default"/>
                <w:sz w:val="16"/>
                <w:szCs w:val="16"/>
              </w:rPr>
            </w:pPr>
            <w:r>
              <w:rPr>
                <w:rFonts w:ascii="Arial"/>
                <w:spacing w:val="-1"/>
                <w:sz w:val="16"/>
              </w:rPr>
              <w:t>20,000,000,000</w:t>
            </w:r>
          </w:p>
        </w:tc>
        <w:tc>
          <w:tcPr>
            <w:tcW w:w="1092" w:type="dxa"/>
            <w:tcBorders>
              <w:top w:val="nil" w:sz="6" w:space="0" w:color="auto"/>
              <w:left w:val="nil" w:sz="6" w:space="0" w:color="auto"/>
              <w:bottom w:val="single" w:sz="12" w:space="0" w:color="000000"/>
              <w:right w:val="nil" w:sz="6" w:space="0" w:color="auto"/>
            </w:tcBorders>
          </w:tcPr>
          <w:p>
            <w:pPr>
              <w:pStyle w:val="TableParagraph"/>
              <w:spacing w:line="240" w:lineRule="auto" w:before="111"/>
              <w:ind w:right="0"/>
              <w:jc w:val="right"/>
              <w:rPr>
                <w:rFonts w:ascii="Arial" w:hAnsi="Arial" w:cs="Arial" w:eastAsia="Arial" w:hint="default"/>
                <w:sz w:val="16"/>
                <w:szCs w:val="16"/>
              </w:rPr>
            </w:pPr>
            <w:r>
              <w:rPr>
                <w:rFonts w:ascii="Arial"/>
                <w:spacing w:val="-1"/>
                <w:sz w:val="16"/>
              </w:rPr>
              <w:t>998,130,838</w:t>
            </w:r>
          </w:p>
        </w:tc>
        <w:tc>
          <w:tcPr>
            <w:tcW w:w="1301" w:type="dxa"/>
            <w:tcBorders>
              <w:top w:val="nil" w:sz="6" w:space="0" w:color="auto"/>
              <w:left w:val="nil" w:sz="6" w:space="0" w:color="auto"/>
              <w:bottom w:val="single" w:sz="12" w:space="0" w:color="000000"/>
              <w:right w:val="nil" w:sz="6" w:space="0" w:color="auto"/>
            </w:tcBorders>
          </w:tcPr>
          <w:p>
            <w:pPr>
              <w:pStyle w:val="TableParagraph"/>
              <w:spacing w:line="240" w:lineRule="auto" w:before="111"/>
              <w:ind w:right="91"/>
              <w:jc w:val="right"/>
              <w:rPr>
                <w:rFonts w:ascii="Arial" w:hAnsi="Arial" w:cs="Arial" w:eastAsia="Arial" w:hint="default"/>
                <w:sz w:val="16"/>
                <w:szCs w:val="16"/>
              </w:rPr>
            </w:pPr>
            <w:r>
              <w:rPr>
                <w:rFonts w:ascii="Arial"/>
                <w:spacing w:val="-1"/>
                <w:sz w:val="16"/>
              </w:rPr>
              <w:t>(21,479,452)</w:t>
            </w:r>
          </w:p>
        </w:tc>
        <w:tc>
          <w:tcPr>
            <w:tcW w:w="1527" w:type="dxa"/>
            <w:tcBorders>
              <w:top w:val="nil" w:sz="6" w:space="0" w:color="auto"/>
              <w:left w:val="nil" w:sz="6" w:space="0" w:color="auto"/>
              <w:bottom w:val="single" w:sz="12" w:space="0" w:color="000000"/>
              <w:right w:val="nil" w:sz="6" w:space="0" w:color="auto"/>
            </w:tcBorders>
          </w:tcPr>
          <w:p>
            <w:pPr>
              <w:pStyle w:val="TableParagraph"/>
              <w:spacing w:line="240" w:lineRule="auto" w:before="111"/>
              <w:ind w:right="39"/>
              <w:jc w:val="right"/>
              <w:rPr>
                <w:rFonts w:ascii="Arial" w:hAnsi="Arial" w:cs="Arial" w:eastAsia="Arial" w:hint="default"/>
                <w:sz w:val="16"/>
                <w:szCs w:val="16"/>
              </w:rPr>
            </w:pPr>
            <w:r>
              <w:rPr>
                <w:rFonts w:ascii="Arial"/>
                <w:spacing w:val="-1"/>
                <w:sz w:val="16"/>
              </w:rPr>
              <w:t>(46,181,342,465)</w:t>
            </w:r>
          </w:p>
        </w:tc>
        <w:tc>
          <w:tcPr>
            <w:tcW w:w="1375" w:type="dxa"/>
            <w:tcBorders>
              <w:top w:val="nil" w:sz="6" w:space="0" w:color="auto"/>
              <w:left w:val="nil" w:sz="6" w:space="0" w:color="auto"/>
              <w:bottom w:val="single" w:sz="12" w:space="0" w:color="000000"/>
              <w:right w:val="nil" w:sz="6" w:space="0" w:color="auto"/>
            </w:tcBorders>
          </w:tcPr>
          <w:p>
            <w:pPr>
              <w:pStyle w:val="TableParagraph"/>
              <w:spacing w:line="240" w:lineRule="auto" w:before="111"/>
              <w:ind w:right="38"/>
              <w:jc w:val="right"/>
              <w:rPr>
                <w:rFonts w:ascii="Arial" w:hAnsi="Arial" w:cs="Arial" w:eastAsia="Arial" w:hint="default"/>
                <w:sz w:val="16"/>
                <w:szCs w:val="16"/>
              </w:rPr>
            </w:pPr>
            <w:r>
              <w:rPr>
                <w:rFonts w:ascii="Arial"/>
                <w:spacing w:val="-1"/>
                <w:sz w:val="16"/>
              </w:rPr>
              <w:t>10,193,174,674</w:t>
            </w:r>
          </w:p>
        </w:tc>
      </w:tr>
    </w:tbl>
    <w:p>
      <w:pPr>
        <w:spacing w:line="240" w:lineRule="auto" w:before="4"/>
        <w:rPr>
          <w:rFonts w:ascii="宋体" w:hAnsi="宋体" w:cs="宋体" w:eastAsia="宋体" w:hint="default"/>
          <w:sz w:val="26"/>
          <w:szCs w:val="26"/>
        </w:rPr>
      </w:pPr>
    </w:p>
    <w:p>
      <w:pPr>
        <w:pStyle w:val="BodyText"/>
        <w:spacing w:line="448" w:lineRule="auto" w:before="32"/>
        <w:ind w:left="581" w:right="1674"/>
        <w:jc w:val="left"/>
      </w:pPr>
      <w:r>
        <w:rPr>
          <w:spacing w:val="-2"/>
        </w:rPr>
        <w:t>其他流动负债为本集团所属联通运营公司面向银行间债券市场发行的短期融资券及超短期融资券，均无担保，并于到期按面值加利息兑付。 </w:t>
      </w:r>
      <w:r>
        <w:rPr/>
        <w:t>注</w:t>
      </w:r>
      <w:r>
        <w:rPr>
          <w:spacing w:val="-57"/>
        </w:rPr>
        <w:t> </w:t>
      </w:r>
      <w:r>
        <w:rPr>
          <w:rFonts w:ascii="Arial" w:hAnsi="Arial" w:cs="Arial" w:eastAsia="Arial" w:hint="default"/>
        </w:rPr>
        <w:t>1</w:t>
      </w:r>
      <w:r>
        <w:rPr/>
        <w:t>：余额包含了附注五</w:t>
      </w:r>
      <w:r>
        <w:rPr>
          <w:rFonts w:ascii="Arial" w:hAnsi="Arial" w:cs="Arial" w:eastAsia="Arial" w:hint="default"/>
        </w:rPr>
        <w:t>(21)</w:t>
      </w:r>
      <w:r>
        <w:rPr/>
        <w:t>列示的应付短期债券利息。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77"/>
        <w:ind w:left="7510" w:right="7945" w:firstLine="0"/>
        <w:jc w:val="center"/>
        <w:rPr>
          <w:rFonts w:ascii="Arial" w:hAnsi="Arial" w:cs="Arial" w:eastAsia="Arial" w:hint="default"/>
          <w:sz w:val="18"/>
          <w:szCs w:val="18"/>
        </w:rPr>
      </w:pPr>
      <w:r>
        <w:rPr>
          <w:rFonts w:ascii="Arial"/>
          <w:spacing w:val="-14"/>
          <w:sz w:val="18"/>
        </w:rPr>
        <w:t>111</w:t>
      </w:r>
      <w:r>
        <w:rPr>
          <w:rFonts w:ascii="Arial"/>
          <w:sz w:val="18"/>
        </w:rPr>
      </w:r>
    </w:p>
    <w:p>
      <w:pPr>
        <w:spacing w:after="0"/>
        <w:jc w:val="center"/>
        <w:rPr>
          <w:rFonts w:ascii="Arial" w:hAnsi="Arial" w:cs="Arial" w:eastAsia="Arial" w:hint="default"/>
          <w:sz w:val="18"/>
          <w:szCs w:val="18"/>
        </w:rPr>
        <w:sectPr>
          <w:headerReference w:type="default" r:id="rId94"/>
          <w:footerReference w:type="default" r:id="rId95"/>
          <w:pgSz w:w="16840" w:h="11910" w:orient="landscape"/>
          <w:pgMar w:header="0" w:footer="0" w:top="1100" w:bottom="280" w:left="460" w:right="620"/>
        </w:sectPr>
      </w:pPr>
    </w:p>
    <w:p>
      <w:pPr>
        <w:spacing w:line="240" w:lineRule="auto" w:before="1"/>
        <w:rPr>
          <w:rFonts w:ascii="Arial" w:hAnsi="Arial" w:cs="Arial" w:eastAsia="Arial" w:hint="default"/>
          <w:sz w:val="19"/>
          <w:szCs w:val="19"/>
        </w:rPr>
      </w:pPr>
    </w:p>
    <w:p>
      <w:pPr>
        <w:pStyle w:val="BodyText"/>
        <w:spacing w:line="240" w:lineRule="auto" w:before="32"/>
        <w:ind w:left="102" w:right="1639"/>
        <w:jc w:val="left"/>
      </w:pPr>
      <w:r>
        <w:rPr>
          <w:rFonts w:ascii="Arial" w:hAnsi="Arial" w:cs="Arial" w:eastAsia="Arial" w:hint="default"/>
        </w:rPr>
        <w:t>26</w:t>
      </w:r>
      <w:r>
        <w:rPr/>
        <w:t>、长期借款</w:t>
      </w:r>
    </w:p>
    <w:p>
      <w:pPr>
        <w:spacing w:line="240" w:lineRule="auto" w:before="10"/>
        <w:rPr>
          <w:rFonts w:ascii="宋体" w:hAnsi="宋体" w:cs="宋体" w:eastAsia="宋体" w:hint="default"/>
          <w:sz w:val="3"/>
          <w:szCs w:val="3"/>
        </w:rPr>
      </w:pPr>
    </w:p>
    <w:tbl>
      <w:tblPr>
        <w:tblW w:w="0" w:type="auto"/>
        <w:jc w:val="left"/>
        <w:tblInd w:w="366" w:type="dxa"/>
        <w:tblLayout w:type="fixed"/>
        <w:tblCellMar>
          <w:top w:w="0" w:type="dxa"/>
          <w:left w:w="0" w:type="dxa"/>
          <w:bottom w:w="0" w:type="dxa"/>
          <w:right w:w="0" w:type="dxa"/>
        </w:tblCellMar>
        <w:tblLook w:val="01E0"/>
      </w:tblPr>
      <w:tblGrid>
        <w:gridCol w:w="4108"/>
        <w:gridCol w:w="2386"/>
        <w:gridCol w:w="288"/>
        <w:gridCol w:w="2374"/>
      </w:tblGrid>
      <w:tr>
        <w:trPr>
          <w:trHeight w:val="262" w:hRule="exact"/>
        </w:trPr>
        <w:tc>
          <w:tcPr>
            <w:tcW w:w="4108" w:type="dxa"/>
            <w:tcBorders>
              <w:top w:val="nil" w:sz="6" w:space="0" w:color="auto"/>
              <w:left w:val="nil" w:sz="6" w:space="0" w:color="auto"/>
              <w:bottom w:val="nil" w:sz="6" w:space="0" w:color="auto"/>
              <w:right w:val="nil" w:sz="6" w:space="0" w:color="auto"/>
            </w:tcBorders>
          </w:tcPr>
          <w:p>
            <w:pPr/>
          </w:p>
        </w:tc>
        <w:tc>
          <w:tcPr>
            <w:tcW w:w="2386" w:type="dxa"/>
            <w:tcBorders>
              <w:top w:val="nil" w:sz="6" w:space="0" w:color="auto"/>
              <w:left w:val="nil" w:sz="6" w:space="0" w:color="auto"/>
              <w:bottom w:val="single" w:sz="6" w:space="0" w:color="000000"/>
              <w:right w:val="nil" w:sz="6" w:space="0" w:color="auto"/>
            </w:tcBorders>
          </w:tcPr>
          <w:p>
            <w:pPr>
              <w:pStyle w:val="TableParagraph"/>
              <w:spacing w:line="236" w:lineRule="exact"/>
              <w:ind w:right="50"/>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288"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single" w:sz="6" w:space="0" w:color="000000"/>
              <w:right w:val="nil" w:sz="6" w:space="0" w:color="auto"/>
            </w:tcBorders>
          </w:tcPr>
          <w:p>
            <w:pPr>
              <w:pStyle w:val="TableParagraph"/>
              <w:spacing w:line="236" w:lineRule="exact"/>
              <w:ind w:right="54"/>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9" w:hRule="exact"/>
        </w:trPr>
        <w:tc>
          <w:tcPr>
            <w:tcW w:w="410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保证借款（注）</w:t>
            </w:r>
          </w:p>
        </w:tc>
        <w:tc>
          <w:tcPr>
            <w:tcW w:w="2386"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7"/>
              <w:jc w:val="right"/>
              <w:rPr>
                <w:rFonts w:ascii="Arial" w:hAnsi="Arial" w:cs="Arial" w:eastAsia="Arial" w:hint="default"/>
                <w:sz w:val="22"/>
                <w:szCs w:val="22"/>
              </w:rPr>
            </w:pPr>
            <w:r>
              <w:rPr>
                <w:rFonts w:ascii="Arial"/>
                <w:spacing w:val="-1"/>
                <w:sz w:val="22"/>
              </w:rPr>
              <w:t>83,275,980</w:t>
            </w:r>
          </w:p>
        </w:tc>
        <w:tc>
          <w:tcPr>
            <w:tcW w:w="288" w:type="dxa"/>
            <w:tcBorders>
              <w:top w:val="nil" w:sz="6" w:space="0" w:color="auto"/>
              <w:left w:val="nil" w:sz="6" w:space="0" w:color="auto"/>
              <w:bottom w:val="nil" w:sz="6" w:space="0" w:color="auto"/>
              <w:right w:val="nil" w:sz="6" w:space="0" w:color="auto"/>
            </w:tcBorders>
          </w:tcPr>
          <w:p>
            <w:pPr/>
          </w:p>
        </w:tc>
        <w:tc>
          <w:tcPr>
            <w:tcW w:w="2374"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12"/>
              <w:jc w:val="right"/>
              <w:rPr>
                <w:rFonts w:ascii="Arial" w:hAnsi="Arial" w:cs="Arial" w:eastAsia="Arial" w:hint="default"/>
                <w:sz w:val="22"/>
                <w:szCs w:val="22"/>
              </w:rPr>
            </w:pPr>
            <w:r>
              <w:rPr>
                <w:rFonts w:ascii="Arial"/>
                <w:spacing w:val="-1"/>
                <w:sz w:val="22"/>
              </w:rPr>
              <w:t>89,974,979</w:t>
            </w:r>
          </w:p>
        </w:tc>
      </w:tr>
      <w:tr>
        <w:trPr>
          <w:trHeight w:val="419" w:hRule="exact"/>
        </w:trPr>
        <w:tc>
          <w:tcPr>
            <w:tcW w:w="4108"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信用借款</w:t>
            </w:r>
          </w:p>
        </w:tc>
        <w:tc>
          <w:tcPr>
            <w:tcW w:w="2386" w:type="dxa"/>
            <w:tcBorders>
              <w:top w:val="nil" w:sz="6" w:space="0" w:color="auto"/>
              <w:left w:val="nil" w:sz="6" w:space="0" w:color="auto"/>
              <w:bottom w:val="nil" w:sz="6" w:space="0" w:color="auto"/>
              <w:right w:val="nil" w:sz="6" w:space="0" w:color="auto"/>
            </w:tcBorders>
          </w:tcPr>
          <w:p>
            <w:pPr>
              <w:pStyle w:val="TableParagraph"/>
              <w:tabs>
                <w:tab w:pos="1049" w:val="left" w:leader="none"/>
                <w:tab w:pos="2385"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336,548,547</w:t>
              <w:tab/>
            </w:r>
            <w:r>
              <w:rPr>
                <w:rFonts w:ascii="Arial"/>
                <w:spacing w:val="-1"/>
                <w:sz w:val="22"/>
              </w:rPr>
            </w:r>
          </w:p>
        </w:tc>
        <w:tc>
          <w:tcPr>
            <w:tcW w:w="288"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Style w:val="TableParagraph"/>
              <w:tabs>
                <w:tab w:pos="1025" w:val="left" w:leader="none"/>
                <w:tab w:pos="2366"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391,322,016</w:t>
              <w:tab/>
            </w:r>
            <w:r>
              <w:rPr>
                <w:rFonts w:ascii="Arial"/>
                <w:spacing w:val="-1"/>
                <w:sz w:val="22"/>
              </w:rPr>
            </w:r>
          </w:p>
        </w:tc>
      </w:tr>
      <w:tr>
        <w:trPr>
          <w:trHeight w:val="432" w:hRule="exact"/>
        </w:trPr>
        <w:tc>
          <w:tcPr>
            <w:tcW w:w="410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86" w:type="dxa"/>
            <w:tcBorders>
              <w:top w:val="nil" w:sz="6" w:space="0" w:color="auto"/>
              <w:left w:val="nil" w:sz="6" w:space="0" w:color="auto"/>
              <w:bottom w:val="single" w:sz="17" w:space="0" w:color="000000"/>
              <w:right w:val="nil" w:sz="6" w:space="0" w:color="auto"/>
            </w:tcBorders>
          </w:tcPr>
          <w:p>
            <w:pPr>
              <w:pStyle w:val="TableParagraph"/>
              <w:spacing w:line="240" w:lineRule="auto" w:before="153"/>
              <w:ind w:right="107"/>
              <w:jc w:val="right"/>
              <w:rPr>
                <w:rFonts w:ascii="Arial" w:hAnsi="Arial" w:cs="Arial" w:eastAsia="Arial" w:hint="default"/>
                <w:sz w:val="22"/>
                <w:szCs w:val="22"/>
              </w:rPr>
            </w:pPr>
            <w:r>
              <w:rPr>
                <w:rFonts w:ascii="Arial"/>
                <w:spacing w:val="-1"/>
                <w:sz w:val="22"/>
              </w:rPr>
              <w:t>419,824,527</w:t>
            </w:r>
          </w:p>
        </w:tc>
        <w:tc>
          <w:tcPr>
            <w:tcW w:w="288"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single" w:sz="17" w:space="0" w:color="000000"/>
              <w:right w:val="nil" w:sz="6" w:space="0" w:color="auto"/>
            </w:tcBorders>
          </w:tcPr>
          <w:p>
            <w:pPr>
              <w:pStyle w:val="TableParagraph"/>
              <w:spacing w:line="240" w:lineRule="auto" w:before="153"/>
              <w:ind w:right="90"/>
              <w:jc w:val="right"/>
              <w:rPr>
                <w:rFonts w:ascii="Arial" w:hAnsi="Arial" w:cs="Arial" w:eastAsia="Arial" w:hint="default"/>
                <w:sz w:val="22"/>
                <w:szCs w:val="22"/>
              </w:rPr>
            </w:pPr>
            <w:r>
              <w:rPr>
                <w:rFonts w:ascii="Arial"/>
                <w:spacing w:val="-1"/>
                <w:sz w:val="22"/>
              </w:rPr>
              <w:t>481,296,995</w:t>
            </w:r>
          </w:p>
        </w:tc>
      </w:tr>
    </w:tbl>
    <w:p>
      <w:pPr>
        <w:spacing w:line="240" w:lineRule="auto" w:before="13"/>
        <w:rPr>
          <w:rFonts w:ascii="宋体" w:hAnsi="宋体" w:cs="宋体" w:eastAsia="宋体" w:hint="default"/>
          <w:sz w:val="13"/>
          <w:szCs w:val="13"/>
        </w:rPr>
      </w:pPr>
    </w:p>
    <w:p>
      <w:pPr>
        <w:pStyle w:val="BodyText"/>
        <w:spacing w:line="293" w:lineRule="exact" w:before="32"/>
        <w:ind w:left="551" w:right="110"/>
        <w:jc w:val="left"/>
        <w:rPr>
          <w:rFonts w:ascii="Arial" w:hAnsi="Arial" w:cs="Arial" w:eastAsia="Arial" w:hint="default"/>
        </w:rPr>
      </w:pPr>
      <w:r>
        <w:rPr>
          <w:spacing w:val="-20"/>
        </w:rPr>
        <w:t>注：于</w:t>
      </w:r>
      <w:r>
        <w:rPr>
          <w:spacing w:val="-51"/>
        </w:rPr>
        <w:t> </w:t>
      </w:r>
      <w:r>
        <w:rPr>
          <w:rFonts w:ascii="Arial" w:hAnsi="Arial" w:cs="Arial" w:eastAsia="Arial" w:hint="default"/>
        </w:rPr>
        <w:t>2014</w:t>
      </w:r>
      <w:r>
        <w:rPr>
          <w:rFonts w:ascii="Arial" w:hAnsi="Arial" w:cs="Arial" w:eastAsia="Arial" w:hint="default"/>
          <w:spacing w:val="-3"/>
        </w:rPr>
        <w:t> </w:t>
      </w:r>
      <w:r>
        <w:rPr/>
        <w:t>年</w:t>
      </w:r>
      <w:r>
        <w:rPr>
          <w:spacing w:val="-51"/>
        </w:rPr>
        <w:t> </w:t>
      </w:r>
      <w:r>
        <w:rPr>
          <w:rFonts w:ascii="Arial" w:hAnsi="Arial" w:cs="Arial" w:eastAsia="Arial" w:hint="default"/>
        </w:rPr>
        <w:t>12</w:t>
      </w:r>
      <w:r>
        <w:rPr>
          <w:rFonts w:ascii="Arial" w:hAnsi="Arial" w:cs="Arial" w:eastAsia="Arial" w:hint="default"/>
          <w:spacing w:val="-3"/>
        </w:rPr>
        <w:t> </w:t>
      </w:r>
      <w:r>
        <w:rPr/>
        <w:t>月</w:t>
      </w:r>
      <w:r>
        <w:rPr>
          <w:spacing w:val="-51"/>
        </w:rPr>
        <w:t> </w:t>
      </w:r>
      <w:r>
        <w:rPr>
          <w:rFonts w:ascii="Arial" w:hAnsi="Arial" w:cs="Arial" w:eastAsia="Arial" w:hint="default"/>
        </w:rPr>
        <w:t>31</w:t>
      </w:r>
      <w:r>
        <w:rPr>
          <w:rFonts w:ascii="Arial" w:hAnsi="Arial" w:cs="Arial" w:eastAsia="Arial" w:hint="default"/>
          <w:spacing w:val="-5"/>
        </w:rPr>
        <w:t> </w:t>
      </w:r>
      <w:r>
        <w:rPr>
          <w:spacing w:val="-7"/>
        </w:rPr>
        <w:t>日，保证借款包括由第三方提供担保的借款（含一年内）约人民币</w:t>
      </w:r>
      <w:r>
        <w:rPr>
          <w:spacing w:val="-51"/>
        </w:rPr>
        <w:t> </w:t>
      </w:r>
      <w:r>
        <w:rPr>
          <w:rFonts w:ascii="Arial" w:hAnsi="Arial" w:cs="Arial" w:eastAsia="Arial" w:hint="default"/>
        </w:rPr>
        <w:t>0.90</w:t>
      </w:r>
    </w:p>
    <w:p>
      <w:pPr>
        <w:pStyle w:val="BodyText"/>
        <w:spacing w:line="427" w:lineRule="auto"/>
        <w:ind w:left="522" w:right="3718" w:firstLine="463"/>
        <w:jc w:val="left"/>
      </w:pPr>
      <w:r>
        <w:rPr/>
        <w:t>亿元（</w:t>
      </w:r>
      <w:r>
        <w:rPr>
          <w:rFonts w:ascii="Arial" w:hAnsi="Arial" w:cs="Arial" w:eastAsia="Arial" w:hint="default"/>
        </w:rPr>
        <w:t>2013</w:t>
      </w:r>
      <w:r>
        <w:rPr>
          <w:rFonts w:ascii="Arial" w:hAnsi="Arial" w:cs="Arial" w:eastAsia="Arial" w:hint="default"/>
          <w:spacing w:val="-9"/>
        </w:rPr>
        <w:t> </w:t>
      </w:r>
      <w:r>
        <w:rPr/>
        <w:t>年</w:t>
      </w:r>
      <w:r>
        <w:rPr>
          <w:spacing w:val="-55"/>
        </w:rPr>
        <w:t> </w:t>
      </w:r>
      <w:r>
        <w:rPr>
          <w:rFonts w:ascii="Arial" w:hAnsi="Arial" w:cs="Arial" w:eastAsia="Arial" w:hint="default"/>
        </w:rPr>
        <w:t>12</w:t>
      </w:r>
      <w:r>
        <w:rPr>
          <w:rFonts w:ascii="Arial" w:hAnsi="Arial" w:cs="Arial" w:eastAsia="Arial" w:hint="default"/>
          <w:spacing w:val="-6"/>
        </w:rPr>
        <w:t> </w:t>
      </w:r>
      <w:r>
        <w:rPr/>
        <w:t>月</w:t>
      </w:r>
      <w:r>
        <w:rPr>
          <w:spacing w:val="-55"/>
        </w:rPr>
        <w:t> </w:t>
      </w:r>
      <w:r>
        <w:rPr>
          <w:rFonts w:ascii="Arial" w:hAnsi="Arial" w:cs="Arial" w:eastAsia="Arial" w:hint="default"/>
        </w:rPr>
        <w:t>31</w:t>
      </w:r>
      <w:r>
        <w:rPr>
          <w:rFonts w:ascii="Arial" w:hAnsi="Arial" w:cs="Arial" w:eastAsia="Arial" w:hint="default"/>
          <w:spacing w:val="-9"/>
        </w:rPr>
        <w:t> </w:t>
      </w:r>
      <w:r>
        <w:rPr/>
        <w:t>日：约人民币</w:t>
      </w:r>
      <w:r>
        <w:rPr>
          <w:spacing w:val="-55"/>
        </w:rPr>
        <w:t> </w:t>
      </w:r>
      <w:r>
        <w:rPr>
          <w:rFonts w:ascii="Arial" w:hAnsi="Arial" w:cs="Arial" w:eastAsia="Arial" w:hint="default"/>
        </w:rPr>
        <w:t>0.97</w:t>
      </w:r>
      <w:r>
        <w:rPr>
          <w:rFonts w:ascii="Arial" w:hAnsi="Arial" w:cs="Arial" w:eastAsia="Arial" w:hint="default"/>
          <w:spacing w:val="-7"/>
        </w:rPr>
        <w:t> </w:t>
      </w:r>
      <w:r>
        <w:rPr/>
        <w:t>亿元）。</w:t>
      </w:r>
      <w:r>
        <w:rPr>
          <w:w w:val="100"/>
        </w:rPr>
        <w:t> </w:t>
      </w:r>
      <w:r>
        <w:rPr/>
        <w:t>长期借款到期日分析如下：</w:t>
      </w:r>
    </w:p>
    <w:p>
      <w:pPr>
        <w:spacing w:line="240" w:lineRule="auto" w:before="1"/>
        <w:rPr>
          <w:rFonts w:ascii="宋体" w:hAnsi="宋体" w:cs="宋体" w:eastAsia="宋体" w:hint="default"/>
          <w:sz w:val="11"/>
          <w:szCs w:val="11"/>
        </w:rPr>
      </w:pPr>
    </w:p>
    <w:tbl>
      <w:tblPr>
        <w:tblW w:w="0" w:type="auto"/>
        <w:jc w:val="left"/>
        <w:tblInd w:w="382" w:type="dxa"/>
        <w:tblLayout w:type="fixed"/>
        <w:tblCellMar>
          <w:top w:w="0" w:type="dxa"/>
          <w:left w:w="0" w:type="dxa"/>
          <w:bottom w:w="0" w:type="dxa"/>
          <w:right w:w="0" w:type="dxa"/>
        </w:tblCellMar>
        <w:tblLook w:val="01E0"/>
      </w:tblPr>
      <w:tblGrid>
        <w:gridCol w:w="4326"/>
        <w:gridCol w:w="2393"/>
        <w:gridCol w:w="134"/>
        <w:gridCol w:w="2355"/>
      </w:tblGrid>
      <w:tr>
        <w:trPr>
          <w:trHeight w:val="264" w:hRule="exact"/>
        </w:trPr>
        <w:tc>
          <w:tcPr>
            <w:tcW w:w="4326"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single" w:sz="6" w:space="0" w:color="000000"/>
              <w:right w:val="nil" w:sz="6" w:space="0" w:color="auto"/>
            </w:tcBorders>
          </w:tcPr>
          <w:p>
            <w:pPr>
              <w:pStyle w:val="TableParagraph"/>
              <w:spacing w:line="236" w:lineRule="exact"/>
              <w:ind w:right="50"/>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34" w:type="dxa"/>
            <w:tcBorders>
              <w:top w:val="nil" w:sz="6" w:space="0" w:color="auto"/>
              <w:left w:val="nil" w:sz="6" w:space="0" w:color="auto"/>
              <w:bottom w:val="nil" w:sz="6" w:space="0" w:color="auto"/>
              <w:right w:val="nil" w:sz="6" w:space="0" w:color="auto"/>
            </w:tcBorders>
          </w:tcPr>
          <w:p>
            <w:pPr/>
          </w:p>
        </w:tc>
        <w:tc>
          <w:tcPr>
            <w:tcW w:w="2355" w:type="dxa"/>
            <w:tcBorders>
              <w:top w:val="nil" w:sz="6" w:space="0" w:color="auto"/>
              <w:left w:val="nil" w:sz="6" w:space="0" w:color="auto"/>
              <w:bottom w:val="single" w:sz="6" w:space="0" w:color="000000"/>
              <w:right w:val="nil" w:sz="6" w:space="0" w:color="auto"/>
            </w:tcBorders>
          </w:tcPr>
          <w:p>
            <w:pPr>
              <w:pStyle w:val="TableParagraph"/>
              <w:spacing w:line="236" w:lineRule="exact"/>
              <w:ind w:right="50"/>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6"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7"/>
                <w:sz w:val="22"/>
                <w:szCs w:val="22"/>
              </w:rPr>
              <w:t> </w:t>
            </w:r>
            <w:r>
              <w:rPr>
                <w:rFonts w:ascii="宋体" w:hAnsi="宋体" w:cs="宋体" w:eastAsia="宋体" w:hint="default"/>
                <w:sz w:val="22"/>
                <w:szCs w:val="22"/>
              </w:rPr>
              <w:t>到</w:t>
            </w:r>
            <w:r>
              <w:rPr>
                <w:rFonts w:ascii="宋体" w:hAnsi="宋体" w:cs="宋体" w:eastAsia="宋体" w:hint="default"/>
                <w:spacing w:val="-55"/>
                <w:sz w:val="22"/>
                <w:szCs w:val="22"/>
              </w:rPr>
              <w:t> </w:t>
            </w:r>
            <w:r>
              <w:rPr>
                <w:rFonts w:ascii="Arial" w:hAnsi="Arial" w:cs="Arial" w:eastAsia="Arial" w:hint="default"/>
                <w:sz w:val="22"/>
                <w:szCs w:val="22"/>
              </w:rPr>
              <w:t>2</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393"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22"/>
              <w:jc w:val="right"/>
              <w:rPr>
                <w:rFonts w:ascii="Arial" w:hAnsi="Arial" w:cs="Arial" w:eastAsia="Arial" w:hint="default"/>
                <w:sz w:val="22"/>
                <w:szCs w:val="22"/>
              </w:rPr>
            </w:pPr>
            <w:r>
              <w:rPr>
                <w:rFonts w:ascii="Arial"/>
                <w:spacing w:val="-1"/>
                <w:sz w:val="22"/>
              </w:rPr>
              <w:t>41,493,364</w:t>
            </w:r>
          </w:p>
        </w:tc>
        <w:tc>
          <w:tcPr>
            <w:tcW w:w="134" w:type="dxa"/>
            <w:tcBorders>
              <w:top w:val="nil" w:sz="6" w:space="0" w:color="auto"/>
              <w:left w:val="nil" w:sz="6" w:space="0" w:color="auto"/>
              <w:bottom w:val="nil" w:sz="6" w:space="0" w:color="auto"/>
              <w:right w:val="nil" w:sz="6" w:space="0" w:color="auto"/>
            </w:tcBorders>
          </w:tcPr>
          <w:p>
            <w:pPr/>
          </w:p>
        </w:tc>
        <w:tc>
          <w:tcPr>
            <w:tcW w:w="2355"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6"/>
              <w:jc w:val="right"/>
              <w:rPr>
                <w:rFonts w:ascii="Arial" w:hAnsi="Arial" w:cs="Arial" w:eastAsia="Arial" w:hint="default"/>
                <w:sz w:val="22"/>
                <w:szCs w:val="22"/>
              </w:rPr>
            </w:pPr>
            <w:r>
              <w:rPr>
                <w:rFonts w:ascii="Arial"/>
                <w:spacing w:val="-1"/>
                <w:sz w:val="22"/>
              </w:rPr>
              <w:t>46,314,591</w:t>
            </w:r>
          </w:p>
        </w:tc>
      </w:tr>
      <w:tr>
        <w:trPr>
          <w:trHeight w:val="286"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2</w:t>
            </w:r>
            <w:r>
              <w:rPr>
                <w:rFonts w:ascii="Arial" w:hAnsi="Arial" w:cs="Arial" w:eastAsia="Arial" w:hint="default"/>
                <w:spacing w:val="-7"/>
                <w:sz w:val="22"/>
                <w:szCs w:val="22"/>
              </w:rPr>
              <w:t> </w:t>
            </w:r>
            <w:r>
              <w:rPr>
                <w:rFonts w:ascii="宋体" w:hAnsi="宋体" w:cs="宋体" w:eastAsia="宋体" w:hint="default"/>
                <w:sz w:val="22"/>
                <w:szCs w:val="22"/>
              </w:rPr>
              <w:t>到</w:t>
            </w:r>
            <w:r>
              <w:rPr>
                <w:rFonts w:ascii="宋体" w:hAnsi="宋体" w:cs="宋体" w:eastAsia="宋体" w:hint="default"/>
                <w:spacing w:val="-55"/>
                <w:sz w:val="22"/>
                <w:szCs w:val="22"/>
              </w:rPr>
              <w:t> </w:t>
            </w:r>
            <w:r>
              <w:rPr>
                <w:rFonts w:ascii="Arial" w:hAnsi="Arial" w:cs="Arial" w:eastAsia="Arial" w:hint="default"/>
                <w:sz w:val="22"/>
                <w:szCs w:val="22"/>
              </w:rPr>
              <w:t>5</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2"/>
              <w:jc w:val="right"/>
              <w:rPr>
                <w:rFonts w:ascii="Arial" w:hAnsi="Arial" w:cs="Arial" w:eastAsia="Arial" w:hint="default"/>
                <w:sz w:val="22"/>
                <w:szCs w:val="22"/>
              </w:rPr>
            </w:pPr>
            <w:r>
              <w:rPr>
                <w:rFonts w:ascii="Arial"/>
                <w:spacing w:val="-1"/>
                <w:sz w:val="22"/>
              </w:rPr>
              <w:t>135,658,332</w:t>
            </w:r>
          </w:p>
        </w:tc>
        <w:tc>
          <w:tcPr>
            <w:tcW w:w="134" w:type="dxa"/>
            <w:tcBorders>
              <w:top w:val="nil" w:sz="6" w:space="0" w:color="auto"/>
              <w:left w:val="nil" w:sz="6" w:space="0" w:color="auto"/>
              <w:bottom w:val="nil" w:sz="6" w:space="0" w:color="auto"/>
              <w:right w:val="nil" w:sz="6" w:space="0" w:color="auto"/>
            </w:tcBorders>
          </w:tcPr>
          <w:p>
            <w:pP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6"/>
              <w:jc w:val="right"/>
              <w:rPr>
                <w:rFonts w:ascii="Arial" w:hAnsi="Arial" w:cs="Arial" w:eastAsia="Arial" w:hint="default"/>
                <w:sz w:val="22"/>
                <w:szCs w:val="22"/>
              </w:rPr>
            </w:pPr>
            <w:r>
              <w:rPr>
                <w:rFonts w:ascii="Arial"/>
                <w:spacing w:val="-1"/>
                <w:sz w:val="22"/>
              </w:rPr>
              <w:t>138,943,772</w:t>
            </w:r>
          </w:p>
        </w:tc>
      </w:tr>
      <w:tr>
        <w:trPr>
          <w:trHeight w:val="420"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5</w:t>
            </w:r>
            <w:r>
              <w:rPr>
                <w:rFonts w:ascii="Arial" w:hAnsi="Arial" w:cs="Arial" w:eastAsia="Arial" w:hint="default"/>
                <w:spacing w:val="-5"/>
                <w:sz w:val="22"/>
                <w:szCs w:val="22"/>
              </w:rPr>
              <w:t> </w:t>
            </w:r>
            <w:r>
              <w:rPr>
                <w:rFonts w:ascii="宋体" w:hAnsi="宋体" w:cs="宋体" w:eastAsia="宋体" w:hint="default"/>
                <w:sz w:val="22"/>
                <w:szCs w:val="22"/>
              </w:rPr>
              <w:t>年以上</w:t>
            </w:r>
          </w:p>
        </w:tc>
        <w:tc>
          <w:tcPr>
            <w:tcW w:w="2393" w:type="dxa"/>
            <w:tcBorders>
              <w:top w:val="nil" w:sz="6" w:space="0" w:color="auto"/>
              <w:left w:val="nil" w:sz="6" w:space="0" w:color="auto"/>
              <w:bottom w:val="nil" w:sz="6" w:space="0" w:color="auto"/>
              <w:right w:val="nil" w:sz="6" w:space="0" w:color="auto"/>
            </w:tcBorders>
          </w:tcPr>
          <w:p>
            <w:pPr>
              <w:pStyle w:val="TableParagraph"/>
              <w:tabs>
                <w:tab w:pos="1041" w:val="left" w:leader="none"/>
                <w:tab w:pos="2393"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242,672,831</w:t>
              <w:tab/>
            </w:r>
            <w:r>
              <w:rPr>
                <w:rFonts w:ascii="Arial"/>
                <w:spacing w:val="-1"/>
                <w:sz w:val="22"/>
              </w:rPr>
            </w:r>
          </w:p>
        </w:tc>
        <w:tc>
          <w:tcPr>
            <w:tcW w:w="134" w:type="dxa"/>
            <w:tcBorders>
              <w:top w:val="nil" w:sz="6" w:space="0" w:color="auto"/>
              <w:left w:val="nil" w:sz="6" w:space="0" w:color="auto"/>
              <w:bottom w:val="nil" w:sz="6" w:space="0" w:color="auto"/>
              <w:right w:val="nil" w:sz="6" w:space="0" w:color="auto"/>
            </w:tcBorders>
          </w:tcPr>
          <w:p>
            <w:pPr/>
          </w:p>
        </w:tc>
        <w:tc>
          <w:tcPr>
            <w:tcW w:w="2355" w:type="dxa"/>
            <w:tcBorders>
              <w:top w:val="nil" w:sz="6" w:space="0" w:color="auto"/>
              <w:left w:val="nil" w:sz="6" w:space="0" w:color="auto"/>
              <w:bottom w:val="nil" w:sz="6" w:space="0" w:color="auto"/>
              <w:right w:val="nil" w:sz="6" w:space="0" w:color="auto"/>
            </w:tcBorders>
          </w:tcPr>
          <w:p>
            <w:pPr>
              <w:pStyle w:val="TableParagraph"/>
              <w:tabs>
                <w:tab w:pos="1042" w:val="left" w:leader="none"/>
                <w:tab w:pos="2347"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296,038,632</w:t>
              <w:tab/>
            </w:r>
            <w:r>
              <w:rPr>
                <w:rFonts w:ascii="Arial"/>
                <w:spacing w:val="-1"/>
                <w:sz w:val="22"/>
              </w:rPr>
            </w:r>
          </w:p>
        </w:tc>
      </w:tr>
      <w:tr>
        <w:trPr>
          <w:trHeight w:val="433"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93"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122"/>
              <w:jc w:val="right"/>
              <w:rPr>
                <w:rFonts w:ascii="Arial" w:hAnsi="Arial" w:cs="Arial" w:eastAsia="Arial" w:hint="default"/>
                <w:sz w:val="22"/>
                <w:szCs w:val="22"/>
              </w:rPr>
            </w:pPr>
            <w:r>
              <w:rPr>
                <w:rFonts w:ascii="Arial"/>
                <w:spacing w:val="-1"/>
                <w:sz w:val="22"/>
              </w:rPr>
              <w:t>419,824,527</w:t>
            </w:r>
          </w:p>
        </w:tc>
        <w:tc>
          <w:tcPr>
            <w:tcW w:w="134" w:type="dxa"/>
            <w:tcBorders>
              <w:top w:val="nil" w:sz="6" w:space="0" w:color="auto"/>
              <w:left w:val="nil" w:sz="6" w:space="0" w:color="auto"/>
              <w:bottom w:val="nil" w:sz="6" w:space="0" w:color="auto"/>
              <w:right w:val="nil" w:sz="6" w:space="0" w:color="auto"/>
            </w:tcBorders>
          </w:tcPr>
          <w:p>
            <w:pPr/>
          </w:p>
        </w:tc>
        <w:tc>
          <w:tcPr>
            <w:tcW w:w="2355"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76"/>
              <w:jc w:val="right"/>
              <w:rPr>
                <w:rFonts w:ascii="Arial" w:hAnsi="Arial" w:cs="Arial" w:eastAsia="Arial" w:hint="default"/>
                <w:sz w:val="22"/>
                <w:szCs w:val="22"/>
              </w:rPr>
            </w:pPr>
            <w:r>
              <w:rPr>
                <w:rFonts w:ascii="Arial"/>
                <w:spacing w:val="-1"/>
                <w:sz w:val="22"/>
              </w:rPr>
              <w:t>481,296,995</w:t>
            </w:r>
          </w:p>
        </w:tc>
      </w:tr>
    </w:tbl>
    <w:p>
      <w:pPr>
        <w:spacing w:line="240" w:lineRule="auto" w:before="11"/>
        <w:rPr>
          <w:rFonts w:ascii="宋体" w:hAnsi="宋体" w:cs="宋体" w:eastAsia="宋体" w:hint="default"/>
          <w:sz w:val="13"/>
          <w:szCs w:val="13"/>
        </w:rPr>
      </w:pPr>
    </w:p>
    <w:p>
      <w:pPr>
        <w:pStyle w:val="BodyText"/>
        <w:spacing w:line="286" w:lineRule="exact" w:before="61"/>
        <w:ind w:left="522" w:right="110"/>
        <w:jc w:val="left"/>
      </w:pPr>
      <w:r>
        <w:rPr>
          <w:w w:val="100"/>
        </w:rPr>
        <w:t>于</w:t>
      </w:r>
      <w:r>
        <w:rPr>
          <w:spacing w:val="-70"/>
          <w:w w:val="100"/>
        </w:rPr>
        <w:t> </w:t>
      </w:r>
      <w:r>
        <w:rPr>
          <w:rFonts w:ascii="Arial" w:hAnsi="Arial" w:cs="Arial" w:eastAsia="Arial" w:hint="default"/>
          <w:spacing w:val="-1"/>
          <w:w w:val="100"/>
        </w:rPr>
        <w:t>2014</w:t>
      </w:r>
      <w:r>
        <w:rPr>
          <w:rFonts w:ascii="Arial" w:hAnsi="Arial" w:cs="Arial" w:eastAsia="Arial" w:hint="default"/>
          <w:spacing w:val="-22"/>
          <w:w w:val="100"/>
        </w:rPr>
        <w:t> </w:t>
      </w:r>
      <w:r>
        <w:rPr>
          <w:w w:val="100"/>
        </w:rPr>
        <w:t>年</w:t>
      </w:r>
      <w:r>
        <w:rPr>
          <w:spacing w:val="-70"/>
          <w:w w:val="100"/>
        </w:rPr>
        <w:t> </w:t>
      </w:r>
      <w:r>
        <w:rPr>
          <w:rFonts w:ascii="Arial" w:hAnsi="Arial" w:cs="Arial" w:eastAsia="Arial" w:hint="default"/>
          <w:spacing w:val="-1"/>
          <w:w w:val="100"/>
        </w:rPr>
        <w:t>12</w:t>
      </w:r>
      <w:r>
        <w:rPr>
          <w:rFonts w:ascii="Arial" w:hAnsi="Arial" w:cs="Arial" w:eastAsia="Arial" w:hint="default"/>
          <w:spacing w:val="-22"/>
          <w:w w:val="100"/>
        </w:rPr>
        <w:t> </w:t>
      </w:r>
      <w:r>
        <w:rPr>
          <w:w w:val="100"/>
        </w:rPr>
        <w:t>月</w:t>
      </w:r>
      <w:r>
        <w:rPr>
          <w:spacing w:val="-70"/>
          <w:w w:val="100"/>
        </w:rPr>
        <w:t> </w:t>
      </w:r>
      <w:r>
        <w:rPr>
          <w:rFonts w:ascii="Arial" w:hAnsi="Arial" w:cs="Arial" w:eastAsia="Arial" w:hint="default"/>
          <w:spacing w:val="-1"/>
          <w:w w:val="100"/>
        </w:rPr>
        <w:t>31</w:t>
      </w:r>
      <w:r>
        <w:rPr>
          <w:rFonts w:ascii="Arial" w:hAnsi="Arial" w:cs="Arial" w:eastAsia="Arial" w:hint="default"/>
          <w:spacing w:val="-22"/>
          <w:w w:val="100"/>
        </w:rPr>
        <w:t> </w:t>
      </w:r>
      <w:r>
        <w:rPr>
          <w:spacing w:val="-10"/>
          <w:w w:val="100"/>
        </w:rPr>
        <w:t>日，长期借款的年利率范围为</w:t>
      </w:r>
      <w:r>
        <w:rPr>
          <w:spacing w:val="-69"/>
          <w:w w:val="100"/>
        </w:rPr>
        <w:t> </w:t>
      </w:r>
      <w:r>
        <w:rPr>
          <w:rFonts w:ascii="Arial" w:hAnsi="Arial" w:cs="Arial" w:eastAsia="Arial" w:hint="default"/>
          <w:spacing w:val="-10"/>
          <w:w w:val="100"/>
        </w:rPr>
        <w:t>0%~2.50%</w:t>
      </w:r>
      <w:r>
        <w:rPr>
          <w:spacing w:val="-10"/>
          <w:w w:val="100"/>
        </w:rPr>
        <w:t>（</w:t>
      </w:r>
      <w:r>
        <w:rPr>
          <w:rFonts w:ascii="Arial" w:hAnsi="Arial" w:cs="Arial" w:eastAsia="Arial" w:hint="default"/>
          <w:spacing w:val="-10"/>
          <w:w w:val="100"/>
        </w:rPr>
        <w:t>2013</w:t>
      </w:r>
      <w:r>
        <w:rPr>
          <w:rFonts w:ascii="Arial" w:hAnsi="Arial" w:cs="Arial" w:eastAsia="Arial" w:hint="default"/>
          <w:spacing w:val="-22"/>
          <w:w w:val="100"/>
        </w:rPr>
        <w:t> </w:t>
      </w:r>
      <w:r>
        <w:rPr>
          <w:w w:val="100"/>
        </w:rPr>
        <w:t>年</w:t>
      </w:r>
      <w:r>
        <w:rPr>
          <w:spacing w:val="-70"/>
          <w:w w:val="100"/>
        </w:rPr>
        <w:t> </w:t>
      </w:r>
      <w:r>
        <w:rPr>
          <w:rFonts w:ascii="Arial" w:hAnsi="Arial" w:cs="Arial" w:eastAsia="Arial" w:hint="default"/>
          <w:spacing w:val="-1"/>
          <w:w w:val="100"/>
        </w:rPr>
        <w:t>12</w:t>
      </w:r>
      <w:r>
        <w:rPr>
          <w:rFonts w:ascii="Arial" w:hAnsi="Arial" w:cs="Arial" w:eastAsia="Arial" w:hint="default"/>
          <w:spacing w:val="-24"/>
          <w:w w:val="100"/>
        </w:rPr>
        <w:t> </w:t>
      </w:r>
      <w:r>
        <w:rPr>
          <w:w w:val="100"/>
        </w:rPr>
        <w:t>月</w:t>
      </w:r>
      <w:r>
        <w:rPr>
          <w:spacing w:val="-72"/>
          <w:w w:val="100"/>
        </w:rPr>
        <w:t> </w:t>
      </w:r>
      <w:r>
        <w:rPr>
          <w:rFonts w:ascii="Arial" w:hAnsi="Arial" w:cs="Arial" w:eastAsia="Arial" w:hint="default"/>
          <w:spacing w:val="-1"/>
          <w:w w:val="100"/>
        </w:rPr>
        <w:t>31</w:t>
      </w:r>
      <w:r>
        <w:rPr>
          <w:rFonts w:ascii="Arial" w:hAnsi="Arial" w:cs="Arial" w:eastAsia="Arial" w:hint="default"/>
          <w:spacing w:val="-22"/>
          <w:w w:val="100"/>
        </w:rPr>
        <w:t> </w:t>
      </w:r>
      <w:r>
        <w:rPr>
          <w:spacing w:val="-29"/>
          <w:w w:val="100"/>
        </w:rPr>
        <w:t>日：</w:t>
      </w:r>
      <w:r>
        <w:rPr>
          <w:rFonts w:ascii="Arial" w:hAnsi="Arial" w:cs="Arial" w:eastAsia="Arial" w:hint="default"/>
          <w:spacing w:val="-29"/>
          <w:w w:val="100"/>
        </w:rPr>
        <w:t>0%~2.50%</w:t>
      </w:r>
      <w:r>
        <w:rPr>
          <w:spacing w:val="-29"/>
          <w:w w:val="100"/>
        </w:rPr>
        <w:t>）。</w:t>
      </w:r>
      <w:r>
        <w:rPr>
          <w:spacing w:val="-111"/>
          <w:w w:val="100"/>
        </w:rPr>
        <w:t> </w:t>
      </w:r>
      <w:r>
        <w:rPr/>
        <w:t>其中，零利率的借款来自经中国银行转贷的外国政府无息借款。</w:t>
      </w:r>
    </w:p>
    <w:p>
      <w:pPr>
        <w:spacing w:line="240" w:lineRule="auto" w:before="1"/>
        <w:rPr>
          <w:rFonts w:ascii="宋体" w:hAnsi="宋体" w:cs="宋体" w:eastAsia="宋体" w:hint="default"/>
          <w:sz w:val="17"/>
          <w:szCs w:val="17"/>
        </w:rPr>
      </w:pPr>
    </w:p>
    <w:p>
      <w:pPr>
        <w:pStyle w:val="BodyText"/>
        <w:spacing w:line="240" w:lineRule="auto"/>
        <w:ind w:left="522" w:right="104"/>
        <w:jc w:val="left"/>
      </w:pPr>
      <w:r>
        <w:rPr/>
        <w:t>于</w:t>
      </w:r>
      <w:r>
        <w:rPr>
          <w:spacing w:val="-56"/>
        </w:rPr>
        <w:t> </w:t>
      </w:r>
      <w:r>
        <w:rPr>
          <w:rFonts w:ascii="Arial" w:hAnsi="Arial" w:cs="Arial" w:eastAsia="Arial" w:hint="default"/>
        </w:rPr>
        <w:t>2014</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日，本集团无已到期但尚未偿还的长期借款（</w:t>
      </w:r>
      <w:r>
        <w:rPr>
          <w:rFonts w:ascii="Arial" w:hAnsi="Arial" w:cs="Arial" w:eastAsia="Arial" w:hint="default"/>
        </w:rPr>
        <w:t>2013</w:t>
      </w:r>
      <w:r>
        <w:rPr>
          <w:rFonts w:ascii="Arial" w:hAnsi="Arial" w:cs="Arial" w:eastAsia="Arial" w:hint="default"/>
          <w:spacing w:val="-10"/>
        </w:rPr>
        <w:t> </w:t>
      </w:r>
      <w:r>
        <w:rPr/>
        <w:t>年</w:t>
      </w:r>
      <w:r>
        <w:rPr>
          <w:spacing w:val="-59"/>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日：无）。</w:t>
      </w:r>
    </w:p>
    <w:p>
      <w:pPr>
        <w:spacing w:line="240" w:lineRule="auto" w:before="12"/>
        <w:rPr>
          <w:rFonts w:ascii="宋体" w:hAnsi="宋体" w:cs="宋体" w:eastAsia="宋体" w:hint="default"/>
          <w:sz w:val="17"/>
          <w:szCs w:val="17"/>
        </w:rPr>
      </w:pPr>
    </w:p>
    <w:p>
      <w:pPr>
        <w:pStyle w:val="BodyText"/>
        <w:spacing w:line="427" w:lineRule="auto"/>
        <w:ind w:left="102" w:right="8349"/>
        <w:jc w:val="left"/>
      </w:pPr>
      <w:r>
        <w:rPr>
          <w:rFonts w:ascii="Arial" w:hAnsi="Arial" w:cs="Arial" w:eastAsia="Arial" w:hint="default"/>
          <w:spacing w:val="-1"/>
        </w:rPr>
        <w:t>27</w:t>
      </w:r>
      <w:r>
        <w:rPr>
          <w:spacing w:val="-1"/>
        </w:rPr>
        <w:t>、应付债券</w:t>
      </w:r>
      <w:r>
        <w:rPr>
          <w:spacing w:val="-104"/>
        </w:rPr>
        <w:t> </w:t>
      </w:r>
      <w:r>
        <w:rPr>
          <w:spacing w:val="-104"/>
        </w:rPr>
      </w:r>
      <w:r>
        <w:rPr>
          <w:rFonts w:ascii="Arial" w:hAnsi="Arial" w:cs="Arial" w:eastAsia="Arial" w:hint="default"/>
        </w:rPr>
        <w:t>(a) </w:t>
      </w:r>
      <w:r>
        <w:rPr>
          <w:rFonts w:ascii="Arial" w:hAnsi="Arial" w:cs="Arial" w:eastAsia="Arial" w:hint="default"/>
          <w:spacing w:val="31"/>
        </w:rPr>
        <w:t> </w:t>
      </w:r>
      <w:r>
        <w:rPr/>
        <w:t>应付债券</w:t>
      </w:r>
    </w:p>
    <w:p>
      <w:pPr>
        <w:spacing w:line="240" w:lineRule="auto" w:before="5"/>
        <w:rPr>
          <w:rFonts w:ascii="宋体" w:hAnsi="宋体" w:cs="宋体" w:eastAsia="宋体" w:hint="default"/>
          <w:sz w:val="8"/>
          <w:szCs w:val="8"/>
        </w:rPr>
      </w:pPr>
    </w:p>
    <w:tbl>
      <w:tblPr>
        <w:tblW w:w="0" w:type="auto"/>
        <w:jc w:val="left"/>
        <w:tblInd w:w="370" w:type="dxa"/>
        <w:tblLayout w:type="fixed"/>
        <w:tblCellMar>
          <w:top w:w="0" w:type="dxa"/>
          <w:left w:w="0" w:type="dxa"/>
          <w:bottom w:w="0" w:type="dxa"/>
          <w:right w:w="0" w:type="dxa"/>
        </w:tblCellMar>
        <w:tblLook w:val="01E0"/>
      </w:tblPr>
      <w:tblGrid>
        <w:gridCol w:w="4233"/>
        <w:gridCol w:w="2259"/>
        <w:gridCol w:w="180"/>
        <w:gridCol w:w="2160"/>
      </w:tblGrid>
      <w:tr>
        <w:trPr>
          <w:trHeight w:val="264" w:hRule="exact"/>
        </w:trPr>
        <w:tc>
          <w:tcPr>
            <w:tcW w:w="4233" w:type="dxa"/>
            <w:tcBorders>
              <w:top w:val="nil" w:sz="6" w:space="0" w:color="auto"/>
              <w:left w:val="nil" w:sz="6" w:space="0" w:color="auto"/>
              <w:bottom w:val="nil" w:sz="6" w:space="0" w:color="auto"/>
              <w:right w:val="nil" w:sz="6" w:space="0" w:color="auto"/>
            </w:tcBorders>
          </w:tcPr>
          <w:p>
            <w:pPr/>
          </w:p>
        </w:tc>
        <w:tc>
          <w:tcPr>
            <w:tcW w:w="2259" w:type="dxa"/>
            <w:tcBorders>
              <w:top w:val="nil" w:sz="6" w:space="0" w:color="auto"/>
              <w:left w:val="nil" w:sz="6" w:space="0" w:color="auto"/>
              <w:bottom w:val="single" w:sz="6" w:space="0" w:color="000000"/>
              <w:right w:val="nil" w:sz="6" w:space="0" w:color="auto"/>
            </w:tcBorders>
          </w:tcPr>
          <w:p>
            <w:pPr>
              <w:pStyle w:val="TableParagraph"/>
              <w:spacing w:line="236" w:lineRule="exact"/>
              <w:ind w:right="2"/>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8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single" w:sz="6" w:space="0" w:color="000000"/>
              <w:right w:val="nil" w:sz="6" w:space="0" w:color="auto"/>
            </w:tcBorders>
          </w:tcPr>
          <w:p>
            <w:pPr>
              <w:pStyle w:val="TableParagraph"/>
              <w:spacing w:line="236" w:lineRule="exact"/>
              <w:ind w:right="6"/>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6"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2"/>
                <w:szCs w:val="22"/>
              </w:rPr>
            </w:pPr>
            <w:r>
              <w:rPr>
                <w:rFonts w:ascii="Arial" w:hAnsi="Arial" w:cs="Arial" w:eastAsia="Arial" w:hint="default"/>
                <w:sz w:val="22"/>
                <w:szCs w:val="22"/>
              </w:rPr>
              <w:t>2007</w:t>
            </w:r>
            <w:r>
              <w:rPr>
                <w:rFonts w:ascii="Arial" w:hAnsi="Arial" w:cs="Arial" w:eastAsia="Arial" w:hint="default"/>
                <w:spacing w:val="-8"/>
                <w:sz w:val="22"/>
                <w:szCs w:val="22"/>
              </w:rPr>
              <w:t> </w:t>
            </w:r>
            <w:r>
              <w:rPr>
                <w:rFonts w:ascii="宋体" w:hAnsi="宋体" w:cs="宋体" w:eastAsia="宋体" w:hint="default"/>
                <w:sz w:val="22"/>
                <w:szCs w:val="22"/>
              </w:rPr>
              <w:t>年公司债券</w:t>
            </w:r>
          </w:p>
        </w:tc>
        <w:tc>
          <w:tcPr>
            <w:tcW w:w="2259"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36" w:right="0"/>
              <w:jc w:val="left"/>
              <w:rPr>
                <w:rFonts w:ascii="Arial" w:hAnsi="Arial" w:cs="Arial" w:eastAsia="Arial" w:hint="default"/>
                <w:sz w:val="22"/>
                <w:szCs w:val="22"/>
              </w:rPr>
            </w:pPr>
            <w:r>
              <w:rPr>
                <w:rFonts w:ascii="Arial"/>
                <w:sz w:val="22"/>
              </w:rPr>
              <w:t>2,000,000,000</w:t>
            </w:r>
          </w:p>
        </w:tc>
        <w:tc>
          <w:tcPr>
            <w:tcW w:w="180" w:type="dxa"/>
            <w:tcBorders>
              <w:top w:val="nil" w:sz="6" w:space="0" w:color="auto"/>
              <w:left w:val="nil" w:sz="6" w:space="0" w:color="auto"/>
              <w:bottom w:val="nil" w:sz="6" w:space="0" w:color="auto"/>
              <w:right w:val="nil" w:sz="6" w:space="0" w:color="auto"/>
            </w:tcBorders>
          </w:tcPr>
          <w:p>
            <w:pPr/>
          </w:p>
        </w:tc>
        <w:tc>
          <w:tcPr>
            <w:tcW w:w="216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
              <w:jc w:val="right"/>
              <w:rPr>
                <w:rFonts w:ascii="Arial" w:hAnsi="Arial" w:cs="Arial" w:eastAsia="Arial" w:hint="default"/>
                <w:sz w:val="22"/>
                <w:szCs w:val="22"/>
              </w:rPr>
            </w:pPr>
            <w:r>
              <w:rPr>
                <w:rFonts w:ascii="Arial"/>
                <w:spacing w:val="-1"/>
                <w:sz w:val="22"/>
              </w:rPr>
              <w:t>2,000,000,000</w:t>
            </w:r>
          </w:p>
        </w:tc>
      </w:tr>
      <w:tr>
        <w:trPr>
          <w:trHeight w:val="286"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年第一期中期票据</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36" w:right="0"/>
              <w:jc w:val="left"/>
              <w:rPr>
                <w:rFonts w:ascii="Arial" w:hAnsi="Arial" w:cs="Arial" w:eastAsia="Arial" w:hint="default"/>
                <w:sz w:val="22"/>
                <w:szCs w:val="22"/>
              </w:rPr>
            </w:pPr>
            <w:r>
              <w:rPr>
                <w:rFonts w:ascii="Arial"/>
                <w:sz w:val="22"/>
              </w:rPr>
              <w:t>5,000,000,000</w:t>
            </w:r>
          </w:p>
        </w:tc>
        <w:tc>
          <w:tcPr>
            <w:tcW w:w="18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
              <w:jc w:val="right"/>
              <w:rPr>
                <w:rFonts w:ascii="Arial" w:hAnsi="Arial" w:cs="Arial" w:eastAsia="Arial" w:hint="default"/>
                <w:sz w:val="22"/>
                <w:szCs w:val="22"/>
              </w:rPr>
            </w:pPr>
            <w:r>
              <w:rPr>
                <w:rFonts w:ascii="Arial"/>
                <w:w w:val="100"/>
                <w:sz w:val="22"/>
              </w:rPr>
              <w:t>-</w:t>
            </w:r>
          </w:p>
        </w:tc>
      </w:tr>
      <w:tr>
        <w:trPr>
          <w:trHeight w:val="286"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年第二期中期票据</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36" w:right="0"/>
              <w:jc w:val="left"/>
              <w:rPr>
                <w:rFonts w:ascii="Arial" w:hAnsi="Arial" w:cs="Arial" w:eastAsia="Arial" w:hint="default"/>
                <w:sz w:val="22"/>
                <w:szCs w:val="22"/>
              </w:rPr>
            </w:pPr>
            <w:r>
              <w:rPr>
                <w:rFonts w:ascii="Arial"/>
                <w:sz w:val="22"/>
              </w:rPr>
              <w:t>4,987,217,203</w:t>
            </w:r>
          </w:p>
        </w:tc>
        <w:tc>
          <w:tcPr>
            <w:tcW w:w="18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
              <w:jc w:val="right"/>
              <w:rPr>
                <w:rFonts w:ascii="Arial" w:hAnsi="Arial" w:cs="Arial" w:eastAsia="Arial" w:hint="default"/>
                <w:sz w:val="22"/>
                <w:szCs w:val="22"/>
              </w:rPr>
            </w:pPr>
            <w:r>
              <w:rPr>
                <w:rFonts w:ascii="Arial"/>
                <w:w w:val="100"/>
                <w:sz w:val="22"/>
              </w:rPr>
              <w:t>-</w:t>
            </w:r>
          </w:p>
        </w:tc>
      </w:tr>
      <w:tr>
        <w:trPr>
          <w:trHeight w:val="286"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年第三期中期票据</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36" w:right="0"/>
              <w:jc w:val="left"/>
              <w:rPr>
                <w:rFonts w:ascii="Arial" w:hAnsi="Arial" w:cs="Arial" w:eastAsia="Arial" w:hint="default"/>
                <w:sz w:val="22"/>
                <w:szCs w:val="22"/>
              </w:rPr>
            </w:pPr>
            <w:r>
              <w:rPr>
                <w:rFonts w:ascii="Arial"/>
                <w:sz w:val="22"/>
              </w:rPr>
              <w:t>4,985,433,125</w:t>
            </w:r>
          </w:p>
        </w:tc>
        <w:tc>
          <w:tcPr>
            <w:tcW w:w="18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
              <w:jc w:val="right"/>
              <w:rPr>
                <w:rFonts w:ascii="Arial" w:hAnsi="Arial" w:cs="Arial" w:eastAsia="Arial" w:hint="default"/>
                <w:sz w:val="22"/>
                <w:szCs w:val="22"/>
              </w:rPr>
            </w:pPr>
            <w:r>
              <w:rPr>
                <w:rFonts w:ascii="Arial"/>
                <w:w w:val="100"/>
                <w:sz w:val="22"/>
              </w:rPr>
              <w:t>-</w:t>
            </w:r>
          </w:p>
        </w:tc>
      </w:tr>
      <w:tr>
        <w:trPr>
          <w:trHeight w:val="284"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10"/>
                <w:sz w:val="22"/>
                <w:szCs w:val="22"/>
              </w:rPr>
              <w:t> </w:t>
            </w:r>
            <w:r>
              <w:rPr>
                <w:rFonts w:ascii="宋体" w:hAnsi="宋体" w:cs="宋体" w:eastAsia="宋体" w:hint="default"/>
                <w:sz w:val="22"/>
                <w:szCs w:val="22"/>
              </w:rPr>
              <w:t>年境外人民币第一期中期票据</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36" w:right="0"/>
              <w:jc w:val="left"/>
              <w:rPr>
                <w:rFonts w:ascii="Arial" w:hAnsi="Arial" w:cs="Arial" w:eastAsia="Arial" w:hint="default"/>
                <w:sz w:val="22"/>
                <w:szCs w:val="22"/>
              </w:rPr>
            </w:pPr>
            <w:r>
              <w:rPr>
                <w:rFonts w:ascii="Arial"/>
                <w:sz w:val="22"/>
              </w:rPr>
              <w:t>3,991,000,000</w:t>
            </w:r>
          </w:p>
        </w:tc>
        <w:tc>
          <w:tcPr>
            <w:tcW w:w="18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
              <w:jc w:val="right"/>
              <w:rPr>
                <w:rFonts w:ascii="Arial" w:hAnsi="Arial" w:cs="Arial" w:eastAsia="Arial" w:hint="default"/>
                <w:sz w:val="22"/>
                <w:szCs w:val="22"/>
              </w:rPr>
            </w:pPr>
            <w:r>
              <w:rPr>
                <w:rFonts w:ascii="Arial"/>
                <w:w w:val="100"/>
                <w:sz w:val="22"/>
              </w:rPr>
              <w:t>-</w:t>
            </w:r>
          </w:p>
        </w:tc>
      </w:tr>
      <w:tr>
        <w:trPr>
          <w:trHeight w:val="286"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10"/>
                <w:sz w:val="22"/>
                <w:szCs w:val="22"/>
              </w:rPr>
              <w:t> </w:t>
            </w:r>
            <w:r>
              <w:rPr>
                <w:rFonts w:ascii="宋体" w:hAnsi="宋体" w:cs="宋体" w:eastAsia="宋体" w:hint="default"/>
                <w:sz w:val="22"/>
                <w:szCs w:val="22"/>
              </w:rPr>
              <w:t>年境外人民币第二期中期票据</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36" w:right="0"/>
              <w:jc w:val="left"/>
              <w:rPr>
                <w:rFonts w:ascii="Arial" w:hAnsi="Arial" w:cs="Arial" w:eastAsia="Arial" w:hint="default"/>
                <w:sz w:val="22"/>
                <w:szCs w:val="22"/>
              </w:rPr>
            </w:pPr>
            <w:r>
              <w:rPr>
                <w:rFonts w:ascii="Arial"/>
                <w:sz w:val="22"/>
              </w:rPr>
              <w:t>2,496,250,000</w:t>
            </w:r>
          </w:p>
        </w:tc>
        <w:tc>
          <w:tcPr>
            <w:tcW w:w="18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
              <w:jc w:val="right"/>
              <w:rPr>
                <w:rFonts w:ascii="Arial" w:hAnsi="Arial" w:cs="Arial" w:eastAsia="Arial" w:hint="default"/>
                <w:sz w:val="22"/>
                <w:szCs w:val="22"/>
              </w:rPr>
            </w:pPr>
            <w:r>
              <w:rPr>
                <w:rFonts w:ascii="Arial"/>
                <w:w w:val="100"/>
                <w:sz w:val="22"/>
              </w:rPr>
              <w:t>-</w:t>
            </w:r>
          </w:p>
        </w:tc>
      </w:tr>
      <w:tr>
        <w:trPr>
          <w:trHeight w:val="291"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年可转换债券</w:t>
            </w:r>
          </w:p>
        </w:tc>
        <w:tc>
          <w:tcPr>
            <w:tcW w:w="2259" w:type="dxa"/>
            <w:tcBorders>
              <w:top w:val="nil" w:sz="6" w:space="0" w:color="auto"/>
              <w:left w:val="nil" w:sz="6" w:space="0" w:color="auto"/>
              <w:bottom w:val="nil" w:sz="6" w:space="0" w:color="auto"/>
              <w:right w:val="nil" w:sz="6" w:space="0" w:color="auto"/>
            </w:tcBorders>
          </w:tcPr>
          <w:p>
            <w:pPr>
              <w:pStyle w:val="TableParagraph"/>
              <w:tabs>
                <w:tab w:pos="611" w:val="left" w:leader="none"/>
                <w:tab w:pos="2258" w:val="left" w:leader="none"/>
              </w:tabs>
              <w:spacing w:line="240" w:lineRule="auto" w:before="19"/>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11,167,085,839</w:t>
              <w:tab/>
            </w:r>
            <w:r>
              <w:rPr>
                <w:rFonts w:ascii="Arial"/>
                <w:spacing w:val="-1"/>
                <w:sz w:val="22"/>
              </w:rPr>
            </w:r>
          </w:p>
        </w:tc>
        <w:tc>
          <w:tcPr>
            <w:tcW w:w="18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tabs>
                <w:tab w:pos="611" w:val="left" w:leader="none"/>
              </w:tabs>
              <w:spacing w:line="240" w:lineRule="auto" w:before="19"/>
              <w:ind w:right="7"/>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11,001,630,309</w:t>
            </w:r>
            <w:r>
              <w:rPr>
                <w:rFonts w:ascii="Arial"/>
                <w:spacing w:val="-1"/>
                <w:sz w:val="22"/>
              </w:rPr>
            </w:r>
          </w:p>
        </w:tc>
      </w:tr>
      <w:tr>
        <w:trPr>
          <w:trHeight w:val="416"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4"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614" w:right="0"/>
              <w:jc w:val="left"/>
              <w:rPr>
                <w:rFonts w:ascii="Arial" w:hAnsi="Arial" w:cs="Arial" w:eastAsia="Arial" w:hint="default"/>
                <w:sz w:val="22"/>
                <w:szCs w:val="22"/>
              </w:rPr>
            </w:pPr>
            <w:r>
              <w:rPr>
                <w:rFonts w:ascii="Arial"/>
                <w:sz w:val="22"/>
              </w:rPr>
              <w:t>34,626,986,167</w:t>
            </w:r>
          </w:p>
        </w:tc>
        <w:tc>
          <w:tcPr>
            <w:tcW w:w="18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
              <w:jc w:val="right"/>
              <w:rPr>
                <w:rFonts w:ascii="Arial" w:hAnsi="Arial" w:cs="Arial" w:eastAsia="Arial" w:hint="default"/>
                <w:sz w:val="22"/>
                <w:szCs w:val="22"/>
              </w:rPr>
            </w:pPr>
            <w:r>
              <w:rPr>
                <w:rFonts w:ascii="Arial"/>
                <w:spacing w:val="-1"/>
                <w:sz w:val="22"/>
              </w:rPr>
              <w:t>13,001,630,309</w:t>
            </w:r>
          </w:p>
        </w:tc>
      </w:tr>
      <w:tr>
        <w:trPr>
          <w:trHeight w:val="547"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00" w:right="0"/>
              <w:jc w:val="left"/>
              <w:rPr>
                <w:rFonts w:ascii="宋体" w:hAnsi="宋体" w:cs="宋体" w:eastAsia="宋体" w:hint="default"/>
                <w:sz w:val="22"/>
                <w:szCs w:val="22"/>
              </w:rPr>
            </w:pPr>
            <w:r>
              <w:rPr>
                <w:rFonts w:ascii="宋体" w:hAnsi="宋体" w:cs="宋体" w:eastAsia="宋体" w:hint="default"/>
                <w:sz w:val="22"/>
                <w:szCs w:val="22"/>
              </w:rPr>
              <w:t>减：</w:t>
            </w:r>
            <w:r>
              <w:rPr>
                <w:rFonts w:ascii="Arial" w:hAnsi="Arial" w:cs="Arial" w:eastAsia="Arial" w:hint="default"/>
                <w:sz w:val="22"/>
                <w:szCs w:val="22"/>
              </w:rPr>
              <w:t>1</w:t>
            </w:r>
            <w:r>
              <w:rPr>
                <w:rFonts w:ascii="Arial" w:hAnsi="Arial" w:cs="Arial" w:eastAsia="Arial" w:hint="default"/>
                <w:spacing w:val="-8"/>
                <w:sz w:val="22"/>
                <w:szCs w:val="22"/>
              </w:rPr>
              <w:t> </w:t>
            </w:r>
            <w:r>
              <w:rPr>
                <w:rFonts w:ascii="宋体" w:hAnsi="宋体" w:cs="宋体" w:eastAsia="宋体" w:hint="default"/>
                <w:sz w:val="22"/>
                <w:szCs w:val="22"/>
              </w:rPr>
              <w:t>年内到期的应付债券</w:t>
            </w:r>
          </w:p>
        </w:tc>
        <w:tc>
          <w:tcPr>
            <w:tcW w:w="2259" w:type="dxa"/>
            <w:tcBorders>
              <w:top w:val="nil" w:sz="6" w:space="0" w:color="auto"/>
              <w:left w:val="nil" w:sz="6" w:space="0" w:color="auto"/>
              <w:bottom w:val="nil" w:sz="6" w:space="0" w:color="auto"/>
              <w:right w:val="nil" w:sz="6" w:space="0" w:color="auto"/>
            </w:tcBorders>
          </w:tcPr>
          <w:p>
            <w:pPr>
              <w:pStyle w:val="TableParagraph"/>
              <w:tabs>
                <w:tab w:pos="614" w:val="left" w:leader="none"/>
                <w:tab w:pos="2258" w:val="left" w:leader="none"/>
              </w:tabs>
              <w:spacing w:line="240" w:lineRule="auto" w:before="147"/>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11,167,085,839</w:t>
              <w:tab/>
            </w:r>
            <w:r>
              <w:rPr>
                <w:rFonts w:ascii="Arial"/>
                <w:spacing w:val="-1"/>
                <w:sz w:val="22"/>
              </w:rPr>
            </w:r>
          </w:p>
        </w:tc>
        <w:tc>
          <w:tcPr>
            <w:tcW w:w="18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tabs>
                <w:tab w:pos="2069" w:val="left" w:leader="none"/>
              </w:tabs>
              <w:spacing w:line="240" w:lineRule="auto" w:before="147"/>
              <w:ind w:right="8"/>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r>
            <w:r>
              <w:rPr>
                <w:rFonts w:ascii="Arial"/>
                <w:sz w:val="22"/>
              </w:rPr>
            </w:r>
          </w:p>
        </w:tc>
      </w:tr>
      <w:tr>
        <w:trPr>
          <w:trHeight w:val="430"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59" w:type="dxa"/>
            <w:tcBorders>
              <w:top w:val="nil" w:sz="6" w:space="0" w:color="auto"/>
              <w:left w:val="nil" w:sz="6" w:space="0" w:color="auto"/>
              <w:bottom w:val="nil" w:sz="6" w:space="0" w:color="auto"/>
              <w:right w:val="nil" w:sz="6" w:space="0" w:color="auto"/>
            </w:tcBorders>
          </w:tcPr>
          <w:p>
            <w:pPr>
              <w:pStyle w:val="TableParagraph"/>
              <w:tabs>
                <w:tab w:pos="614" w:val="left" w:leader="none"/>
                <w:tab w:pos="2258" w:val="left" w:leader="none"/>
              </w:tabs>
              <w:spacing w:line="240" w:lineRule="auto" w:before="152"/>
              <w:ind w:left="-15" w:right="0"/>
              <w:jc w:val="right"/>
              <w:rPr>
                <w:rFonts w:ascii="Arial" w:hAnsi="Arial" w:cs="Arial" w:eastAsia="Arial" w:hint="default"/>
                <w:sz w:val="22"/>
                <w:szCs w:val="22"/>
              </w:rPr>
            </w:pPr>
            <w:r>
              <w:rPr>
                <w:rFonts w:ascii="Arial"/>
                <w:w w:val="100"/>
                <w:sz w:val="22"/>
              </w:rPr>
            </w:r>
            <w:r>
              <w:rPr>
                <w:rFonts w:ascii="Arial"/>
                <w:w w:val="100"/>
                <w:sz w:val="22"/>
                <w:u w:val="thick" w:color="000000"/>
              </w:rPr>
              <w:t> </w:t>
            </w:r>
            <w:r>
              <w:rPr>
                <w:rFonts w:ascii="Arial"/>
                <w:sz w:val="22"/>
                <w:u w:val="thick" w:color="000000"/>
              </w:rPr>
              <w:tab/>
            </w:r>
            <w:r>
              <w:rPr>
                <w:rFonts w:ascii="Arial"/>
                <w:spacing w:val="-1"/>
                <w:sz w:val="22"/>
                <w:u w:val="thick" w:color="000000"/>
              </w:rPr>
              <w:t>23,459,900,328</w:t>
              <w:tab/>
            </w:r>
            <w:r>
              <w:rPr>
                <w:rFonts w:ascii="Arial"/>
                <w:spacing w:val="-1"/>
                <w:sz w:val="22"/>
              </w:rPr>
            </w:r>
          </w:p>
        </w:tc>
        <w:tc>
          <w:tcPr>
            <w:tcW w:w="18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5"/>
              <w:jc w:val="right"/>
              <w:rPr>
                <w:rFonts w:ascii="Arial" w:hAnsi="Arial" w:cs="Arial" w:eastAsia="Arial" w:hint="default"/>
                <w:sz w:val="22"/>
                <w:szCs w:val="22"/>
              </w:rPr>
            </w:pPr>
            <w:r>
              <w:rPr>
                <w:rFonts w:ascii="Arial"/>
                <w:spacing w:val="-1"/>
                <w:sz w:val="22"/>
              </w:rPr>
              <w:t>13,001,630,309</w:t>
            </w:r>
          </w:p>
        </w:tc>
      </w:tr>
    </w:tbl>
    <w:p>
      <w:pPr>
        <w:spacing w:line="240" w:lineRule="auto" w:before="2"/>
        <w:rPr>
          <w:rFonts w:ascii="宋体" w:hAnsi="宋体" w:cs="宋体" w:eastAsia="宋体" w:hint="default"/>
          <w:sz w:val="19"/>
          <w:szCs w:val="19"/>
        </w:rPr>
      </w:pPr>
    </w:p>
    <w:p>
      <w:pPr>
        <w:spacing w:before="77"/>
        <w:ind w:left="4688" w:right="4794" w:firstLine="0"/>
        <w:jc w:val="center"/>
        <w:rPr>
          <w:rFonts w:ascii="Arial" w:hAnsi="Arial" w:cs="Arial" w:eastAsia="Arial" w:hint="default"/>
          <w:sz w:val="18"/>
          <w:szCs w:val="18"/>
        </w:rPr>
      </w:pPr>
      <w:r>
        <w:rPr>
          <w:rFonts w:ascii="Arial"/>
          <w:spacing w:val="-5"/>
          <w:sz w:val="18"/>
        </w:rPr>
        <w:t>112</w:t>
      </w:r>
    </w:p>
    <w:p>
      <w:pPr>
        <w:spacing w:after="0"/>
        <w:jc w:val="center"/>
        <w:rPr>
          <w:rFonts w:ascii="Arial" w:hAnsi="Arial" w:cs="Arial" w:eastAsia="Arial" w:hint="default"/>
          <w:sz w:val="18"/>
          <w:szCs w:val="18"/>
        </w:rPr>
        <w:sectPr>
          <w:headerReference w:type="default" r:id="rId96"/>
          <w:footerReference w:type="default" r:id="rId97"/>
          <w:pgSz w:w="11910" w:h="16840"/>
          <w:pgMar w:header="1185" w:footer="0" w:top="3040" w:bottom="280" w:left="1280" w:right="820"/>
        </w:sectPr>
      </w:pPr>
    </w:p>
    <w:p>
      <w:pPr>
        <w:pStyle w:val="BodyText"/>
        <w:spacing w:line="240" w:lineRule="auto" w:before="10"/>
        <w:ind w:left="106" w:right="11262"/>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1"/>
        <w:rPr>
          <w:rFonts w:ascii="黑体" w:hAnsi="黑体" w:cs="黑体" w:eastAsia="黑体" w:hint="default"/>
          <w:sz w:val="19"/>
          <w:szCs w:val="19"/>
        </w:rPr>
      </w:pPr>
    </w:p>
    <w:p>
      <w:pPr>
        <w:pStyle w:val="BodyText"/>
        <w:spacing w:line="287" w:lineRule="exact"/>
        <w:ind w:left="106" w:right="11262"/>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left="106" w:right="11262"/>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tabs>
          <w:tab w:pos="557" w:val="left" w:leader="none"/>
        </w:tabs>
        <w:spacing w:line="448" w:lineRule="auto"/>
        <w:ind w:left="106" w:right="11262"/>
        <w:jc w:val="left"/>
        <w:rPr>
          <w:rFonts w:ascii="黑体" w:hAnsi="黑体" w:cs="黑体" w:eastAsia="黑体" w:hint="default"/>
        </w:rPr>
      </w:pPr>
      <w:r>
        <w:rPr>
          <w:rFonts w:ascii="黑体" w:hAnsi="黑体" w:cs="黑体" w:eastAsia="黑体" w:hint="default"/>
          <w:spacing w:val="-1"/>
        </w:rPr>
        <w:t>（除特别注明外，金额单位为人民币元）</w:t>
      </w:r>
      <w:r>
        <w:rPr>
          <w:rFonts w:ascii="黑体" w:hAnsi="黑体" w:cs="黑体" w:eastAsia="黑体" w:hint="default"/>
          <w:spacing w:val="-93"/>
        </w:rPr>
        <w:t> </w:t>
      </w:r>
      <w:r>
        <w:rPr>
          <w:rFonts w:ascii="黑体" w:hAnsi="黑体" w:cs="黑体" w:eastAsia="黑体" w:hint="default"/>
          <w:spacing w:val="-93"/>
        </w:rPr>
      </w:r>
      <w:r>
        <w:rPr>
          <w:rFonts w:ascii="黑体" w:hAnsi="黑体" w:cs="黑体" w:eastAsia="黑体" w:hint="default"/>
        </w:rPr>
        <w:t>五</w:t>
        <w:tab/>
        <w:t>合并财务报表项目附注（续）</w:t>
      </w:r>
    </w:p>
    <w:p>
      <w:pPr>
        <w:pStyle w:val="BodyText"/>
        <w:spacing w:line="240" w:lineRule="auto" w:before="60"/>
        <w:ind w:left="106" w:right="11262"/>
        <w:jc w:val="left"/>
      </w:pPr>
      <w:r>
        <w:rPr>
          <w:rFonts w:ascii="Arial" w:hAnsi="Arial" w:cs="Arial" w:eastAsia="Arial" w:hint="default"/>
        </w:rPr>
        <w:t>27</w:t>
      </w:r>
      <w:r>
        <w:rPr/>
        <w:t>、应付债券（续）</w:t>
      </w:r>
    </w:p>
    <w:p>
      <w:pPr>
        <w:spacing w:line="240" w:lineRule="auto" w:before="12"/>
        <w:rPr>
          <w:rFonts w:ascii="宋体" w:hAnsi="宋体" w:cs="宋体" w:eastAsia="宋体" w:hint="default"/>
          <w:sz w:val="17"/>
          <w:szCs w:val="17"/>
        </w:rPr>
      </w:pPr>
    </w:p>
    <w:p>
      <w:pPr>
        <w:pStyle w:val="BodyText"/>
        <w:spacing w:line="240" w:lineRule="auto"/>
        <w:ind w:left="106" w:right="11262"/>
        <w:jc w:val="left"/>
      </w:pPr>
      <w:r>
        <w:rPr>
          <w:rFonts w:ascii="Arial" w:hAnsi="Arial" w:cs="Arial" w:eastAsia="Arial" w:hint="default"/>
        </w:rPr>
        <w:t>(b) </w:t>
      </w:r>
      <w:r>
        <w:rPr>
          <w:rFonts w:ascii="Arial" w:hAnsi="Arial" w:cs="Arial" w:eastAsia="Arial" w:hint="default"/>
          <w:spacing w:val="27"/>
        </w:rPr>
        <w:t> </w:t>
      </w:r>
      <w:r>
        <w:rPr/>
        <w:t>中期票据及公司债券的增减变动</w:t>
      </w:r>
    </w:p>
    <w:p>
      <w:pPr>
        <w:spacing w:line="240" w:lineRule="auto" w:before="7"/>
        <w:rPr>
          <w:rFonts w:ascii="宋体" w:hAnsi="宋体" w:cs="宋体" w:eastAsia="宋体" w:hint="default"/>
          <w:sz w:val="22"/>
          <w:szCs w:val="22"/>
        </w:rPr>
      </w:pPr>
    </w:p>
    <w:tbl>
      <w:tblPr>
        <w:tblW w:w="0" w:type="auto"/>
        <w:jc w:val="left"/>
        <w:tblInd w:w="550" w:type="dxa"/>
        <w:tblLayout w:type="fixed"/>
        <w:tblCellMar>
          <w:top w:w="0" w:type="dxa"/>
          <w:left w:w="0" w:type="dxa"/>
          <w:bottom w:w="0" w:type="dxa"/>
          <w:right w:w="0" w:type="dxa"/>
        </w:tblCellMar>
        <w:tblLook w:val="01E0"/>
      </w:tblPr>
      <w:tblGrid>
        <w:gridCol w:w="2650"/>
        <w:gridCol w:w="811"/>
        <w:gridCol w:w="1521"/>
        <w:gridCol w:w="712"/>
        <w:gridCol w:w="785"/>
        <w:gridCol w:w="920"/>
        <w:gridCol w:w="1368"/>
        <w:gridCol w:w="1227"/>
        <w:gridCol w:w="1088"/>
        <w:gridCol w:w="1137"/>
        <w:gridCol w:w="1027"/>
        <w:gridCol w:w="1306"/>
      </w:tblGrid>
      <w:tr>
        <w:trPr>
          <w:trHeight w:val="397" w:hRule="exact"/>
        </w:trPr>
        <w:tc>
          <w:tcPr>
            <w:tcW w:w="265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21"/>
              <w:jc w:val="center"/>
              <w:rPr>
                <w:rFonts w:ascii="宋体" w:hAnsi="宋体" w:cs="宋体" w:eastAsia="宋体" w:hint="default"/>
                <w:sz w:val="16"/>
                <w:szCs w:val="16"/>
              </w:rPr>
            </w:pPr>
            <w:r>
              <w:rPr>
                <w:rFonts w:ascii="宋体" w:hAnsi="宋体" w:cs="宋体" w:eastAsia="宋体" w:hint="default"/>
                <w:sz w:val="16"/>
                <w:szCs w:val="16"/>
              </w:rPr>
              <w:t>债券名称</w:t>
            </w:r>
          </w:p>
        </w:tc>
        <w:tc>
          <w:tcPr>
            <w:tcW w:w="811"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29" w:right="0"/>
              <w:jc w:val="center"/>
              <w:rPr>
                <w:rFonts w:ascii="宋体" w:hAnsi="宋体" w:cs="宋体" w:eastAsia="宋体" w:hint="default"/>
                <w:sz w:val="16"/>
                <w:szCs w:val="16"/>
              </w:rPr>
            </w:pPr>
            <w:r>
              <w:rPr>
                <w:rFonts w:ascii="宋体" w:hAnsi="宋体" w:cs="宋体" w:eastAsia="宋体" w:hint="default"/>
                <w:sz w:val="16"/>
                <w:szCs w:val="16"/>
              </w:rPr>
              <w:t>面值</w:t>
            </w:r>
          </w:p>
        </w:tc>
        <w:tc>
          <w:tcPr>
            <w:tcW w:w="1521"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93" w:right="0"/>
              <w:jc w:val="center"/>
              <w:rPr>
                <w:rFonts w:ascii="宋体" w:hAnsi="宋体" w:cs="宋体" w:eastAsia="宋体" w:hint="default"/>
                <w:sz w:val="16"/>
                <w:szCs w:val="16"/>
              </w:rPr>
            </w:pPr>
            <w:r>
              <w:rPr>
                <w:rFonts w:ascii="宋体" w:hAnsi="宋体" w:cs="宋体" w:eastAsia="宋体" w:hint="default"/>
                <w:sz w:val="16"/>
                <w:szCs w:val="16"/>
              </w:rPr>
              <w:t>发行日期</w:t>
            </w:r>
          </w:p>
        </w:tc>
        <w:tc>
          <w:tcPr>
            <w:tcW w:w="71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31"/>
              <w:jc w:val="right"/>
              <w:rPr>
                <w:rFonts w:ascii="宋体" w:hAnsi="宋体" w:cs="宋体" w:eastAsia="宋体" w:hint="default"/>
                <w:sz w:val="16"/>
                <w:szCs w:val="16"/>
              </w:rPr>
            </w:pPr>
            <w:r>
              <w:rPr>
                <w:rFonts w:ascii="宋体" w:hAnsi="宋体" w:cs="宋体" w:eastAsia="宋体" w:hint="default"/>
                <w:sz w:val="16"/>
                <w:szCs w:val="16"/>
              </w:rPr>
              <w:t>债券期限</w:t>
            </w:r>
          </w:p>
        </w:tc>
        <w:tc>
          <w:tcPr>
            <w:tcW w:w="785"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6"/>
                <w:szCs w:val="16"/>
              </w:rPr>
            </w:pPr>
            <w:r>
              <w:rPr>
                <w:rFonts w:ascii="宋体" w:hAnsi="宋体" w:cs="宋体" w:eastAsia="宋体" w:hint="default"/>
                <w:sz w:val="16"/>
                <w:szCs w:val="16"/>
              </w:rPr>
              <w:t>票面利率</w:t>
            </w:r>
          </w:p>
        </w:tc>
        <w:tc>
          <w:tcPr>
            <w:tcW w:w="92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6"/>
                <w:szCs w:val="16"/>
              </w:rPr>
            </w:pPr>
            <w:r>
              <w:rPr>
                <w:rFonts w:ascii="宋体" w:hAnsi="宋体" w:cs="宋体" w:eastAsia="宋体" w:hint="default"/>
                <w:sz w:val="16"/>
                <w:szCs w:val="16"/>
              </w:rPr>
              <w:t>发行金额</w:t>
            </w:r>
          </w:p>
        </w:tc>
        <w:tc>
          <w:tcPr>
            <w:tcW w:w="1368"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86"/>
              <w:jc w:val="right"/>
              <w:rPr>
                <w:rFonts w:ascii="宋体" w:hAnsi="宋体" w:cs="宋体" w:eastAsia="宋体" w:hint="default"/>
                <w:sz w:val="16"/>
                <w:szCs w:val="16"/>
              </w:rPr>
            </w:pPr>
            <w:r>
              <w:rPr>
                <w:rFonts w:ascii="宋体" w:hAnsi="宋体" w:cs="宋体" w:eastAsia="宋体" w:hint="default"/>
                <w:sz w:val="16"/>
                <w:szCs w:val="16"/>
              </w:rPr>
              <w:t>年初余额（注</w:t>
            </w:r>
            <w:r>
              <w:rPr>
                <w:rFonts w:ascii="宋体" w:hAnsi="宋体" w:cs="宋体" w:eastAsia="宋体" w:hint="default"/>
                <w:spacing w:val="-40"/>
                <w:sz w:val="16"/>
                <w:szCs w:val="16"/>
              </w:rPr>
              <w:t> </w:t>
            </w:r>
            <w:r>
              <w:rPr>
                <w:rFonts w:ascii="Arial" w:hAnsi="Arial" w:cs="Arial" w:eastAsia="Arial" w:hint="default"/>
                <w:sz w:val="16"/>
                <w:szCs w:val="16"/>
              </w:rPr>
              <w:t>1</w:t>
            </w:r>
            <w:r>
              <w:rPr>
                <w:rFonts w:ascii="宋体" w:hAnsi="宋体" w:cs="宋体" w:eastAsia="宋体" w:hint="default"/>
                <w:sz w:val="16"/>
                <w:szCs w:val="16"/>
              </w:rPr>
              <w:t>）</w:t>
            </w:r>
          </w:p>
        </w:tc>
        <w:tc>
          <w:tcPr>
            <w:tcW w:w="1227"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199" w:right="0"/>
              <w:jc w:val="left"/>
              <w:rPr>
                <w:rFonts w:ascii="宋体" w:hAnsi="宋体" w:cs="宋体" w:eastAsia="宋体" w:hint="default"/>
                <w:sz w:val="16"/>
                <w:szCs w:val="16"/>
              </w:rPr>
            </w:pPr>
            <w:r>
              <w:rPr>
                <w:rFonts w:ascii="宋体" w:hAnsi="宋体" w:cs="宋体" w:eastAsia="宋体" w:hint="default"/>
                <w:sz w:val="16"/>
                <w:szCs w:val="16"/>
              </w:rPr>
              <w:t>本年发行</w:t>
            </w:r>
          </w:p>
        </w:tc>
        <w:tc>
          <w:tcPr>
            <w:tcW w:w="1088" w:type="dxa"/>
            <w:tcBorders>
              <w:top w:val="nil" w:sz="6" w:space="0" w:color="auto"/>
              <w:left w:val="nil" w:sz="6" w:space="0" w:color="auto"/>
              <w:bottom w:val="single" w:sz="4" w:space="0" w:color="000000"/>
              <w:right w:val="nil" w:sz="6" w:space="0" w:color="auto"/>
            </w:tcBorders>
          </w:tcPr>
          <w:p>
            <w:pPr>
              <w:pStyle w:val="TableParagraph"/>
              <w:spacing w:line="160" w:lineRule="exact"/>
              <w:ind w:left="153" w:right="0" w:firstLine="81"/>
              <w:jc w:val="left"/>
              <w:rPr>
                <w:rFonts w:ascii="宋体" w:hAnsi="宋体" w:cs="宋体" w:eastAsia="宋体" w:hint="default"/>
                <w:sz w:val="16"/>
                <w:szCs w:val="16"/>
              </w:rPr>
            </w:pPr>
            <w:r>
              <w:rPr>
                <w:rFonts w:ascii="宋体" w:hAnsi="宋体" w:cs="宋体" w:eastAsia="宋体" w:hint="default"/>
                <w:sz w:val="16"/>
                <w:szCs w:val="16"/>
              </w:rPr>
              <w:t>按面值</w:t>
            </w:r>
          </w:p>
          <w:p>
            <w:pPr>
              <w:pStyle w:val="TableParagraph"/>
              <w:spacing w:line="209" w:lineRule="exact"/>
              <w:ind w:left="153" w:right="0"/>
              <w:jc w:val="left"/>
              <w:rPr>
                <w:rFonts w:ascii="宋体" w:hAnsi="宋体" w:cs="宋体" w:eastAsia="宋体" w:hint="default"/>
                <w:sz w:val="16"/>
                <w:szCs w:val="16"/>
              </w:rPr>
            </w:pPr>
            <w:r>
              <w:rPr>
                <w:rFonts w:ascii="宋体" w:hAnsi="宋体" w:cs="宋体" w:eastAsia="宋体" w:hint="default"/>
                <w:sz w:val="16"/>
                <w:szCs w:val="16"/>
              </w:rPr>
              <w:t>计提利息</w:t>
            </w:r>
          </w:p>
        </w:tc>
        <w:tc>
          <w:tcPr>
            <w:tcW w:w="1137"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83" w:right="0"/>
              <w:jc w:val="left"/>
              <w:rPr>
                <w:rFonts w:ascii="宋体" w:hAnsi="宋体" w:cs="宋体" w:eastAsia="宋体" w:hint="default"/>
                <w:sz w:val="16"/>
                <w:szCs w:val="16"/>
              </w:rPr>
            </w:pPr>
            <w:r>
              <w:rPr>
                <w:rFonts w:ascii="宋体" w:hAnsi="宋体" w:cs="宋体" w:eastAsia="宋体" w:hint="default"/>
                <w:sz w:val="16"/>
                <w:szCs w:val="16"/>
              </w:rPr>
              <w:t>折溢价摊销</w:t>
            </w:r>
          </w:p>
        </w:tc>
        <w:tc>
          <w:tcPr>
            <w:tcW w:w="1027"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117" w:right="0"/>
              <w:jc w:val="left"/>
              <w:rPr>
                <w:rFonts w:ascii="宋体" w:hAnsi="宋体" w:cs="宋体" w:eastAsia="宋体" w:hint="default"/>
                <w:sz w:val="16"/>
                <w:szCs w:val="16"/>
              </w:rPr>
            </w:pPr>
            <w:r>
              <w:rPr>
                <w:rFonts w:ascii="宋体" w:hAnsi="宋体" w:cs="宋体" w:eastAsia="宋体" w:hint="default"/>
                <w:sz w:val="16"/>
                <w:szCs w:val="16"/>
              </w:rPr>
              <w:t>本期偿还</w:t>
            </w:r>
          </w:p>
        </w:tc>
        <w:tc>
          <w:tcPr>
            <w:tcW w:w="1306"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1"/>
              <w:jc w:val="right"/>
              <w:rPr>
                <w:rFonts w:ascii="宋体" w:hAnsi="宋体" w:cs="宋体" w:eastAsia="宋体" w:hint="default"/>
                <w:sz w:val="16"/>
                <w:szCs w:val="16"/>
              </w:rPr>
            </w:pPr>
            <w:r>
              <w:rPr>
                <w:rFonts w:ascii="宋体" w:hAnsi="宋体" w:cs="宋体" w:eastAsia="宋体" w:hint="default"/>
                <w:sz w:val="16"/>
                <w:szCs w:val="16"/>
              </w:rPr>
              <w:t>年末余额（注</w:t>
            </w:r>
            <w:r>
              <w:rPr>
                <w:rFonts w:ascii="宋体" w:hAnsi="宋体" w:cs="宋体" w:eastAsia="宋体" w:hint="default"/>
                <w:spacing w:val="-38"/>
                <w:sz w:val="16"/>
                <w:szCs w:val="16"/>
              </w:rPr>
              <w:t> </w:t>
            </w:r>
            <w:r>
              <w:rPr>
                <w:rFonts w:ascii="Arial" w:hAnsi="Arial" w:cs="Arial" w:eastAsia="Arial" w:hint="default"/>
                <w:sz w:val="16"/>
                <w:szCs w:val="16"/>
              </w:rPr>
              <w:t>1</w:t>
            </w:r>
            <w:r>
              <w:rPr>
                <w:rFonts w:ascii="宋体" w:hAnsi="宋体" w:cs="宋体" w:eastAsia="宋体" w:hint="default"/>
                <w:sz w:val="16"/>
                <w:szCs w:val="16"/>
              </w:rPr>
              <w:t>）</w:t>
            </w:r>
          </w:p>
        </w:tc>
      </w:tr>
      <w:tr>
        <w:trPr>
          <w:trHeight w:val="447" w:hRule="exact"/>
        </w:trPr>
        <w:tc>
          <w:tcPr>
            <w:tcW w:w="265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6"/>
                <w:sz w:val="16"/>
                <w:szCs w:val="16"/>
              </w:rPr>
              <w:t> </w:t>
            </w:r>
            <w:r>
              <w:rPr>
                <w:rFonts w:ascii="宋体" w:hAnsi="宋体" w:cs="宋体" w:eastAsia="宋体" w:hint="default"/>
                <w:sz w:val="16"/>
                <w:szCs w:val="16"/>
              </w:rPr>
              <w:t>年公司债券</w:t>
            </w:r>
          </w:p>
        </w:tc>
        <w:tc>
          <w:tcPr>
            <w:tcW w:w="81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1" w:right="0"/>
              <w:jc w:val="center"/>
              <w:rPr>
                <w:rFonts w:ascii="宋体" w:hAnsi="宋体" w:cs="宋体" w:eastAsia="宋体" w:hint="default"/>
                <w:sz w:val="16"/>
                <w:szCs w:val="16"/>
              </w:rPr>
            </w:pPr>
            <w:r>
              <w:rPr>
                <w:rFonts w:ascii="Arial" w:hAnsi="Arial" w:cs="Arial" w:eastAsia="Arial" w:hint="default"/>
                <w:sz w:val="16"/>
                <w:szCs w:val="16"/>
              </w:rPr>
              <w:t>20</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52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4" w:right="0"/>
              <w:jc w:val="center"/>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6</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8</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712"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34"/>
              <w:jc w:val="right"/>
              <w:rPr>
                <w:rFonts w:ascii="宋体" w:hAnsi="宋体" w:cs="宋体" w:eastAsia="宋体" w:hint="default"/>
                <w:sz w:val="16"/>
                <w:szCs w:val="16"/>
              </w:rPr>
            </w:pPr>
            <w:r>
              <w:rPr>
                <w:rFonts w:ascii="Arial" w:hAnsi="Arial" w:cs="Arial" w:eastAsia="Arial" w:hint="default"/>
                <w:sz w:val="16"/>
                <w:szCs w:val="16"/>
              </w:rPr>
              <w:t>10</w:t>
            </w:r>
            <w:r>
              <w:rPr>
                <w:rFonts w:ascii="Arial" w:hAnsi="Arial" w:cs="Arial" w:eastAsia="Arial" w:hint="default"/>
                <w:spacing w:val="-5"/>
                <w:sz w:val="16"/>
                <w:szCs w:val="16"/>
              </w:rPr>
              <w:t> </w:t>
            </w:r>
            <w:r>
              <w:rPr>
                <w:rFonts w:ascii="宋体" w:hAnsi="宋体" w:cs="宋体" w:eastAsia="宋体" w:hint="default"/>
                <w:sz w:val="16"/>
                <w:szCs w:val="16"/>
              </w:rPr>
              <w:t>年</w:t>
            </w:r>
          </w:p>
        </w:tc>
        <w:tc>
          <w:tcPr>
            <w:tcW w:w="78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16"/>
              <w:jc w:val="right"/>
              <w:rPr>
                <w:rFonts w:ascii="Arial" w:hAnsi="Arial" w:cs="Arial" w:eastAsia="Arial" w:hint="default"/>
                <w:sz w:val="16"/>
                <w:szCs w:val="16"/>
              </w:rPr>
            </w:pPr>
            <w:r>
              <w:rPr>
                <w:rFonts w:ascii="Arial"/>
                <w:spacing w:val="-1"/>
                <w:sz w:val="16"/>
              </w:rPr>
              <w:t>4.50%</w:t>
            </w:r>
          </w:p>
        </w:tc>
        <w:tc>
          <w:tcPr>
            <w:tcW w:w="92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6"/>
                <w:szCs w:val="16"/>
              </w:rPr>
            </w:pPr>
            <w:r>
              <w:rPr>
                <w:rFonts w:ascii="Arial" w:hAnsi="Arial" w:cs="Arial" w:eastAsia="Arial" w:hint="default"/>
                <w:sz w:val="16"/>
                <w:szCs w:val="16"/>
              </w:rPr>
              <w:t>20</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36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1"/>
              <w:jc w:val="right"/>
              <w:rPr>
                <w:rFonts w:ascii="Arial" w:hAnsi="Arial" w:cs="Arial" w:eastAsia="Arial" w:hint="default"/>
                <w:sz w:val="16"/>
                <w:szCs w:val="16"/>
              </w:rPr>
            </w:pPr>
            <w:r>
              <w:rPr>
                <w:rFonts w:ascii="Arial"/>
                <w:spacing w:val="-1"/>
                <w:sz w:val="16"/>
              </w:rPr>
              <w:t>2,051,287,671</w:t>
            </w:r>
          </w:p>
        </w:tc>
        <w:tc>
          <w:tcPr>
            <w:tcW w:w="122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36"/>
              <w:jc w:val="right"/>
              <w:rPr>
                <w:rFonts w:ascii="Arial" w:hAnsi="Arial" w:cs="Arial" w:eastAsia="Arial" w:hint="default"/>
                <w:sz w:val="16"/>
                <w:szCs w:val="16"/>
              </w:rPr>
            </w:pPr>
            <w:r>
              <w:rPr>
                <w:rFonts w:ascii="Arial"/>
                <w:w w:val="100"/>
                <w:sz w:val="16"/>
              </w:rPr>
              <w:t>-</w:t>
            </w:r>
          </w:p>
        </w:tc>
        <w:tc>
          <w:tcPr>
            <w:tcW w:w="108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7" w:right="0"/>
              <w:jc w:val="center"/>
              <w:rPr>
                <w:rFonts w:ascii="Arial" w:hAnsi="Arial" w:cs="Arial" w:eastAsia="Arial" w:hint="default"/>
                <w:sz w:val="16"/>
                <w:szCs w:val="16"/>
              </w:rPr>
            </w:pPr>
            <w:r>
              <w:rPr>
                <w:rFonts w:ascii="Arial"/>
                <w:sz w:val="16"/>
              </w:rPr>
              <w:t>90,000,000</w:t>
            </w:r>
          </w:p>
        </w:tc>
        <w:tc>
          <w:tcPr>
            <w:tcW w:w="113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12"/>
              <w:jc w:val="right"/>
              <w:rPr>
                <w:rFonts w:ascii="Arial" w:hAnsi="Arial" w:cs="Arial" w:eastAsia="Arial" w:hint="default"/>
                <w:sz w:val="16"/>
                <w:szCs w:val="16"/>
              </w:rPr>
            </w:pPr>
            <w:r>
              <w:rPr>
                <w:rFonts w:ascii="Arial"/>
                <w:w w:val="100"/>
                <w:sz w:val="16"/>
              </w:rPr>
              <w:t>-</w:t>
            </w:r>
          </w:p>
        </w:tc>
        <w:tc>
          <w:tcPr>
            <w:tcW w:w="102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
              <w:jc w:val="right"/>
              <w:rPr>
                <w:rFonts w:ascii="Arial" w:hAnsi="Arial" w:cs="Arial" w:eastAsia="Arial" w:hint="default"/>
                <w:sz w:val="16"/>
                <w:szCs w:val="16"/>
              </w:rPr>
            </w:pPr>
            <w:r>
              <w:rPr>
                <w:rFonts w:ascii="Arial"/>
                <w:spacing w:val="-1"/>
                <w:sz w:val="16"/>
              </w:rPr>
              <w:t>(90,000,000)</w:t>
            </w:r>
          </w:p>
        </w:tc>
        <w:tc>
          <w:tcPr>
            <w:tcW w:w="130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55"/>
              <w:jc w:val="right"/>
              <w:rPr>
                <w:rFonts w:ascii="Arial" w:hAnsi="Arial" w:cs="Arial" w:eastAsia="Arial" w:hint="default"/>
                <w:sz w:val="16"/>
                <w:szCs w:val="16"/>
              </w:rPr>
            </w:pPr>
            <w:r>
              <w:rPr>
                <w:rFonts w:ascii="Arial"/>
                <w:spacing w:val="-1"/>
                <w:sz w:val="16"/>
              </w:rPr>
              <w:t>2,051,287,671</w:t>
            </w:r>
          </w:p>
        </w:tc>
      </w:tr>
      <w:tr>
        <w:trPr>
          <w:trHeight w:val="208" w:hRule="exact"/>
        </w:trPr>
        <w:tc>
          <w:tcPr>
            <w:tcW w:w="2650" w:type="dxa"/>
            <w:tcBorders>
              <w:top w:val="nil" w:sz="6" w:space="0" w:color="auto"/>
              <w:left w:val="nil" w:sz="6" w:space="0" w:color="auto"/>
              <w:bottom w:val="nil" w:sz="6" w:space="0" w:color="auto"/>
              <w:right w:val="nil" w:sz="6" w:space="0" w:color="auto"/>
            </w:tcBorders>
          </w:tcPr>
          <w:p>
            <w:pPr>
              <w:pStyle w:val="TableParagraph"/>
              <w:spacing w:line="187" w:lineRule="exact"/>
              <w:ind w:left="16" w:right="0"/>
              <w:jc w:val="lef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5"/>
                <w:sz w:val="16"/>
                <w:szCs w:val="16"/>
              </w:rPr>
              <w:t> </w:t>
            </w:r>
            <w:r>
              <w:rPr>
                <w:rFonts w:ascii="宋体" w:hAnsi="宋体" w:cs="宋体" w:eastAsia="宋体" w:hint="default"/>
                <w:sz w:val="16"/>
                <w:szCs w:val="16"/>
              </w:rPr>
              <w:t>年第一期中期票据</w:t>
            </w:r>
          </w:p>
        </w:tc>
        <w:tc>
          <w:tcPr>
            <w:tcW w:w="811" w:type="dxa"/>
            <w:tcBorders>
              <w:top w:val="nil" w:sz="6" w:space="0" w:color="auto"/>
              <w:left w:val="nil" w:sz="6" w:space="0" w:color="auto"/>
              <w:bottom w:val="nil" w:sz="6" w:space="0" w:color="auto"/>
              <w:right w:val="nil" w:sz="6" w:space="0" w:color="auto"/>
            </w:tcBorders>
          </w:tcPr>
          <w:p>
            <w:pPr>
              <w:pStyle w:val="TableParagraph"/>
              <w:spacing w:line="187" w:lineRule="exact"/>
              <w:ind w:left="89" w:right="0"/>
              <w:jc w:val="center"/>
              <w:rPr>
                <w:rFonts w:ascii="宋体" w:hAnsi="宋体" w:cs="宋体" w:eastAsia="宋体" w:hint="default"/>
                <w:sz w:val="16"/>
                <w:szCs w:val="16"/>
              </w:rPr>
            </w:pPr>
            <w:r>
              <w:rPr>
                <w:rFonts w:ascii="Arial" w:hAnsi="Arial" w:cs="Arial" w:eastAsia="Arial" w:hint="default"/>
                <w:sz w:val="16"/>
                <w:szCs w:val="16"/>
              </w:rPr>
              <w:t>50</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521" w:type="dxa"/>
            <w:tcBorders>
              <w:top w:val="nil" w:sz="6" w:space="0" w:color="auto"/>
              <w:left w:val="nil" w:sz="6" w:space="0" w:color="auto"/>
              <w:bottom w:val="nil" w:sz="6" w:space="0" w:color="auto"/>
              <w:right w:val="nil" w:sz="6" w:space="0" w:color="auto"/>
            </w:tcBorders>
          </w:tcPr>
          <w:p>
            <w:pPr>
              <w:pStyle w:val="TableParagraph"/>
              <w:spacing w:line="187" w:lineRule="exact"/>
              <w:ind w:left="145" w:right="0"/>
              <w:jc w:val="center"/>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4</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16</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712" w:type="dxa"/>
            <w:tcBorders>
              <w:top w:val="nil" w:sz="6" w:space="0" w:color="auto"/>
              <w:left w:val="nil" w:sz="6" w:space="0" w:color="auto"/>
              <w:bottom w:val="nil" w:sz="6" w:space="0" w:color="auto"/>
              <w:right w:val="nil" w:sz="6" w:space="0" w:color="auto"/>
            </w:tcBorders>
          </w:tcPr>
          <w:p>
            <w:pPr>
              <w:pStyle w:val="TableParagraph"/>
              <w:spacing w:line="187" w:lineRule="exact"/>
              <w:ind w:right="34"/>
              <w:jc w:val="right"/>
              <w:rPr>
                <w:rFonts w:ascii="宋体" w:hAnsi="宋体" w:cs="宋体" w:eastAsia="宋体" w:hint="default"/>
                <w:sz w:val="16"/>
                <w:szCs w:val="16"/>
              </w:rPr>
            </w:pPr>
            <w:r>
              <w:rPr>
                <w:rFonts w:ascii="Arial" w:hAnsi="Arial" w:cs="Arial" w:eastAsia="Arial" w:hint="default"/>
                <w:sz w:val="16"/>
                <w:szCs w:val="16"/>
              </w:rPr>
              <w:t>3</w:t>
            </w:r>
            <w:r>
              <w:rPr>
                <w:rFonts w:ascii="Arial" w:hAnsi="Arial" w:cs="Arial" w:eastAsia="Arial" w:hint="default"/>
                <w:spacing w:val="-4"/>
                <w:sz w:val="16"/>
                <w:szCs w:val="16"/>
              </w:rPr>
              <w:t> </w:t>
            </w:r>
            <w:r>
              <w:rPr>
                <w:rFonts w:ascii="宋体" w:hAnsi="宋体" w:cs="宋体" w:eastAsia="宋体" w:hint="default"/>
                <w:sz w:val="16"/>
                <w:szCs w:val="16"/>
              </w:rPr>
              <w:t>年</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6"/>
              <w:jc w:val="right"/>
              <w:rPr>
                <w:rFonts w:ascii="Arial" w:hAnsi="Arial" w:cs="Arial" w:eastAsia="Arial" w:hint="default"/>
                <w:sz w:val="16"/>
                <w:szCs w:val="16"/>
              </w:rPr>
            </w:pPr>
            <w:r>
              <w:rPr>
                <w:rFonts w:ascii="Arial"/>
                <w:spacing w:val="-1"/>
                <w:sz w:val="16"/>
              </w:rPr>
              <w:t>5.35%</w:t>
            </w:r>
          </w:p>
        </w:tc>
        <w:tc>
          <w:tcPr>
            <w:tcW w:w="920" w:type="dxa"/>
            <w:tcBorders>
              <w:top w:val="nil" w:sz="6" w:space="0" w:color="auto"/>
              <w:left w:val="nil" w:sz="6" w:space="0" w:color="auto"/>
              <w:bottom w:val="nil" w:sz="6" w:space="0" w:color="auto"/>
              <w:right w:val="nil" w:sz="6" w:space="0" w:color="auto"/>
            </w:tcBorders>
          </w:tcPr>
          <w:p>
            <w:pPr>
              <w:pStyle w:val="TableParagraph"/>
              <w:spacing w:line="187" w:lineRule="exact"/>
              <w:ind w:right="26"/>
              <w:jc w:val="right"/>
              <w:rPr>
                <w:rFonts w:ascii="宋体" w:hAnsi="宋体" w:cs="宋体" w:eastAsia="宋体" w:hint="default"/>
                <w:sz w:val="16"/>
                <w:szCs w:val="16"/>
              </w:rPr>
            </w:pPr>
            <w:r>
              <w:rPr>
                <w:rFonts w:ascii="Arial" w:hAnsi="Arial" w:cs="Arial" w:eastAsia="Arial" w:hint="default"/>
                <w:sz w:val="16"/>
                <w:szCs w:val="16"/>
              </w:rPr>
              <w:t>50</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3"/>
              <w:jc w:val="right"/>
              <w:rPr>
                <w:rFonts w:ascii="Arial" w:hAnsi="Arial" w:cs="Arial" w:eastAsia="Arial" w:hint="default"/>
                <w:sz w:val="16"/>
                <w:szCs w:val="16"/>
              </w:rPr>
            </w:pPr>
            <w:r>
              <w:rPr>
                <w:rFonts w:ascii="Arial"/>
                <w:w w:val="100"/>
                <w:sz w:val="16"/>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1"/>
              <w:jc w:val="right"/>
              <w:rPr>
                <w:rFonts w:ascii="Arial" w:hAnsi="Arial" w:cs="Arial" w:eastAsia="Arial" w:hint="default"/>
                <w:sz w:val="16"/>
                <w:szCs w:val="16"/>
              </w:rPr>
            </w:pPr>
            <w:r>
              <w:rPr>
                <w:rFonts w:ascii="Arial"/>
                <w:spacing w:val="-1"/>
                <w:sz w:val="16"/>
              </w:rPr>
              <w:t>5,000,000,000</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center"/>
              <w:rPr>
                <w:rFonts w:ascii="Arial" w:hAnsi="Arial" w:cs="Arial" w:eastAsia="Arial" w:hint="default"/>
                <w:sz w:val="16"/>
                <w:szCs w:val="16"/>
              </w:rPr>
            </w:pPr>
            <w:r>
              <w:rPr>
                <w:rFonts w:ascii="Arial"/>
                <w:sz w:val="16"/>
              </w:rPr>
              <w:t>190,547,945</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9"/>
              <w:jc w:val="right"/>
              <w:rPr>
                <w:rFonts w:ascii="Arial" w:hAnsi="Arial" w:cs="Arial" w:eastAsia="Arial" w:hint="default"/>
                <w:sz w:val="16"/>
                <w:szCs w:val="16"/>
              </w:rPr>
            </w:pPr>
            <w:r>
              <w:rPr>
                <w:rFonts w:ascii="Arial"/>
                <w:w w:val="100"/>
                <w:sz w:val="16"/>
              </w:rPr>
              <w:t>-</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
              <w:jc w:val="right"/>
              <w:rPr>
                <w:rFonts w:ascii="Arial" w:hAnsi="Arial" w:cs="Arial" w:eastAsia="Arial" w:hint="default"/>
                <w:sz w:val="16"/>
                <w:szCs w:val="16"/>
              </w:rPr>
            </w:pPr>
            <w:r>
              <w:rPr>
                <w:rFonts w:ascii="Arial"/>
                <w:w w:val="100"/>
                <w:sz w:val="16"/>
              </w:rPr>
              <w:t>-</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8"/>
              <w:jc w:val="right"/>
              <w:rPr>
                <w:rFonts w:ascii="Arial" w:hAnsi="Arial" w:cs="Arial" w:eastAsia="Arial" w:hint="default"/>
                <w:sz w:val="16"/>
                <w:szCs w:val="16"/>
              </w:rPr>
            </w:pPr>
            <w:r>
              <w:rPr>
                <w:rFonts w:ascii="Arial"/>
                <w:spacing w:val="-1"/>
                <w:sz w:val="16"/>
              </w:rPr>
              <w:t>5,190,547,945</w:t>
            </w:r>
          </w:p>
        </w:tc>
      </w:tr>
      <w:tr>
        <w:trPr>
          <w:trHeight w:val="208" w:hRule="exact"/>
        </w:trPr>
        <w:tc>
          <w:tcPr>
            <w:tcW w:w="2650" w:type="dxa"/>
            <w:tcBorders>
              <w:top w:val="nil" w:sz="6" w:space="0" w:color="auto"/>
              <w:left w:val="nil" w:sz="6" w:space="0" w:color="auto"/>
              <w:bottom w:val="nil" w:sz="6" w:space="0" w:color="auto"/>
              <w:right w:val="nil" w:sz="6" w:space="0" w:color="auto"/>
            </w:tcBorders>
          </w:tcPr>
          <w:p>
            <w:pPr>
              <w:pStyle w:val="TableParagraph"/>
              <w:spacing w:line="186" w:lineRule="exact"/>
              <w:ind w:left="16" w:right="0"/>
              <w:jc w:val="lef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6"/>
                <w:sz w:val="16"/>
                <w:szCs w:val="16"/>
              </w:rPr>
              <w:t> </w:t>
            </w:r>
            <w:r>
              <w:rPr>
                <w:rFonts w:ascii="宋体" w:hAnsi="宋体" w:cs="宋体" w:eastAsia="宋体" w:hint="default"/>
                <w:sz w:val="16"/>
                <w:szCs w:val="16"/>
              </w:rPr>
              <w:t>年第二期中期票据</w:t>
            </w:r>
          </w:p>
        </w:tc>
        <w:tc>
          <w:tcPr>
            <w:tcW w:w="811" w:type="dxa"/>
            <w:tcBorders>
              <w:top w:val="nil" w:sz="6" w:space="0" w:color="auto"/>
              <w:left w:val="nil" w:sz="6" w:space="0" w:color="auto"/>
              <w:bottom w:val="nil" w:sz="6" w:space="0" w:color="auto"/>
              <w:right w:val="nil" w:sz="6" w:space="0" w:color="auto"/>
            </w:tcBorders>
          </w:tcPr>
          <w:p>
            <w:pPr>
              <w:pStyle w:val="TableParagraph"/>
              <w:spacing w:line="186" w:lineRule="exact"/>
              <w:ind w:left="89" w:right="0"/>
              <w:jc w:val="center"/>
              <w:rPr>
                <w:rFonts w:ascii="宋体" w:hAnsi="宋体" w:cs="宋体" w:eastAsia="宋体" w:hint="default"/>
                <w:sz w:val="16"/>
                <w:szCs w:val="16"/>
              </w:rPr>
            </w:pPr>
            <w:r>
              <w:rPr>
                <w:rFonts w:ascii="Arial" w:hAnsi="Arial" w:cs="Arial" w:eastAsia="Arial" w:hint="default"/>
                <w:sz w:val="16"/>
                <w:szCs w:val="16"/>
              </w:rPr>
              <w:t>50</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521" w:type="dxa"/>
            <w:tcBorders>
              <w:top w:val="nil" w:sz="6" w:space="0" w:color="auto"/>
              <w:left w:val="nil" w:sz="6" w:space="0" w:color="auto"/>
              <w:bottom w:val="nil" w:sz="6" w:space="0" w:color="auto"/>
              <w:right w:val="nil" w:sz="6" w:space="0" w:color="auto"/>
            </w:tcBorders>
          </w:tcPr>
          <w:p>
            <w:pPr>
              <w:pStyle w:val="TableParagraph"/>
              <w:spacing w:line="186" w:lineRule="exact"/>
              <w:ind w:left="145" w:right="0"/>
              <w:jc w:val="center"/>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7</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14</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712" w:type="dxa"/>
            <w:tcBorders>
              <w:top w:val="nil" w:sz="6" w:space="0" w:color="auto"/>
              <w:left w:val="nil" w:sz="6" w:space="0" w:color="auto"/>
              <w:bottom w:val="nil" w:sz="6" w:space="0" w:color="auto"/>
              <w:right w:val="nil" w:sz="6" w:space="0" w:color="auto"/>
            </w:tcBorders>
          </w:tcPr>
          <w:p>
            <w:pPr>
              <w:pStyle w:val="TableParagraph"/>
              <w:spacing w:line="186" w:lineRule="exact"/>
              <w:ind w:right="34"/>
              <w:jc w:val="right"/>
              <w:rPr>
                <w:rFonts w:ascii="宋体" w:hAnsi="宋体" w:cs="宋体" w:eastAsia="宋体" w:hint="default"/>
                <w:sz w:val="16"/>
                <w:szCs w:val="16"/>
              </w:rPr>
            </w:pPr>
            <w:r>
              <w:rPr>
                <w:rFonts w:ascii="Arial" w:hAnsi="Arial" w:cs="Arial" w:eastAsia="Arial" w:hint="default"/>
                <w:sz w:val="16"/>
                <w:szCs w:val="16"/>
              </w:rPr>
              <w:t>3</w:t>
            </w:r>
            <w:r>
              <w:rPr>
                <w:rFonts w:ascii="Arial" w:hAnsi="Arial" w:cs="Arial" w:eastAsia="Arial" w:hint="default"/>
                <w:spacing w:val="-4"/>
                <w:sz w:val="16"/>
                <w:szCs w:val="16"/>
              </w:rPr>
              <w:t> </w:t>
            </w:r>
            <w:r>
              <w:rPr>
                <w:rFonts w:ascii="宋体" w:hAnsi="宋体" w:cs="宋体" w:eastAsia="宋体" w:hint="default"/>
                <w:sz w:val="16"/>
                <w:szCs w:val="16"/>
              </w:rPr>
              <w:t>年</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6"/>
              <w:jc w:val="right"/>
              <w:rPr>
                <w:rFonts w:ascii="Arial" w:hAnsi="Arial" w:cs="Arial" w:eastAsia="Arial" w:hint="default"/>
                <w:sz w:val="16"/>
                <w:szCs w:val="16"/>
              </w:rPr>
            </w:pPr>
            <w:r>
              <w:rPr>
                <w:rFonts w:ascii="Arial"/>
                <w:spacing w:val="-1"/>
                <w:sz w:val="16"/>
              </w:rPr>
              <w:t>4.84%</w:t>
            </w:r>
          </w:p>
        </w:tc>
        <w:tc>
          <w:tcPr>
            <w:tcW w:w="920" w:type="dxa"/>
            <w:tcBorders>
              <w:top w:val="nil" w:sz="6" w:space="0" w:color="auto"/>
              <w:left w:val="nil" w:sz="6" w:space="0" w:color="auto"/>
              <w:bottom w:val="nil" w:sz="6" w:space="0" w:color="auto"/>
              <w:right w:val="nil" w:sz="6" w:space="0" w:color="auto"/>
            </w:tcBorders>
          </w:tcPr>
          <w:p>
            <w:pPr>
              <w:pStyle w:val="TableParagraph"/>
              <w:spacing w:line="186" w:lineRule="exact"/>
              <w:ind w:right="26"/>
              <w:jc w:val="right"/>
              <w:rPr>
                <w:rFonts w:ascii="宋体" w:hAnsi="宋体" w:cs="宋体" w:eastAsia="宋体" w:hint="default"/>
                <w:sz w:val="16"/>
                <w:szCs w:val="16"/>
              </w:rPr>
            </w:pPr>
            <w:r>
              <w:rPr>
                <w:rFonts w:ascii="Arial" w:hAnsi="Arial" w:cs="Arial" w:eastAsia="Arial" w:hint="default"/>
                <w:sz w:val="16"/>
                <w:szCs w:val="16"/>
              </w:rPr>
              <w:t>50</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3"/>
              <w:jc w:val="right"/>
              <w:rPr>
                <w:rFonts w:ascii="Arial" w:hAnsi="Arial" w:cs="Arial" w:eastAsia="Arial" w:hint="default"/>
                <w:sz w:val="16"/>
                <w:szCs w:val="16"/>
              </w:rPr>
            </w:pPr>
            <w:r>
              <w:rPr>
                <w:rFonts w:ascii="Arial"/>
                <w:w w:val="100"/>
                <w:sz w:val="16"/>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1"/>
              <w:jc w:val="right"/>
              <w:rPr>
                <w:rFonts w:ascii="Arial" w:hAnsi="Arial" w:cs="Arial" w:eastAsia="Arial" w:hint="default"/>
                <w:sz w:val="16"/>
                <w:szCs w:val="16"/>
              </w:rPr>
            </w:pPr>
            <w:r>
              <w:rPr>
                <w:rFonts w:ascii="Arial"/>
                <w:spacing w:val="-1"/>
                <w:sz w:val="16"/>
              </w:rPr>
              <w:t>5,000,000,000</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9" w:right="0"/>
              <w:jc w:val="center"/>
              <w:rPr>
                <w:rFonts w:ascii="Arial" w:hAnsi="Arial" w:cs="Arial" w:eastAsia="Arial" w:hint="default"/>
                <w:sz w:val="16"/>
                <w:szCs w:val="16"/>
              </w:rPr>
            </w:pPr>
            <w:r>
              <w:rPr>
                <w:rFonts w:ascii="Arial"/>
                <w:sz w:val="16"/>
              </w:rPr>
              <w:t>113,375,343</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2" w:right="0"/>
              <w:jc w:val="left"/>
              <w:rPr>
                <w:rFonts w:ascii="Arial" w:hAnsi="Arial" w:cs="Arial" w:eastAsia="Arial" w:hint="default"/>
                <w:sz w:val="16"/>
                <w:szCs w:val="16"/>
              </w:rPr>
            </w:pPr>
            <w:r>
              <w:rPr>
                <w:rFonts w:ascii="Arial"/>
                <w:sz w:val="16"/>
              </w:rPr>
              <w:t>(12,782,797)</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
              <w:jc w:val="right"/>
              <w:rPr>
                <w:rFonts w:ascii="Arial" w:hAnsi="Arial" w:cs="Arial" w:eastAsia="Arial" w:hint="default"/>
                <w:sz w:val="16"/>
                <w:szCs w:val="16"/>
              </w:rPr>
            </w:pPr>
            <w:r>
              <w:rPr>
                <w:rFonts w:ascii="Arial"/>
                <w:w w:val="100"/>
                <w:sz w:val="16"/>
              </w:rPr>
              <w:t>-</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8"/>
              <w:jc w:val="right"/>
              <w:rPr>
                <w:rFonts w:ascii="Arial" w:hAnsi="Arial" w:cs="Arial" w:eastAsia="Arial" w:hint="default"/>
                <w:sz w:val="16"/>
                <w:szCs w:val="16"/>
              </w:rPr>
            </w:pPr>
            <w:r>
              <w:rPr>
                <w:rFonts w:ascii="Arial"/>
                <w:spacing w:val="-1"/>
                <w:sz w:val="16"/>
              </w:rPr>
              <w:t>5,100,592,546</w:t>
            </w:r>
          </w:p>
        </w:tc>
      </w:tr>
      <w:tr>
        <w:trPr>
          <w:trHeight w:val="206" w:hRule="exact"/>
        </w:trPr>
        <w:tc>
          <w:tcPr>
            <w:tcW w:w="2650" w:type="dxa"/>
            <w:tcBorders>
              <w:top w:val="nil" w:sz="6" w:space="0" w:color="auto"/>
              <w:left w:val="nil" w:sz="6" w:space="0" w:color="auto"/>
              <w:bottom w:val="nil" w:sz="6" w:space="0" w:color="auto"/>
              <w:right w:val="nil" w:sz="6" w:space="0" w:color="auto"/>
            </w:tcBorders>
          </w:tcPr>
          <w:p>
            <w:pPr>
              <w:pStyle w:val="TableParagraph"/>
              <w:spacing w:line="187" w:lineRule="exact"/>
              <w:ind w:left="16" w:right="0"/>
              <w:jc w:val="lef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6"/>
                <w:sz w:val="16"/>
                <w:szCs w:val="16"/>
              </w:rPr>
              <w:t> </w:t>
            </w:r>
            <w:r>
              <w:rPr>
                <w:rFonts w:ascii="宋体" w:hAnsi="宋体" w:cs="宋体" w:eastAsia="宋体" w:hint="default"/>
                <w:sz w:val="16"/>
                <w:szCs w:val="16"/>
              </w:rPr>
              <w:t>年第三期中期票据</w:t>
            </w:r>
          </w:p>
        </w:tc>
        <w:tc>
          <w:tcPr>
            <w:tcW w:w="811" w:type="dxa"/>
            <w:tcBorders>
              <w:top w:val="nil" w:sz="6" w:space="0" w:color="auto"/>
              <w:left w:val="nil" w:sz="6" w:space="0" w:color="auto"/>
              <w:bottom w:val="nil" w:sz="6" w:space="0" w:color="auto"/>
              <w:right w:val="nil" w:sz="6" w:space="0" w:color="auto"/>
            </w:tcBorders>
          </w:tcPr>
          <w:p>
            <w:pPr>
              <w:pStyle w:val="TableParagraph"/>
              <w:spacing w:line="187" w:lineRule="exact"/>
              <w:ind w:left="89" w:right="0"/>
              <w:jc w:val="center"/>
              <w:rPr>
                <w:rFonts w:ascii="宋体" w:hAnsi="宋体" w:cs="宋体" w:eastAsia="宋体" w:hint="default"/>
                <w:sz w:val="16"/>
                <w:szCs w:val="16"/>
              </w:rPr>
            </w:pPr>
            <w:r>
              <w:rPr>
                <w:rFonts w:ascii="Arial" w:hAnsi="Arial" w:cs="Arial" w:eastAsia="Arial" w:hint="default"/>
                <w:sz w:val="16"/>
                <w:szCs w:val="16"/>
              </w:rPr>
              <w:t>50</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521" w:type="dxa"/>
            <w:tcBorders>
              <w:top w:val="nil" w:sz="6" w:space="0" w:color="auto"/>
              <w:left w:val="nil" w:sz="6" w:space="0" w:color="auto"/>
              <w:bottom w:val="nil" w:sz="6" w:space="0" w:color="auto"/>
              <w:right w:val="nil" w:sz="6" w:space="0" w:color="auto"/>
            </w:tcBorders>
          </w:tcPr>
          <w:p>
            <w:pPr>
              <w:pStyle w:val="TableParagraph"/>
              <w:spacing w:line="187" w:lineRule="exact"/>
              <w:ind w:left="56" w:right="0"/>
              <w:jc w:val="center"/>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4"/>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11</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28</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712" w:type="dxa"/>
            <w:tcBorders>
              <w:top w:val="nil" w:sz="6" w:space="0" w:color="auto"/>
              <w:left w:val="nil" w:sz="6" w:space="0" w:color="auto"/>
              <w:bottom w:val="nil" w:sz="6" w:space="0" w:color="auto"/>
              <w:right w:val="nil" w:sz="6" w:space="0" w:color="auto"/>
            </w:tcBorders>
          </w:tcPr>
          <w:p>
            <w:pPr>
              <w:pStyle w:val="TableParagraph"/>
              <w:spacing w:line="187" w:lineRule="exact"/>
              <w:ind w:right="34"/>
              <w:jc w:val="right"/>
              <w:rPr>
                <w:rFonts w:ascii="宋体" w:hAnsi="宋体" w:cs="宋体" w:eastAsia="宋体" w:hint="default"/>
                <w:sz w:val="16"/>
                <w:szCs w:val="16"/>
              </w:rPr>
            </w:pPr>
            <w:r>
              <w:rPr>
                <w:rFonts w:ascii="Arial" w:hAnsi="Arial" w:cs="Arial" w:eastAsia="Arial" w:hint="default"/>
                <w:sz w:val="16"/>
                <w:szCs w:val="16"/>
              </w:rPr>
              <w:t>3</w:t>
            </w:r>
            <w:r>
              <w:rPr>
                <w:rFonts w:ascii="Arial" w:hAnsi="Arial" w:cs="Arial" w:eastAsia="Arial" w:hint="default"/>
                <w:spacing w:val="-4"/>
                <w:sz w:val="16"/>
                <w:szCs w:val="16"/>
              </w:rPr>
              <w:t> </w:t>
            </w:r>
            <w:r>
              <w:rPr>
                <w:rFonts w:ascii="宋体" w:hAnsi="宋体" w:cs="宋体" w:eastAsia="宋体" w:hint="default"/>
                <w:sz w:val="16"/>
                <w:szCs w:val="16"/>
              </w:rPr>
              <w:t>年</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6"/>
              <w:jc w:val="right"/>
              <w:rPr>
                <w:rFonts w:ascii="Arial" w:hAnsi="Arial" w:cs="Arial" w:eastAsia="Arial" w:hint="default"/>
                <w:sz w:val="16"/>
                <w:szCs w:val="16"/>
              </w:rPr>
            </w:pPr>
            <w:r>
              <w:rPr>
                <w:rFonts w:ascii="Arial"/>
                <w:spacing w:val="-1"/>
                <w:sz w:val="16"/>
              </w:rPr>
              <w:t>4.20%</w:t>
            </w:r>
          </w:p>
        </w:tc>
        <w:tc>
          <w:tcPr>
            <w:tcW w:w="920" w:type="dxa"/>
            <w:tcBorders>
              <w:top w:val="nil" w:sz="6" w:space="0" w:color="auto"/>
              <w:left w:val="nil" w:sz="6" w:space="0" w:color="auto"/>
              <w:bottom w:val="nil" w:sz="6" w:space="0" w:color="auto"/>
              <w:right w:val="nil" w:sz="6" w:space="0" w:color="auto"/>
            </w:tcBorders>
          </w:tcPr>
          <w:p>
            <w:pPr>
              <w:pStyle w:val="TableParagraph"/>
              <w:spacing w:line="187" w:lineRule="exact"/>
              <w:ind w:right="26"/>
              <w:jc w:val="right"/>
              <w:rPr>
                <w:rFonts w:ascii="宋体" w:hAnsi="宋体" w:cs="宋体" w:eastAsia="宋体" w:hint="default"/>
                <w:sz w:val="16"/>
                <w:szCs w:val="16"/>
              </w:rPr>
            </w:pPr>
            <w:r>
              <w:rPr>
                <w:rFonts w:ascii="Arial" w:hAnsi="Arial" w:cs="Arial" w:eastAsia="Arial" w:hint="default"/>
                <w:sz w:val="16"/>
                <w:szCs w:val="16"/>
              </w:rPr>
              <w:t>50</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3"/>
              <w:jc w:val="right"/>
              <w:rPr>
                <w:rFonts w:ascii="Arial" w:hAnsi="Arial" w:cs="Arial" w:eastAsia="Arial" w:hint="default"/>
                <w:sz w:val="16"/>
                <w:szCs w:val="16"/>
              </w:rPr>
            </w:pPr>
            <w:r>
              <w:rPr>
                <w:rFonts w:ascii="Arial"/>
                <w:w w:val="100"/>
                <w:sz w:val="16"/>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1"/>
              <w:jc w:val="right"/>
              <w:rPr>
                <w:rFonts w:ascii="Arial" w:hAnsi="Arial" w:cs="Arial" w:eastAsia="Arial" w:hint="default"/>
                <w:sz w:val="16"/>
                <w:szCs w:val="16"/>
              </w:rPr>
            </w:pPr>
            <w:r>
              <w:rPr>
                <w:rFonts w:ascii="Arial"/>
                <w:spacing w:val="-1"/>
                <w:sz w:val="16"/>
              </w:rPr>
              <w:t>5,000,000,000</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7" w:right="0"/>
              <w:jc w:val="center"/>
              <w:rPr>
                <w:rFonts w:ascii="Arial" w:hAnsi="Arial" w:cs="Arial" w:eastAsia="Arial" w:hint="default"/>
                <w:sz w:val="16"/>
                <w:szCs w:val="16"/>
              </w:rPr>
            </w:pPr>
            <w:r>
              <w:rPr>
                <w:rFonts w:ascii="Arial"/>
                <w:sz w:val="16"/>
              </w:rPr>
              <w:t>19,561,644</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2" w:right="0"/>
              <w:jc w:val="left"/>
              <w:rPr>
                <w:rFonts w:ascii="Arial" w:hAnsi="Arial" w:cs="Arial" w:eastAsia="Arial" w:hint="default"/>
                <w:sz w:val="16"/>
                <w:szCs w:val="16"/>
              </w:rPr>
            </w:pPr>
            <w:r>
              <w:rPr>
                <w:rFonts w:ascii="Arial"/>
                <w:sz w:val="16"/>
              </w:rPr>
              <w:t>(14,566,875)</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
              <w:jc w:val="right"/>
              <w:rPr>
                <w:rFonts w:ascii="Arial" w:hAnsi="Arial" w:cs="Arial" w:eastAsia="Arial" w:hint="default"/>
                <w:sz w:val="16"/>
                <w:szCs w:val="16"/>
              </w:rPr>
            </w:pPr>
            <w:r>
              <w:rPr>
                <w:rFonts w:ascii="Arial"/>
                <w:w w:val="100"/>
                <w:sz w:val="16"/>
              </w:rPr>
              <w:t>-</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
              <w:jc w:val="right"/>
              <w:rPr>
                <w:rFonts w:ascii="Arial" w:hAnsi="Arial" w:cs="Arial" w:eastAsia="Arial" w:hint="default"/>
                <w:sz w:val="16"/>
                <w:szCs w:val="16"/>
              </w:rPr>
            </w:pPr>
            <w:r>
              <w:rPr>
                <w:rFonts w:ascii="Arial"/>
                <w:spacing w:val="-1"/>
                <w:sz w:val="16"/>
              </w:rPr>
              <w:t>5,004,994,769</w:t>
            </w:r>
          </w:p>
        </w:tc>
      </w:tr>
      <w:tr>
        <w:trPr>
          <w:trHeight w:val="209" w:hRule="exact"/>
        </w:trPr>
        <w:tc>
          <w:tcPr>
            <w:tcW w:w="2650" w:type="dxa"/>
            <w:tcBorders>
              <w:top w:val="nil" w:sz="6" w:space="0" w:color="auto"/>
              <w:left w:val="nil" w:sz="6" w:space="0" w:color="auto"/>
              <w:bottom w:val="nil" w:sz="6" w:space="0" w:color="auto"/>
              <w:right w:val="nil" w:sz="6" w:space="0" w:color="auto"/>
            </w:tcBorders>
          </w:tcPr>
          <w:p>
            <w:pPr>
              <w:pStyle w:val="TableParagraph"/>
              <w:spacing w:line="187" w:lineRule="exact"/>
              <w:ind w:left="16" w:right="0"/>
              <w:jc w:val="lef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8"/>
                <w:sz w:val="16"/>
                <w:szCs w:val="16"/>
              </w:rPr>
              <w:t> </w:t>
            </w:r>
            <w:r>
              <w:rPr>
                <w:rFonts w:ascii="宋体" w:hAnsi="宋体" w:cs="宋体" w:eastAsia="宋体" w:hint="default"/>
                <w:sz w:val="16"/>
                <w:szCs w:val="16"/>
              </w:rPr>
              <w:t>年境外人民币第一期中期票据</w:t>
            </w:r>
          </w:p>
        </w:tc>
        <w:tc>
          <w:tcPr>
            <w:tcW w:w="811" w:type="dxa"/>
            <w:tcBorders>
              <w:top w:val="nil" w:sz="6" w:space="0" w:color="auto"/>
              <w:left w:val="nil" w:sz="6" w:space="0" w:color="auto"/>
              <w:bottom w:val="nil" w:sz="6" w:space="0" w:color="auto"/>
              <w:right w:val="nil" w:sz="6" w:space="0" w:color="auto"/>
            </w:tcBorders>
          </w:tcPr>
          <w:p>
            <w:pPr>
              <w:pStyle w:val="TableParagraph"/>
              <w:spacing w:line="187" w:lineRule="exact"/>
              <w:ind w:left="89" w:right="0"/>
              <w:jc w:val="center"/>
              <w:rPr>
                <w:rFonts w:ascii="宋体" w:hAnsi="宋体" w:cs="宋体" w:eastAsia="宋体" w:hint="default"/>
                <w:sz w:val="16"/>
                <w:szCs w:val="16"/>
              </w:rPr>
            </w:pPr>
            <w:r>
              <w:rPr>
                <w:rFonts w:ascii="Arial" w:hAnsi="Arial" w:cs="Arial" w:eastAsia="Arial" w:hint="default"/>
                <w:sz w:val="16"/>
                <w:szCs w:val="16"/>
              </w:rPr>
              <w:t>40</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521" w:type="dxa"/>
            <w:tcBorders>
              <w:top w:val="nil" w:sz="6" w:space="0" w:color="auto"/>
              <w:left w:val="nil" w:sz="6" w:space="0" w:color="auto"/>
              <w:bottom w:val="nil" w:sz="6" w:space="0" w:color="auto"/>
              <w:right w:val="nil" w:sz="6" w:space="0" w:color="auto"/>
            </w:tcBorders>
          </w:tcPr>
          <w:p>
            <w:pPr>
              <w:pStyle w:val="TableParagraph"/>
              <w:spacing w:line="187" w:lineRule="exact"/>
              <w:ind w:left="234" w:right="0"/>
              <w:jc w:val="center"/>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4</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6</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712" w:type="dxa"/>
            <w:tcBorders>
              <w:top w:val="nil" w:sz="6" w:space="0" w:color="auto"/>
              <w:left w:val="nil" w:sz="6" w:space="0" w:color="auto"/>
              <w:bottom w:val="nil" w:sz="6" w:space="0" w:color="auto"/>
              <w:right w:val="nil" w:sz="6" w:space="0" w:color="auto"/>
            </w:tcBorders>
          </w:tcPr>
          <w:p>
            <w:pPr>
              <w:pStyle w:val="TableParagraph"/>
              <w:spacing w:line="187" w:lineRule="exact"/>
              <w:ind w:right="34"/>
              <w:jc w:val="right"/>
              <w:rPr>
                <w:rFonts w:ascii="宋体" w:hAnsi="宋体" w:cs="宋体" w:eastAsia="宋体" w:hint="default"/>
                <w:sz w:val="16"/>
                <w:szCs w:val="16"/>
              </w:rPr>
            </w:pPr>
            <w:r>
              <w:rPr>
                <w:rFonts w:ascii="Arial" w:hAnsi="Arial" w:cs="Arial" w:eastAsia="Arial" w:hint="default"/>
                <w:sz w:val="16"/>
                <w:szCs w:val="16"/>
              </w:rPr>
              <w:t>3</w:t>
            </w:r>
            <w:r>
              <w:rPr>
                <w:rFonts w:ascii="Arial" w:hAnsi="Arial" w:cs="Arial" w:eastAsia="Arial" w:hint="default"/>
                <w:spacing w:val="-4"/>
                <w:sz w:val="16"/>
                <w:szCs w:val="16"/>
              </w:rPr>
              <w:t> </w:t>
            </w:r>
            <w:r>
              <w:rPr>
                <w:rFonts w:ascii="宋体" w:hAnsi="宋体" w:cs="宋体" w:eastAsia="宋体" w:hint="default"/>
                <w:sz w:val="16"/>
                <w:szCs w:val="16"/>
              </w:rPr>
              <w:t>年</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6"/>
              <w:jc w:val="right"/>
              <w:rPr>
                <w:rFonts w:ascii="Arial" w:hAnsi="Arial" w:cs="Arial" w:eastAsia="Arial" w:hint="default"/>
                <w:sz w:val="16"/>
                <w:szCs w:val="16"/>
              </w:rPr>
            </w:pPr>
            <w:r>
              <w:rPr>
                <w:rFonts w:ascii="Arial"/>
                <w:spacing w:val="-1"/>
                <w:sz w:val="16"/>
              </w:rPr>
              <w:t>4.00%</w:t>
            </w:r>
          </w:p>
        </w:tc>
        <w:tc>
          <w:tcPr>
            <w:tcW w:w="920" w:type="dxa"/>
            <w:tcBorders>
              <w:top w:val="nil" w:sz="6" w:space="0" w:color="auto"/>
              <w:left w:val="nil" w:sz="6" w:space="0" w:color="auto"/>
              <w:bottom w:val="nil" w:sz="6" w:space="0" w:color="auto"/>
              <w:right w:val="nil" w:sz="6" w:space="0" w:color="auto"/>
            </w:tcBorders>
          </w:tcPr>
          <w:p>
            <w:pPr>
              <w:pStyle w:val="TableParagraph"/>
              <w:spacing w:line="187" w:lineRule="exact"/>
              <w:ind w:right="26"/>
              <w:jc w:val="right"/>
              <w:rPr>
                <w:rFonts w:ascii="宋体" w:hAnsi="宋体" w:cs="宋体" w:eastAsia="宋体" w:hint="default"/>
                <w:sz w:val="16"/>
                <w:szCs w:val="16"/>
              </w:rPr>
            </w:pPr>
            <w:r>
              <w:rPr>
                <w:rFonts w:ascii="Arial" w:hAnsi="Arial" w:cs="Arial" w:eastAsia="Arial" w:hint="default"/>
                <w:sz w:val="16"/>
                <w:szCs w:val="16"/>
              </w:rPr>
              <w:t>40</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3"/>
              <w:jc w:val="right"/>
              <w:rPr>
                <w:rFonts w:ascii="Arial" w:hAnsi="Arial" w:cs="Arial" w:eastAsia="Arial" w:hint="default"/>
                <w:sz w:val="16"/>
                <w:szCs w:val="16"/>
              </w:rPr>
            </w:pPr>
            <w:r>
              <w:rPr>
                <w:rFonts w:ascii="Arial"/>
                <w:w w:val="100"/>
                <w:sz w:val="16"/>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1"/>
              <w:jc w:val="right"/>
              <w:rPr>
                <w:rFonts w:ascii="Arial" w:hAnsi="Arial" w:cs="Arial" w:eastAsia="Arial" w:hint="default"/>
                <w:sz w:val="16"/>
                <w:szCs w:val="16"/>
              </w:rPr>
            </w:pPr>
            <w:r>
              <w:rPr>
                <w:rFonts w:ascii="Arial"/>
                <w:spacing w:val="-1"/>
                <w:sz w:val="16"/>
              </w:rPr>
              <w:t>4,000,000,000</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center"/>
              <w:rPr>
                <w:rFonts w:ascii="Arial" w:hAnsi="Arial" w:cs="Arial" w:eastAsia="Arial" w:hint="default"/>
                <w:sz w:val="16"/>
                <w:szCs w:val="16"/>
              </w:rPr>
            </w:pPr>
            <w:r>
              <w:rPr>
                <w:rFonts w:ascii="Arial"/>
                <w:sz w:val="16"/>
              </w:rPr>
              <w:t>113,534,725</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Arial" w:hAnsi="Arial" w:cs="Arial" w:eastAsia="Arial" w:hint="default"/>
                <w:sz w:val="16"/>
                <w:szCs w:val="16"/>
              </w:rPr>
            </w:pPr>
            <w:r>
              <w:rPr>
                <w:rFonts w:ascii="Arial"/>
                <w:spacing w:val="-1"/>
                <w:sz w:val="16"/>
              </w:rPr>
              <w:t>(9,000,000)</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
              <w:jc w:val="right"/>
              <w:rPr>
                <w:rFonts w:ascii="Arial" w:hAnsi="Arial" w:cs="Arial" w:eastAsia="Arial" w:hint="default"/>
                <w:sz w:val="16"/>
                <w:szCs w:val="16"/>
              </w:rPr>
            </w:pPr>
            <w:r>
              <w:rPr>
                <w:rFonts w:ascii="Arial"/>
                <w:spacing w:val="-1"/>
                <w:sz w:val="16"/>
              </w:rPr>
              <w:t>(80,220,000)</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8"/>
              <w:jc w:val="right"/>
              <w:rPr>
                <w:rFonts w:ascii="Arial" w:hAnsi="Arial" w:cs="Arial" w:eastAsia="Arial" w:hint="default"/>
                <w:sz w:val="16"/>
                <w:szCs w:val="16"/>
              </w:rPr>
            </w:pPr>
            <w:r>
              <w:rPr>
                <w:rFonts w:ascii="Arial"/>
                <w:spacing w:val="-1"/>
                <w:sz w:val="16"/>
              </w:rPr>
              <w:t>4,024,314,725</w:t>
            </w:r>
          </w:p>
        </w:tc>
      </w:tr>
      <w:tr>
        <w:trPr>
          <w:trHeight w:val="191" w:hRule="exact"/>
        </w:trPr>
        <w:tc>
          <w:tcPr>
            <w:tcW w:w="2650" w:type="dxa"/>
            <w:tcBorders>
              <w:top w:val="nil" w:sz="6" w:space="0" w:color="auto"/>
              <w:left w:val="nil" w:sz="6" w:space="0" w:color="auto"/>
              <w:bottom w:val="nil" w:sz="6" w:space="0" w:color="auto"/>
              <w:right w:val="nil" w:sz="6" w:space="0" w:color="auto"/>
            </w:tcBorders>
          </w:tcPr>
          <w:p>
            <w:pPr>
              <w:pStyle w:val="TableParagraph"/>
              <w:spacing w:line="187" w:lineRule="exact"/>
              <w:ind w:left="16" w:right="0"/>
              <w:jc w:val="lef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8"/>
                <w:sz w:val="16"/>
                <w:szCs w:val="16"/>
              </w:rPr>
              <w:t> </w:t>
            </w:r>
            <w:r>
              <w:rPr>
                <w:rFonts w:ascii="宋体" w:hAnsi="宋体" w:cs="宋体" w:eastAsia="宋体" w:hint="default"/>
                <w:sz w:val="16"/>
                <w:szCs w:val="16"/>
              </w:rPr>
              <w:t>年境外人民币第二期中期票据</w:t>
            </w:r>
          </w:p>
        </w:tc>
        <w:tc>
          <w:tcPr>
            <w:tcW w:w="811" w:type="dxa"/>
            <w:tcBorders>
              <w:top w:val="nil" w:sz="6" w:space="0" w:color="auto"/>
              <w:left w:val="nil" w:sz="6" w:space="0" w:color="auto"/>
              <w:bottom w:val="nil" w:sz="6" w:space="0" w:color="auto"/>
              <w:right w:val="nil" w:sz="6" w:space="0" w:color="auto"/>
            </w:tcBorders>
          </w:tcPr>
          <w:p>
            <w:pPr>
              <w:pStyle w:val="TableParagraph"/>
              <w:spacing w:line="187" w:lineRule="exact"/>
              <w:ind w:left="89" w:right="0"/>
              <w:jc w:val="center"/>
              <w:rPr>
                <w:rFonts w:ascii="宋体" w:hAnsi="宋体" w:cs="宋体" w:eastAsia="宋体" w:hint="default"/>
                <w:sz w:val="16"/>
                <w:szCs w:val="16"/>
              </w:rPr>
            </w:pPr>
            <w:r>
              <w:rPr>
                <w:rFonts w:ascii="Arial" w:hAnsi="Arial" w:cs="Arial" w:eastAsia="Arial" w:hint="default"/>
                <w:sz w:val="16"/>
                <w:szCs w:val="16"/>
              </w:rPr>
              <w:t>25</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521" w:type="dxa"/>
            <w:tcBorders>
              <w:top w:val="nil" w:sz="6" w:space="0" w:color="auto"/>
              <w:left w:val="nil" w:sz="6" w:space="0" w:color="auto"/>
              <w:bottom w:val="nil" w:sz="6" w:space="0" w:color="auto"/>
              <w:right w:val="nil" w:sz="6" w:space="0" w:color="auto"/>
            </w:tcBorders>
          </w:tcPr>
          <w:p>
            <w:pPr>
              <w:pStyle w:val="TableParagraph"/>
              <w:spacing w:line="187" w:lineRule="exact"/>
              <w:ind w:left="145" w:right="0"/>
              <w:jc w:val="center"/>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7</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24</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712" w:type="dxa"/>
            <w:tcBorders>
              <w:top w:val="nil" w:sz="6" w:space="0" w:color="auto"/>
              <w:left w:val="nil" w:sz="6" w:space="0" w:color="auto"/>
              <w:bottom w:val="nil" w:sz="6" w:space="0" w:color="auto"/>
              <w:right w:val="nil" w:sz="6" w:space="0" w:color="auto"/>
            </w:tcBorders>
          </w:tcPr>
          <w:p>
            <w:pPr>
              <w:pStyle w:val="TableParagraph"/>
              <w:spacing w:line="187" w:lineRule="exact"/>
              <w:ind w:right="34"/>
              <w:jc w:val="right"/>
              <w:rPr>
                <w:rFonts w:ascii="宋体" w:hAnsi="宋体" w:cs="宋体" w:eastAsia="宋体" w:hint="default"/>
                <w:sz w:val="16"/>
                <w:szCs w:val="16"/>
              </w:rPr>
            </w:pPr>
            <w:r>
              <w:rPr>
                <w:rFonts w:ascii="Arial" w:hAnsi="Arial" w:cs="Arial" w:eastAsia="Arial" w:hint="default"/>
                <w:sz w:val="16"/>
                <w:szCs w:val="16"/>
              </w:rPr>
              <w:t>2</w:t>
            </w:r>
            <w:r>
              <w:rPr>
                <w:rFonts w:ascii="Arial" w:hAnsi="Arial" w:cs="Arial" w:eastAsia="Arial" w:hint="default"/>
                <w:spacing w:val="-4"/>
                <w:sz w:val="16"/>
                <w:szCs w:val="16"/>
              </w:rPr>
              <w:t> </w:t>
            </w:r>
            <w:r>
              <w:rPr>
                <w:rFonts w:ascii="宋体" w:hAnsi="宋体" w:cs="宋体" w:eastAsia="宋体" w:hint="default"/>
                <w:sz w:val="16"/>
                <w:szCs w:val="16"/>
              </w:rPr>
              <w:t>年</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6"/>
              <w:jc w:val="right"/>
              <w:rPr>
                <w:rFonts w:ascii="Arial" w:hAnsi="Arial" w:cs="Arial" w:eastAsia="Arial" w:hint="default"/>
                <w:sz w:val="16"/>
                <w:szCs w:val="16"/>
              </w:rPr>
            </w:pPr>
            <w:r>
              <w:rPr>
                <w:rFonts w:ascii="Arial"/>
                <w:spacing w:val="-1"/>
                <w:sz w:val="16"/>
              </w:rPr>
              <w:t>3.80%</w:t>
            </w:r>
          </w:p>
        </w:tc>
        <w:tc>
          <w:tcPr>
            <w:tcW w:w="920" w:type="dxa"/>
            <w:tcBorders>
              <w:top w:val="nil" w:sz="6" w:space="0" w:color="auto"/>
              <w:left w:val="nil" w:sz="6" w:space="0" w:color="auto"/>
              <w:bottom w:val="nil" w:sz="6" w:space="0" w:color="auto"/>
              <w:right w:val="nil" w:sz="6" w:space="0" w:color="auto"/>
            </w:tcBorders>
          </w:tcPr>
          <w:p>
            <w:pPr>
              <w:pStyle w:val="TableParagraph"/>
              <w:spacing w:line="187" w:lineRule="exact"/>
              <w:ind w:right="26"/>
              <w:jc w:val="right"/>
              <w:rPr>
                <w:rFonts w:ascii="宋体" w:hAnsi="宋体" w:cs="宋体" w:eastAsia="宋体" w:hint="default"/>
                <w:sz w:val="16"/>
                <w:szCs w:val="16"/>
              </w:rPr>
            </w:pPr>
            <w:r>
              <w:rPr>
                <w:rFonts w:ascii="Arial" w:hAnsi="Arial" w:cs="Arial" w:eastAsia="Arial" w:hint="default"/>
                <w:sz w:val="16"/>
                <w:szCs w:val="16"/>
              </w:rPr>
              <w:t>25</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3"/>
              <w:jc w:val="right"/>
              <w:rPr>
                <w:rFonts w:ascii="Arial" w:hAnsi="Arial" w:cs="Arial" w:eastAsia="Arial" w:hint="default"/>
                <w:sz w:val="16"/>
                <w:szCs w:val="16"/>
              </w:rPr>
            </w:pPr>
            <w:r>
              <w:rPr>
                <w:rFonts w:ascii="Arial"/>
                <w:w w:val="100"/>
                <w:sz w:val="16"/>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1"/>
              <w:jc w:val="right"/>
              <w:rPr>
                <w:rFonts w:ascii="Arial" w:hAnsi="Arial" w:cs="Arial" w:eastAsia="Arial" w:hint="default"/>
                <w:sz w:val="16"/>
                <w:szCs w:val="16"/>
              </w:rPr>
            </w:pPr>
            <w:r>
              <w:rPr>
                <w:rFonts w:ascii="Arial"/>
                <w:spacing w:val="-1"/>
                <w:sz w:val="16"/>
              </w:rPr>
              <w:t>2,500,000,000</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7" w:right="0"/>
              <w:jc w:val="center"/>
              <w:rPr>
                <w:rFonts w:ascii="Arial" w:hAnsi="Arial" w:cs="Arial" w:eastAsia="Arial" w:hint="default"/>
                <w:sz w:val="16"/>
                <w:szCs w:val="16"/>
              </w:rPr>
            </w:pPr>
            <w:r>
              <w:rPr>
                <w:rFonts w:ascii="Arial"/>
                <w:sz w:val="16"/>
              </w:rPr>
              <w:t>41,903,660</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Arial" w:hAnsi="Arial" w:cs="Arial" w:eastAsia="Arial" w:hint="default"/>
                <w:sz w:val="16"/>
                <w:szCs w:val="16"/>
              </w:rPr>
            </w:pPr>
            <w:r>
              <w:rPr>
                <w:rFonts w:ascii="Arial"/>
                <w:spacing w:val="-1"/>
                <w:sz w:val="16"/>
              </w:rPr>
              <w:t>(3,750,000)</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
              <w:jc w:val="right"/>
              <w:rPr>
                <w:rFonts w:ascii="Arial" w:hAnsi="Arial" w:cs="Arial" w:eastAsia="Arial" w:hint="default"/>
                <w:sz w:val="16"/>
                <w:szCs w:val="16"/>
              </w:rPr>
            </w:pPr>
            <w:r>
              <w:rPr>
                <w:rFonts w:ascii="Arial"/>
                <w:w w:val="100"/>
                <w:sz w:val="16"/>
              </w:rPr>
              <w:t>-</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
              <w:jc w:val="right"/>
              <w:rPr>
                <w:rFonts w:ascii="Arial" w:hAnsi="Arial" w:cs="Arial" w:eastAsia="Arial" w:hint="default"/>
                <w:sz w:val="16"/>
                <w:szCs w:val="16"/>
              </w:rPr>
            </w:pPr>
            <w:r>
              <w:rPr>
                <w:rFonts w:ascii="Arial"/>
                <w:spacing w:val="-1"/>
                <w:sz w:val="16"/>
              </w:rPr>
              <w:t>2,538,153,660</w:t>
            </w:r>
            <w:r>
              <w:rPr>
                <w:rFonts w:ascii="Arial"/>
                <w:sz w:val="16"/>
              </w:rPr>
            </w:r>
          </w:p>
        </w:tc>
      </w:tr>
    </w:tbl>
    <w:p>
      <w:pPr>
        <w:spacing w:line="240" w:lineRule="auto" w:before="6"/>
        <w:rPr>
          <w:rFonts w:ascii="宋体" w:hAnsi="宋体" w:cs="宋体" w:eastAsia="宋体" w:hint="default"/>
          <w:sz w:val="14"/>
          <w:szCs w:val="14"/>
        </w:rPr>
      </w:pPr>
    </w:p>
    <w:p>
      <w:pPr>
        <w:pStyle w:val="BodyText"/>
        <w:spacing w:line="286" w:lineRule="exact" w:before="61"/>
        <w:ind w:left="533" w:right="0"/>
        <w:jc w:val="left"/>
      </w:pPr>
      <w:r>
        <w:rPr>
          <w:rFonts w:ascii="Arial" w:hAnsi="Arial" w:cs="Arial" w:eastAsia="Arial" w:hint="default"/>
        </w:rPr>
        <w:t>2014</w:t>
      </w:r>
      <w:r>
        <w:rPr>
          <w:rFonts w:ascii="Arial" w:hAnsi="Arial" w:cs="Arial" w:eastAsia="Arial" w:hint="default"/>
          <w:spacing w:val="-5"/>
        </w:rPr>
        <w:t> </w:t>
      </w:r>
      <w:r>
        <w:rPr/>
        <w:t>年境外人民币第一期及第二期中期票据为红筹公司发行，单利按半年计息，每半年支付一次。</w:t>
      </w:r>
      <w:r>
        <w:rPr>
          <w:rFonts w:ascii="Arial" w:hAnsi="Arial" w:cs="Arial" w:eastAsia="Arial" w:hint="default"/>
        </w:rPr>
        <w:t>2007</w:t>
      </w:r>
      <w:r>
        <w:rPr>
          <w:rFonts w:ascii="Arial" w:hAnsi="Arial" w:cs="Arial" w:eastAsia="Arial" w:hint="default"/>
          <w:spacing w:val="-4"/>
        </w:rPr>
        <w:t> </w:t>
      </w:r>
      <w:r>
        <w:rPr/>
        <w:t>年公司债券及</w:t>
      </w:r>
      <w:r>
        <w:rPr>
          <w:spacing w:val="-53"/>
        </w:rPr>
        <w:t> </w:t>
      </w:r>
      <w:r>
        <w:rPr>
          <w:rFonts w:ascii="Arial" w:hAnsi="Arial" w:cs="Arial" w:eastAsia="Arial" w:hint="default"/>
        </w:rPr>
        <w:t>2014</w:t>
      </w:r>
      <w:r>
        <w:rPr>
          <w:rFonts w:ascii="Arial" w:hAnsi="Arial" w:cs="Arial" w:eastAsia="Arial" w:hint="default"/>
          <w:spacing w:val="-5"/>
        </w:rPr>
        <w:t> </w:t>
      </w:r>
      <w:r>
        <w:rPr/>
        <w:t>年第一期、第二期和第三期</w:t>
      </w:r>
      <w:r>
        <w:rPr>
          <w:w w:val="100"/>
        </w:rPr>
        <w:t> </w:t>
      </w:r>
      <w:r>
        <w:rPr/>
        <w:t>中期票据均为本公司所属联通运营公司发行，且均为单利按年计息，每年付息一次。</w:t>
      </w:r>
    </w:p>
    <w:p>
      <w:pPr>
        <w:spacing w:line="240" w:lineRule="auto" w:before="3"/>
        <w:rPr>
          <w:rFonts w:ascii="宋体" w:hAnsi="宋体" w:cs="宋体" w:eastAsia="宋体" w:hint="default"/>
          <w:sz w:val="17"/>
          <w:szCs w:val="17"/>
        </w:rPr>
      </w:pPr>
    </w:p>
    <w:p>
      <w:pPr>
        <w:pStyle w:val="BodyText"/>
        <w:spacing w:line="240" w:lineRule="auto"/>
        <w:ind w:left="533" w:right="8869"/>
        <w:jc w:val="left"/>
      </w:pPr>
      <w:r>
        <w:rPr/>
        <w:t>注</w:t>
      </w:r>
      <w:r>
        <w:rPr>
          <w:spacing w:val="-57"/>
        </w:rPr>
        <w:t> </w:t>
      </w:r>
      <w:r>
        <w:rPr>
          <w:rFonts w:ascii="Arial" w:hAnsi="Arial" w:cs="Arial" w:eastAsia="Arial" w:hint="default"/>
        </w:rPr>
        <w:t>1</w:t>
      </w:r>
      <w:r>
        <w:rPr/>
        <w:t>：余额包含了附注五</w:t>
      </w:r>
      <w:r>
        <w:rPr>
          <w:rFonts w:ascii="Arial" w:hAnsi="Arial" w:cs="Arial" w:eastAsia="Arial" w:hint="default"/>
        </w:rPr>
        <w:t>(21)</w:t>
      </w:r>
      <w:r>
        <w:rPr/>
        <w:t>列示的应付长期债券利息。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before="0"/>
        <w:ind w:left="7503" w:right="7504" w:firstLine="0"/>
        <w:jc w:val="center"/>
        <w:rPr>
          <w:rFonts w:ascii="Arial" w:hAnsi="Arial" w:cs="Arial" w:eastAsia="Arial" w:hint="default"/>
          <w:sz w:val="18"/>
          <w:szCs w:val="18"/>
        </w:rPr>
      </w:pPr>
      <w:r>
        <w:rPr>
          <w:rFonts w:ascii="Arial"/>
          <w:spacing w:val="-5"/>
          <w:sz w:val="18"/>
        </w:rPr>
        <w:t>113</w:t>
      </w:r>
    </w:p>
    <w:p>
      <w:pPr>
        <w:spacing w:after="0"/>
        <w:jc w:val="center"/>
        <w:rPr>
          <w:rFonts w:ascii="Arial" w:hAnsi="Arial" w:cs="Arial" w:eastAsia="Arial" w:hint="default"/>
          <w:sz w:val="18"/>
          <w:szCs w:val="18"/>
        </w:rPr>
        <w:sectPr>
          <w:headerReference w:type="default" r:id="rId98"/>
          <w:footerReference w:type="default" r:id="rId99"/>
          <w:pgSz w:w="16840" w:h="11910" w:orient="landscape"/>
          <w:pgMar w:header="0" w:footer="0" w:top="1100" w:bottom="280" w:left="460" w:right="1040"/>
        </w:sectPr>
      </w:pPr>
    </w:p>
    <w:p>
      <w:pPr>
        <w:spacing w:line="240" w:lineRule="auto" w:before="1"/>
        <w:rPr>
          <w:rFonts w:ascii="Arial" w:hAnsi="Arial" w:cs="Arial" w:eastAsia="Arial" w:hint="default"/>
          <w:sz w:val="19"/>
          <w:szCs w:val="19"/>
        </w:rPr>
      </w:pPr>
    </w:p>
    <w:p>
      <w:pPr>
        <w:pStyle w:val="BodyText"/>
        <w:spacing w:line="240" w:lineRule="auto" w:before="32"/>
        <w:ind w:left="102" w:right="1307"/>
        <w:jc w:val="left"/>
      </w:pPr>
      <w:r>
        <w:rPr>
          <w:rFonts w:ascii="Arial" w:hAnsi="Arial" w:cs="Arial" w:eastAsia="Arial" w:hint="default"/>
        </w:rPr>
        <w:t>27</w:t>
      </w:r>
      <w:r>
        <w:rPr/>
        <w:t>、应付债券（续）</w:t>
      </w:r>
    </w:p>
    <w:p>
      <w:pPr>
        <w:spacing w:line="240" w:lineRule="auto" w:before="12"/>
        <w:rPr>
          <w:rFonts w:ascii="宋体" w:hAnsi="宋体" w:cs="宋体" w:eastAsia="宋体" w:hint="default"/>
          <w:sz w:val="17"/>
          <w:szCs w:val="17"/>
        </w:rPr>
      </w:pPr>
    </w:p>
    <w:p>
      <w:pPr>
        <w:pStyle w:val="BodyText"/>
        <w:spacing w:line="240" w:lineRule="auto"/>
        <w:ind w:left="102" w:right="1307"/>
        <w:jc w:val="left"/>
      </w:pPr>
      <w:r>
        <w:rPr>
          <w:rFonts w:ascii="Arial" w:hAnsi="Arial" w:cs="Arial" w:eastAsia="Arial" w:hint="default"/>
        </w:rPr>
        <w:t>(c) </w:t>
      </w:r>
      <w:r>
        <w:rPr>
          <w:rFonts w:ascii="Arial" w:hAnsi="Arial" w:cs="Arial" w:eastAsia="Arial" w:hint="default"/>
          <w:spacing w:val="42"/>
        </w:rPr>
        <w:t> </w:t>
      </w:r>
      <w:r>
        <w:rPr/>
        <w:t>可转换债券相关信息：</w:t>
      </w:r>
    </w:p>
    <w:p>
      <w:pPr>
        <w:spacing w:line="240" w:lineRule="auto" w:before="12"/>
        <w:rPr>
          <w:rFonts w:ascii="宋体" w:hAnsi="宋体" w:cs="宋体" w:eastAsia="宋体" w:hint="default"/>
          <w:sz w:val="17"/>
          <w:szCs w:val="17"/>
        </w:rPr>
      </w:pPr>
    </w:p>
    <w:p>
      <w:pPr>
        <w:pStyle w:val="BodyText"/>
        <w:spacing w:line="295" w:lineRule="exact"/>
        <w:ind w:left="534" w:right="0"/>
        <w:jc w:val="both"/>
      </w:pPr>
      <w:r>
        <w:rPr/>
        <w:t>于</w:t>
      </w:r>
      <w:r>
        <w:rPr>
          <w:spacing w:val="-51"/>
        </w:rPr>
        <w:t> </w:t>
      </w:r>
      <w:r>
        <w:rPr>
          <w:rFonts w:ascii="Arial" w:hAnsi="Arial" w:cs="Arial" w:eastAsia="Arial" w:hint="default"/>
        </w:rPr>
        <w:t>2010</w:t>
      </w:r>
      <w:r>
        <w:rPr>
          <w:rFonts w:ascii="Arial" w:hAnsi="Arial" w:cs="Arial" w:eastAsia="Arial" w:hint="default"/>
          <w:spacing w:val="-3"/>
        </w:rPr>
        <w:t> </w:t>
      </w:r>
      <w:r>
        <w:rPr/>
        <w:t>年</w:t>
      </w:r>
      <w:r>
        <w:rPr>
          <w:spacing w:val="-51"/>
        </w:rPr>
        <w:t> </w:t>
      </w:r>
      <w:r>
        <w:rPr>
          <w:rFonts w:ascii="Arial" w:hAnsi="Arial" w:cs="Arial" w:eastAsia="Arial" w:hint="default"/>
        </w:rPr>
        <w:t>10</w:t>
      </w:r>
      <w:r>
        <w:rPr>
          <w:rFonts w:ascii="Arial" w:hAnsi="Arial" w:cs="Arial" w:eastAsia="Arial" w:hint="default"/>
          <w:spacing w:val="-3"/>
        </w:rPr>
        <w:t> </w:t>
      </w:r>
      <w:r>
        <w:rPr/>
        <w:t>月</w:t>
      </w:r>
      <w:r>
        <w:rPr>
          <w:spacing w:val="-51"/>
        </w:rPr>
        <w:t> </w:t>
      </w:r>
      <w:r>
        <w:rPr>
          <w:rFonts w:ascii="Arial" w:hAnsi="Arial" w:cs="Arial" w:eastAsia="Arial" w:hint="default"/>
        </w:rPr>
        <w:t>18</w:t>
      </w:r>
      <w:r>
        <w:rPr>
          <w:rFonts w:ascii="Arial" w:hAnsi="Arial" w:cs="Arial" w:eastAsia="Arial" w:hint="default"/>
          <w:spacing w:val="-3"/>
        </w:rPr>
        <w:t> </w:t>
      </w:r>
      <w:r>
        <w:rPr>
          <w:spacing w:val="-3"/>
        </w:rPr>
        <w:t>日，联通红筹公司的全资子公司亿讯投资有限公司（</w:t>
      </w:r>
      <w:r>
        <w:rPr>
          <w:rFonts w:ascii="Arial" w:hAnsi="Arial" w:cs="Arial" w:eastAsia="Arial" w:hint="default"/>
          <w:spacing w:val="-3"/>
        </w:rPr>
        <w:t>“</w:t>
      </w:r>
      <w:r>
        <w:rPr>
          <w:spacing w:val="-3"/>
        </w:rPr>
        <w:t>亿讯公司</w:t>
      </w:r>
      <w:r>
        <w:rPr>
          <w:rFonts w:ascii="Arial" w:hAnsi="Arial" w:cs="Arial" w:eastAsia="Arial" w:hint="default"/>
          <w:spacing w:val="-3"/>
        </w:rPr>
        <w:t>”</w:t>
      </w:r>
      <w:r>
        <w:rPr>
          <w:spacing w:val="-3"/>
        </w:rPr>
        <w:t>）作为可转</w:t>
      </w:r>
    </w:p>
    <w:p>
      <w:pPr>
        <w:pStyle w:val="BodyText"/>
        <w:spacing w:line="286" w:lineRule="exact" w:before="19"/>
        <w:ind w:left="534" w:right="0"/>
        <w:jc w:val="left"/>
      </w:pPr>
      <w:r>
        <w:rPr>
          <w:spacing w:val="-6"/>
        </w:rPr>
        <w:t>换债券的发行人，发行总本金额为</w:t>
      </w:r>
      <w:r>
        <w:rPr>
          <w:spacing w:val="-52"/>
        </w:rPr>
        <w:t> </w:t>
      </w:r>
      <w:r>
        <w:rPr>
          <w:rFonts w:ascii="Arial" w:hAnsi="Arial" w:cs="Arial" w:eastAsia="Arial" w:hint="default"/>
        </w:rPr>
        <w:t>1,838,800,000</w:t>
      </w:r>
      <w:r>
        <w:rPr>
          <w:rFonts w:ascii="Arial" w:hAnsi="Arial" w:cs="Arial" w:eastAsia="Arial" w:hint="default"/>
          <w:spacing w:val="-6"/>
        </w:rPr>
        <w:t> </w:t>
      </w:r>
      <w:r>
        <w:rPr>
          <w:spacing w:val="-11"/>
        </w:rPr>
        <w:t>美元（按固定汇率</w:t>
      </w:r>
      <w:r>
        <w:rPr>
          <w:spacing w:val="-52"/>
        </w:rPr>
        <w:t> </w:t>
      </w:r>
      <w:r>
        <w:rPr>
          <w:rFonts w:ascii="Arial" w:hAnsi="Arial" w:cs="Arial" w:eastAsia="Arial" w:hint="default"/>
        </w:rPr>
        <w:t>1</w:t>
      </w:r>
      <w:r>
        <w:rPr>
          <w:rFonts w:ascii="Arial" w:hAnsi="Arial" w:cs="Arial" w:eastAsia="Arial" w:hint="default"/>
          <w:spacing w:val="-4"/>
        </w:rPr>
        <w:t> </w:t>
      </w:r>
      <w:r>
        <w:rPr/>
        <w:t>美元等值港币</w:t>
      </w:r>
      <w:r>
        <w:rPr>
          <w:spacing w:val="-52"/>
        </w:rPr>
        <w:t> </w:t>
      </w:r>
      <w:r>
        <w:rPr>
          <w:rFonts w:ascii="Arial" w:hAnsi="Arial" w:cs="Arial" w:eastAsia="Arial" w:hint="default"/>
        </w:rPr>
        <w:t>7.7576</w:t>
      </w:r>
      <w:r>
        <w:rPr>
          <w:rFonts w:ascii="Arial" w:hAnsi="Arial" w:cs="Arial" w:eastAsia="Arial" w:hint="default"/>
          <w:spacing w:val="-4"/>
        </w:rPr>
        <w:t> </w:t>
      </w:r>
      <w:r>
        <w:rPr>
          <w:spacing w:val="-3"/>
        </w:rPr>
        <w:t>元）</w:t>
      </w:r>
      <w:r>
        <w:rPr>
          <w:spacing w:val="-3"/>
          <w:w w:val="100"/>
        </w:rPr>
        <w:t> </w:t>
      </w:r>
      <w:r>
        <w:rPr/>
        <w:t>年利率</w:t>
      </w:r>
      <w:r>
        <w:rPr>
          <w:spacing w:val="-54"/>
        </w:rPr>
        <w:t> </w:t>
      </w:r>
      <w:r>
        <w:rPr>
          <w:rFonts w:ascii="Arial" w:hAnsi="Arial" w:cs="Arial" w:eastAsia="Arial" w:hint="default"/>
        </w:rPr>
        <w:t>0.75%</w:t>
      </w:r>
      <w:r>
        <w:rPr/>
        <w:t>的有担保可换股债券，该可换股债券于</w:t>
      </w:r>
      <w:r>
        <w:rPr>
          <w:spacing w:val="-53"/>
        </w:rPr>
        <w:t> </w:t>
      </w:r>
      <w:r>
        <w:rPr>
          <w:rFonts w:ascii="Arial" w:hAnsi="Arial" w:cs="Arial" w:eastAsia="Arial" w:hint="default"/>
        </w:rPr>
        <w:t>2015</w:t>
      </w:r>
      <w:r>
        <w:rPr>
          <w:rFonts w:ascii="Arial" w:hAnsi="Arial" w:cs="Arial" w:eastAsia="Arial" w:hint="default"/>
          <w:spacing w:val="-5"/>
        </w:rPr>
        <w:t> </w:t>
      </w:r>
      <w:r>
        <w:rPr/>
        <w:t>年</w:t>
      </w:r>
      <w:r>
        <w:rPr>
          <w:spacing w:val="-54"/>
        </w:rPr>
        <w:t> </w:t>
      </w:r>
      <w:r>
        <w:rPr>
          <w:rFonts w:ascii="Arial" w:hAnsi="Arial" w:cs="Arial" w:eastAsia="Arial" w:hint="default"/>
        </w:rPr>
        <w:t>10</w:t>
      </w:r>
      <w:r>
        <w:rPr>
          <w:rFonts w:ascii="Arial" w:hAnsi="Arial" w:cs="Arial" w:eastAsia="Arial" w:hint="default"/>
          <w:spacing w:val="-5"/>
        </w:rPr>
        <w:t> </w:t>
      </w:r>
      <w:r>
        <w:rPr/>
        <w:t>月到期并以本金</w:t>
      </w:r>
      <w:r>
        <w:rPr>
          <w:spacing w:val="-53"/>
        </w:rPr>
        <w:t> </w:t>
      </w:r>
      <w:r>
        <w:rPr>
          <w:rFonts w:ascii="Arial" w:hAnsi="Arial" w:cs="Arial" w:eastAsia="Arial" w:hint="default"/>
        </w:rPr>
        <w:t>100%</w:t>
      </w:r>
      <w:r>
        <w:rPr/>
        <w:t>赎回，</w:t>
      </w:r>
      <w:r>
        <w:rPr>
          <w:w w:val="100"/>
        </w:rPr>
        <w:t> </w:t>
      </w:r>
      <w:r>
        <w:rPr/>
        <w:t>每年</w:t>
      </w:r>
      <w:r>
        <w:rPr>
          <w:spacing w:val="-44"/>
        </w:rPr>
        <w:t> </w:t>
      </w:r>
      <w:r>
        <w:rPr>
          <w:rFonts w:ascii="Arial" w:hAnsi="Arial" w:cs="Arial" w:eastAsia="Arial" w:hint="default"/>
        </w:rPr>
        <w:t>4</w:t>
      </w:r>
      <w:r>
        <w:rPr>
          <w:rFonts w:ascii="Arial" w:hAnsi="Arial" w:cs="Arial" w:eastAsia="Arial" w:hint="default"/>
          <w:spacing w:val="2"/>
        </w:rPr>
        <w:t> </w:t>
      </w:r>
      <w:r>
        <w:rPr/>
        <w:t>月</w:t>
      </w:r>
      <w:r>
        <w:rPr>
          <w:spacing w:val="-44"/>
        </w:rPr>
        <w:t> </w:t>
      </w:r>
      <w:r>
        <w:rPr>
          <w:rFonts w:ascii="Arial" w:hAnsi="Arial" w:cs="Arial" w:eastAsia="Arial" w:hint="default"/>
        </w:rPr>
        <w:t>18</w:t>
      </w:r>
      <w:r>
        <w:rPr>
          <w:rFonts w:ascii="Arial" w:hAnsi="Arial" w:cs="Arial" w:eastAsia="Arial" w:hint="default"/>
          <w:spacing w:val="2"/>
        </w:rPr>
        <w:t> </w:t>
      </w:r>
      <w:r>
        <w:rPr/>
        <w:t>日和</w:t>
      </w:r>
      <w:r>
        <w:rPr>
          <w:spacing w:val="-44"/>
        </w:rPr>
        <w:t> </w:t>
      </w:r>
      <w:r>
        <w:rPr>
          <w:rFonts w:ascii="Arial" w:hAnsi="Arial" w:cs="Arial" w:eastAsia="Arial" w:hint="default"/>
        </w:rPr>
        <w:t>10</w:t>
      </w:r>
      <w:r>
        <w:rPr>
          <w:rFonts w:ascii="Arial" w:hAnsi="Arial" w:cs="Arial" w:eastAsia="Arial" w:hint="default"/>
          <w:spacing w:val="2"/>
        </w:rPr>
        <w:t> </w:t>
      </w:r>
      <w:r>
        <w:rPr/>
        <w:t>月</w:t>
      </w:r>
      <w:r>
        <w:rPr>
          <w:spacing w:val="-46"/>
        </w:rPr>
        <w:t> </w:t>
      </w:r>
      <w:r>
        <w:rPr>
          <w:rFonts w:ascii="Arial" w:hAnsi="Arial" w:cs="Arial" w:eastAsia="Arial" w:hint="default"/>
        </w:rPr>
        <w:t>18</w:t>
      </w:r>
      <w:r>
        <w:rPr>
          <w:rFonts w:ascii="Arial" w:hAnsi="Arial" w:cs="Arial" w:eastAsia="Arial" w:hint="default"/>
          <w:spacing w:val="4"/>
        </w:rPr>
        <w:t> </w:t>
      </w:r>
      <w:r>
        <w:rPr/>
        <w:t>日进行半年派息。债券的偿还由联通集团担保并可以初步换股价每</w:t>
      </w:r>
    </w:p>
    <w:p>
      <w:pPr>
        <w:pStyle w:val="BodyText"/>
        <w:spacing w:line="286" w:lineRule="exact"/>
        <w:ind w:left="534" w:right="221"/>
        <w:jc w:val="both"/>
      </w:pPr>
      <w:r>
        <w:rPr/>
        <w:t>股港币</w:t>
      </w:r>
      <w:r>
        <w:rPr>
          <w:spacing w:val="-47"/>
        </w:rPr>
        <w:t> </w:t>
      </w:r>
      <w:r>
        <w:rPr>
          <w:rFonts w:ascii="Arial" w:hAnsi="Arial" w:cs="Arial" w:eastAsia="Arial" w:hint="default"/>
        </w:rPr>
        <w:t>15.85</w:t>
      </w:r>
      <w:r>
        <w:rPr>
          <w:rFonts w:ascii="Arial" w:hAnsi="Arial" w:cs="Arial" w:eastAsia="Arial" w:hint="default"/>
          <w:spacing w:val="2"/>
        </w:rPr>
        <w:t> </w:t>
      </w:r>
      <w:r>
        <w:rPr/>
        <w:t>元转换为联通红筹公司的普通股股票。转股价可根据于</w:t>
      </w:r>
      <w:r>
        <w:rPr>
          <w:spacing w:val="-45"/>
        </w:rPr>
        <w:t> </w:t>
      </w:r>
      <w:r>
        <w:rPr>
          <w:rFonts w:ascii="Arial" w:hAnsi="Arial" w:cs="Arial" w:eastAsia="Arial" w:hint="default"/>
        </w:rPr>
        <w:t>2010</w:t>
      </w:r>
      <w:r>
        <w:rPr>
          <w:rFonts w:ascii="Arial" w:hAnsi="Arial" w:cs="Arial" w:eastAsia="Arial" w:hint="default"/>
          <w:spacing w:val="-1"/>
        </w:rPr>
        <w:t> </w:t>
      </w:r>
      <w:r>
        <w:rPr/>
        <w:t>年</w:t>
      </w:r>
      <w:r>
        <w:rPr>
          <w:spacing w:val="-47"/>
        </w:rPr>
        <w:t> </w:t>
      </w:r>
      <w:r>
        <w:rPr>
          <w:rFonts w:ascii="Arial" w:hAnsi="Arial" w:cs="Arial" w:eastAsia="Arial" w:hint="default"/>
        </w:rPr>
        <w:t>10</w:t>
      </w:r>
      <w:r>
        <w:rPr>
          <w:rFonts w:ascii="Arial" w:hAnsi="Arial" w:cs="Arial" w:eastAsia="Arial" w:hint="default"/>
          <w:spacing w:val="2"/>
        </w:rPr>
        <w:t> </w:t>
      </w:r>
      <w:r>
        <w:rPr/>
        <w:t>月</w:t>
      </w:r>
      <w:r>
        <w:rPr>
          <w:spacing w:val="-47"/>
        </w:rPr>
        <w:t> </w:t>
      </w:r>
      <w:r>
        <w:rPr>
          <w:rFonts w:ascii="Arial" w:hAnsi="Arial" w:cs="Arial" w:eastAsia="Arial" w:hint="default"/>
        </w:rPr>
        <w:t>18</w:t>
      </w:r>
      <w:r>
        <w:rPr>
          <w:rFonts w:ascii="Arial" w:hAnsi="Arial" w:cs="Arial" w:eastAsia="Arial" w:hint="default"/>
          <w:spacing w:val="2"/>
        </w:rPr>
        <w:t> </w:t>
      </w:r>
      <w:r>
        <w:rPr/>
        <w:t>日订立</w:t>
      </w:r>
      <w:r>
        <w:rPr>
          <w:w w:val="100"/>
        </w:rPr>
        <w:t> </w:t>
      </w:r>
      <w:r>
        <w:rPr/>
        <w:t>的信托契据中规定的若干反摊薄及控制权变化的情况予以调整。由于本公司自可换股债券发行</w:t>
      </w:r>
      <w:r>
        <w:rPr>
          <w:spacing w:val="-44"/>
        </w:rPr>
        <w:t> </w:t>
      </w:r>
      <w:r>
        <w:rPr>
          <w:spacing w:val="-44"/>
        </w:rPr>
      </w:r>
      <w:r>
        <w:rPr/>
        <w:t>以后派发股息，因此受派息影响换股价自港币</w:t>
      </w:r>
      <w:r>
        <w:rPr>
          <w:spacing w:val="-40"/>
        </w:rPr>
        <w:t> </w:t>
      </w:r>
      <w:r>
        <w:rPr>
          <w:rFonts w:ascii="Arial" w:hAnsi="Arial" w:cs="Arial" w:eastAsia="Arial" w:hint="default"/>
        </w:rPr>
        <w:t>15.85</w:t>
      </w:r>
      <w:r>
        <w:rPr>
          <w:rFonts w:ascii="Arial" w:hAnsi="Arial" w:cs="Arial" w:eastAsia="Arial" w:hint="default"/>
          <w:spacing w:val="8"/>
        </w:rPr>
        <w:t> </w:t>
      </w:r>
      <w:r>
        <w:rPr/>
        <w:t>元调整至港币</w:t>
      </w:r>
      <w:r>
        <w:rPr>
          <w:spacing w:val="-40"/>
        </w:rPr>
        <w:t> </w:t>
      </w:r>
      <w:r>
        <w:rPr>
          <w:rFonts w:ascii="Arial" w:hAnsi="Arial" w:cs="Arial" w:eastAsia="Arial" w:hint="default"/>
        </w:rPr>
        <w:t>15.05</w:t>
      </w:r>
      <w:r>
        <w:rPr>
          <w:rFonts w:ascii="Arial" w:hAnsi="Arial" w:cs="Arial" w:eastAsia="Arial" w:hint="default"/>
          <w:spacing w:val="5"/>
        </w:rPr>
        <w:t> </w:t>
      </w:r>
      <w:r>
        <w:rPr/>
        <w:t>元。债券持有人可于</w:t>
      </w:r>
    </w:p>
    <w:p>
      <w:pPr>
        <w:pStyle w:val="BodyText"/>
        <w:spacing w:line="264" w:lineRule="exact"/>
        <w:ind w:left="534" w:right="0"/>
        <w:jc w:val="both"/>
      </w:pPr>
      <w:r>
        <w:rPr>
          <w:rFonts w:ascii="Arial" w:hAnsi="Arial" w:cs="Arial" w:eastAsia="Arial" w:hint="default"/>
        </w:rPr>
        <w:t>2010</w:t>
      </w:r>
      <w:r>
        <w:rPr>
          <w:rFonts w:ascii="Arial" w:hAnsi="Arial" w:cs="Arial" w:eastAsia="Arial" w:hint="default"/>
          <w:spacing w:val="-3"/>
        </w:rPr>
        <w:t> </w:t>
      </w:r>
      <w:r>
        <w:rPr/>
        <w:t>年</w:t>
      </w:r>
      <w:r>
        <w:rPr>
          <w:spacing w:val="-51"/>
        </w:rPr>
        <w:t> </w:t>
      </w:r>
      <w:r>
        <w:rPr>
          <w:rFonts w:ascii="Arial" w:hAnsi="Arial" w:cs="Arial" w:eastAsia="Arial" w:hint="default"/>
        </w:rPr>
        <w:t>11</w:t>
      </w:r>
      <w:r>
        <w:rPr>
          <w:rFonts w:ascii="Arial" w:hAnsi="Arial" w:cs="Arial" w:eastAsia="Arial" w:hint="default"/>
          <w:spacing w:val="-5"/>
        </w:rPr>
        <w:t> </w:t>
      </w:r>
      <w:r>
        <w:rPr/>
        <w:t>月</w:t>
      </w:r>
      <w:r>
        <w:rPr>
          <w:spacing w:val="-51"/>
        </w:rPr>
        <w:t> </w:t>
      </w:r>
      <w:r>
        <w:rPr>
          <w:rFonts w:ascii="Arial" w:hAnsi="Arial" w:cs="Arial" w:eastAsia="Arial" w:hint="default"/>
        </w:rPr>
        <w:t>28</w:t>
      </w:r>
      <w:r>
        <w:rPr>
          <w:rFonts w:ascii="Arial" w:hAnsi="Arial" w:cs="Arial" w:eastAsia="Arial" w:hint="default"/>
          <w:spacing w:val="-5"/>
        </w:rPr>
        <w:t> </w:t>
      </w:r>
      <w:r>
        <w:rPr/>
        <w:t>日或之后任何时候直至</w:t>
      </w:r>
      <w:r>
        <w:rPr>
          <w:spacing w:val="-51"/>
        </w:rPr>
        <w:t> </w:t>
      </w:r>
      <w:r>
        <w:rPr>
          <w:rFonts w:ascii="Arial" w:hAnsi="Arial" w:cs="Arial" w:eastAsia="Arial" w:hint="default"/>
        </w:rPr>
        <w:t>2015</w:t>
      </w:r>
      <w:r>
        <w:rPr>
          <w:rFonts w:ascii="Arial" w:hAnsi="Arial" w:cs="Arial" w:eastAsia="Arial" w:hint="default"/>
          <w:spacing w:val="-5"/>
        </w:rPr>
        <w:t> </w:t>
      </w:r>
      <w:r>
        <w:rPr/>
        <w:t>年</w:t>
      </w:r>
      <w:r>
        <w:rPr>
          <w:spacing w:val="-54"/>
        </w:rPr>
        <w:t> </w:t>
      </w:r>
      <w:r>
        <w:rPr>
          <w:rFonts w:ascii="Arial" w:hAnsi="Arial" w:cs="Arial" w:eastAsia="Arial" w:hint="default"/>
        </w:rPr>
        <w:t>10</w:t>
      </w:r>
      <w:r>
        <w:rPr>
          <w:rFonts w:ascii="Arial" w:hAnsi="Arial" w:cs="Arial" w:eastAsia="Arial" w:hint="default"/>
          <w:spacing w:val="-3"/>
        </w:rPr>
        <w:t> </w:t>
      </w:r>
      <w:r>
        <w:rPr/>
        <w:t>月</w:t>
      </w:r>
      <w:r>
        <w:rPr>
          <w:spacing w:val="-51"/>
        </w:rPr>
        <w:t> </w:t>
      </w:r>
      <w:r>
        <w:rPr>
          <w:rFonts w:ascii="Arial" w:hAnsi="Arial" w:cs="Arial" w:eastAsia="Arial" w:hint="default"/>
        </w:rPr>
        <w:t>8</w:t>
      </w:r>
      <w:r>
        <w:rPr>
          <w:rFonts w:ascii="Arial" w:hAnsi="Arial" w:cs="Arial" w:eastAsia="Arial" w:hint="default"/>
          <w:spacing w:val="-5"/>
        </w:rPr>
        <w:t> </w:t>
      </w:r>
      <w:r>
        <w:rPr/>
        <w:t>日营业时间结束时（或若该等可转换</w:t>
      </w:r>
    </w:p>
    <w:p>
      <w:pPr>
        <w:pStyle w:val="BodyText"/>
        <w:spacing w:line="286" w:lineRule="exact"/>
        <w:ind w:left="534" w:right="0"/>
        <w:jc w:val="both"/>
      </w:pPr>
      <w:r>
        <w:rPr/>
        <w:t>债券已于</w:t>
      </w:r>
      <w:r>
        <w:rPr>
          <w:spacing w:val="-48"/>
        </w:rPr>
        <w:t> </w:t>
      </w:r>
      <w:r>
        <w:rPr>
          <w:rFonts w:ascii="Arial" w:hAnsi="Arial" w:cs="Arial" w:eastAsia="Arial" w:hint="default"/>
        </w:rPr>
        <w:t>2015 </w:t>
      </w:r>
      <w:r>
        <w:rPr/>
        <w:t>年</w:t>
      </w:r>
      <w:r>
        <w:rPr>
          <w:spacing w:val="-48"/>
        </w:rPr>
        <w:t> </w:t>
      </w:r>
      <w:r>
        <w:rPr>
          <w:rFonts w:ascii="Arial" w:hAnsi="Arial" w:cs="Arial" w:eastAsia="Arial" w:hint="default"/>
        </w:rPr>
        <w:t>10 </w:t>
      </w:r>
      <w:r>
        <w:rPr/>
        <w:t>月</w:t>
      </w:r>
      <w:r>
        <w:rPr>
          <w:spacing w:val="-47"/>
        </w:rPr>
        <w:t> </w:t>
      </w:r>
      <w:r>
        <w:rPr>
          <w:rFonts w:ascii="Arial" w:hAnsi="Arial" w:cs="Arial" w:eastAsia="Arial" w:hint="default"/>
        </w:rPr>
        <w:t>18 </w:t>
      </w:r>
      <w:r>
        <w:rPr/>
        <w:t>日前被联通红筹公司要求赎回，则直至不迟于指定赎回日期</w:t>
      </w:r>
      <w:r>
        <w:rPr>
          <w:spacing w:val="-47"/>
        </w:rPr>
        <w:t> </w:t>
      </w:r>
      <w:r>
        <w:rPr>
          <w:rFonts w:ascii="Arial" w:hAnsi="Arial" w:cs="Arial" w:eastAsia="Arial" w:hint="default"/>
        </w:rPr>
        <w:t>7 </w:t>
      </w:r>
      <w:r>
        <w:rPr/>
        <w:t>日前</w:t>
      </w:r>
    </w:p>
    <w:p>
      <w:pPr>
        <w:pStyle w:val="BodyText"/>
        <w:spacing w:line="286" w:lineRule="exact"/>
        <w:ind w:left="534" w:right="0"/>
        <w:jc w:val="both"/>
      </w:pPr>
      <w:r>
        <w:rPr/>
        <w:t>的营业时间结束时），随时行使换股权。亿讯公司将依据债券持有人的选择，于</w:t>
      </w:r>
      <w:r>
        <w:rPr>
          <w:spacing w:val="-57"/>
        </w:rPr>
        <w:t> </w:t>
      </w:r>
      <w:r>
        <w:rPr>
          <w:rFonts w:ascii="Arial" w:hAnsi="Arial" w:cs="Arial" w:eastAsia="Arial" w:hint="default"/>
        </w:rPr>
        <w:t>2013</w:t>
      </w:r>
      <w:r>
        <w:rPr>
          <w:rFonts w:ascii="Arial" w:hAnsi="Arial" w:cs="Arial" w:eastAsia="Arial" w:hint="default"/>
          <w:spacing w:val="-11"/>
        </w:rPr>
        <w:t> </w:t>
      </w:r>
      <w:r>
        <w:rPr/>
        <w:t>年</w:t>
      </w:r>
      <w:r>
        <w:rPr>
          <w:spacing w:val="-59"/>
        </w:rPr>
        <w:t> </w:t>
      </w:r>
      <w:r>
        <w:rPr>
          <w:rFonts w:ascii="Arial" w:hAnsi="Arial" w:cs="Arial" w:eastAsia="Arial" w:hint="default"/>
        </w:rPr>
        <w:t>10</w:t>
      </w:r>
      <w:r>
        <w:rPr>
          <w:rFonts w:ascii="Arial" w:hAnsi="Arial" w:cs="Arial" w:eastAsia="Arial" w:hint="default"/>
          <w:spacing w:val="-11"/>
        </w:rPr>
        <w:t> </w:t>
      </w:r>
      <w:r>
        <w:rPr/>
        <w:t>月</w:t>
      </w:r>
    </w:p>
    <w:p>
      <w:pPr>
        <w:pStyle w:val="BodyText"/>
        <w:spacing w:line="286" w:lineRule="exact"/>
        <w:ind w:left="534" w:right="0"/>
        <w:jc w:val="both"/>
      </w:pPr>
      <w:r>
        <w:rPr>
          <w:rFonts w:ascii="Arial" w:hAnsi="Arial" w:cs="Arial" w:eastAsia="Arial" w:hint="default"/>
          <w:spacing w:val="-1"/>
        </w:rPr>
        <w:t>18</w:t>
      </w:r>
      <w:r>
        <w:rPr>
          <w:rFonts w:ascii="Arial" w:hAnsi="Arial" w:cs="Arial" w:eastAsia="Arial" w:hint="default"/>
          <w:spacing w:val="27"/>
        </w:rPr>
        <w:t> </w:t>
      </w:r>
      <w:r>
        <w:rPr>
          <w:spacing w:val="-1"/>
        </w:rPr>
        <w:t>日按本金额连同截至指定赎回日期应计而未付得利息，赎回债券持有人的全部（而非部分）</w:t>
      </w:r>
    </w:p>
    <w:p>
      <w:pPr>
        <w:pStyle w:val="BodyText"/>
        <w:spacing w:line="286" w:lineRule="exact"/>
        <w:ind w:left="534" w:right="0"/>
        <w:jc w:val="both"/>
      </w:pPr>
      <w:r>
        <w:rPr>
          <w:spacing w:val="-3"/>
        </w:rPr>
        <w:t>可转换债券。于</w:t>
      </w:r>
      <w:r>
        <w:rPr>
          <w:spacing w:val="-57"/>
        </w:rPr>
        <w:t> </w:t>
      </w:r>
      <w:r>
        <w:rPr>
          <w:rFonts w:ascii="Arial" w:hAnsi="Arial" w:cs="Arial" w:eastAsia="Arial" w:hint="default"/>
        </w:rPr>
        <w:t>2013</w:t>
      </w:r>
      <w:r>
        <w:rPr>
          <w:rFonts w:ascii="Arial" w:hAnsi="Arial" w:cs="Arial" w:eastAsia="Arial" w:hint="default"/>
          <w:spacing w:val="-9"/>
        </w:rPr>
        <w:t> </w:t>
      </w:r>
      <w:r>
        <w:rPr/>
        <w:t>年</w:t>
      </w:r>
      <w:r>
        <w:rPr>
          <w:spacing w:val="-59"/>
        </w:rPr>
        <w:t> </w:t>
      </w:r>
      <w:r>
        <w:rPr>
          <w:rFonts w:ascii="Arial" w:hAnsi="Arial" w:cs="Arial" w:eastAsia="Arial" w:hint="default"/>
        </w:rPr>
        <w:t>10</w:t>
      </w:r>
      <w:r>
        <w:rPr>
          <w:rFonts w:ascii="Arial" w:hAnsi="Arial" w:cs="Arial" w:eastAsia="Arial" w:hint="default"/>
          <w:spacing w:val="-9"/>
        </w:rPr>
        <w:t> </w:t>
      </w:r>
      <w:r>
        <w:rPr/>
        <w:t>月</w:t>
      </w:r>
      <w:r>
        <w:rPr>
          <w:spacing w:val="-57"/>
        </w:rPr>
        <w:t> </w:t>
      </w:r>
      <w:r>
        <w:rPr>
          <w:rFonts w:ascii="Arial" w:hAnsi="Arial" w:cs="Arial" w:eastAsia="Arial" w:hint="default"/>
        </w:rPr>
        <w:t>18</w:t>
      </w:r>
      <w:r>
        <w:rPr>
          <w:rFonts w:ascii="Arial" w:hAnsi="Arial" w:cs="Arial" w:eastAsia="Arial" w:hint="default"/>
          <w:spacing w:val="-9"/>
        </w:rPr>
        <w:t> </w:t>
      </w:r>
      <w:r>
        <w:rPr/>
        <w:t>日，没有债券持有人通知亿讯公司赎回该可转换债券。另外，</w:t>
      </w:r>
    </w:p>
    <w:p>
      <w:pPr>
        <w:pStyle w:val="BodyText"/>
        <w:spacing w:line="286" w:lineRule="exact" w:before="19"/>
        <w:ind w:left="534" w:right="222"/>
        <w:jc w:val="both"/>
      </w:pPr>
      <w:r>
        <w:rPr/>
        <w:t>于</w:t>
      </w:r>
      <w:r>
        <w:rPr>
          <w:spacing w:val="-49"/>
        </w:rPr>
        <w:t> </w:t>
      </w:r>
      <w:r>
        <w:rPr>
          <w:rFonts w:ascii="Arial" w:hAnsi="Arial" w:cs="Arial" w:eastAsia="Arial" w:hint="default"/>
        </w:rPr>
        <w:t>2013</w:t>
      </w:r>
      <w:r>
        <w:rPr>
          <w:rFonts w:ascii="Arial" w:hAnsi="Arial" w:cs="Arial" w:eastAsia="Arial" w:hint="default"/>
          <w:spacing w:val="-1"/>
        </w:rPr>
        <w:t> </w:t>
      </w:r>
      <w:r>
        <w:rPr/>
        <w:t>年</w:t>
      </w:r>
      <w:r>
        <w:rPr>
          <w:spacing w:val="-49"/>
        </w:rPr>
        <w:t> </w:t>
      </w:r>
      <w:r>
        <w:rPr>
          <w:rFonts w:ascii="Arial" w:hAnsi="Arial" w:cs="Arial" w:eastAsia="Arial" w:hint="default"/>
        </w:rPr>
        <w:t>10</w:t>
      </w:r>
      <w:r>
        <w:rPr>
          <w:rFonts w:ascii="Arial" w:hAnsi="Arial" w:cs="Arial" w:eastAsia="Arial" w:hint="default"/>
          <w:spacing w:val="-1"/>
        </w:rPr>
        <w:t> </w:t>
      </w:r>
      <w:r>
        <w:rPr/>
        <w:t>月</w:t>
      </w:r>
      <w:r>
        <w:rPr>
          <w:spacing w:val="-49"/>
        </w:rPr>
        <w:t> </w:t>
      </w:r>
      <w:r>
        <w:rPr>
          <w:rFonts w:ascii="Arial" w:hAnsi="Arial" w:cs="Arial" w:eastAsia="Arial" w:hint="default"/>
        </w:rPr>
        <w:t>18</w:t>
      </w:r>
      <w:r>
        <w:rPr>
          <w:rFonts w:ascii="Arial" w:hAnsi="Arial" w:cs="Arial" w:eastAsia="Arial" w:hint="default"/>
          <w:spacing w:val="-1"/>
        </w:rPr>
        <w:t> </w:t>
      </w:r>
      <w:r>
        <w:rPr/>
        <w:t>日或该日之后至</w:t>
      </w:r>
      <w:r>
        <w:rPr>
          <w:spacing w:val="-48"/>
        </w:rPr>
        <w:t> </w:t>
      </w:r>
      <w:r>
        <w:rPr>
          <w:rFonts w:ascii="Arial" w:hAnsi="Arial" w:cs="Arial" w:eastAsia="Arial" w:hint="default"/>
        </w:rPr>
        <w:t>2015</w:t>
      </w:r>
      <w:r>
        <w:rPr>
          <w:rFonts w:ascii="Arial" w:hAnsi="Arial" w:cs="Arial" w:eastAsia="Arial" w:hint="default"/>
          <w:spacing w:val="-1"/>
        </w:rPr>
        <w:t> </w:t>
      </w:r>
      <w:r>
        <w:rPr/>
        <w:t>年</w:t>
      </w:r>
      <w:r>
        <w:rPr>
          <w:spacing w:val="-49"/>
        </w:rPr>
        <w:t> </w:t>
      </w:r>
      <w:r>
        <w:rPr>
          <w:rFonts w:ascii="Arial" w:hAnsi="Arial" w:cs="Arial" w:eastAsia="Arial" w:hint="default"/>
        </w:rPr>
        <w:t>10</w:t>
      </w:r>
      <w:r>
        <w:rPr>
          <w:rFonts w:ascii="Arial" w:hAnsi="Arial" w:cs="Arial" w:eastAsia="Arial" w:hint="default"/>
          <w:spacing w:val="-3"/>
        </w:rPr>
        <w:t> </w:t>
      </w:r>
      <w:r>
        <w:rPr/>
        <w:t>月</w:t>
      </w:r>
      <w:r>
        <w:rPr>
          <w:spacing w:val="-49"/>
        </w:rPr>
        <w:t> </w:t>
      </w:r>
      <w:r>
        <w:rPr>
          <w:rFonts w:ascii="Arial" w:hAnsi="Arial" w:cs="Arial" w:eastAsia="Arial" w:hint="default"/>
        </w:rPr>
        <w:t>18</w:t>
      </w:r>
      <w:r>
        <w:rPr>
          <w:rFonts w:ascii="Arial" w:hAnsi="Arial" w:cs="Arial" w:eastAsia="Arial" w:hint="default"/>
          <w:spacing w:val="-1"/>
        </w:rPr>
        <w:t> </w:t>
      </w:r>
      <w:r>
        <w:rPr/>
        <w:t>日前，亿讯可按本金额连同截至指定赎</w:t>
      </w:r>
      <w:r>
        <w:rPr>
          <w:w w:val="100"/>
        </w:rPr>
        <w:t> </w:t>
      </w:r>
      <w:r>
        <w:rPr/>
        <w:t>回日期应计而未支付的利息，赎回当时发行在外的全部（而非部分）可换股债券。</w:t>
      </w:r>
    </w:p>
    <w:p>
      <w:pPr>
        <w:spacing w:line="240" w:lineRule="auto" w:before="1"/>
        <w:rPr>
          <w:rFonts w:ascii="宋体" w:hAnsi="宋体" w:cs="宋体" w:eastAsia="宋体" w:hint="default"/>
          <w:sz w:val="17"/>
          <w:szCs w:val="17"/>
        </w:rPr>
      </w:pPr>
    </w:p>
    <w:p>
      <w:pPr>
        <w:pStyle w:val="BodyText"/>
        <w:spacing w:line="295" w:lineRule="exact"/>
        <w:ind w:left="534" w:right="0"/>
        <w:jc w:val="both"/>
      </w:pPr>
      <w:r>
        <w:rPr/>
        <w:t>于</w:t>
      </w:r>
      <w:r>
        <w:rPr>
          <w:spacing w:val="-41"/>
        </w:rPr>
        <w:t> </w:t>
      </w:r>
      <w:r>
        <w:rPr>
          <w:rFonts w:ascii="Arial" w:hAnsi="Arial" w:cs="Arial" w:eastAsia="Arial" w:hint="default"/>
        </w:rPr>
        <w:t>2013</w:t>
      </w:r>
      <w:r>
        <w:rPr>
          <w:rFonts w:ascii="Arial" w:hAnsi="Arial" w:cs="Arial" w:eastAsia="Arial" w:hint="default"/>
          <w:spacing w:val="6"/>
        </w:rPr>
        <w:t> </w:t>
      </w:r>
      <w:r>
        <w:rPr/>
        <w:t>和</w:t>
      </w:r>
      <w:r>
        <w:rPr>
          <w:spacing w:val="-41"/>
        </w:rPr>
        <w:t> </w:t>
      </w:r>
      <w:r>
        <w:rPr>
          <w:rFonts w:ascii="Arial" w:hAnsi="Arial" w:cs="Arial" w:eastAsia="Arial" w:hint="default"/>
        </w:rPr>
        <w:t>2014</w:t>
      </w:r>
      <w:r>
        <w:rPr>
          <w:rFonts w:ascii="Arial" w:hAnsi="Arial" w:cs="Arial" w:eastAsia="Arial" w:hint="default"/>
          <w:spacing w:val="6"/>
        </w:rPr>
        <w:t> </w:t>
      </w:r>
      <w:r>
        <w:rPr>
          <w:spacing w:val="-3"/>
        </w:rPr>
        <w:t>年度，可转换债券持有人并未将可转换债券转换为联通红筹公司股份，而亿讯</w:t>
      </w:r>
      <w:r>
        <w:rPr/>
      </w:r>
    </w:p>
    <w:p>
      <w:pPr>
        <w:pStyle w:val="BodyText"/>
        <w:spacing w:line="295" w:lineRule="exact"/>
        <w:ind w:left="534" w:right="0"/>
        <w:jc w:val="both"/>
      </w:pPr>
      <w:r>
        <w:rPr/>
        <w:t>公司也未将可转换债券赎回。该可转换债券将于</w:t>
      </w:r>
      <w:r>
        <w:rPr>
          <w:spacing w:val="-56"/>
        </w:rPr>
        <w:t> </w:t>
      </w:r>
      <w:r>
        <w:rPr>
          <w:rFonts w:ascii="Arial" w:hAnsi="Arial" w:cs="Arial" w:eastAsia="Arial" w:hint="default"/>
        </w:rPr>
        <w:t>2015</w:t>
      </w:r>
      <w:r>
        <w:rPr>
          <w:rFonts w:ascii="Arial" w:hAnsi="Arial" w:cs="Arial" w:eastAsia="Arial" w:hint="default"/>
          <w:spacing w:val="-7"/>
        </w:rPr>
        <w:t> </w:t>
      </w:r>
      <w:r>
        <w:rPr/>
        <w:t>年</w:t>
      </w:r>
      <w:r>
        <w:rPr>
          <w:spacing w:val="-56"/>
        </w:rPr>
        <w:t> </w:t>
      </w:r>
      <w:r>
        <w:rPr>
          <w:rFonts w:ascii="Arial" w:hAnsi="Arial" w:cs="Arial" w:eastAsia="Arial" w:hint="default"/>
        </w:rPr>
        <w:t>10</w:t>
      </w:r>
      <w:r>
        <w:rPr>
          <w:rFonts w:ascii="Arial" w:hAnsi="Arial" w:cs="Arial" w:eastAsia="Arial" w:hint="default"/>
          <w:spacing w:val="-8"/>
        </w:rPr>
        <w:t> </w:t>
      </w:r>
      <w:r>
        <w:rPr/>
        <w:t>月到期。</w:t>
      </w:r>
    </w:p>
    <w:p>
      <w:pPr>
        <w:spacing w:line="240" w:lineRule="auto" w:before="0"/>
        <w:rPr>
          <w:rFonts w:ascii="宋体" w:hAnsi="宋体" w:cs="宋体" w:eastAsia="宋体" w:hint="default"/>
          <w:sz w:val="20"/>
          <w:szCs w:val="20"/>
        </w:rPr>
      </w:pPr>
    </w:p>
    <w:p>
      <w:pPr>
        <w:pStyle w:val="BodyText"/>
        <w:spacing w:line="286" w:lineRule="exact"/>
        <w:ind w:left="551" w:right="224"/>
        <w:jc w:val="both"/>
      </w:pPr>
      <w:r>
        <w:rPr/>
        <w:t>可转换债券负债部分的公允价值已于发行可转换债券时确定，以相同期限但没有转换权债券的</w:t>
      </w:r>
      <w:r>
        <w:rPr>
          <w:spacing w:val="-62"/>
        </w:rPr>
        <w:t> </w:t>
      </w:r>
      <w:r>
        <w:rPr>
          <w:spacing w:val="-62"/>
        </w:rPr>
      </w:r>
      <w:r>
        <w:rPr/>
        <w:t>市场利率计算。剩余数额，即面值（扣除发行费用）与负债部分公允价值的差异，计入股东权</w:t>
      </w:r>
      <w:r>
        <w:rPr>
          <w:spacing w:val="-62"/>
        </w:rPr>
        <w:t> </w:t>
      </w:r>
      <w:r>
        <w:rPr>
          <w:spacing w:val="-62"/>
        </w:rPr>
      </w:r>
      <w:r>
        <w:rPr/>
        <w:t>益的资本公积项下。</w:t>
      </w:r>
    </w:p>
    <w:p>
      <w:pPr>
        <w:spacing w:line="240" w:lineRule="auto" w:before="3"/>
        <w:rPr>
          <w:rFonts w:ascii="宋体" w:hAnsi="宋体" w:cs="宋体" w:eastAsia="宋体" w:hint="default"/>
          <w:sz w:val="19"/>
          <w:szCs w:val="19"/>
        </w:rPr>
      </w:pPr>
    </w:p>
    <w:p>
      <w:pPr>
        <w:pStyle w:val="BodyText"/>
        <w:spacing w:line="286" w:lineRule="exact"/>
        <w:ind w:left="551" w:right="248"/>
        <w:jc w:val="both"/>
      </w:pPr>
      <w:r>
        <w:rPr/>
        <w:t>于</w:t>
      </w:r>
      <w:r>
        <w:rPr>
          <w:spacing w:val="-50"/>
        </w:rPr>
        <w:t> </w:t>
      </w:r>
      <w:r>
        <w:rPr>
          <w:rFonts w:ascii="Arial" w:hAnsi="Arial" w:cs="Arial" w:eastAsia="Arial" w:hint="default"/>
        </w:rPr>
        <w:t>2010</w:t>
      </w:r>
      <w:r>
        <w:rPr>
          <w:rFonts w:ascii="Arial" w:hAnsi="Arial" w:cs="Arial" w:eastAsia="Arial" w:hint="default"/>
          <w:spacing w:val="-2"/>
        </w:rPr>
        <w:t> </w:t>
      </w:r>
      <w:r>
        <w:rPr/>
        <w:t>年</w:t>
      </w:r>
      <w:r>
        <w:rPr>
          <w:spacing w:val="-50"/>
        </w:rPr>
        <w:t> </w:t>
      </w:r>
      <w:r>
        <w:rPr>
          <w:rFonts w:ascii="Arial" w:hAnsi="Arial" w:cs="Arial" w:eastAsia="Arial" w:hint="default"/>
        </w:rPr>
        <w:t>10</w:t>
      </w:r>
      <w:r>
        <w:rPr>
          <w:rFonts w:ascii="Arial" w:hAnsi="Arial" w:cs="Arial" w:eastAsia="Arial" w:hint="default"/>
          <w:spacing w:val="-2"/>
        </w:rPr>
        <w:t> </w:t>
      </w:r>
      <w:r>
        <w:rPr/>
        <w:t>月</w:t>
      </w:r>
      <w:r>
        <w:rPr>
          <w:spacing w:val="-50"/>
        </w:rPr>
        <w:t> </w:t>
      </w:r>
      <w:r>
        <w:rPr>
          <w:rFonts w:ascii="Arial" w:hAnsi="Arial" w:cs="Arial" w:eastAsia="Arial" w:hint="default"/>
        </w:rPr>
        <w:t>18</w:t>
      </w:r>
      <w:r>
        <w:rPr>
          <w:rFonts w:ascii="Arial" w:hAnsi="Arial" w:cs="Arial" w:eastAsia="Arial" w:hint="default"/>
          <w:spacing w:val="-2"/>
        </w:rPr>
        <w:t> </w:t>
      </w:r>
      <w:r>
        <w:rPr>
          <w:spacing w:val="-4"/>
        </w:rPr>
        <w:t>日，可转换债券负债部分的入账价值折合人民币约</w:t>
      </w:r>
      <w:r>
        <w:rPr>
          <w:spacing w:val="-49"/>
        </w:rPr>
        <w:t> </w:t>
      </w:r>
      <w:r>
        <w:rPr>
          <w:rFonts w:ascii="Arial" w:hAnsi="Arial" w:cs="Arial" w:eastAsia="Arial" w:hint="default"/>
        </w:rPr>
        <w:t>115.68</w:t>
      </w:r>
      <w:r>
        <w:rPr>
          <w:rFonts w:ascii="Arial" w:hAnsi="Arial" w:cs="Arial" w:eastAsia="Arial" w:hint="default"/>
          <w:spacing w:val="-1"/>
        </w:rPr>
        <w:t> </w:t>
      </w:r>
      <w:r>
        <w:rPr>
          <w:spacing w:val="-8"/>
        </w:rPr>
        <w:t>亿元，其金额以</w:t>
      </w:r>
      <w:r>
        <w:rPr>
          <w:w w:val="100"/>
        </w:rPr>
        <w:t> </w:t>
      </w:r>
      <w:r>
        <w:rPr/>
        <w:t>现金流量并考虑发行费用的影响后按实际年利率</w:t>
      </w:r>
      <w:r>
        <w:rPr>
          <w:spacing w:val="-59"/>
        </w:rPr>
        <w:t> </w:t>
      </w:r>
      <w:r>
        <w:rPr>
          <w:rFonts w:ascii="Arial" w:hAnsi="Arial" w:cs="Arial" w:eastAsia="Arial" w:hint="default"/>
        </w:rPr>
        <w:t>1.90%</w:t>
      </w:r>
      <w:r>
        <w:rPr/>
        <w:t>来折现估算。</w:t>
      </w:r>
    </w:p>
    <w:p>
      <w:pPr>
        <w:spacing w:line="240" w:lineRule="auto" w:before="1"/>
        <w:rPr>
          <w:rFonts w:ascii="宋体" w:hAnsi="宋体" w:cs="宋体" w:eastAsia="宋体" w:hint="default"/>
          <w:sz w:val="17"/>
          <w:szCs w:val="17"/>
        </w:rPr>
      </w:pPr>
    </w:p>
    <w:p>
      <w:pPr>
        <w:pStyle w:val="BodyText"/>
        <w:spacing w:line="240" w:lineRule="auto"/>
        <w:ind w:left="551" w:right="0"/>
        <w:jc w:val="both"/>
      </w:pPr>
      <w:r>
        <w:rPr/>
        <w:t>于</w:t>
      </w:r>
      <w:r>
        <w:rPr>
          <w:spacing w:val="-58"/>
        </w:rPr>
        <w:t> </w:t>
      </w:r>
      <w:r>
        <w:rPr>
          <w:rFonts w:ascii="Arial" w:hAnsi="Arial" w:cs="Arial" w:eastAsia="Arial" w:hint="default"/>
        </w:rPr>
        <w:t>2014</w:t>
      </w:r>
      <w:r>
        <w:rPr>
          <w:rFonts w:ascii="Arial" w:hAnsi="Arial" w:cs="Arial" w:eastAsia="Arial" w:hint="default"/>
          <w:spacing w:val="-10"/>
        </w:rPr>
        <w:t> </w:t>
      </w:r>
      <w:r>
        <w:rPr/>
        <w:t>年度，可转换债券负债部分的变动列示如下：</w:t>
      </w:r>
    </w:p>
    <w:p>
      <w:pPr>
        <w:spacing w:line="240" w:lineRule="auto" w:before="3"/>
        <w:rPr>
          <w:rFonts w:ascii="宋体" w:hAnsi="宋体" w:cs="宋体" w:eastAsia="宋体" w:hint="default"/>
          <w:sz w:val="23"/>
          <w:szCs w:val="23"/>
        </w:rPr>
      </w:pPr>
    </w:p>
    <w:tbl>
      <w:tblPr>
        <w:tblW w:w="0" w:type="auto"/>
        <w:jc w:val="left"/>
        <w:tblInd w:w="370" w:type="dxa"/>
        <w:tblLayout w:type="fixed"/>
        <w:tblCellMar>
          <w:top w:w="0" w:type="dxa"/>
          <w:left w:w="0" w:type="dxa"/>
          <w:bottom w:w="0" w:type="dxa"/>
          <w:right w:w="0" w:type="dxa"/>
        </w:tblCellMar>
        <w:tblLook w:val="01E0"/>
      </w:tblPr>
      <w:tblGrid>
        <w:gridCol w:w="4233"/>
        <w:gridCol w:w="2259"/>
        <w:gridCol w:w="2340"/>
      </w:tblGrid>
      <w:tr>
        <w:trPr>
          <w:trHeight w:val="264"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22"/>
                <w:szCs w:val="22"/>
              </w:rPr>
            </w:pPr>
            <w:r>
              <w:rPr>
                <w:rFonts w:ascii="宋体" w:hAnsi="宋体" w:cs="宋体" w:eastAsia="宋体" w:hint="default"/>
                <w:sz w:val="22"/>
                <w:szCs w:val="22"/>
              </w:rPr>
              <w:t>（单位：人民币百万元）</w:t>
            </w:r>
          </w:p>
        </w:tc>
        <w:tc>
          <w:tcPr>
            <w:tcW w:w="2259" w:type="dxa"/>
            <w:tcBorders>
              <w:top w:val="nil" w:sz="6" w:space="0" w:color="auto"/>
              <w:left w:val="nil" w:sz="6" w:space="0" w:color="auto"/>
              <w:bottom w:val="single" w:sz="6" w:space="0" w:color="000000"/>
              <w:right w:val="nil" w:sz="6" w:space="0" w:color="auto"/>
            </w:tcBorders>
          </w:tcPr>
          <w:p>
            <w:pPr>
              <w:pStyle w:val="TableParagraph"/>
              <w:spacing w:line="236" w:lineRule="exact"/>
              <w:ind w:right="5"/>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340" w:type="dxa"/>
            <w:tcBorders>
              <w:top w:val="nil" w:sz="6" w:space="0" w:color="auto"/>
              <w:left w:val="nil" w:sz="6" w:space="0" w:color="auto"/>
              <w:bottom w:val="single" w:sz="6" w:space="0" w:color="000000"/>
              <w:right w:val="nil" w:sz="6" w:space="0" w:color="auto"/>
            </w:tcBorders>
          </w:tcPr>
          <w:p>
            <w:pPr>
              <w:pStyle w:val="TableParagraph"/>
              <w:spacing w:line="236" w:lineRule="exact"/>
              <w:ind w:right="6"/>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683"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负债部分的期初余额</w:t>
            </w:r>
          </w:p>
        </w:tc>
        <w:tc>
          <w:tcPr>
            <w:tcW w:w="2259"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10"/>
              <w:jc w:val="right"/>
              <w:rPr>
                <w:rFonts w:ascii="Arial" w:hAnsi="Arial" w:cs="Arial" w:eastAsia="Arial" w:hint="default"/>
                <w:sz w:val="22"/>
                <w:szCs w:val="22"/>
              </w:rPr>
            </w:pPr>
            <w:r>
              <w:rPr>
                <w:rFonts w:ascii="Arial"/>
                <w:spacing w:val="-1"/>
                <w:sz w:val="22"/>
              </w:rPr>
              <w:t>11,002</w:t>
            </w:r>
          </w:p>
        </w:tc>
        <w:tc>
          <w:tcPr>
            <w:tcW w:w="234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10"/>
              <w:jc w:val="right"/>
              <w:rPr>
                <w:rFonts w:ascii="Arial" w:hAnsi="Arial" w:cs="Arial" w:eastAsia="Arial" w:hint="default"/>
                <w:sz w:val="22"/>
                <w:szCs w:val="22"/>
              </w:rPr>
            </w:pPr>
            <w:r>
              <w:rPr>
                <w:rFonts w:ascii="Arial"/>
                <w:spacing w:val="-1"/>
                <w:sz w:val="22"/>
              </w:rPr>
              <w:t>11,215</w:t>
            </w:r>
          </w:p>
        </w:tc>
      </w:tr>
      <w:tr>
        <w:trPr>
          <w:trHeight w:val="410"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00" w:right="0"/>
              <w:jc w:val="left"/>
              <w:rPr>
                <w:rFonts w:ascii="宋体" w:hAnsi="宋体" w:cs="宋体" w:eastAsia="宋体" w:hint="default"/>
                <w:sz w:val="22"/>
                <w:szCs w:val="22"/>
              </w:rPr>
            </w:pPr>
            <w:r>
              <w:rPr>
                <w:rFonts w:ascii="宋体" w:hAnsi="宋体" w:cs="宋体" w:eastAsia="宋体" w:hint="default"/>
                <w:sz w:val="22"/>
                <w:szCs w:val="22"/>
              </w:rPr>
              <w:t>减：本年支付的利息</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39"/>
              <w:jc w:val="right"/>
              <w:rPr>
                <w:rFonts w:ascii="Arial" w:hAnsi="Arial" w:cs="Arial" w:eastAsia="Arial" w:hint="default"/>
                <w:sz w:val="22"/>
                <w:szCs w:val="22"/>
              </w:rPr>
            </w:pPr>
            <w:r>
              <w:rPr>
                <w:rFonts w:ascii="Arial"/>
                <w:spacing w:val="-1"/>
                <w:sz w:val="22"/>
              </w:rPr>
              <w:t>(85)</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39"/>
              <w:jc w:val="right"/>
              <w:rPr>
                <w:rFonts w:ascii="Arial" w:hAnsi="Arial" w:cs="Arial" w:eastAsia="Arial" w:hint="default"/>
                <w:sz w:val="22"/>
                <w:szCs w:val="22"/>
              </w:rPr>
            </w:pPr>
            <w:r>
              <w:rPr>
                <w:rFonts w:ascii="Arial"/>
                <w:spacing w:val="-1"/>
                <w:sz w:val="22"/>
              </w:rPr>
              <w:t>(85)</w:t>
            </w:r>
          </w:p>
        </w:tc>
      </w:tr>
      <w:tr>
        <w:trPr>
          <w:trHeight w:val="286"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减：负债部分的汇兑收益</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3"/>
              <w:jc w:val="right"/>
              <w:rPr>
                <w:rFonts w:ascii="Arial" w:hAnsi="Arial" w:cs="Arial" w:eastAsia="Arial" w:hint="default"/>
                <w:sz w:val="22"/>
                <w:szCs w:val="22"/>
              </w:rPr>
            </w:pPr>
            <w:r>
              <w:rPr>
                <w:rFonts w:ascii="Arial"/>
                <w:spacing w:val="-1"/>
                <w:sz w:val="22"/>
              </w:rPr>
              <w:t>39</w:t>
            </w:r>
            <w:r>
              <w:rPr>
                <w:rFonts w:ascii="Arial"/>
                <w:sz w:val="22"/>
              </w:rPr>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9"/>
              <w:jc w:val="right"/>
              <w:rPr>
                <w:rFonts w:ascii="Arial" w:hAnsi="Arial" w:cs="Arial" w:eastAsia="Arial" w:hint="default"/>
                <w:sz w:val="22"/>
                <w:szCs w:val="22"/>
              </w:rPr>
            </w:pPr>
            <w:r>
              <w:rPr>
                <w:rFonts w:ascii="Arial"/>
                <w:spacing w:val="-1"/>
                <w:sz w:val="22"/>
              </w:rPr>
              <w:t>(338)</w:t>
            </w:r>
          </w:p>
        </w:tc>
      </w:tr>
      <w:tr>
        <w:trPr>
          <w:trHeight w:val="420"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加：负债部分的利息费用</w:t>
            </w:r>
          </w:p>
        </w:tc>
        <w:tc>
          <w:tcPr>
            <w:tcW w:w="2259" w:type="dxa"/>
            <w:tcBorders>
              <w:top w:val="nil" w:sz="6" w:space="0" w:color="auto"/>
              <w:left w:val="nil" w:sz="6" w:space="0" w:color="auto"/>
              <w:bottom w:val="nil" w:sz="6" w:space="0" w:color="auto"/>
              <w:right w:val="nil" w:sz="6" w:space="0" w:color="auto"/>
            </w:tcBorders>
          </w:tcPr>
          <w:p>
            <w:pPr>
              <w:pStyle w:val="TableParagraph"/>
              <w:tabs>
                <w:tab w:pos="1776" w:val="left" w:leader="none"/>
                <w:tab w:pos="2258"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211</w:t>
              <w:tab/>
            </w:r>
            <w:r>
              <w:rPr>
                <w:rFonts w:ascii="Arial"/>
                <w:spacing w:val="-1"/>
                <w:sz w:val="22"/>
              </w:rPr>
            </w:r>
          </w:p>
        </w:tc>
        <w:tc>
          <w:tcPr>
            <w:tcW w:w="2340" w:type="dxa"/>
            <w:tcBorders>
              <w:top w:val="nil" w:sz="6" w:space="0" w:color="auto"/>
              <w:left w:val="nil" w:sz="6" w:space="0" w:color="auto"/>
              <w:bottom w:val="nil" w:sz="6" w:space="0" w:color="auto"/>
              <w:right w:val="nil" w:sz="6" w:space="0" w:color="auto"/>
            </w:tcBorders>
          </w:tcPr>
          <w:p>
            <w:pPr>
              <w:pStyle w:val="TableParagraph"/>
              <w:tabs>
                <w:tab w:pos="1776" w:val="left" w:leader="none"/>
                <w:tab w:pos="2258"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210</w:t>
              <w:tab/>
            </w:r>
            <w:r>
              <w:rPr>
                <w:rFonts w:ascii="Arial"/>
                <w:spacing w:val="-1"/>
                <w:sz w:val="22"/>
              </w:rPr>
            </w:r>
          </w:p>
        </w:tc>
      </w:tr>
      <w:tr>
        <w:trPr>
          <w:trHeight w:val="431"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负债部分的期末余额</w:t>
            </w:r>
          </w:p>
        </w:tc>
        <w:tc>
          <w:tcPr>
            <w:tcW w:w="2259" w:type="dxa"/>
            <w:tcBorders>
              <w:top w:val="nil" w:sz="6" w:space="0" w:color="auto"/>
              <w:left w:val="nil" w:sz="6" w:space="0" w:color="auto"/>
              <w:bottom w:val="single" w:sz="12" w:space="0" w:color="000000"/>
              <w:right w:val="nil" w:sz="6" w:space="0" w:color="auto"/>
            </w:tcBorders>
          </w:tcPr>
          <w:p>
            <w:pPr>
              <w:pStyle w:val="TableParagraph"/>
              <w:spacing w:line="240" w:lineRule="auto" w:before="152"/>
              <w:ind w:right="110"/>
              <w:jc w:val="right"/>
              <w:rPr>
                <w:rFonts w:ascii="Arial" w:hAnsi="Arial" w:cs="Arial" w:eastAsia="Arial" w:hint="default"/>
                <w:sz w:val="22"/>
                <w:szCs w:val="22"/>
              </w:rPr>
            </w:pPr>
            <w:r>
              <w:rPr>
                <w:rFonts w:ascii="Arial"/>
                <w:spacing w:val="-1"/>
                <w:sz w:val="22"/>
              </w:rPr>
              <w:t>11,167</w:t>
            </w:r>
          </w:p>
        </w:tc>
        <w:tc>
          <w:tcPr>
            <w:tcW w:w="2340"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110"/>
              <w:jc w:val="right"/>
              <w:rPr>
                <w:rFonts w:ascii="Arial" w:hAnsi="Arial" w:cs="Arial" w:eastAsia="Arial" w:hint="default"/>
                <w:sz w:val="22"/>
                <w:szCs w:val="22"/>
              </w:rPr>
            </w:pPr>
            <w:r>
              <w:rPr>
                <w:rFonts w:ascii="Arial"/>
                <w:spacing w:val="-1"/>
                <w:sz w:val="22"/>
              </w:rPr>
              <w:t>11,002</w:t>
            </w:r>
          </w:p>
        </w:tc>
      </w:tr>
    </w:tbl>
    <w:p>
      <w:pPr>
        <w:spacing w:after="0" w:line="240" w:lineRule="auto"/>
        <w:jc w:val="right"/>
        <w:rPr>
          <w:rFonts w:ascii="Arial" w:hAnsi="Arial" w:cs="Arial" w:eastAsia="Arial" w:hint="default"/>
          <w:sz w:val="22"/>
          <w:szCs w:val="22"/>
        </w:rPr>
        <w:sectPr>
          <w:footerReference w:type="default" r:id="rId100"/>
          <w:pgSz w:w="11910" w:h="16840"/>
          <w:pgMar w:footer="635" w:header="0" w:top="3040" w:bottom="820" w:left="1280" w:right="780"/>
          <w:pgNumType w:start="114"/>
        </w:sectPr>
      </w:pPr>
    </w:p>
    <w:p>
      <w:pPr>
        <w:spacing w:line="240" w:lineRule="auto" w:before="10"/>
        <w:rPr>
          <w:rFonts w:ascii="宋体" w:hAnsi="宋体" w:cs="宋体" w:eastAsia="宋体" w:hint="default"/>
          <w:sz w:val="16"/>
          <w:szCs w:val="16"/>
        </w:rPr>
      </w:pPr>
    </w:p>
    <w:p>
      <w:pPr>
        <w:pStyle w:val="BodyText"/>
        <w:spacing w:line="240" w:lineRule="auto" w:before="32"/>
        <w:ind w:left="102" w:right="0"/>
        <w:jc w:val="left"/>
      </w:pPr>
      <w:r>
        <w:rPr>
          <w:rFonts w:ascii="Arial" w:hAnsi="Arial" w:cs="Arial" w:eastAsia="Arial" w:hint="default"/>
        </w:rPr>
        <w:t>28</w:t>
      </w:r>
      <w:r>
        <w:rPr/>
        <w:t>、长期应付款</w:t>
      </w:r>
    </w:p>
    <w:p>
      <w:pPr>
        <w:spacing w:line="240" w:lineRule="auto" w:before="0"/>
        <w:rPr>
          <w:rFonts w:ascii="宋体" w:hAnsi="宋体" w:cs="宋体" w:eastAsia="宋体" w:hint="default"/>
          <w:sz w:val="23"/>
          <w:szCs w:val="23"/>
        </w:rPr>
      </w:pPr>
    </w:p>
    <w:tbl>
      <w:tblPr>
        <w:tblW w:w="0" w:type="auto"/>
        <w:jc w:val="left"/>
        <w:tblInd w:w="351" w:type="dxa"/>
        <w:tblLayout w:type="fixed"/>
        <w:tblCellMar>
          <w:top w:w="0" w:type="dxa"/>
          <w:left w:w="0" w:type="dxa"/>
          <w:bottom w:w="0" w:type="dxa"/>
          <w:right w:w="0" w:type="dxa"/>
        </w:tblCellMar>
        <w:tblLook w:val="01E0"/>
      </w:tblPr>
      <w:tblGrid>
        <w:gridCol w:w="4470"/>
        <w:gridCol w:w="2528"/>
        <w:gridCol w:w="2217"/>
      </w:tblGrid>
      <w:tr>
        <w:trPr>
          <w:trHeight w:val="264" w:hRule="exact"/>
        </w:trPr>
        <w:tc>
          <w:tcPr>
            <w:tcW w:w="4470"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single" w:sz="6" w:space="0" w:color="000000"/>
              <w:right w:val="nil" w:sz="6" w:space="0" w:color="auto"/>
            </w:tcBorders>
          </w:tcPr>
          <w:p>
            <w:pPr>
              <w:pStyle w:val="TableParagraph"/>
              <w:spacing w:line="236" w:lineRule="exact"/>
              <w:ind w:left="336"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2217" w:type="dxa"/>
            <w:tcBorders>
              <w:top w:val="nil" w:sz="6" w:space="0" w:color="auto"/>
              <w:left w:val="nil" w:sz="6" w:space="0" w:color="auto"/>
              <w:bottom w:val="single" w:sz="6" w:space="0" w:color="000000"/>
              <w:right w:val="nil" w:sz="6" w:space="0" w:color="auto"/>
            </w:tcBorders>
          </w:tcPr>
          <w:p>
            <w:pPr>
              <w:pStyle w:val="TableParagraph"/>
              <w:spacing w:line="236" w:lineRule="exact"/>
              <w:ind w:left="234" w:right="0"/>
              <w:jc w:val="lef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7"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应付融资租赁款</w:t>
            </w:r>
          </w:p>
        </w:tc>
        <w:tc>
          <w:tcPr>
            <w:tcW w:w="2528"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96" w:right="0"/>
              <w:jc w:val="left"/>
              <w:rPr>
                <w:rFonts w:ascii="Arial" w:hAnsi="Arial" w:cs="Arial" w:eastAsia="Arial" w:hint="default"/>
                <w:sz w:val="22"/>
                <w:szCs w:val="22"/>
              </w:rPr>
            </w:pPr>
            <w:r>
              <w:rPr>
                <w:rFonts w:ascii="Arial"/>
                <w:sz w:val="22"/>
              </w:rPr>
              <w:t>285,846,311</w:t>
            </w:r>
          </w:p>
        </w:tc>
        <w:tc>
          <w:tcPr>
            <w:tcW w:w="2217"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44" w:right="0"/>
              <w:jc w:val="left"/>
              <w:rPr>
                <w:rFonts w:ascii="Arial" w:hAnsi="Arial" w:cs="Arial" w:eastAsia="Arial" w:hint="default"/>
                <w:sz w:val="22"/>
                <w:szCs w:val="22"/>
              </w:rPr>
            </w:pPr>
            <w:r>
              <w:rPr>
                <w:rFonts w:ascii="Arial"/>
                <w:sz w:val="22"/>
              </w:rPr>
              <w:t>316,784,490</w:t>
            </w:r>
          </w:p>
        </w:tc>
      </w:tr>
      <w:tr>
        <w:trPr>
          <w:trHeight w:val="294"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减：一年内到期的应付融资租赁款</w:t>
            </w:r>
          </w:p>
        </w:tc>
        <w:tc>
          <w:tcPr>
            <w:tcW w:w="2528" w:type="dxa"/>
            <w:tcBorders>
              <w:top w:val="nil" w:sz="6" w:space="0" w:color="auto"/>
              <w:left w:val="nil" w:sz="6" w:space="0" w:color="auto"/>
              <w:bottom w:val="nil" w:sz="6" w:space="0" w:color="auto"/>
              <w:right w:val="nil" w:sz="6" w:space="0" w:color="auto"/>
            </w:tcBorders>
          </w:tcPr>
          <w:p>
            <w:pPr>
              <w:pStyle w:val="TableParagraph"/>
              <w:tabs>
                <w:tab w:pos="921" w:val="left" w:leader="none"/>
                <w:tab w:pos="3298" w:val="left" w:leader="none"/>
              </w:tabs>
              <w:spacing w:line="240" w:lineRule="auto" w:before="20"/>
              <w:ind w:right="-771"/>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(167,762,670)</w:t>
            </w:r>
            <w:r>
              <w:rPr>
                <w:rFonts w:ascii="Arial"/>
                <w:spacing w:val="14"/>
                <w:sz w:val="22"/>
                <w:u w:val="single" w:color="000000"/>
              </w:rPr>
              <w:t> </w:t>
            </w:r>
            <w:r>
              <w:rPr>
                <w:rFonts w:ascii="Arial"/>
                <w:spacing w:val="14"/>
                <w:sz w:val="22"/>
              </w:rPr>
            </w:r>
            <w:r>
              <w:rPr>
                <w:rFonts w:ascii="Arial"/>
                <w:spacing w:val="13"/>
                <w:sz w:val="22"/>
              </w:rPr>
              <w:t> </w:t>
            </w:r>
            <w:r>
              <w:rPr>
                <w:rFonts w:ascii="Arial"/>
                <w:spacing w:val="13"/>
                <w:w w:val="100"/>
                <w:sz w:val="22"/>
              </w:rPr>
            </w:r>
            <w:r>
              <w:rPr>
                <w:rFonts w:ascii="Arial"/>
                <w:w w:val="100"/>
                <w:sz w:val="22"/>
                <w:u w:val="single" w:color="000000"/>
              </w:rPr>
              <w:t> </w:t>
            </w:r>
            <w:r>
              <w:rPr>
                <w:rFonts w:ascii="Arial"/>
                <w:sz w:val="22"/>
                <w:u w:val="single" w:color="000000"/>
              </w:rPr>
              <w:tab/>
            </w:r>
            <w:r>
              <w:rPr>
                <w:rFonts w:ascii="Arial"/>
                <w:sz w:val="22"/>
              </w:rPr>
            </w:r>
          </w:p>
        </w:tc>
        <w:tc>
          <w:tcPr>
            <w:tcW w:w="2217" w:type="dxa"/>
            <w:tcBorders>
              <w:top w:val="nil" w:sz="6" w:space="0" w:color="auto"/>
              <w:left w:val="nil" w:sz="6" w:space="0" w:color="auto"/>
              <w:bottom w:val="nil" w:sz="6" w:space="0" w:color="auto"/>
              <w:right w:val="nil" w:sz="6" w:space="0" w:color="auto"/>
            </w:tcBorders>
          </w:tcPr>
          <w:p>
            <w:pPr>
              <w:pStyle w:val="TableParagraph"/>
              <w:tabs>
                <w:tab w:pos="1446"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spacing w:val="-1"/>
                <w:sz w:val="22"/>
                <w:u w:val="single" w:color="000000"/>
              </w:rPr>
              <w:t>(161,474,459)</w:t>
              <w:tab/>
            </w:r>
            <w:r>
              <w:rPr>
                <w:rFonts w:ascii="Arial"/>
                <w:spacing w:val="-1"/>
                <w:sz w:val="22"/>
              </w:rPr>
            </w:r>
          </w:p>
        </w:tc>
      </w:tr>
      <w:tr>
        <w:trPr>
          <w:trHeight w:val="419"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52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996" w:right="0"/>
              <w:jc w:val="left"/>
              <w:rPr>
                <w:rFonts w:ascii="Arial" w:hAnsi="Arial" w:cs="Arial" w:eastAsia="Arial" w:hint="default"/>
                <w:sz w:val="22"/>
                <w:szCs w:val="22"/>
              </w:rPr>
            </w:pPr>
            <w:r>
              <w:rPr>
                <w:rFonts w:ascii="Arial"/>
                <w:sz w:val="22"/>
              </w:rPr>
              <w:t>118,083,641</w:t>
            </w: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844" w:right="0"/>
              <w:jc w:val="left"/>
              <w:rPr>
                <w:rFonts w:ascii="Arial" w:hAnsi="Arial" w:cs="Arial" w:eastAsia="Arial" w:hint="default"/>
                <w:sz w:val="22"/>
                <w:szCs w:val="22"/>
              </w:rPr>
            </w:pPr>
            <w:r>
              <w:rPr>
                <w:rFonts w:ascii="Arial"/>
                <w:sz w:val="22"/>
              </w:rPr>
              <w:t>155,310,031</w:t>
            </w:r>
          </w:p>
        </w:tc>
      </w:tr>
      <w:tr>
        <w:trPr>
          <w:trHeight w:val="416"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528" w:type="dxa"/>
            <w:tcBorders>
              <w:top w:val="nil" w:sz="6" w:space="0" w:color="auto"/>
              <w:left w:val="nil" w:sz="6" w:space="0" w:color="auto"/>
              <w:bottom w:val="nil" w:sz="6" w:space="0" w:color="auto"/>
              <w:right w:val="nil" w:sz="6" w:space="0" w:color="auto"/>
            </w:tcBorders>
          </w:tcPr>
          <w:p>
            <w:pPr>
              <w:pStyle w:val="TableParagraph"/>
              <w:tabs>
                <w:tab w:pos="1241" w:val="left" w:leader="none"/>
                <w:tab w:pos="3617" w:val="left" w:leader="none"/>
              </w:tabs>
              <w:spacing w:line="240" w:lineRule="auto" w:before="144"/>
              <w:ind w:right="-109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2,024,257 </w:t>
            </w:r>
            <w:r>
              <w:rPr>
                <w:rFonts w:ascii="Arial"/>
                <w:spacing w:val="23"/>
                <w:sz w:val="22"/>
                <w:u w:val="single" w:color="000000"/>
              </w:rPr>
              <w:t> </w:t>
            </w:r>
            <w:r>
              <w:rPr>
                <w:rFonts w:ascii="Arial"/>
                <w:spacing w:val="23"/>
                <w:sz w:val="22"/>
              </w:rPr>
            </w:r>
            <w:r>
              <w:rPr>
                <w:rFonts w:ascii="Arial"/>
                <w:spacing w:val="13"/>
                <w:sz w:val="22"/>
              </w:rPr>
              <w:t> </w:t>
            </w:r>
            <w:r>
              <w:rPr>
                <w:rFonts w:ascii="Arial"/>
                <w:spacing w:val="13"/>
                <w:w w:val="100"/>
                <w:sz w:val="22"/>
              </w:rPr>
            </w:r>
            <w:r>
              <w:rPr>
                <w:rFonts w:ascii="Arial"/>
                <w:w w:val="100"/>
                <w:sz w:val="22"/>
                <w:u w:val="single" w:color="000000"/>
              </w:rPr>
              <w:t> </w:t>
            </w:r>
            <w:r>
              <w:rPr>
                <w:rFonts w:ascii="Arial"/>
                <w:sz w:val="22"/>
                <w:u w:val="single" w:color="000000"/>
              </w:rPr>
              <w:tab/>
            </w:r>
            <w:r>
              <w:rPr>
                <w:rFonts w:ascii="Arial"/>
                <w:sz w:val="22"/>
              </w:rPr>
            </w:r>
          </w:p>
        </w:tc>
        <w:tc>
          <w:tcPr>
            <w:tcW w:w="2217" w:type="dxa"/>
            <w:tcBorders>
              <w:top w:val="nil" w:sz="6" w:space="0" w:color="auto"/>
              <w:left w:val="nil" w:sz="6" w:space="0" w:color="auto"/>
              <w:bottom w:val="nil" w:sz="6" w:space="0" w:color="auto"/>
              <w:right w:val="nil" w:sz="6" w:space="0" w:color="auto"/>
            </w:tcBorders>
          </w:tcPr>
          <w:p>
            <w:pPr>
              <w:pStyle w:val="TableParagraph"/>
              <w:tabs>
                <w:tab w:pos="1127" w:val="left" w:leader="none"/>
              </w:tabs>
              <w:spacing w:line="240" w:lineRule="auto" w:before="144"/>
              <w:ind w:right="0"/>
              <w:jc w:val="right"/>
              <w:rPr>
                <w:rFonts w:ascii="Arial" w:hAnsi="Arial" w:cs="Arial" w:eastAsia="Arial" w:hint="default"/>
                <w:sz w:val="22"/>
                <w:szCs w:val="22"/>
              </w:rPr>
            </w:pPr>
            <w:r>
              <w:rPr>
                <w:rFonts w:ascii="Arial"/>
                <w:w w:val="100"/>
                <w:sz w:val="22"/>
              </w:rPr>
            </w:r>
            <w:r>
              <w:rPr>
                <w:rFonts w:ascii="Arial"/>
                <w:sz w:val="22"/>
                <w:u w:val="single" w:color="000000"/>
              </w:rPr>
              <w:t>2,087,729</w:t>
              <w:tab/>
            </w:r>
            <w:r>
              <w:rPr>
                <w:rFonts w:ascii="Arial"/>
                <w:sz w:val="22"/>
              </w:rPr>
            </w:r>
          </w:p>
        </w:tc>
      </w:tr>
      <w:tr>
        <w:trPr>
          <w:trHeight w:val="304"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4" w:lineRule="exact"/>
              <w:ind w:left="202"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528" w:type="dxa"/>
            <w:tcBorders>
              <w:top w:val="nil" w:sz="6" w:space="0" w:color="auto"/>
              <w:left w:val="nil" w:sz="6" w:space="0" w:color="auto"/>
              <w:bottom w:val="single" w:sz="17" w:space="0" w:color="000000"/>
              <w:right w:val="nil" w:sz="6" w:space="0" w:color="auto"/>
            </w:tcBorders>
          </w:tcPr>
          <w:p>
            <w:pPr>
              <w:pStyle w:val="TableParagraph"/>
              <w:spacing w:line="240" w:lineRule="auto" w:before="23"/>
              <w:ind w:left="996" w:right="0"/>
              <w:jc w:val="left"/>
              <w:rPr>
                <w:rFonts w:ascii="Arial" w:hAnsi="Arial" w:cs="Arial" w:eastAsia="Arial" w:hint="default"/>
                <w:sz w:val="22"/>
                <w:szCs w:val="22"/>
              </w:rPr>
            </w:pPr>
            <w:r>
              <w:rPr>
                <w:rFonts w:ascii="Arial"/>
                <w:sz w:val="22"/>
              </w:rPr>
              <w:t>120,107,898</w:t>
            </w:r>
          </w:p>
        </w:tc>
        <w:tc>
          <w:tcPr>
            <w:tcW w:w="2217" w:type="dxa"/>
            <w:tcBorders>
              <w:top w:val="nil" w:sz="6" w:space="0" w:color="auto"/>
              <w:left w:val="nil" w:sz="6" w:space="0" w:color="auto"/>
              <w:bottom w:val="single" w:sz="17" w:space="0" w:color="000000"/>
              <w:right w:val="nil" w:sz="6" w:space="0" w:color="auto"/>
            </w:tcBorders>
          </w:tcPr>
          <w:p>
            <w:pPr>
              <w:pStyle w:val="TableParagraph"/>
              <w:spacing w:line="240" w:lineRule="auto" w:before="23"/>
              <w:ind w:left="842" w:right="0"/>
              <w:jc w:val="left"/>
              <w:rPr>
                <w:rFonts w:ascii="Arial" w:hAnsi="Arial" w:cs="Arial" w:eastAsia="Arial" w:hint="default"/>
                <w:sz w:val="22"/>
                <w:szCs w:val="22"/>
              </w:rPr>
            </w:pPr>
            <w:r>
              <w:rPr>
                <w:rFonts w:ascii="Arial"/>
                <w:sz w:val="22"/>
              </w:rPr>
              <w:t>157,397,760</w:t>
            </w:r>
          </w:p>
        </w:tc>
      </w:tr>
    </w:tbl>
    <w:p>
      <w:pPr>
        <w:spacing w:line="240" w:lineRule="auto" w:before="11"/>
        <w:rPr>
          <w:rFonts w:ascii="宋体" w:hAnsi="宋体" w:cs="宋体" w:eastAsia="宋体" w:hint="default"/>
          <w:sz w:val="13"/>
          <w:szCs w:val="13"/>
        </w:rPr>
      </w:pPr>
    </w:p>
    <w:p>
      <w:pPr>
        <w:pStyle w:val="BodyText"/>
        <w:spacing w:line="240" w:lineRule="auto" w:before="32"/>
        <w:ind w:left="102" w:right="0"/>
        <w:jc w:val="left"/>
      </w:pPr>
      <w:r>
        <w:rPr>
          <w:rFonts w:ascii="Arial" w:hAnsi="Arial" w:cs="Arial" w:eastAsia="Arial" w:hint="default"/>
        </w:rPr>
        <w:t>(a) </w:t>
      </w:r>
      <w:r>
        <w:rPr>
          <w:rFonts w:ascii="Arial" w:hAnsi="Arial" w:cs="Arial" w:eastAsia="Arial" w:hint="default"/>
          <w:spacing w:val="25"/>
        </w:rPr>
        <w:t> </w:t>
      </w:r>
      <w:r>
        <w:rPr/>
        <w:t>长期应付款中的应付融资租赁款明细</w:t>
      </w:r>
    </w:p>
    <w:p>
      <w:pPr>
        <w:spacing w:line="240" w:lineRule="auto" w:before="12"/>
        <w:rPr>
          <w:rFonts w:ascii="宋体" w:hAnsi="宋体" w:cs="宋体" w:eastAsia="宋体" w:hint="default"/>
          <w:sz w:val="17"/>
          <w:szCs w:val="17"/>
        </w:rPr>
      </w:pPr>
    </w:p>
    <w:p>
      <w:pPr>
        <w:pStyle w:val="BodyText"/>
        <w:spacing w:line="240" w:lineRule="auto"/>
        <w:ind w:left="530" w:right="0"/>
        <w:jc w:val="left"/>
      </w:pPr>
      <w:r>
        <w:rPr/>
        <w:t>本集团通过融资租赁租入固定资产（附注五</w:t>
      </w:r>
      <w:r>
        <w:rPr>
          <w:spacing w:val="-63"/>
        </w:rPr>
        <w:t> </w:t>
      </w:r>
      <w:r>
        <w:rPr>
          <w:rFonts w:ascii="Arial" w:hAnsi="Arial" w:cs="Arial" w:eastAsia="Arial" w:hint="default"/>
        </w:rPr>
        <w:t>10(b)</w:t>
      </w:r>
      <w:r>
        <w:rPr/>
        <w:t>），未来应支付租金汇总如下：</w:t>
      </w:r>
    </w:p>
    <w:p>
      <w:pPr>
        <w:spacing w:line="240" w:lineRule="auto" w:before="1"/>
        <w:rPr>
          <w:rFonts w:ascii="宋体" w:hAnsi="宋体" w:cs="宋体" w:eastAsia="宋体" w:hint="default"/>
          <w:sz w:val="23"/>
          <w:szCs w:val="23"/>
        </w:rPr>
      </w:pPr>
    </w:p>
    <w:tbl>
      <w:tblPr>
        <w:tblW w:w="0" w:type="auto"/>
        <w:jc w:val="left"/>
        <w:tblInd w:w="550" w:type="dxa"/>
        <w:tblLayout w:type="fixed"/>
        <w:tblCellMar>
          <w:top w:w="0" w:type="dxa"/>
          <w:left w:w="0" w:type="dxa"/>
          <w:bottom w:w="0" w:type="dxa"/>
          <w:right w:w="0" w:type="dxa"/>
        </w:tblCellMar>
        <w:tblLook w:val="01E0"/>
      </w:tblPr>
      <w:tblGrid>
        <w:gridCol w:w="3520"/>
        <w:gridCol w:w="2693"/>
        <w:gridCol w:w="290"/>
        <w:gridCol w:w="2544"/>
      </w:tblGrid>
      <w:tr>
        <w:trPr>
          <w:trHeight w:val="264" w:hRule="exact"/>
        </w:trPr>
        <w:tc>
          <w:tcPr>
            <w:tcW w:w="3520"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6" w:space="0" w:color="000000"/>
              <w:right w:val="nil" w:sz="6" w:space="0" w:color="auto"/>
            </w:tcBorders>
          </w:tcPr>
          <w:p>
            <w:pPr>
              <w:pStyle w:val="TableParagraph"/>
              <w:spacing w:line="236" w:lineRule="exact"/>
              <w:ind w:right="107"/>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90"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single" w:sz="6" w:space="0" w:color="000000"/>
              <w:right w:val="nil" w:sz="6" w:space="0" w:color="auto"/>
            </w:tcBorders>
          </w:tcPr>
          <w:p>
            <w:pPr>
              <w:pStyle w:val="TableParagraph"/>
              <w:spacing w:line="236" w:lineRule="exact"/>
              <w:ind w:right="103"/>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58"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6"/>
                <w:sz w:val="22"/>
                <w:szCs w:val="22"/>
              </w:rPr>
              <w:t> </w:t>
            </w:r>
            <w:r>
              <w:rPr>
                <w:rFonts w:ascii="宋体" w:hAnsi="宋体" w:cs="宋体" w:eastAsia="宋体" w:hint="default"/>
                <w:sz w:val="22"/>
                <w:szCs w:val="22"/>
              </w:rPr>
              <w:t>年以内（含</w:t>
            </w:r>
            <w:r>
              <w:rPr>
                <w:rFonts w:ascii="宋体" w:hAnsi="宋体" w:cs="宋体" w:eastAsia="宋体" w:hint="default"/>
                <w:spacing w:val="-54"/>
                <w:sz w:val="22"/>
                <w:szCs w:val="22"/>
              </w:rPr>
              <w:t> </w:t>
            </w:r>
            <w:r>
              <w:rPr>
                <w:rFonts w:ascii="Arial" w:hAnsi="Arial" w:cs="Arial" w:eastAsia="Arial" w:hint="default"/>
                <w:sz w:val="22"/>
                <w:szCs w:val="22"/>
              </w:rPr>
              <w:t>1</w:t>
            </w:r>
            <w:r>
              <w:rPr>
                <w:rFonts w:ascii="Arial" w:hAnsi="Arial" w:cs="Arial" w:eastAsia="Arial" w:hint="default"/>
                <w:spacing w:val="-6"/>
                <w:sz w:val="22"/>
                <w:szCs w:val="22"/>
              </w:rPr>
              <w:t> </w:t>
            </w:r>
            <w:r>
              <w:rPr>
                <w:rFonts w:ascii="宋体" w:hAnsi="宋体" w:cs="宋体" w:eastAsia="宋体" w:hint="default"/>
                <w:spacing w:val="-3"/>
                <w:sz w:val="22"/>
                <w:szCs w:val="22"/>
              </w:rPr>
              <w:t>年）</w:t>
            </w:r>
            <w:r>
              <w:rPr>
                <w:rFonts w:ascii="宋体" w:hAnsi="宋体" w:cs="宋体" w:eastAsia="宋体" w:hint="default"/>
                <w:sz w:val="22"/>
                <w:szCs w:val="22"/>
              </w:rPr>
            </w:r>
          </w:p>
        </w:tc>
        <w:tc>
          <w:tcPr>
            <w:tcW w:w="2693"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3"/>
              <w:jc w:val="right"/>
              <w:rPr>
                <w:rFonts w:ascii="Arial" w:hAnsi="Arial" w:cs="Arial" w:eastAsia="Arial" w:hint="default"/>
                <w:sz w:val="22"/>
                <w:szCs w:val="22"/>
              </w:rPr>
            </w:pPr>
            <w:r>
              <w:rPr>
                <w:rFonts w:ascii="Arial"/>
                <w:spacing w:val="-1"/>
                <w:sz w:val="22"/>
              </w:rPr>
              <w:t>175,974,841</w:t>
            </w:r>
          </w:p>
        </w:tc>
        <w:tc>
          <w:tcPr>
            <w:tcW w:w="290" w:type="dxa"/>
            <w:tcBorders>
              <w:top w:val="nil" w:sz="6" w:space="0" w:color="auto"/>
              <w:left w:val="nil" w:sz="6" w:space="0" w:color="auto"/>
              <w:bottom w:val="nil" w:sz="6" w:space="0" w:color="auto"/>
              <w:right w:val="nil" w:sz="6" w:space="0" w:color="auto"/>
            </w:tcBorders>
          </w:tcPr>
          <w:p>
            <w:pPr/>
          </w:p>
        </w:tc>
        <w:tc>
          <w:tcPr>
            <w:tcW w:w="2544"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10"/>
              <w:jc w:val="right"/>
              <w:rPr>
                <w:rFonts w:ascii="Arial" w:hAnsi="Arial" w:cs="Arial" w:eastAsia="Arial" w:hint="default"/>
                <w:sz w:val="22"/>
                <w:szCs w:val="22"/>
              </w:rPr>
            </w:pPr>
            <w:r>
              <w:rPr>
                <w:rFonts w:ascii="Arial"/>
                <w:spacing w:val="-1"/>
                <w:sz w:val="22"/>
              </w:rPr>
              <w:t>167,362,168</w:t>
            </w:r>
          </w:p>
        </w:tc>
      </w:tr>
      <w:tr>
        <w:trPr>
          <w:trHeight w:val="284"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6"/>
                <w:sz w:val="22"/>
                <w:szCs w:val="22"/>
              </w:rPr>
              <w:t> </w:t>
            </w:r>
            <w:r>
              <w:rPr>
                <w:rFonts w:ascii="宋体" w:hAnsi="宋体" w:cs="宋体" w:eastAsia="宋体" w:hint="default"/>
                <w:sz w:val="22"/>
                <w:szCs w:val="22"/>
              </w:rPr>
              <w:t>年以上</w:t>
            </w:r>
            <w:r>
              <w:rPr>
                <w:rFonts w:ascii="宋体" w:hAnsi="宋体" w:cs="宋体" w:eastAsia="宋体" w:hint="default"/>
                <w:spacing w:val="-54"/>
                <w:sz w:val="22"/>
                <w:szCs w:val="22"/>
              </w:rPr>
              <w:t> </w:t>
            </w:r>
            <w:r>
              <w:rPr>
                <w:rFonts w:ascii="Arial" w:hAnsi="Arial" w:cs="Arial" w:eastAsia="Arial" w:hint="default"/>
                <w:sz w:val="22"/>
                <w:szCs w:val="22"/>
              </w:rPr>
              <w:t>2</w:t>
            </w:r>
            <w:r>
              <w:rPr>
                <w:rFonts w:ascii="Arial" w:hAnsi="Arial" w:cs="Arial" w:eastAsia="Arial" w:hint="default"/>
                <w:spacing w:val="-8"/>
                <w:sz w:val="22"/>
                <w:szCs w:val="22"/>
              </w:rPr>
              <w:t> </w:t>
            </w:r>
            <w:r>
              <w:rPr>
                <w:rFonts w:ascii="宋体" w:hAnsi="宋体" w:cs="宋体" w:eastAsia="宋体" w:hint="default"/>
                <w:sz w:val="22"/>
                <w:szCs w:val="22"/>
              </w:rPr>
              <w:t>年以内（含</w:t>
            </w:r>
            <w:r>
              <w:rPr>
                <w:rFonts w:ascii="宋体" w:hAnsi="宋体" w:cs="宋体" w:eastAsia="宋体" w:hint="default"/>
                <w:spacing w:val="-54"/>
                <w:sz w:val="22"/>
                <w:szCs w:val="22"/>
              </w:rPr>
              <w:t> </w:t>
            </w:r>
            <w:r>
              <w:rPr>
                <w:rFonts w:ascii="Arial" w:hAnsi="Arial" w:cs="Arial" w:eastAsia="Arial" w:hint="default"/>
                <w:sz w:val="22"/>
                <w:szCs w:val="22"/>
              </w:rPr>
              <w:t>2</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Arial" w:hAnsi="Arial" w:cs="Arial" w:eastAsia="Arial" w:hint="default"/>
                <w:sz w:val="22"/>
                <w:szCs w:val="22"/>
              </w:rPr>
            </w:pPr>
            <w:r>
              <w:rPr>
                <w:rFonts w:ascii="Arial"/>
                <w:spacing w:val="-1"/>
                <w:sz w:val="22"/>
              </w:rPr>
              <w:t>80,846,922</w:t>
            </w:r>
          </w:p>
        </w:tc>
        <w:tc>
          <w:tcPr>
            <w:tcW w:w="290"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0"/>
              <w:jc w:val="right"/>
              <w:rPr>
                <w:rFonts w:ascii="Arial" w:hAnsi="Arial" w:cs="Arial" w:eastAsia="Arial" w:hint="default"/>
                <w:sz w:val="22"/>
                <w:szCs w:val="22"/>
              </w:rPr>
            </w:pPr>
            <w:r>
              <w:rPr>
                <w:rFonts w:ascii="Arial"/>
                <w:spacing w:val="-1"/>
                <w:sz w:val="22"/>
              </w:rPr>
              <w:t>100,090,358</w:t>
            </w:r>
          </w:p>
        </w:tc>
      </w:tr>
      <w:tr>
        <w:trPr>
          <w:trHeight w:val="293"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2</w:t>
            </w:r>
            <w:r>
              <w:rPr>
                <w:rFonts w:ascii="Arial" w:hAnsi="Arial" w:cs="Arial" w:eastAsia="Arial" w:hint="default"/>
                <w:spacing w:val="-6"/>
                <w:sz w:val="22"/>
                <w:szCs w:val="22"/>
              </w:rPr>
              <w:t> </w:t>
            </w:r>
            <w:r>
              <w:rPr>
                <w:rFonts w:ascii="宋体" w:hAnsi="宋体" w:cs="宋体" w:eastAsia="宋体" w:hint="default"/>
                <w:sz w:val="22"/>
                <w:szCs w:val="22"/>
              </w:rPr>
              <w:t>年以上</w:t>
            </w:r>
            <w:r>
              <w:rPr>
                <w:rFonts w:ascii="宋体" w:hAnsi="宋体" w:cs="宋体" w:eastAsia="宋体" w:hint="default"/>
                <w:spacing w:val="-54"/>
                <w:sz w:val="22"/>
                <w:szCs w:val="22"/>
              </w:rPr>
              <w:t> </w:t>
            </w:r>
            <w:r>
              <w:rPr>
                <w:rFonts w:ascii="Arial" w:hAnsi="Arial" w:cs="Arial" w:eastAsia="Arial" w:hint="default"/>
                <w:sz w:val="22"/>
                <w:szCs w:val="22"/>
              </w:rPr>
              <w:t>3</w:t>
            </w:r>
            <w:r>
              <w:rPr>
                <w:rFonts w:ascii="Arial" w:hAnsi="Arial" w:cs="Arial" w:eastAsia="Arial" w:hint="default"/>
                <w:spacing w:val="-8"/>
                <w:sz w:val="22"/>
                <w:szCs w:val="22"/>
              </w:rPr>
              <w:t> </w:t>
            </w:r>
            <w:r>
              <w:rPr>
                <w:rFonts w:ascii="宋体" w:hAnsi="宋体" w:cs="宋体" w:eastAsia="宋体" w:hint="default"/>
                <w:sz w:val="22"/>
                <w:szCs w:val="22"/>
              </w:rPr>
              <w:t>年以内（含</w:t>
            </w:r>
            <w:r>
              <w:rPr>
                <w:rFonts w:ascii="宋体" w:hAnsi="宋体" w:cs="宋体" w:eastAsia="宋体" w:hint="default"/>
                <w:spacing w:val="-54"/>
                <w:sz w:val="22"/>
                <w:szCs w:val="22"/>
              </w:rPr>
              <w:t> </w:t>
            </w:r>
            <w:r>
              <w:rPr>
                <w:rFonts w:ascii="Arial" w:hAnsi="Arial" w:cs="Arial" w:eastAsia="Arial" w:hint="default"/>
                <w:sz w:val="22"/>
                <w:szCs w:val="22"/>
              </w:rPr>
              <w:t>3</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693" w:type="dxa"/>
            <w:tcBorders>
              <w:top w:val="nil" w:sz="6" w:space="0" w:color="auto"/>
              <w:left w:val="nil" w:sz="6" w:space="0" w:color="auto"/>
              <w:bottom w:val="nil" w:sz="6" w:space="0" w:color="auto"/>
              <w:right w:val="nil" w:sz="6" w:space="0" w:color="auto"/>
            </w:tcBorders>
          </w:tcPr>
          <w:p>
            <w:pPr>
              <w:pStyle w:val="TableParagraph"/>
              <w:tabs>
                <w:tab w:pos="1483" w:val="left" w:leader="none"/>
                <w:tab w:pos="2693"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43,257,632</w:t>
              <w:tab/>
            </w:r>
            <w:r>
              <w:rPr>
                <w:rFonts w:ascii="Arial"/>
                <w:spacing w:val="-1"/>
                <w:sz w:val="22"/>
              </w:rPr>
            </w:r>
          </w:p>
        </w:tc>
        <w:tc>
          <w:tcPr>
            <w:tcW w:w="290"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nil" w:sz="6" w:space="0" w:color="auto"/>
              <w:right w:val="nil" w:sz="6" w:space="0" w:color="auto"/>
            </w:tcBorders>
          </w:tcPr>
          <w:p>
            <w:pPr>
              <w:pStyle w:val="TableParagraph"/>
              <w:tabs>
                <w:tab w:pos="1320" w:val="left" w:leader="none"/>
                <w:tab w:pos="2537"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65,869,838</w:t>
              <w:tab/>
            </w:r>
            <w:r>
              <w:rPr>
                <w:rFonts w:ascii="Arial"/>
                <w:spacing w:val="-1"/>
                <w:sz w:val="22"/>
              </w:rPr>
            </w:r>
          </w:p>
        </w:tc>
      </w:tr>
      <w:tr>
        <w:trPr>
          <w:trHeight w:val="419"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3"/>
              <w:jc w:val="right"/>
              <w:rPr>
                <w:rFonts w:ascii="Arial" w:hAnsi="Arial" w:cs="Arial" w:eastAsia="Arial" w:hint="default"/>
                <w:sz w:val="22"/>
                <w:szCs w:val="22"/>
              </w:rPr>
            </w:pPr>
            <w:r>
              <w:rPr>
                <w:rFonts w:ascii="Arial"/>
                <w:spacing w:val="-1"/>
                <w:sz w:val="22"/>
              </w:rPr>
              <w:t>300,079,395</w:t>
            </w:r>
          </w:p>
        </w:tc>
        <w:tc>
          <w:tcPr>
            <w:tcW w:w="290"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10"/>
              <w:jc w:val="right"/>
              <w:rPr>
                <w:rFonts w:ascii="Arial" w:hAnsi="Arial" w:cs="Arial" w:eastAsia="Arial" w:hint="default"/>
                <w:sz w:val="22"/>
                <w:szCs w:val="22"/>
              </w:rPr>
            </w:pPr>
            <w:r>
              <w:rPr>
                <w:rFonts w:ascii="Arial"/>
                <w:spacing w:val="-1"/>
                <w:sz w:val="22"/>
              </w:rPr>
              <w:t>333,322,364</w:t>
            </w:r>
          </w:p>
        </w:tc>
      </w:tr>
      <w:tr>
        <w:trPr>
          <w:trHeight w:val="545"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00" w:right="0"/>
              <w:jc w:val="left"/>
              <w:rPr>
                <w:rFonts w:ascii="宋体" w:hAnsi="宋体" w:cs="宋体" w:eastAsia="宋体" w:hint="default"/>
                <w:sz w:val="22"/>
                <w:szCs w:val="22"/>
              </w:rPr>
            </w:pPr>
            <w:r>
              <w:rPr>
                <w:rFonts w:ascii="宋体" w:hAnsi="宋体" w:cs="宋体" w:eastAsia="宋体" w:hint="default"/>
                <w:sz w:val="22"/>
                <w:szCs w:val="22"/>
              </w:rPr>
              <w:t>减：未确认融资费用</w:t>
            </w:r>
          </w:p>
        </w:tc>
        <w:tc>
          <w:tcPr>
            <w:tcW w:w="2693" w:type="dxa"/>
            <w:tcBorders>
              <w:top w:val="nil" w:sz="6" w:space="0" w:color="auto"/>
              <w:left w:val="nil" w:sz="6" w:space="0" w:color="auto"/>
              <w:bottom w:val="nil" w:sz="6" w:space="0" w:color="auto"/>
              <w:right w:val="nil" w:sz="6" w:space="0" w:color="auto"/>
            </w:tcBorders>
          </w:tcPr>
          <w:p>
            <w:pPr>
              <w:pStyle w:val="TableParagraph"/>
              <w:tabs>
                <w:tab w:pos="1409" w:val="left" w:leader="none"/>
              </w:tabs>
              <w:spacing w:line="240" w:lineRule="auto" w:before="147"/>
              <w:ind w:right="32"/>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(14,233,084)</w:t>
            </w:r>
            <w:r>
              <w:rPr>
                <w:rFonts w:ascii="Arial"/>
                <w:spacing w:val="-1"/>
                <w:sz w:val="22"/>
              </w:rPr>
            </w:r>
          </w:p>
        </w:tc>
        <w:tc>
          <w:tcPr>
            <w:tcW w:w="290"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nil" w:sz="6" w:space="0" w:color="auto"/>
              <w:right w:val="nil" w:sz="6" w:space="0" w:color="auto"/>
            </w:tcBorders>
          </w:tcPr>
          <w:p>
            <w:pPr>
              <w:pStyle w:val="TableParagraph"/>
              <w:tabs>
                <w:tab w:pos="1183" w:val="left" w:leader="none"/>
                <w:tab w:pos="2537" w:val="left" w:leader="none"/>
              </w:tabs>
              <w:spacing w:line="240" w:lineRule="auto" w:before="147"/>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(16,537,874)</w:t>
              <w:tab/>
            </w:r>
            <w:r>
              <w:rPr>
                <w:rFonts w:ascii="Arial"/>
                <w:spacing w:val="-1"/>
                <w:sz w:val="22"/>
              </w:rPr>
            </w:r>
          </w:p>
        </w:tc>
      </w:tr>
      <w:tr>
        <w:trPr>
          <w:trHeight w:val="428"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693" w:type="dxa"/>
            <w:tcBorders>
              <w:top w:val="nil" w:sz="6" w:space="0" w:color="auto"/>
              <w:left w:val="nil" w:sz="6" w:space="0" w:color="auto"/>
              <w:bottom w:val="single" w:sz="17" w:space="0" w:color="000000"/>
              <w:right w:val="nil" w:sz="6" w:space="0" w:color="auto"/>
            </w:tcBorders>
          </w:tcPr>
          <w:p>
            <w:pPr>
              <w:pStyle w:val="TableParagraph"/>
              <w:spacing w:line="240" w:lineRule="auto" w:before="149"/>
              <w:ind w:right="103"/>
              <w:jc w:val="right"/>
              <w:rPr>
                <w:rFonts w:ascii="Arial" w:hAnsi="Arial" w:cs="Arial" w:eastAsia="Arial" w:hint="default"/>
                <w:sz w:val="22"/>
                <w:szCs w:val="22"/>
              </w:rPr>
            </w:pPr>
            <w:r>
              <w:rPr>
                <w:rFonts w:ascii="Arial"/>
                <w:spacing w:val="-1"/>
                <w:sz w:val="22"/>
              </w:rPr>
              <w:t>285,846,311</w:t>
            </w:r>
          </w:p>
        </w:tc>
        <w:tc>
          <w:tcPr>
            <w:tcW w:w="290"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single" w:sz="17" w:space="0" w:color="000000"/>
              <w:right w:val="nil" w:sz="6" w:space="0" w:color="auto"/>
            </w:tcBorders>
          </w:tcPr>
          <w:p>
            <w:pPr>
              <w:pStyle w:val="TableParagraph"/>
              <w:spacing w:line="240" w:lineRule="auto" w:before="149"/>
              <w:ind w:right="110"/>
              <w:jc w:val="right"/>
              <w:rPr>
                <w:rFonts w:ascii="Arial" w:hAnsi="Arial" w:cs="Arial" w:eastAsia="Arial" w:hint="default"/>
                <w:sz w:val="22"/>
                <w:szCs w:val="22"/>
              </w:rPr>
            </w:pPr>
            <w:r>
              <w:rPr>
                <w:rFonts w:ascii="Arial"/>
                <w:spacing w:val="-1"/>
                <w:sz w:val="22"/>
              </w:rPr>
              <w:t>316,784,490</w:t>
            </w:r>
          </w:p>
        </w:tc>
      </w:tr>
    </w:tbl>
    <w:p>
      <w:pPr>
        <w:spacing w:line="240" w:lineRule="auto" w:before="0"/>
        <w:rPr>
          <w:rFonts w:ascii="宋体" w:hAnsi="宋体" w:cs="宋体" w:eastAsia="宋体" w:hint="default"/>
          <w:sz w:val="14"/>
          <w:szCs w:val="14"/>
        </w:rPr>
      </w:pPr>
    </w:p>
    <w:p>
      <w:pPr>
        <w:pStyle w:val="BodyText"/>
        <w:spacing w:line="240" w:lineRule="auto" w:before="32"/>
        <w:ind w:left="102" w:right="0"/>
        <w:jc w:val="left"/>
      </w:pPr>
      <w:r>
        <w:rPr>
          <w:rFonts w:ascii="Arial" w:hAnsi="Arial" w:cs="Arial" w:eastAsia="Arial" w:hint="default"/>
        </w:rPr>
        <w:t>29</w:t>
      </w:r>
      <w:r>
        <w:rPr/>
        <w:t>、长期应付职工薪酬</w:t>
      </w:r>
    </w:p>
    <w:p>
      <w:pPr>
        <w:spacing w:line="240" w:lineRule="auto" w:before="11"/>
        <w:rPr>
          <w:rFonts w:ascii="宋体" w:hAnsi="宋体" w:cs="宋体" w:eastAsia="宋体" w:hint="default"/>
          <w:sz w:val="24"/>
          <w:szCs w:val="24"/>
        </w:rPr>
      </w:pPr>
    </w:p>
    <w:tbl>
      <w:tblPr>
        <w:tblW w:w="0" w:type="auto"/>
        <w:jc w:val="left"/>
        <w:tblInd w:w="351" w:type="dxa"/>
        <w:tblLayout w:type="fixed"/>
        <w:tblCellMar>
          <w:top w:w="0" w:type="dxa"/>
          <w:left w:w="0" w:type="dxa"/>
          <w:bottom w:w="0" w:type="dxa"/>
          <w:right w:w="0" w:type="dxa"/>
        </w:tblCellMar>
        <w:tblLook w:val="01E0"/>
      </w:tblPr>
      <w:tblGrid>
        <w:gridCol w:w="4470"/>
        <w:gridCol w:w="2528"/>
        <w:gridCol w:w="2217"/>
      </w:tblGrid>
      <w:tr>
        <w:trPr>
          <w:trHeight w:val="262" w:hRule="exact"/>
        </w:trPr>
        <w:tc>
          <w:tcPr>
            <w:tcW w:w="4470"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single" w:sz="6" w:space="0" w:color="000000"/>
              <w:right w:val="nil" w:sz="6" w:space="0" w:color="auto"/>
            </w:tcBorders>
          </w:tcPr>
          <w:p>
            <w:pPr>
              <w:pStyle w:val="TableParagraph"/>
              <w:spacing w:line="236" w:lineRule="exact"/>
              <w:ind w:left="336"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2217" w:type="dxa"/>
            <w:tcBorders>
              <w:top w:val="nil" w:sz="6" w:space="0" w:color="auto"/>
              <w:left w:val="nil" w:sz="6" w:space="0" w:color="auto"/>
              <w:bottom w:val="single" w:sz="6" w:space="0" w:color="000000"/>
              <w:right w:val="nil" w:sz="6" w:space="0" w:color="auto"/>
            </w:tcBorders>
          </w:tcPr>
          <w:p>
            <w:pPr>
              <w:pStyle w:val="TableParagraph"/>
              <w:spacing w:line="236" w:lineRule="exact"/>
              <w:ind w:left="234" w:right="0"/>
              <w:jc w:val="lef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8"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应付内退员工补偿费（附注五</w:t>
            </w:r>
            <w:r>
              <w:rPr>
                <w:rFonts w:ascii="Arial" w:hAnsi="Arial" w:cs="Arial" w:eastAsia="Arial" w:hint="default"/>
                <w:sz w:val="22"/>
                <w:szCs w:val="22"/>
              </w:rPr>
              <w:t>(19)</w:t>
            </w:r>
            <w:r>
              <w:rPr>
                <w:rFonts w:ascii="宋体" w:hAnsi="宋体" w:cs="宋体" w:eastAsia="宋体" w:hint="default"/>
                <w:sz w:val="22"/>
                <w:szCs w:val="22"/>
              </w:rPr>
              <w:t>）</w:t>
            </w:r>
          </w:p>
        </w:tc>
        <w:tc>
          <w:tcPr>
            <w:tcW w:w="2528"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241" w:right="0"/>
              <w:jc w:val="left"/>
              <w:rPr>
                <w:rFonts w:ascii="Arial" w:hAnsi="Arial" w:cs="Arial" w:eastAsia="Arial" w:hint="default"/>
                <w:sz w:val="22"/>
                <w:szCs w:val="22"/>
              </w:rPr>
            </w:pPr>
            <w:r>
              <w:rPr>
                <w:rFonts w:ascii="Arial"/>
                <w:sz w:val="22"/>
              </w:rPr>
              <w:t>6,324,058</w:t>
            </w:r>
          </w:p>
        </w:tc>
        <w:tc>
          <w:tcPr>
            <w:tcW w:w="2217"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87" w:right="0"/>
              <w:jc w:val="left"/>
              <w:rPr>
                <w:rFonts w:ascii="Arial" w:hAnsi="Arial" w:cs="Arial" w:eastAsia="Arial" w:hint="default"/>
                <w:sz w:val="22"/>
                <w:szCs w:val="22"/>
              </w:rPr>
            </w:pPr>
            <w:r>
              <w:rPr>
                <w:rFonts w:ascii="Arial"/>
                <w:sz w:val="22"/>
              </w:rPr>
              <w:t>6,370,490</w:t>
            </w:r>
          </w:p>
        </w:tc>
      </w:tr>
      <w:tr>
        <w:trPr>
          <w:trHeight w:val="289"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应付离退休后补充福利（附注五</w:t>
            </w:r>
            <w:r>
              <w:rPr>
                <w:rFonts w:ascii="Arial" w:hAnsi="Arial" w:cs="Arial" w:eastAsia="Arial" w:hint="default"/>
                <w:sz w:val="22"/>
                <w:szCs w:val="22"/>
              </w:rPr>
              <w:t>(19)</w:t>
            </w:r>
            <w:r>
              <w:rPr>
                <w:rFonts w:ascii="宋体" w:hAnsi="宋体" w:cs="宋体" w:eastAsia="宋体" w:hint="default"/>
                <w:sz w:val="22"/>
                <w:szCs w:val="22"/>
              </w:rPr>
              <w:t>）</w:t>
            </w:r>
          </w:p>
        </w:tc>
        <w:tc>
          <w:tcPr>
            <w:tcW w:w="2528" w:type="dxa"/>
            <w:tcBorders>
              <w:top w:val="nil" w:sz="6" w:space="0" w:color="auto"/>
              <w:left w:val="nil" w:sz="6" w:space="0" w:color="auto"/>
              <w:bottom w:val="nil" w:sz="6" w:space="0" w:color="auto"/>
              <w:right w:val="nil" w:sz="6" w:space="0" w:color="auto"/>
            </w:tcBorders>
          </w:tcPr>
          <w:p>
            <w:pPr>
              <w:pStyle w:val="TableParagraph"/>
              <w:tabs>
                <w:tab w:pos="996" w:val="left" w:leader="none"/>
                <w:tab w:pos="3370" w:val="left" w:leader="none"/>
              </w:tabs>
              <w:spacing w:line="240" w:lineRule="auto" w:before="17"/>
              <w:ind w:right="-843"/>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101,649,665 </w:t>
            </w:r>
            <w:r>
              <w:rPr>
                <w:rFonts w:ascii="Arial"/>
                <w:spacing w:val="23"/>
                <w:sz w:val="22"/>
                <w:u w:val="single" w:color="000000"/>
              </w:rPr>
              <w:t> </w:t>
            </w:r>
            <w:r>
              <w:rPr>
                <w:rFonts w:ascii="Arial"/>
                <w:spacing w:val="23"/>
                <w:sz w:val="22"/>
              </w:rPr>
            </w:r>
            <w:r>
              <w:rPr>
                <w:rFonts w:ascii="Arial"/>
                <w:spacing w:val="13"/>
                <w:sz w:val="22"/>
              </w:rPr>
              <w:t> </w:t>
            </w:r>
            <w:r>
              <w:rPr>
                <w:rFonts w:ascii="Arial"/>
                <w:spacing w:val="13"/>
                <w:w w:val="100"/>
                <w:sz w:val="22"/>
              </w:rPr>
            </w:r>
            <w:r>
              <w:rPr>
                <w:rFonts w:ascii="Arial"/>
                <w:w w:val="100"/>
                <w:sz w:val="22"/>
                <w:u w:val="single" w:color="000000"/>
              </w:rPr>
              <w:t> </w:t>
            </w:r>
            <w:r>
              <w:rPr>
                <w:rFonts w:ascii="Arial"/>
                <w:sz w:val="22"/>
                <w:u w:val="single" w:color="000000"/>
              </w:rPr>
              <w:tab/>
            </w:r>
            <w:r>
              <w:rPr>
                <w:rFonts w:ascii="Arial"/>
                <w:sz w:val="22"/>
              </w:rPr>
            </w:r>
          </w:p>
        </w:tc>
        <w:tc>
          <w:tcPr>
            <w:tcW w:w="2217" w:type="dxa"/>
            <w:tcBorders>
              <w:top w:val="nil" w:sz="6" w:space="0" w:color="auto"/>
              <w:left w:val="nil" w:sz="6" w:space="0" w:color="auto"/>
              <w:bottom w:val="nil" w:sz="6" w:space="0" w:color="auto"/>
              <w:right w:val="nil" w:sz="6" w:space="0" w:color="auto"/>
            </w:tcBorders>
          </w:tcPr>
          <w:p>
            <w:pPr>
              <w:pStyle w:val="TableParagraph"/>
              <w:tabs>
                <w:tab w:pos="1374" w:val="left" w:leader="none"/>
              </w:tabs>
              <w:spacing w:line="240" w:lineRule="auto" w:before="17"/>
              <w:ind w:right="0"/>
              <w:jc w:val="right"/>
              <w:rPr>
                <w:rFonts w:ascii="Arial" w:hAnsi="Arial" w:cs="Arial" w:eastAsia="Arial" w:hint="default"/>
                <w:sz w:val="22"/>
                <w:szCs w:val="22"/>
              </w:rPr>
            </w:pPr>
            <w:r>
              <w:rPr>
                <w:rFonts w:ascii="Arial"/>
                <w:w w:val="100"/>
                <w:sz w:val="22"/>
              </w:rPr>
            </w:r>
            <w:r>
              <w:rPr>
                <w:rFonts w:ascii="Arial"/>
                <w:spacing w:val="-1"/>
                <w:sz w:val="22"/>
                <w:u w:val="single" w:color="000000"/>
              </w:rPr>
              <w:t>103,046,800</w:t>
              <w:tab/>
            </w:r>
            <w:r>
              <w:rPr>
                <w:rFonts w:ascii="Arial"/>
                <w:spacing w:val="-1"/>
                <w:sz w:val="22"/>
              </w:rPr>
            </w:r>
          </w:p>
        </w:tc>
      </w:tr>
      <w:tr>
        <w:trPr>
          <w:trHeight w:val="418"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4"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52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996" w:right="0"/>
              <w:jc w:val="left"/>
              <w:rPr>
                <w:rFonts w:ascii="Arial" w:hAnsi="Arial" w:cs="Arial" w:eastAsia="Arial" w:hint="default"/>
                <w:sz w:val="22"/>
                <w:szCs w:val="22"/>
              </w:rPr>
            </w:pPr>
            <w:r>
              <w:rPr>
                <w:rFonts w:ascii="Arial"/>
                <w:sz w:val="22"/>
              </w:rPr>
              <w:t>107,973,723</w:t>
            </w: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844" w:right="0"/>
              <w:jc w:val="left"/>
              <w:rPr>
                <w:rFonts w:ascii="Arial" w:hAnsi="Arial" w:cs="Arial" w:eastAsia="Arial" w:hint="default"/>
                <w:sz w:val="22"/>
                <w:szCs w:val="22"/>
              </w:rPr>
            </w:pPr>
            <w:r>
              <w:rPr>
                <w:rFonts w:ascii="Arial"/>
                <w:sz w:val="22"/>
              </w:rPr>
              <w:t>109,417,290</w:t>
            </w:r>
          </w:p>
        </w:tc>
      </w:tr>
      <w:tr>
        <w:trPr>
          <w:trHeight w:val="412"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00" w:right="0"/>
              <w:jc w:val="left"/>
              <w:rPr>
                <w:rFonts w:ascii="宋体" w:hAnsi="宋体" w:cs="宋体" w:eastAsia="宋体" w:hint="default"/>
                <w:sz w:val="22"/>
                <w:szCs w:val="22"/>
              </w:rPr>
            </w:pPr>
            <w:r>
              <w:rPr>
                <w:rFonts w:ascii="宋体" w:hAnsi="宋体" w:cs="宋体" w:eastAsia="宋体" w:hint="default"/>
                <w:sz w:val="22"/>
                <w:szCs w:val="22"/>
              </w:rPr>
              <w:t>减：应付内退员工补偿费（流动部分）</w:t>
            </w:r>
          </w:p>
        </w:tc>
        <w:tc>
          <w:tcPr>
            <w:tcW w:w="2528"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166" w:right="0"/>
              <w:jc w:val="left"/>
              <w:rPr>
                <w:rFonts w:ascii="Arial" w:hAnsi="Arial" w:cs="Arial" w:eastAsia="Arial" w:hint="default"/>
                <w:sz w:val="22"/>
                <w:szCs w:val="22"/>
              </w:rPr>
            </w:pPr>
            <w:r>
              <w:rPr>
                <w:rFonts w:ascii="Arial"/>
                <w:sz w:val="22"/>
              </w:rPr>
              <w:t>(3,648,287)</w:t>
            </w: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73"/>
              <w:jc w:val="right"/>
              <w:rPr>
                <w:rFonts w:ascii="Arial" w:hAnsi="Arial" w:cs="Arial" w:eastAsia="Arial" w:hint="default"/>
                <w:sz w:val="22"/>
                <w:szCs w:val="22"/>
              </w:rPr>
            </w:pPr>
            <w:r>
              <w:rPr>
                <w:rFonts w:ascii="Arial"/>
                <w:spacing w:val="-1"/>
                <w:sz w:val="22"/>
              </w:rPr>
              <w:t>(4,589,194)</w:t>
            </w:r>
          </w:p>
        </w:tc>
      </w:tr>
      <w:tr>
        <w:trPr>
          <w:trHeight w:val="293"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38" w:lineRule="exact"/>
              <w:ind w:left="634" w:right="0"/>
              <w:jc w:val="left"/>
              <w:rPr>
                <w:rFonts w:ascii="宋体" w:hAnsi="宋体" w:cs="宋体" w:eastAsia="宋体" w:hint="default"/>
                <w:sz w:val="22"/>
                <w:szCs w:val="22"/>
              </w:rPr>
            </w:pPr>
            <w:r>
              <w:rPr>
                <w:rFonts w:ascii="宋体" w:hAnsi="宋体" w:cs="宋体" w:eastAsia="宋体" w:hint="default"/>
                <w:sz w:val="22"/>
                <w:szCs w:val="22"/>
              </w:rPr>
              <w:t>应付离退休后补充福利（流动部分）</w:t>
            </w:r>
          </w:p>
        </w:tc>
        <w:tc>
          <w:tcPr>
            <w:tcW w:w="2528" w:type="dxa"/>
            <w:tcBorders>
              <w:top w:val="nil" w:sz="6" w:space="0" w:color="auto"/>
              <w:left w:val="nil" w:sz="6" w:space="0" w:color="auto"/>
              <w:bottom w:val="nil" w:sz="6" w:space="0" w:color="auto"/>
              <w:right w:val="nil" w:sz="6" w:space="0" w:color="auto"/>
            </w:tcBorders>
          </w:tcPr>
          <w:p>
            <w:pPr>
              <w:pStyle w:val="TableParagraph"/>
              <w:tabs>
                <w:tab w:pos="1166" w:val="left" w:leader="none"/>
                <w:tab w:pos="3543" w:val="left" w:leader="none"/>
              </w:tabs>
              <w:spacing w:line="240" w:lineRule="auto" w:before="20"/>
              <w:ind w:right="-1016"/>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(7,520,773)</w:t>
            </w:r>
            <w:r>
              <w:rPr>
                <w:rFonts w:ascii="Arial"/>
                <w:spacing w:val="14"/>
                <w:sz w:val="22"/>
                <w:u w:val="single" w:color="000000"/>
              </w:rPr>
              <w:t> </w:t>
            </w:r>
            <w:r>
              <w:rPr>
                <w:rFonts w:ascii="Arial"/>
                <w:spacing w:val="14"/>
                <w:sz w:val="22"/>
              </w:rPr>
            </w:r>
            <w:r>
              <w:rPr>
                <w:rFonts w:ascii="Arial"/>
                <w:spacing w:val="13"/>
                <w:sz w:val="22"/>
              </w:rPr>
              <w:t> </w:t>
            </w:r>
            <w:r>
              <w:rPr>
                <w:rFonts w:ascii="Arial"/>
                <w:spacing w:val="13"/>
                <w:w w:val="100"/>
                <w:sz w:val="22"/>
              </w:rPr>
            </w:r>
            <w:r>
              <w:rPr>
                <w:rFonts w:ascii="Arial"/>
                <w:w w:val="100"/>
                <w:sz w:val="22"/>
                <w:u w:val="single" w:color="000000"/>
              </w:rPr>
              <w:t> </w:t>
            </w:r>
            <w:r>
              <w:rPr>
                <w:rFonts w:ascii="Arial"/>
                <w:sz w:val="22"/>
                <w:u w:val="single" w:color="000000"/>
              </w:rPr>
              <w:tab/>
            </w:r>
            <w:r>
              <w:rPr>
                <w:rFonts w:ascii="Arial"/>
                <w:sz w:val="22"/>
              </w:rPr>
            </w:r>
          </w:p>
        </w:tc>
        <w:tc>
          <w:tcPr>
            <w:tcW w:w="2217" w:type="dxa"/>
            <w:tcBorders>
              <w:top w:val="nil" w:sz="6" w:space="0" w:color="auto"/>
              <w:left w:val="nil" w:sz="6" w:space="0" w:color="auto"/>
              <w:bottom w:val="nil" w:sz="6" w:space="0" w:color="auto"/>
              <w:right w:val="nil" w:sz="6" w:space="0" w:color="auto"/>
            </w:tcBorders>
          </w:tcPr>
          <w:p>
            <w:pPr>
              <w:pStyle w:val="TableParagraph"/>
              <w:tabs>
                <w:tab w:pos="1202"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spacing w:val="-1"/>
                <w:sz w:val="22"/>
                <w:u w:val="single" w:color="000000"/>
              </w:rPr>
              <w:t>(7,573,502)</w:t>
              <w:tab/>
            </w:r>
            <w:r>
              <w:rPr>
                <w:rFonts w:ascii="Arial"/>
                <w:spacing w:val="-1"/>
                <w:sz w:val="22"/>
              </w:rPr>
            </w:r>
          </w:p>
        </w:tc>
      </w:tr>
      <w:tr>
        <w:trPr>
          <w:trHeight w:val="427"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528" w:type="dxa"/>
            <w:tcBorders>
              <w:top w:val="nil" w:sz="6" w:space="0" w:color="auto"/>
              <w:left w:val="nil" w:sz="6" w:space="0" w:color="auto"/>
              <w:bottom w:val="nil" w:sz="6" w:space="0" w:color="auto"/>
              <w:right w:val="nil" w:sz="6" w:space="0" w:color="auto"/>
            </w:tcBorders>
          </w:tcPr>
          <w:p>
            <w:pPr>
              <w:pStyle w:val="TableParagraph"/>
              <w:tabs>
                <w:tab w:pos="1044" w:val="left" w:leader="none"/>
                <w:tab w:pos="3420" w:val="left" w:leader="none"/>
              </w:tabs>
              <w:spacing w:line="240" w:lineRule="auto" w:before="27"/>
              <w:ind w:right="-893"/>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(11,169,060)</w:t>
            </w:r>
            <w:r>
              <w:rPr>
                <w:rFonts w:ascii="Arial"/>
                <w:spacing w:val="14"/>
                <w:sz w:val="22"/>
                <w:u w:val="single" w:color="000000"/>
              </w:rPr>
              <w:t> </w:t>
            </w:r>
            <w:r>
              <w:rPr>
                <w:rFonts w:ascii="Arial"/>
                <w:spacing w:val="14"/>
                <w:sz w:val="22"/>
              </w:rPr>
            </w:r>
            <w:r>
              <w:rPr>
                <w:rFonts w:ascii="Arial"/>
                <w:spacing w:val="13"/>
                <w:sz w:val="22"/>
              </w:rPr>
              <w:t> </w:t>
            </w:r>
            <w:r>
              <w:rPr>
                <w:rFonts w:ascii="Arial"/>
                <w:spacing w:val="13"/>
                <w:w w:val="100"/>
                <w:sz w:val="22"/>
              </w:rPr>
            </w:r>
            <w:r>
              <w:rPr>
                <w:rFonts w:ascii="Arial"/>
                <w:w w:val="100"/>
                <w:sz w:val="22"/>
                <w:u w:val="single" w:color="000000"/>
              </w:rPr>
              <w:t> </w:t>
            </w:r>
            <w:r>
              <w:rPr>
                <w:rFonts w:ascii="Arial"/>
                <w:sz w:val="22"/>
                <w:u w:val="single" w:color="000000"/>
              </w:rPr>
              <w:tab/>
            </w:r>
            <w:r>
              <w:rPr>
                <w:rFonts w:ascii="Arial"/>
                <w:sz w:val="22"/>
              </w:rPr>
            </w:r>
          </w:p>
        </w:tc>
        <w:tc>
          <w:tcPr>
            <w:tcW w:w="2217" w:type="dxa"/>
            <w:tcBorders>
              <w:top w:val="nil" w:sz="6" w:space="0" w:color="auto"/>
              <w:left w:val="nil" w:sz="6" w:space="0" w:color="auto"/>
              <w:bottom w:val="nil" w:sz="6" w:space="0" w:color="auto"/>
              <w:right w:val="nil" w:sz="6" w:space="0" w:color="auto"/>
            </w:tcBorders>
          </w:tcPr>
          <w:p>
            <w:pPr>
              <w:pStyle w:val="TableParagraph"/>
              <w:tabs>
                <w:tab w:pos="1324" w:val="left" w:leader="none"/>
              </w:tabs>
              <w:spacing w:line="240" w:lineRule="auto" w:before="27"/>
              <w:ind w:right="0"/>
              <w:jc w:val="right"/>
              <w:rPr>
                <w:rFonts w:ascii="Arial" w:hAnsi="Arial" w:cs="Arial" w:eastAsia="Arial" w:hint="default"/>
                <w:sz w:val="22"/>
                <w:szCs w:val="22"/>
              </w:rPr>
            </w:pPr>
            <w:r>
              <w:rPr>
                <w:rFonts w:ascii="Arial"/>
                <w:w w:val="100"/>
                <w:sz w:val="22"/>
              </w:rPr>
            </w:r>
            <w:r>
              <w:rPr>
                <w:rFonts w:ascii="Arial"/>
                <w:spacing w:val="-1"/>
                <w:sz w:val="22"/>
                <w:u w:val="single" w:color="000000"/>
              </w:rPr>
              <w:t>(12,162,696)</w:t>
              <w:tab/>
            </w:r>
            <w:r>
              <w:rPr>
                <w:rFonts w:ascii="Arial"/>
                <w:spacing w:val="-1"/>
                <w:sz w:val="22"/>
              </w:rPr>
            </w:r>
          </w:p>
        </w:tc>
      </w:tr>
      <w:tr>
        <w:trPr>
          <w:trHeight w:val="433"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2"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528"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left="1118" w:right="0"/>
              <w:jc w:val="left"/>
              <w:rPr>
                <w:rFonts w:ascii="Arial" w:hAnsi="Arial" w:cs="Arial" w:eastAsia="Arial" w:hint="default"/>
                <w:sz w:val="22"/>
                <w:szCs w:val="22"/>
              </w:rPr>
            </w:pPr>
            <w:r>
              <w:rPr>
                <w:rFonts w:ascii="Arial"/>
                <w:sz w:val="22"/>
              </w:rPr>
              <w:t>96,804,663</w:t>
            </w:r>
          </w:p>
        </w:tc>
        <w:tc>
          <w:tcPr>
            <w:tcW w:w="2217"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left="967" w:right="0"/>
              <w:jc w:val="left"/>
              <w:rPr>
                <w:rFonts w:ascii="Arial" w:hAnsi="Arial" w:cs="Arial" w:eastAsia="Arial" w:hint="default"/>
                <w:sz w:val="22"/>
                <w:szCs w:val="22"/>
              </w:rPr>
            </w:pPr>
            <w:r>
              <w:rPr>
                <w:rFonts w:ascii="Arial"/>
                <w:sz w:val="22"/>
              </w:rPr>
              <w:t>97,254,594</w:t>
            </w:r>
          </w:p>
        </w:tc>
      </w:tr>
    </w:tbl>
    <w:p>
      <w:pPr>
        <w:spacing w:after="0" w:line="240" w:lineRule="auto"/>
        <w:jc w:val="left"/>
        <w:rPr>
          <w:rFonts w:ascii="Arial" w:hAnsi="Arial" w:cs="Arial" w:eastAsia="Arial" w:hint="default"/>
          <w:sz w:val="22"/>
          <w:szCs w:val="22"/>
        </w:rPr>
        <w:sectPr>
          <w:headerReference w:type="default" r:id="rId101"/>
          <w:pgSz w:w="11910" w:h="16840"/>
          <w:pgMar w:header="1185" w:footer="635" w:top="3040" w:bottom="820" w:left="1280" w:right="920"/>
        </w:sectPr>
      </w:pPr>
    </w:p>
    <w:p>
      <w:pPr>
        <w:pStyle w:val="BodyText"/>
        <w:spacing w:line="240" w:lineRule="auto" w:before="10"/>
        <w:ind w:left="106" w:right="11602"/>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1"/>
        <w:rPr>
          <w:rFonts w:ascii="黑体" w:hAnsi="黑体" w:cs="黑体" w:eastAsia="黑体" w:hint="default"/>
          <w:sz w:val="19"/>
          <w:szCs w:val="19"/>
        </w:rPr>
      </w:pPr>
    </w:p>
    <w:p>
      <w:pPr>
        <w:pStyle w:val="BodyText"/>
        <w:spacing w:line="287" w:lineRule="exact"/>
        <w:ind w:left="106" w:right="11602"/>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left="106" w:right="11602"/>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tabs>
          <w:tab w:pos="557" w:val="left" w:leader="none"/>
        </w:tabs>
        <w:spacing w:line="448" w:lineRule="auto"/>
        <w:ind w:left="106" w:right="11602"/>
        <w:jc w:val="left"/>
        <w:rPr>
          <w:rFonts w:ascii="黑体" w:hAnsi="黑体" w:cs="黑体" w:eastAsia="黑体" w:hint="default"/>
        </w:rPr>
      </w:pPr>
      <w:r>
        <w:rPr>
          <w:rFonts w:ascii="黑体" w:hAnsi="黑体" w:cs="黑体" w:eastAsia="黑体" w:hint="default"/>
          <w:spacing w:val="-1"/>
        </w:rPr>
        <w:t>（除特别注明外，金额单位为人民币元）</w:t>
      </w:r>
      <w:r>
        <w:rPr>
          <w:rFonts w:ascii="黑体" w:hAnsi="黑体" w:cs="黑体" w:eastAsia="黑体" w:hint="default"/>
          <w:spacing w:val="-93"/>
        </w:rPr>
        <w:t> </w:t>
      </w:r>
      <w:r>
        <w:rPr>
          <w:rFonts w:ascii="黑体" w:hAnsi="黑体" w:cs="黑体" w:eastAsia="黑体" w:hint="default"/>
          <w:spacing w:val="-93"/>
        </w:rPr>
      </w:r>
      <w:r>
        <w:rPr>
          <w:rFonts w:ascii="黑体" w:hAnsi="黑体" w:cs="黑体" w:eastAsia="黑体" w:hint="default"/>
        </w:rPr>
        <w:t>五</w:t>
        <w:tab/>
        <w:t>合并财务报表项目附注（续）</w:t>
      </w:r>
    </w:p>
    <w:p>
      <w:pPr>
        <w:pStyle w:val="BodyText"/>
        <w:spacing w:line="240" w:lineRule="auto" w:before="60"/>
        <w:ind w:left="106" w:right="11602"/>
        <w:jc w:val="left"/>
      </w:pPr>
      <w:r>
        <w:rPr>
          <w:rFonts w:ascii="Arial" w:hAnsi="Arial" w:cs="Arial" w:eastAsia="Arial" w:hint="default"/>
        </w:rPr>
        <w:t>30</w:t>
      </w:r>
      <w:r>
        <w:rPr/>
        <w:t>、递延收益</w:t>
      </w:r>
    </w:p>
    <w:p>
      <w:pPr>
        <w:spacing w:line="240" w:lineRule="auto" w:before="2"/>
        <w:rPr>
          <w:rFonts w:ascii="宋体" w:hAnsi="宋体" w:cs="宋体" w:eastAsia="宋体" w:hint="default"/>
          <w:sz w:val="23"/>
          <w:szCs w:val="23"/>
        </w:rPr>
      </w:pPr>
    </w:p>
    <w:tbl>
      <w:tblPr>
        <w:tblW w:w="0" w:type="auto"/>
        <w:jc w:val="left"/>
        <w:tblInd w:w="333" w:type="dxa"/>
        <w:tblLayout w:type="fixed"/>
        <w:tblCellMar>
          <w:top w:w="0" w:type="dxa"/>
          <w:left w:w="0" w:type="dxa"/>
          <w:bottom w:w="0" w:type="dxa"/>
          <w:right w:w="0" w:type="dxa"/>
        </w:tblCellMar>
        <w:tblLook w:val="01E0"/>
      </w:tblPr>
      <w:tblGrid>
        <w:gridCol w:w="4027"/>
        <w:gridCol w:w="1421"/>
        <w:gridCol w:w="1592"/>
        <w:gridCol w:w="1498"/>
        <w:gridCol w:w="1418"/>
        <w:gridCol w:w="5271"/>
      </w:tblGrid>
      <w:tr>
        <w:trPr>
          <w:trHeight w:val="249" w:hRule="exact"/>
        </w:trPr>
        <w:tc>
          <w:tcPr>
            <w:tcW w:w="4027" w:type="dxa"/>
            <w:tcBorders>
              <w:top w:val="nil" w:sz="6" w:space="0" w:color="auto"/>
              <w:left w:val="nil" w:sz="6" w:space="0" w:color="auto"/>
              <w:bottom w:val="nil" w:sz="6" w:space="0" w:color="auto"/>
              <w:right w:val="nil" w:sz="6" w:space="0" w:color="auto"/>
            </w:tcBorders>
          </w:tcPr>
          <w:p>
            <w:pPr>
              <w:pStyle w:val="TableParagraph"/>
              <w:spacing w:line="212" w:lineRule="exact"/>
              <w:ind w:left="267"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1421" w:type="dxa"/>
            <w:tcBorders>
              <w:top w:val="nil" w:sz="6" w:space="0" w:color="auto"/>
              <w:left w:val="nil" w:sz="6" w:space="0" w:color="auto"/>
              <w:bottom w:val="single" w:sz="6" w:space="0" w:color="000000"/>
              <w:right w:val="nil" w:sz="6" w:space="0" w:color="auto"/>
            </w:tcBorders>
          </w:tcPr>
          <w:p>
            <w:pPr>
              <w:pStyle w:val="TableParagraph"/>
              <w:spacing w:line="211" w:lineRule="exact"/>
              <w:ind w:left="266"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592" w:type="dxa"/>
            <w:tcBorders>
              <w:top w:val="nil" w:sz="6" w:space="0" w:color="auto"/>
              <w:left w:val="nil" w:sz="6" w:space="0" w:color="auto"/>
              <w:bottom w:val="single" w:sz="6" w:space="0" w:color="000000"/>
              <w:right w:val="nil" w:sz="6" w:space="0" w:color="auto"/>
            </w:tcBorders>
          </w:tcPr>
          <w:p>
            <w:pPr>
              <w:pStyle w:val="TableParagraph"/>
              <w:spacing w:line="211" w:lineRule="exact"/>
              <w:ind w:left="352"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498" w:type="dxa"/>
            <w:tcBorders>
              <w:top w:val="nil" w:sz="6" w:space="0" w:color="auto"/>
              <w:left w:val="nil" w:sz="6" w:space="0" w:color="auto"/>
              <w:bottom w:val="single" w:sz="6" w:space="0" w:color="000000"/>
              <w:right w:val="nil" w:sz="6" w:space="0" w:color="auto"/>
            </w:tcBorders>
          </w:tcPr>
          <w:p>
            <w:pPr>
              <w:pStyle w:val="TableParagraph"/>
              <w:spacing w:line="211" w:lineRule="exact"/>
              <w:ind w:left="263"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418" w:type="dxa"/>
            <w:tcBorders>
              <w:top w:val="nil" w:sz="6" w:space="0" w:color="auto"/>
              <w:left w:val="nil" w:sz="6" w:space="0" w:color="auto"/>
              <w:bottom w:val="single" w:sz="6" w:space="0" w:color="000000"/>
              <w:right w:val="nil" w:sz="6" w:space="0" w:color="auto"/>
            </w:tcBorders>
          </w:tcPr>
          <w:p>
            <w:pPr>
              <w:pStyle w:val="TableParagraph"/>
              <w:spacing w:line="211" w:lineRule="exact"/>
              <w:ind w:left="268"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5271" w:type="dxa"/>
            <w:tcBorders>
              <w:top w:val="nil" w:sz="6" w:space="0" w:color="auto"/>
              <w:left w:val="nil" w:sz="6" w:space="0" w:color="auto"/>
              <w:bottom w:val="single" w:sz="6" w:space="0" w:color="000000"/>
              <w:right w:val="nil" w:sz="6" w:space="0" w:color="auto"/>
            </w:tcBorders>
          </w:tcPr>
          <w:p>
            <w:pPr>
              <w:pStyle w:val="TableParagraph"/>
              <w:spacing w:line="211" w:lineRule="exact"/>
              <w:ind w:left="41"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582" w:hRule="exact"/>
        </w:trPr>
        <w:tc>
          <w:tcPr>
            <w:tcW w:w="402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67"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1421"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42"/>
              <w:jc w:val="right"/>
              <w:rPr>
                <w:rFonts w:ascii="Arial" w:hAnsi="Arial" w:cs="Arial" w:eastAsia="Arial" w:hint="default"/>
                <w:sz w:val="18"/>
                <w:szCs w:val="18"/>
              </w:rPr>
            </w:pPr>
            <w:r>
              <w:rPr>
                <w:rFonts w:ascii="Arial"/>
                <w:spacing w:val="-1"/>
                <w:sz w:val="18"/>
              </w:rPr>
              <w:t>143,938,610</w:t>
            </w:r>
          </w:p>
        </w:tc>
        <w:tc>
          <w:tcPr>
            <w:tcW w:w="1592"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76"/>
              <w:jc w:val="right"/>
              <w:rPr>
                <w:rFonts w:ascii="Arial" w:hAnsi="Arial" w:cs="Arial" w:eastAsia="Arial" w:hint="default"/>
                <w:sz w:val="18"/>
                <w:szCs w:val="18"/>
              </w:rPr>
            </w:pPr>
            <w:r>
              <w:rPr>
                <w:rFonts w:ascii="Arial"/>
                <w:spacing w:val="-1"/>
                <w:sz w:val="18"/>
              </w:rPr>
              <w:t>582,822,539</w:t>
            </w:r>
          </w:p>
        </w:tc>
        <w:tc>
          <w:tcPr>
            <w:tcW w:w="149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76"/>
              <w:jc w:val="right"/>
              <w:rPr>
                <w:rFonts w:ascii="Arial" w:hAnsi="Arial" w:cs="Arial" w:eastAsia="Arial" w:hint="default"/>
                <w:sz w:val="18"/>
                <w:szCs w:val="18"/>
              </w:rPr>
            </w:pPr>
            <w:r>
              <w:rPr>
                <w:rFonts w:ascii="Arial"/>
                <w:spacing w:val="-1"/>
                <w:sz w:val="18"/>
              </w:rPr>
              <w:t>(224,052,181)</w:t>
            </w:r>
          </w:p>
        </w:tc>
        <w:tc>
          <w:tcPr>
            <w:tcW w:w="141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3"/>
              <w:jc w:val="right"/>
              <w:rPr>
                <w:rFonts w:ascii="Arial" w:hAnsi="Arial" w:cs="Arial" w:eastAsia="Arial" w:hint="default"/>
                <w:sz w:val="18"/>
                <w:szCs w:val="18"/>
              </w:rPr>
            </w:pPr>
            <w:r>
              <w:rPr>
                <w:rFonts w:ascii="Arial"/>
                <w:spacing w:val="-1"/>
                <w:sz w:val="18"/>
              </w:rPr>
              <w:t>502,708,968</w:t>
            </w:r>
          </w:p>
        </w:tc>
        <w:tc>
          <w:tcPr>
            <w:tcW w:w="5271"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82" w:right="0"/>
              <w:jc w:val="left"/>
              <w:rPr>
                <w:rFonts w:ascii="Arial" w:hAnsi="Arial" w:cs="Arial" w:eastAsia="Arial" w:hint="default"/>
                <w:sz w:val="21"/>
                <w:szCs w:val="21"/>
              </w:rPr>
            </w:pPr>
            <w:r>
              <w:rPr>
                <w:rFonts w:ascii="宋体" w:hAnsi="宋体" w:cs="宋体" w:eastAsia="宋体" w:hint="default"/>
                <w:sz w:val="21"/>
                <w:szCs w:val="21"/>
              </w:rPr>
              <w:t>参见附注五</w:t>
            </w:r>
            <w:r>
              <w:rPr>
                <w:rFonts w:ascii="Arial" w:hAnsi="Arial" w:cs="Arial" w:eastAsia="Arial" w:hint="default"/>
                <w:sz w:val="21"/>
                <w:szCs w:val="21"/>
              </w:rPr>
              <w:t>(43)(</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Arial" w:hAnsi="Arial" w:cs="Arial" w:eastAsia="Arial" w:hint="default"/>
                <w:sz w:val="21"/>
                <w:szCs w:val="21"/>
              </w:rPr>
              <w:t>3)</w:t>
            </w:r>
          </w:p>
        </w:tc>
      </w:tr>
      <w:tr>
        <w:trPr>
          <w:trHeight w:val="272" w:hRule="exact"/>
        </w:trPr>
        <w:tc>
          <w:tcPr>
            <w:tcW w:w="4027" w:type="dxa"/>
            <w:tcBorders>
              <w:top w:val="nil" w:sz="6" w:space="0" w:color="auto"/>
              <w:left w:val="nil" w:sz="6" w:space="0" w:color="auto"/>
              <w:bottom w:val="nil" w:sz="6" w:space="0" w:color="auto"/>
              <w:right w:val="nil" w:sz="6" w:space="0" w:color="auto"/>
            </w:tcBorders>
          </w:tcPr>
          <w:p>
            <w:pPr>
              <w:pStyle w:val="TableParagraph"/>
              <w:spacing w:line="229" w:lineRule="exact"/>
              <w:ind w:left="267" w:right="0"/>
              <w:jc w:val="left"/>
              <w:rPr>
                <w:rFonts w:ascii="宋体" w:hAnsi="宋体" w:cs="宋体" w:eastAsia="宋体" w:hint="default"/>
                <w:sz w:val="20"/>
                <w:szCs w:val="20"/>
              </w:rPr>
            </w:pPr>
            <w:r>
              <w:rPr>
                <w:rFonts w:ascii="宋体" w:hAnsi="宋体" w:cs="宋体" w:eastAsia="宋体" w:hint="default"/>
                <w:sz w:val="20"/>
                <w:szCs w:val="20"/>
              </w:rPr>
              <w:t>递延的装移机收入</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2"/>
              <w:jc w:val="right"/>
              <w:rPr>
                <w:rFonts w:ascii="Arial" w:hAnsi="Arial" w:cs="Arial" w:eastAsia="Arial" w:hint="default"/>
                <w:sz w:val="18"/>
                <w:szCs w:val="18"/>
              </w:rPr>
            </w:pPr>
            <w:r>
              <w:rPr>
                <w:rFonts w:ascii="Arial"/>
                <w:spacing w:val="-1"/>
                <w:sz w:val="18"/>
              </w:rPr>
              <w:t>1,014,543,459</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6"/>
              <w:jc w:val="right"/>
              <w:rPr>
                <w:rFonts w:ascii="Arial" w:hAnsi="Arial" w:cs="Arial" w:eastAsia="Arial" w:hint="default"/>
                <w:sz w:val="18"/>
                <w:szCs w:val="18"/>
              </w:rPr>
            </w:pPr>
            <w:r>
              <w:rPr>
                <w:rFonts w:ascii="Arial"/>
                <w:spacing w:val="-1"/>
                <w:sz w:val="18"/>
              </w:rPr>
              <w:t>112,972,222</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6"/>
              <w:jc w:val="right"/>
              <w:rPr>
                <w:rFonts w:ascii="Arial" w:hAnsi="Arial" w:cs="Arial" w:eastAsia="Arial" w:hint="default"/>
                <w:sz w:val="18"/>
                <w:szCs w:val="18"/>
              </w:rPr>
            </w:pPr>
            <w:r>
              <w:rPr>
                <w:rFonts w:ascii="Arial"/>
                <w:spacing w:val="-1"/>
                <w:sz w:val="18"/>
              </w:rPr>
              <w:t>(323,481,999)</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3"/>
              <w:jc w:val="right"/>
              <w:rPr>
                <w:rFonts w:ascii="Arial" w:hAnsi="Arial" w:cs="Arial" w:eastAsia="Arial" w:hint="default"/>
                <w:sz w:val="18"/>
                <w:szCs w:val="18"/>
              </w:rPr>
            </w:pPr>
            <w:r>
              <w:rPr>
                <w:rFonts w:ascii="Arial"/>
                <w:spacing w:val="-1"/>
                <w:sz w:val="18"/>
              </w:rPr>
              <w:t>804,033,682</w:t>
            </w:r>
          </w:p>
        </w:tc>
        <w:tc>
          <w:tcPr>
            <w:tcW w:w="5271" w:type="dxa"/>
            <w:tcBorders>
              <w:top w:val="nil" w:sz="6" w:space="0" w:color="auto"/>
              <w:left w:val="nil" w:sz="6" w:space="0" w:color="auto"/>
              <w:bottom w:val="nil" w:sz="6" w:space="0" w:color="auto"/>
              <w:right w:val="nil" w:sz="6" w:space="0" w:color="auto"/>
            </w:tcBorders>
          </w:tcPr>
          <w:p>
            <w:pPr>
              <w:pStyle w:val="TableParagraph"/>
              <w:spacing w:line="228" w:lineRule="exact"/>
              <w:ind w:left="82" w:right="0"/>
              <w:jc w:val="left"/>
              <w:rPr>
                <w:rFonts w:ascii="宋体" w:hAnsi="宋体" w:cs="宋体" w:eastAsia="宋体" w:hint="default"/>
                <w:sz w:val="21"/>
                <w:szCs w:val="21"/>
              </w:rPr>
            </w:pPr>
            <w:r>
              <w:rPr>
                <w:rFonts w:ascii="宋体" w:hAnsi="宋体" w:cs="宋体" w:eastAsia="宋体" w:hint="default"/>
                <w:sz w:val="21"/>
                <w:szCs w:val="21"/>
              </w:rPr>
              <w:t>与固网业务安装服务相关的装移机收入</w:t>
            </w:r>
          </w:p>
        </w:tc>
      </w:tr>
      <w:tr>
        <w:trPr>
          <w:trHeight w:val="272" w:hRule="exact"/>
        </w:trPr>
        <w:tc>
          <w:tcPr>
            <w:tcW w:w="4027" w:type="dxa"/>
            <w:tcBorders>
              <w:top w:val="nil" w:sz="6" w:space="0" w:color="auto"/>
              <w:left w:val="nil" w:sz="6" w:space="0" w:color="auto"/>
              <w:bottom w:val="nil" w:sz="6" w:space="0" w:color="auto"/>
              <w:right w:val="nil" w:sz="6" w:space="0" w:color="auto"/>
            </w:tcBorders>
          </w:tcPr>
          <w:p>
            <w:pPr>
              <w:pStyle w:val="TableParagraph"/>
              <w:spacing w:line="244" w:lineRule="exact"/>
              <w:ind w:left="264" w:right="0"/>
              <w:jc w:val="left"/>
              <w:rPr>
                <w:rFonts w:ascii="宋体" w:hAnsi="宋体" w:cs="宋体" w:eastAsia="宋体" w:hint="default"/>
                <w:sz w:val="20"/>
                <w:szCs w:val="20"/>
              </w:rPr>
            </w:pPr>
            <w:r>
              <w:rPr>
                <w:rFonts w:ascii="宋体" w:hAnsi="宋体" w:cs="宋体" w:eastAsia="宋体" w:hint="default"/>
                <w:sz w:val="20"/>
                <w:szCs w:val="20"/>
              </w:rPr>
              <w:t>递延的与</w:t>
            </w:r>
            <w:r>
              <w:rPr>
                <w:rFonts w:ascii="宋体" w:hAnsi="宋体" w:cs="宋体" w:eastAsia="宋体" w:hint="default"/>
                <w:spacing w:val="-53"/>
                <w:sz w:val="20"/>
                <w:szCs w:val="20"/>
              </w:rPr>
              <w:t> </w:t>
            </w:r>
            <w:r>
              <w:rPr>
                <w:rFonts w:ascii="Arial" w:hAnsi="Arial" w:cs="Arial" w:eastAsia="Arial" w:hint="default"/>
                <w:sz w:val="20"/>
                <w:szCs w:val="20"/>
              </w:rPr>
              <w:t>CDMA</w:t>
            </w:r>
            <w:r>
              <w:rPr>
                <w:rFonts w:ascii="Arial" w:hAnsi="Arial" w:cs="Arial" w:eastAsia="Arial" w:hint="default"/>
                <w:spacing w:val="-7"/>
                <w:sz w:val="20"/>
                <w:szCs w:val="20"/>
              </w:rPr>
              <w:t> </w:t>
            </w:r>
            <w:r>
              <w:rPr>
                <w:rFonts w:ascii="宋体" w:hAnsi="宋体" w:cs="宋体" w:eastAsia="宋体" w:hint="default"/>
                <w:sz w:val="20"/>
                <w:szCs w:val="20"/>
              </w:rPr>
              <w:t>出售相关的服务</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2"/>
              <w:jc w:val="right"/>
              <w:rPr>
                <w:rFonts w:ascii="Arial" w:hAnsi="Arial" w:cs="Arial" w:eastAsia="Arial" w:hint="default"/>
                <w:sz w:val="18"/>
                <w:szCs w:val="18"/>
              </w:rPr>
            </w:pPr>
            <w:r>
              <w:rPr>
                <w:rFonts w:ascii="Arial"/>
                <w:spacing w:val="-1"/>
                <w:sz w:val="18"/>
              </w:rPr>
              <w:t>68,342,100</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7"/>
              <w:jc w:val="right"/>
              <w:rPr>
                <w:rFonts w:ascii="Arial" w:hAnsi="Arial" w:cs="Arial" w:eastAsia="Arial" w:hint="default"/>
                <w:sz w:val="18"/>
                <w:szCs w:val="18"/>
              </w:rPr>
            </w:pPr>
            <w:r>
              <w:rPr>
                <w:rFonts w:ascii="Arial"/>
                <w:w w:val="99"/>
                <w:sz w:val="18"/>
              </w:rPr>
              <w:t>-</w:t>
            </w:r>
            <w:r>
              <w:rPr>
                <w:rFonts w:ascii="Arial"/>
                <w:sz w:val="18"/>
              </w:rPr>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6"/>
              <w:jc w:val="right"/>
              <w:rPr>
                <w:rFonts w:ascii="Arial" w:hAnsi="Arial" w:cs="Arial" w:eastAsia="Arial" w:hint="default"/>
                <w:sz w:val="18"/>
                <w:szCs w:val="18"/>
              </w:rPr>
            </w:pPr>
            <w:r>
              <w:rPr>
                <w:rFonts w:ascii="Arial"/>
                <w:spacing w:val="-1"/>
                <w:sz w:val="18"/>
              </w:rPr>
              <w:t>(3,545,821)</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
              <w:jc w:val="right"/>
              <w:rPr>
                <w:rFonts w:ascii="Arial" w:hAnsi="Arial" w:cs="Arial" w:eastAsia="Arial" w:hint="default"/>
                <w:sz w:val="18"/>
                <w:szCs w:val="18"/>
              </w:rPr>
            </w:pPr>
            <w:r>
              <w:rPr>
                <w:rFonts w:ascii="Arial"/>
                <w:spacing w:val="-1"/>
                <w:sz w:val="18"/>
              </w:rPr>
              <w:t>64,796,279</w:t>
            </w:r>
          </w:p>
        </w:tc>
        <w:tc>
          <w:tcPr>
            <w:tcW w:w="5271" w:type="dxa"/>
            <w:tcBorders>
              <w:top w:val="nil" w:sz="6" w:space="0" w:color="auto"/>
              <w:left w:val="nil" w:sz="6" w:space="0" w:color="auto"/>
              <w:bottom w:val="nil" w:sz="6" w:space="0" w:color="auto"/>
              <w:right w:val="nil" w:sz="6" w:space="0" w:color="auto"/>
            </w:tcBorders>
          </w:tcPr>
          <w:p>
            <w:pPr>
              <w:pStyle w:val="TableParagraph"/>
              <w:spacing w:line="244" w:lineRule="exact"/>
              <w:ind w:left="82" w:right="0"/>
              <w:jc w:val="left"/>
              <w:rPr>
                <w:rFonts w:ascii="宋体" w:hAnsi="宋体" w:cs="宋体" w:eastAsia="宋体" w:hint="default"/>
                <w:sz w:val="21"/>
                <w:szCs w:val="21"/>
              </w:rPr>
            </w:pPr>
            <w:r>
              <w:rPr>
                <w:rFonts w:ascii="宋体" w:hAnsi="宋体" w:cs="宋体" w:eastAsia="宋体" w:hint="default"/>
                <w:sz w:val="21"/>
                <w:szCs w:val="21"/>
              </w:rPr>
              <w:t>向中国电信出售</w:t>
            </w:r>
            <w:r>
              <w:rPr>
                <w:rFonts w:ascii="宋体" w:hAnsi="宋体" w:cs="宋体" w:eastAsia="宋体" w:hint="default"/>
                <w:spacing w:val="-56"/>
                <w:sz w:val="21"/>
                <w:szCs w:val="21"/>
              </w:rPr>
              <w:t> </w:t>
            </w:r>
            <w:r>
              <w:rPr>
                <w:rFonts w:ascii="Arial" w:hAnsi="Arial" w:cs="Arial" w:eastAsia="Arial" w:hint="default"/>
                <w:sz w:val="21"/>
                <w:szCs w:val="21"/>
              </w:rPr>
              <w:t>CDMA</w:t>
            </w:r>
            <w:r>
              <w:rPr>
                <w:rFonts w:ascii="Arial" w:hAnsi="Arial" w:cs="Arial" w:eastAsia="Arial" w:hint="default"/>
                <w:spacing w:val="-10"/>
                <w:sz w:val="21"/>
                <w:szCs w:val="21"/>
              </w:rPr>
              <w:t> </w:t>
            </w:r>
            <w:r>
              <w:rPr>
                <w:rFonts w:ascii="宋体" w:hAnsi="宋体" w:cs="宋体" w:eastAsia="宋体" w:hint="default"/>
                <w:sz w:val="21"/>
                <w:szCs w:val="21"/>
              </w:rPr>
              <w:t>业务后继续提供支持服务的价值</w:t>
            </w:r>
          </w:p>
        </w:tc>
      </w:tr>
      <w:tr>
        <w:trPr>
          <w:trHeight w:val="271" w:hRule="exact"/>
        </w:trPr>
        <w:tc>
          <w:tcPr>
            <w:tcW w:w="4027" w:type="dxa"/>
            <w:tcBorders>
              <w:top w:val="nil" w:sz="6" w:space="0" w:color="auto"/>
              <w:left w:val="nil" w:sz="6" w:space="0" w:color="auto"/>
              <w:bottom w:val="nil" w:sz="6" w:space="0" w:color="auto"/>
              <w:right w:val="nil" w:sz="6" w:space="0" w:color="auto"/>
            </w:tcBorders>
          </w:tcPr>
          <w:p>
            <w:pPr>
              <w:pStyle w:val="TableParagraph"/>
              <w:spacing w:line="229" w:lineRule="exact"/>
              <w:ind w:left="267" w:right="0"/>
              <w:jc w:val="left"/>
              <w:rPr>
                <w:rFonts w:ascii="宋体" w:hAnsi="宋体" w:cs="宋体" w:eastAsia="宋体" w:hint="default"/>
                <w:sz w:val="20"/>
                <w:szCs w:val="20"/>
              </w:rPr>
            </w:pPr>
            <w:r>
              <w:rPr>
                <w:rFonts w:ascii="宋体" w:hAnsi="宋体" w:cs="宋体" w:eastAsia="宋体" w:hint="default"/>
                <w:sz w:val="20"/>
                <w:szCs w:val="20"/>
              </w:rPr>
              <w:t>递延的用户积分奖励公允价值</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2"/>
              <w:jc w:val="right"/>
              <w:rPr>
                <w:rFonts w:ascii="Arial" w:hAnsi="Arial" w:cs="Arial" w:eastAsia="Arial" w:hint="default"/>
                <w:sz w:val="18"/>
                <w:szCs w:val="18"/>
              </w:rPr>
            </w:pPr>
            <w:r>
              <w:rPr>
                <w:rFonts w:ascii="Arial"/>
                <w:spacing w:val="-1"/>
                <w:sz w:val="18"/>
              </w:rPr>
              <w:t>453,048,494</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6"/>
              <w:jc w:val="right"/>
              <w:rPr>
                <w:rFonts w:ascii="Arial" w:hAnsi="Arial" w:cs="Arial" w:eastAsia="Arial" w:hint="default"/>
                <w:sz w:val="18"/>
                <w:szCs w:val="18"/>
              </w:rPr>
            </w:pPr>
            <w:r>
              <w:rPr>
                <w:rFonts w:ascii="Arial"/>
                <w:spacing w:val="-1"/>
                <w:sz w:val="18"/>
              </w:rPr>
              <w:t>376,810,947</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6"/>
              <w:jc w:val="right"/>
              <w:rPr>
                <w:rFonts w:ascii="Arial" w:hAnsi="Arial" w:cs="Arial" w:eastAsia="Arial" w:hint="default"/>
                <w:sz w:val="18"/>
                <w:szCs w:val="18"/>
              </w:rPr>
            </w:pPr>
            <w:r>
              <w:rPr>
                <w:rFonts w:ascii="Arial"/>
                <w:spacing w:val="-1"/>
                <w:sz w:val="18"/>
              </w:rPr>
              <w:t>(288,489,397)</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3"/>
              <w:jc w:val="right"/>
              <w:rPr>
                <w:rFonts w:ascii="Arial" w:hAnsi="Arial" w:cs="Arial" w:eastAsia="Arial" w:hint="default"/>
                <w:sz w:val="18"/>
                <w:szCs w:val="18"/>
              </w:rPr>
            </w:pPr>
            <w:r>
              <w:rPr>
                <w:rFonts w:ascii="Arial"/>
                <w:spacing w:val="-1"/>
                <w:sz w:val="18"/>
              </w:rPr>
              <w:t>541,370,044</w:t>
            </w:r>
          </w:p>
        </w:tc>
        <w:tc>
          <w:tcPr>
            <w:tcW w:w="5271" w:type="dxa"/>
            <w:tcBorders>
              <w:top w:val="nil" w:sz="6" w:space="0" w:color="auto"/>
              <w:left w:val="nil" w:sz="6" w:space="0" w:color="auto"/>
              <w:bottom w:val="nil" w:sz="6" w:space="0" w:color="auto"/>
              <w:right w:val="nil" w:sz="6" w:space="0" w:color="auto"/>
            </w:tcBorders>
          </w:tcPr>
          <w:p>
            <w:pPr>
              <w:pStyle w:val="TableParagraph"/>
              <w:spacing w:line="228" w:lineRule="exact"/>
              <w:ind w:left="82" w:right="0"/>
              <w:jc w:val="left"/>
              <w:rPr>
                <w:rFonts w:ascii="宋体" w:hAnsi="宋体" w:cs="宋体" w:eastAsia="宋体" w:hint="default"/>
                <w:sz w:val="21"/>
                <w:szCs w:val="21"/>
              </w:rPr>
            </w:pPr>
            <w:r>
              <w:rPr>
                <w:rFonts w:ascii="宋体" w:hAnsi="宋体" w:cs="宋体" w:eastAsia="宋体" w:hint="default"/>
                <w:sz w:val="21"/>
                <w:szCs w:val="21"/>
              </w:rPr>
              <w:t>积分回馈形成的递延收益</w:t>
            </w:r>
          </w:p>
        </w:tc>
      </w:tr>
      <w:tr>
        <w:trPr>
          <w:trHeight w:val="279" w:hRule="exact"/>
        </w:trPr>
        <w:tc>
          <w:tcPr>
            <w:tcW w:w="4027" w:type="dxa"/>
            <w:tcBorders>
              <w:top w:val="nil" w:sz="6" w:space="0" w:color="auto"/>
              <w:left w:val="nil" w:sz="6" w:space="0" w:color="auto"/>
              <w:bottom w:val="nil" w:sz="6" w:space="0" w:color="auto"/>
              <w:right w:val="nil" w:sz="6" w:space="0" w:color="auto"/>
            </w:tcBorders>
          </w:tcPr>
          <w:p>
            <w:pPr>
              <w:pStyle w:val="TableParagraph"/>
              <w:spacing w:line="231" w:lineRule="exact"/>
              <w:ind w:left="267"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421"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53"/>
              <w:ind w:right="4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41,011,314</w:t>
            </w:r>
            <w:r>
              <w:rPr>
                <w:rFonts w:ascii="Arial"/>
                <w:spacing w:val="-1"/>
                <w:sz w:val="18"/>
              </w:rPr>
            </w:r>
          </w:p>
        </w:tc>
        <w:tc>
          <w:tcPr>
            <w:tcW w:w="1592" w:type="dxa"/>
            <w:tcBorders>
              <w:top w:val="nil" w:sz="6" w:space="0" w:color="auto"/>
              <w:left w:val="nil" w:sz="6" w:space="0" w:color="auto"/>
              <w:bottom w:val="nil" w:sz="6" w:space="0" w:color="auto"/>
              <w:right w:val="nil" w:sz="6" w:space="0" w:color="auto"/>
            </w:tcBorders>
          </w:tcPr>
          <w:p>
            <w:pPr>
              <w:pStyle w:val="TableParagraph"/>
              <w:tabs>
                <w:tab w:pos="518" w:val="left" w:leader="none"/>
              </w:tabs>
              <w:spacing w:line="240" w:lineRule="auto" w:before="53"/>
              <w:ind w:right="7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12,007,583</w:t>
            </w:r>
            <w:r>
              <w:rPr>
                <w:rFonts w:ascii="Arial"/>
                <w:spacing w:val="-1"/>
                <w:sz w:val="18"/>
              </w:rPr>
            </w:r>
            <w:r>
              <w:rPr>
                <w:rFonts w:ascii="Arial"/>
                <w:sz w:val="18"/>
              </w:rPr>
            </w:r>
          </w:p>
        </w:tc>
        <w:tc>
          <w:tcPr>
            <w:tcW w:w="1498" w:type="dxa"/>
            <w:tcBorders>
              <w:top w:val="nil" w:sz="6" w:space="0" w:color="auto"/>
              <w:left w:val="nil" w:sz="6" w:space="0" w:color="auto"/>
              <w:bottom w:val="nil" w:sz="6" w:space="0" w:color="auto"/>
              <w:right w:val="nil" w:sz="6" w:space="0" w:color="auto"/>
            </w:tcBorders>
          </w:tcPr>
          <w:p>
            <w:pPr>
              <w:pStyle w:val="TableParagraph"/>
              <w:tabs>
                <w:tab w:pos="496" w:val="left" w:leader="none"/>
              </w:tabs>
              <w:spacing w:line="240" w:lineRule="auto" w:before="53"/>
              <w:ind w:right="7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(7,461,182)</w:t>
            </w:r>
            <w:r>
              <w:rPr>
                <w:rFonts w:ascii="Arial"/>
                <w:spacing w:val="-1"/>
                <w:sz w:val="18"/>
              </w:rPr>
            </w:r>
          </w:p>
        </w:tc>
        <w:tc>
          <w:tcPr>
            <w:tcW w:w="1418" w:type="dxa"/>
            <w:tcBorders>
              <w:top w:val="nil" w:sz="6" w:space="0" w:color="auto"/>
              <w:left w:val="nil" w:sz="6" w:space="0" w:color="auto"/>
              <w:bottom w:val="nil" w:sz="6" w:space="0" w:color="auto"/>
              <w:right w:val="nil" w:sz="6" w:space="0" w:color="auto"/>
            </w:tcBorders>
          </w:tcPr>
          <w:p>
            <w:pPr>
              <w:pStyle w:val="TableParagraph"/>
              <w:tabs>
                <w:tab w:pos="491" w:val="left" w:leader="none"/>
              </w:tabs>
              <w:spacing w:line="240" w:lineRule="auto" w:before="53"/>
              <w:ind w:right="2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45,557,715</w:t>
            </w:r>
            <w:r>
              <w:rPr>
                <w:rFonts w:ascii="Arial"/>
                <w:spacing w:val="-1"/>
                <w:sz w:val="18"/>
              </w:rPr>
            </w:r>
          </w:p>
        </w:tc>
        <w:tc>
          <w:tcPr>
            <w:tcW w:w="5271" w:type="dxa"/>
            <w:tcBorders>
              <w:top w:val="nil" w:sz="6" w:space="0" w:color="auto"/>
              <w:left w:val="nil" w:sz="6" w:space="0" w:color="auto"/>
              <w:bottom w:val="nil" w:sz="6" w:space="0" w:color="auto"/>
              <w:right w:val="nil" w:sz="6" w:space="0" w:color="auto"/>
            </w:tcBorders>
          </w:tcPr>
          <w:p>
            <w:pPr>
              <w:pStyle w:val="TableParagraph"/>
              <w:spacing w:line="228" w:lineRule="exact"/>
              <w:ind w:left="82"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64" w:hRule="exact"/>
        </w:trPr>
        <w:tc>
          <w:tcPr>
            <w:tcW w:w="4027" w:type="dxa"/>
            <w:tcBorders>
              <w:top w:val="nil" w:sz="6" w:space="0" w:color="auto"/>
              <w:left w:val="nil" w:sz="6" w:space="0" w:color="auto"/>
              <w:bottom w:val="nil" w:sz="6" w:space="0" w:color="auto"/>
              <w:right w:val="nil" w:sz="6" w:space="0" w:color="auto"/>
            </w:tcBorders>
          </w:tcPr>
          <w:p>
            <w:pPr>
              <w:pStyle w:val="TableParagraph"/>
              <w:spacing w:line="221" w:lineRule="exact"/>
              <w:ind w:left="267"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43"/>
              <w:jc w:val="right"/>
              <w:rPr>
                <w:rFonts w:ascii="Arial" w:hAnsi="Arial" w:cs="Arial" w:eastAsia="Arial" w:hint="default"/>
                <w:sz w:val="18"/>
                <w:szCs w:val="18"/>
              </w:rPr>
            </w:pPr>
            <w:r>
              <w:rPr>
                <w:rFonts w:ascii="Arial"/>
                <w:spacing w:val="-1"/>
                <w:sz w:val="18"/>
              </w:rPr>
              <w:t>1,720,883,977</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79"/>
              <w:jc w:val="right"/>
              <w:rPr>
                <w:rFonts w:ascii="Arial" w:hAnsi="Arial" w:cs="Arial" w:eastAsia="Arial" w:hint="default"/>
                <w:sz w:val="18"/>
                <w:szCs w:val="18"/>
              </w:rPr>
            </w:pPr>
            <w:r>
              <w:rPr>
                <w:rFonts w:ascii="Arial"/>
                <w:spacing w:val="-1"/>
                <w:sz w:val="18"/>
              </w:rPr>
              <w:t>1,084,613,291</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76"/>
              <w:jc w:val="right"/>
              <w:rPr>
                <w:rFonts w:ascii="Arial" w:hAnsi="Arial" w:cs="Arial" w:eastAsia="Arial" w:hint="default"/>
                <w:sz w:val="18"/>
                <w:szCs w:val="18"/>
              </w:rPr>
            </w:pPr>
            <w:r>
              <w:rPr>
                <w:rFonts w:ascii="Arial"/>
                <w:spacing w:val="-1"/>
                <w:sz w:val="18"/>
              </w:rPr>
              <w:t>847,030,580</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
              <w:jc w:val="right"/>
              <w:rPr>
                <w:rFonts w:ascii="Arial" w:hAnsi="Arial" w:cs="Arial" w:eastAsia="Arial" w:hint="default"/>
                <w:sz w:val="18"/>
                <w:szCs w:val="18"/>
              </w:rPr>
            </w:pPr>
            <w:r>
              <w:rPr>
                <w:rFonts w:ascii="Arial"/>
                <w:spacing w:val="-1"/>
                <w:sz w:val="18"/>
              </w:rPr>
              <w:t>1,958,466,688</w:t>
            </w:r>
          </w:p>
        </w:tc>
        <w:tc>
          <w:tcPr>
            <w:tcW w:w="5271" w:type="dxa"/>
            <w:tcBorders>
              <w:top w:val="nil" w:sz="6" w:space="0" w:color="auto"/>
              <w:left w:val="nil" w:sz="6" w:space="0" w:color="auto"/>
              <w:bottom w:val="nil" w:sz="6" w:space="0" w:color="auto"/>
              <w:right w:val="nil" w:sz="6" w:space="0" w:color="auto"/>
            </w:tcBorders>
          </w:tcPr>
          <w:p>
            <w:pPr/>
          </w:p>
        </w:tc>
      </w:tr>
      <w:tr>
        <w:trPr>
          <w:trHeight w:val="385" w:hRule="exact"/>
        </w:trPr>
        <w:tc>
          <w:tcPr>
            <w:tcW w:w="4027" w:type="dxa"/>
            <w:tcBorders>
              <w:top w:val="nil" w:sz="6" w:space="0" w:color="auto"/>
              <w:left w:val="nil" w:sz="6" w:space="0" w:color="auto"/>
              <w:bottom w:val="nil" w:sz="6" w:space="0" w:color="auto"/>
              <w:right w:val="nil" w:sz="6" w:space="0" w:color="auto"/>
            </w:tcBorders>
          </w:tcPr>
          <w:p>
            <w:pPr>
              <w:pStyle w:val="TableParagraph"/>
              <w:spacing w:line="231" w:lineRule="exact"/>
              <w:ind w:left="200" w:right="0"/>
              <w:jc w:val="left"/>
              <w:rPr>
                <w:rFonts w:ascii="宋体" w:hAnsi="宋体" w:cs="宋体" w:eastAsia="宋体" w:hint="default"/>
                <w:sz w:val="20"/>
                <w:szCs w:val="20"/>
              </w:rPr>
            </w:pPr>
            <w:r>
              <w:rPr>
                <w:rFonts w:ascii="宋体" w:hAnsi="宋体" w:cs="宋体" w:eastAsia="宋体" w:hint="default"/>
                <w:w w:val="99"/>
                <w:sz w:val="20"/>
                <w:szCs w:val="20"/>
              </w:rPr>
              <w:t>减</w:t>
            </w:r>
            <w:r>
              <w:rPr>
                <w:rFonts w:ascii="宋体" w:hAnsi="宋体" w:cs="宋体" w:eastAsia="宋体" w:hint="default"/>
                <w:spacing w:val="-87"/>
                <w:w w:val="99"/>
                <w:sz w:val="20"/>
                <w:szCs w:val="20"/>
              </w:rPr>
              <w:t>：</w:t>
            </w:r>
            <w:r>
              <w:rPr>
                <w:rFonts w:ascii="宋体" w:hAnsi="宋体" w:cs="宋体" w:eastAsia="宋体" w:hint="default"/>
                <w:w w:val="99"/>
                <w:sz w:val="20"/>
                <w:szCs w:val="20"/>
              </w:rPr>
              <w:t>上</w:t>
            </w:r>
            <w:r>
              <w:rPr>
                <w:rFonts w:ascii="宋体" w:hAnsi="宋体" w:cs="宋体" w:eastAsia="宋体" w:hint="default"/>
                <w:spacing w:val="2"/>
                <w:w w:val="99"/>
                <w:sz w:val="20"/>
                <w:szCs w:val="20"/>
              </w:rPr>
              <w:t>述</w:t>
            </w:r>
            <w:r>
              <w:rPr>
                <w:rFonts w:ascii="宋体" w:hAnsi="宋体" w:cs="宋体" w:eastAsia="宋体" w:hint="default"/>
                <w:w w:val="99"/>
                <w:sz w:val="20"/>
                <w:szCs w:val="20"/>
              </w:rPr>
              <w:t>递延</w:t>
            </w:r>
            <w:r>
              <w:rPr>
                <w:rFonts w:ascii="宋体" w:hAnsi="宋体" w:cs="宋体" w:eastAsia="宋体" w:hint="default"/>
                <w:spacing w:val="2"/>
                <w:w w:val="99"/>
                <w:sz w:val="20"/>
                <w:szCs w:val="20"/>
              </w:rPr>
              <w:t>收</w:t>
            </w:r>
            <w:r>
              <w:rPr>
                <w:rFonts w:ascii="宋体" w:hAnsi="宋体" w:cs="宋体" w:eastAsia="宋体" w:hint="default"/>
                <w:w w:val="99"/>
                <w:sz w:val="20"/>
                <w:szCs w:val="20"/>
              </w:rPr>
              <w:t>益的</w:t>
            </w:r>
            <w:r>
              <w:rPr>
                <w:rFonts w:ascii="宋体" w:hAnsi="宋体" w:cs="宋体" w:eastAsia="宋体" w:hint="default"/>
                <w:spacing w:val="2"/>
                <w:w w:val="99"/>
                <w:sz w:val="20"/>
                <w:szCs w:val="20"/>
              </w:rPr>
              <w:t>流</w:t>
            </w:r>
            <w:r>
              <w:rPr>
                <w:rFonts w:ascii="宋体" w:hAnsi="宋体" w:cs="宋体" w:eastAsia="宋体" w:hint="default"/>
                <w:w w:val="99"/>
                <w:sz w:val="20"/>
                <w:szCs w:val="20"/>
              </w:rPr>
              <w:t>动</w:t>
            </w:r>
            <w:r>
              <w:rPr>
                <w:rFonts w:ascii="宋体" w:hAnsi="宋体" w:cs="宋体" w:eastAsia="宋体" w:hint="default"/>
                <w:spacing w:val="2"/>
                <w:w w:val="99"/>
                <w:sz w:val="20"/>
                <w:szCs w:val="20"/>
              </w:rPr>
              <w:t>部</w:t>
            </w:r>
            <w:r>
              <w:rPr>
                <w:rFonts w:ascii="宋体" w:hAnsi="宋体" w:cs="宋体" w:eastAsia="宋体" w:hint="default"/>
                <w:spacing w:val="-87"/>
                <w:w w:val="99"/>
                <w:sz w:val="20"/>
                <w:szCs w:val="20"/>
              </w:rPr>
              <w:t>分</w:t>
            </w:r>
            <w:r>
              <w:rPr>
                <w:rFonts w:ascii="宋体" w:hAnsi="宋体" w:cs="宋体" w:eastAsia="宋体" w:hint="default"/>
                <w:w w:val="99"/>
                <w:sz w:val="20"/>
                <w:szCs w:val="20"/>
              </w:rPr>
              <w:t>（附</w:t>
            </w:r>
            <w:r>
              <w:rPr>
                <w:rFonts w:ascii="宋体" w:hAnsi="宋体" w:cs="宋体" w:eastAsia="宋体" w:hint="default"/>
                <w:spacing w:val="2"/>
                <w:w w:val="99"/>
                <w:sz w:val="20"/>
                <w:szCs w:val="20"/>
              </w:rPr>
              <w:t>注</w:t>
            </w:r>
            <w:r>
              <w:rPr>
                <w:rFonts w:ascii="宋体" w:hAnsi="宋体" w:cs="宋体" w:eastAsia="宋体" w:hint="default"/>
                <w:spacing w:val="1"/>
                <w:w w:val="99"/>
                <w:sz w:val="20"/>
                <w:szCs w:val="20"/>
              </w:rPr>
              <w:t>五</w:t>
            </w:r>
            <w:r>
              <w:rPr>
                <w:rFonts w:ascii="Arial" w:hAnsi="Arial" w:cs="Arial" w:eastAsia="Arial" w:hint="default"/>
                <w:w w:val="99"/>
                <w:sz w:val="20"/>
                <w:szCs w:val="20"/>
              </w:rPr>
              <w:t>(</w:t>
            </w:r>
            <w:r>
              <w:rPr>
                <w:rFonts w:ascii="Arial" w:hAnsi="Arial" w:cs="Arial" w:eastAsia="Arial" w:hint="default"/>
                <w:w w:val="99"/>
                <w:sz w:val="20"/>
                <w:szCs w:val="20"/>
              </w:rPr>
              <w:t>1</w:t>
            </w:r>
            <w:r>
              <w:rPr>
                <w:rFonts w:ascii="Arial" w:hAnsi="Arial" w:cs="Arial" w:eastAsia="Arial" w:hint="default"/>
                <w:spacing w:val="-1"/>
                <w:w w:val="99"/>
                <w:sz w:val="20"/>
                <w:szCs w:val="20"/>
              </w:rPr>
              <w:t>8</w:t>
            </w:r>
            <w:r>
              <w:rPr>
                <w:rFonts w:ascii="Arial" w:hAnsi="Arial" w:cs="Arial" w:eastAsia="Arial" w:hint="default"/>
                <w:spacing w:val="1"/>
                <w:w w:val="99"/>
                <w:sz w:val="20"/>
                <w:szCs w:val="20"/>
              </w:rPr>
              <w:t>)</w:t>
            </w:r>
            <w:r>
              <w:rPr>
                <w:rFonts w:ascii="宋体" w:hAnsi="宋体" w:cs="宋体" w:eastAsia="宋体" w:hint="default"/>
                <w:w w:val="99"/>
                <w:sz w:val="20"/>
                <w:szCs w:val="20"/>
              </w:rPr>
              <w:t>）</w:t>
            </w:r>
            <w:r>
              <w:rPr>
                <w:rFonts w:ascii="宋体" w:hAnsi="宋体" w:cs="宋体" w:eastAsia="宋体" w:hint="default"/>
                <w:sz w:val="20"/>
                <w:szCs w:val="20"/>
              </w:rPr>
            </w:r>
          </w:p>
        </w:tc>
        <w:tc>
          <w:tcPr>
            <w:tcW w:w="1421" w:type="dxa"/>
            <w:tcBorders>
              <w:top w:val="nil" w:sz="6" w:space="0" w:color="auto"/>
              <w:left w:val="nil" w:sz="6" w:space="0" w:color="auto"/>
              <w:bottom w:val="nil" w:sz="6" w:space="0" w:color="auto"/>
              <w:right w:val="nil" w:sz="6" w:space="0" w:color="auto"/>
            </w:tcBorders>
          </w:tcPr>
          <w:p>
            <w:pPr>
              <w:pStyle w:val="TableParagraph"/>
              <w:tabs>
                <w:tab w:pos="254" w:val="left" w:leader="none"/>
              </w:tabs>
              <w:spacing w:line="240" w:lineRule="auto" w:before="39"/>
              <w:ind w:right="4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(452,022,978)</w:t>
            </w:r>
            <w:r>
              <w:rPr>
                <w:rFonts w:ascii="Arial"/>
                <w:spacing w:val="-1"/>
                <w:sz w:val="18"/>
              </w:rPr>
            </w:r>
          </w:p>
        </w:tc>
        <w:tc>
          <w:tcPr>
            <w:tcW w:w="1592"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tabs>
                <w:tab w:pos="271" w:val="left" w:leader="none"/>
              </w:tabs>
              <w:spacing w:line="240" w:lineRule="auto" w:before="39"/>
              <w:ind w:right="2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(461,830,010)</w:t>
            </w:r>
            <w:r>
              <w:rPr>
                <w:rFonts w:ascii="Arial"/>
                <w:spacing w:val="-1"/>
                <w:sz w:val="18"/>
              </w:rPr>
            </w:r>
          </w:p>
        </w:tc>
        <w:tc>
          <w:tcPr>
            <w:tcW w:w="5271" w:type="dxa"/>
            <w:tcBorders>
              <w:top w:val="nil" w:sz="6" w:space="0" w:color="auto"/>
              <w:left w:val="nil" w:sz="6" w:space="0" w:color="auto"/>
              <w:bottom w:val="nil" w:sz="6" w:space="0" w:color="auto"/>
              <w:right w:val="nil" w:sz="6" w:space="0" w:color="auto"/>
            </w:tcBorders>
          </w:tcPr>
          <w:p>
            <w:pPr/>
          </w:p>
        </w:tc>
      </w:tr>
      <w:tr>
        <w:trPr>
          <w:trHeight w:val="396" w:hRule="exact"/>
        </w:trPr>
        <w:tc>
          <w:tcPr>
            <w:tcW w:w="402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67"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421" w:type="dxa"/>
            <w:tcBorders>
              <w:top w:val="nil" w:sz="6" w:space="0" w:color="auto"/>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43"/>
              <w:jc w:val="right"/>
              <w:rPr>
                <w:rFonts w:ascii="Arial" w:hAnsi="Arial" w:cs="Arial" w:eastAsia="Arial" w:hint="default"/>
                <w:sz w:val="18"/>
                <w:szCs w:val="18"/>
              </w:rPr>
            </w:pPr>
            <w:r>
              <w:rPr>
                <w:rFonts w:ascii="Arial"/>
                <w:spacing w:val="-1"/>
                <w:sz w:val="18"/>
              </w:rPr>
              <w:t>1,268,860,999</w:t>
            </w:r>
          </w:p>
        </w:tc>
        <w:tc>
          <w:tcPr>
            <w:tcW w:w="1592"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4"/>
              <w:jc w:val="right"/>
              <w:rPr>
                <w:rFonts w:ascii="Arial" w:hAnsi="Arial" w:cs="Arial" w:eastAsia="Arial" w:hint="default"/>
                <w:sz w:val="18"/>
                <w:szCs w:val="18"/>
              </w:rPr>
            </w:pPr>
            <w:r>
              <w:rPr>
                <w:rFonts w:ascii="Arial"/>
                <w:spacing w:val="-1"/>
                <w:sz w:val="18"/>
              </w:rPr>
              <w:t>1,496,636,678</w:t>
            </w:r>
          </w:p>
        </w:tc>
        <w:tc>
          <w:tcPr>
            <w:tcW w:w="5271"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before="0"/>
        <w:ind w:left="7503" w:right="7844" w:firstLine="0"/>
        <w:jc w:val="center"/>
        <w:rPr>
          <w:rFonts w:ascii="Arial" w:hAnsi="Arial" w:cs="Arial" w:eastAsia="Arial" w:hint="default"/>
          <w:sz w:val="18"/>
          <w:szCs w:val="18"/>
        </w:rPr>
      </w:pPr>
      <w:r>
        <w:rPr>
          <w:rFonts w:ascii="Arial"/>
          <w:spacing w:val="-5"/>
          <w:sz w:val="18"/>
        </w:rPr>
        <w:t>116</w:t>
      </w:r>
    </w:p>
    <w:p>
      <w:pPr>
        <w:spacing w:after="0"/>
        <w:jc w:val="center"/>
        <w:rPr>
          <w:rFonts w:ascii="Arial" w:hAnsi="Arial" w:cs="Arial" w:eastAsia="Arial" w:hint="default"/>
          <w:sz w:val="18"/>
          <w:szCs w:val="18"/>
        </w:rPr>
        <w:sectPr>
          <w:headerReference w:type="default" r:id="rId102"/>
          <w:footerReference w:type="default" r:id="rId103"/>
          <w:pgSz w:w="16840" w:h="11910" w:orient="landscape"/>
          <w:pgMar w:header="0" w:footer="0" w:top="1100" w:bottom="280" w:left="460" w:right="700"/>
        </w:sectPr>
      </w:pPr>
    </w:p>
    <w:p>
      <w:pPr>
        <w:spacing w:line="240" w:lineRule="auto" w:before="1"/>
        <w:rPr>
          <w:rFonts w:ascii="Arial" w:hAnsi="Arial" w:cs="Arial" w:eastAsia="Arial" w:hint="default"/>
          <w:sz w:val="19"/>
          <w:szCs w:val="19"/>
        </w:rPr>
      </w:pPr>
    </w:p>
    <w:p>
      <w:pPr>
        <w:pStyle w:val="BodyText"/>
        <w:spacing w:line="240" w:lineRule="auto" w:before="32"/>
        <w:ind w:left="102" w:right="0"/>
        <w:jc w:val="left"/>
      </w:pPr>
      <w:r>
        <w:rPr>
          <w:rFonts w:ascii="Arial" w:hAnsi="Arial" w:cs="Arial" w:eastAsia="Arial" w:hint="default"/>
        </w:rPr>
        <w:t>31</w:t>
      </w:r>
      <w:r>
        <w:rPr/>
        <w:t>、股本</w:t>
      </w:r>
    </w:p>
    <w:p>
      <w:pPr>
        <w:spacing w:line="240" w:lineRule="auto" w:before="12"/>
        <w:rPr>
          <w:rFonts w:ascii="宋体" w:hAnsi="宋体" w:cs="宋体" w:eastAsia="宋体" w:hint="default"/>
          <w:sz w:val="17"/>
          <w:szCs w:val="17"/>
        </w:rPr>
      </w:pPr>
    </w:p>
    <w:p>
      <w:pPr>
        <w:pStyle w:val="BodyText"/>
        <w:spacing w:line="240" w:lineRule="auto"/>
        <w:ind w:left="551" w:right="0"/>
        <w:jc w:val="left"/>
      </w:pPr>
      <w:r>
        <w:rPr/>
        <w:t>于</w:t>
      </w:r>
      <w:r>
        <w:rPr>
          <w:spacing w:val="-56"/>
        </w:rPr>
        <w:t> </w:t>
      </w:r>
      <w:r>
        <w:rPr>
          <w:rFonts w:ascii="Arial" w:hAnsi="Arial" w:cs="Arial" w:eastAsia="Arial" w:hint="default"/>
        </w:rPr>
        <w:t>2014</w:t>
      </w:r>
      <w:r>
        <w:rPr>
          <w:rFonts w:ascii="Arial" w:hAnsi="Arial" w:cs="Arial" w:eastAsia="Arial" w:hint="default"/>
          <w:spacing w:val="-8"/>
        </w:rPr>
        <w:t> </w:t>
      </w:r>
      <w:r>
        <w:rPr/>
        <w:t>年度，本公司股本变化情况列示如下：</w:t>
      </w:r>
    </w:p>
    <w:p>
      <w:pPr>
        <w:spacing w:line="240" w:lineRule="auto" w:before="1"/>
        <w:rPr>
          <w:rFonts w:ascii="宋体" w:hAnsi="宋体" w:cs="宋体" w:eastAsia="宋体" w:hint="default"/>
          <w:sz w:val="23"/>
          <w:szCs w:val="23"/>
        </w:rPr>
      </w:pPr>
    </w:p>
    <w:tbl>
      <w:tblPr>
        <w:tblW w:w="0" w:type="auto"/>
        <w:jc w:val="left"/>
        <w:tblInd w:w="380" w:type="dxa"/>
        <w:tblLayout w:type="fixed"/>
        <w:tblCellMar>
          <w:top w:w="0" w:type="dxa"/>
          <w:left w:w="0" w:type="dxa"/>
          <w:bottom w:w="0" w:type="dxa"/>
          <w:right w:w="0" w:type="dxa"/>
        </w:tblCellMar>
        <w:tblLook w:val="01E0"/>
      </w:tblPr>
      <w:tblGrid>
        <w:gridCol w:w="3107"/>
        <w:gridCol w:w="1531"/>
        <w:gridCol w:w="1412"/>
        <w:gridCol w:w="1538"/>
        <w:gridCol w:w="1640"/>
      </w:tblGrid>
      <w:tr>
        <w:trPr>
          <w:trHeight w:val="523" w:hRule="exact"/>
        </w:trPr>
        <w:tc>
          <w:tcPr>
            <w:tcW w:w="3107"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single" w:sz="6" w:space="0" w:color="000000"/>
              <w:right w:val="nil" w:sz="6" w:space="0" w:color="auto"/>
            </w:tcBorders>
          </w:tcPr>
          <w:p>
            <w:pPr>
              <w:pStyle w:val="TableParagraph"/>
              <w:spacing w:line="218" w:lineRule="exact"/>
              <w:ind w:left="767"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82" w:lineRule="exact"/>
              <w:ind w:left="453"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412"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4"/>
              <w:jc w:val="right"/>
              <w:rPr>
                <w:rFonts w:ascii="宋体" w:hAnsi="宋体" w:cs="宋体" w:eastAsia="宋体" w:hint="default"/>
                <w:sz w:val="21"/>
                <w:szCs w:val="21"/>
              </w:rPr>
            </w:pPr>
            <w:r>
              <w:rPr>
                <w:rFonts w:ascii="宋体" w:hAnsi="宋体" w:cs="宋体" w:eastAsia="宋体" w:hint="default"/>
                <w:spacing w:val="-1"/>
                <w:sz w:val="21"/>
                <w:szCs w:val="21"/>
              </w:rPr>
              <w:t>本年增加</w:t>
            </w:r>
          </w:p>
        </w:tc>
        <w:tc>
          <w:tcPr>
            <w:tcW w:w="1538"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6"/>
              <w:jc w:val="right"/>
              <w:rPr>
                <w:rFonts w:ascii="宋体" w:hAnsi="宋体" w:cs="宋体" w:eastAsia="宋体" w:hint="default"/>
                <w:sz w:val="21"/>
                <w:szCs w:val="21"/>
              </w:rPr>
            </w:pPr>
            <w:r>
              <w:rPr>
                <w:rFonts w:ascii="宋体" w:hAnsi="宋体" w:cs="宋体" w:eastAsia="宋体" w:hint="default"/>
                <w:spacing w:val="-1"/>
                <w:sz w:val="21"/>
                <w:szCs w:val="21"/>
              </w:rPr>
              <w:t>本年减少</w:t>
            </w:r>
          </w:p>
        </w:tc>
        <w:tc>
          <w:tcPr>
            <w:tcW w:w="1640" w:type="dxa"/>
            <w:tcBorders>
              <w:top w:val="nil" w:sz="6" w:space="0" w:color="auto"/>
              <w:left w:val="nil" w:sz="6" w:space="0" w:color="auto"/>
              <w:bottom w:val="single" w:sz="6" w:space="0" w:color="000000"/>
              <w:right w:val="nil" w:sz="6" w:space="0" w:color="auto"/>
            </w:tcBorders>
          </w:tcPr>
          <w:p>
            <w:pPr>
              <w:pStyle w:val="TableParagraph"/>
              <w:spacing w:line="218" w:lineRule="exact"/>
              <w:ind w:left="876"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82" w:lineRule="exact"/>
              <w:ind w:left="562"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533" w:hRule="exact"/>
        </w:trPr>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一、已流通公众股份</w:t>
            </w:r>
          </w:p>
        </w:tc>
        <w:tc>
          <w:tcPr>
            <w:tcW w:w="1531"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64" w:right="0"/>
              <w:jc w:val="center"/>
              <w:rPr>
                <w:rFonts w:ascii="Arial" w:hAnsi="Arial" w:cs="Arial" w:eastAsia="Arial" w:hint="default"/>
                <w:sz w:val="21"/>
                <w:szCs w:val="21"/>
              </w:rPr>
            </w:pPr>
            <w:r>
              <w:rPr>
                <w:rFonts w:ascii="Arial"/>
                <w:sz w:val="21"/>
              </w:rPr>
              <w:t>7,821,779,740</w:t>
            </w:r>
          </w:p>
        </w:tc>
        <w:tc>
          <w:tcPr>
            <w:tcW w:w="1412"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8"/>
              <w:jc w:val="right"/>
              <w:rPr>
                <w:rFonts w:ascii="Arial" w:hAnsi="Arial" w:cs="Arial" w:eastAsia="Arial" w:hint="default"/>
                <w:sz w:val="21"/>
                <w:szCs w:val="21"/>
              </w:rPr>
            </w:pPr>
            <w:r>
              <w:rPr>
                <w:rFonts w:ascii="Arial"/>
                <w:w w:val="100"/>
                <w:sz w:val="21"/>
              </w:rPr>
              <w:t>-</w:t>
            </w:r>
          </w:p>
        </w:tc>
        <w:tc>
          <w:tcPr>
            <w:tcW w:w="1538"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12"/>
              <w:jc w:val="right"/>
              <w:rPr>
                <w:rFonts w:ascii="Arial" w:hAnsi="Arial" w:cs="Arial" w:eastAsia="Arial" w:hint="default"/>
                <w:sz w:val="21"/>
                <w:szCs w:val="21"/>
              </w:rPr>
            </w:pPr>
            <w:r>
              <w:rPr>
                <w:rFonts w:ascii="Arial"/>
                <w:w w:val="100"/>
                <w:sz w:val="21"/>
              </w:rPr>
              <w:t>-</w:t>
            </w:r>
          </w:p>
        </w:tc>
        <w:tc>
          <w:tcPr>
            <w:tcW w:w="1640"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Arial" w:hAnsi="Arial" w:cs="Arial" w:eastAsia="Arial" w:hint="default"/>
                <w:sz w:val="21"/>
                <w:szCs w:val="21"/>
              </w:rPr>
            </w:pPr>
            <w:r>
              <w:rPr>
                <w:rFonts w:ascii="Arial"/>
                <w:spacing w:val="-1"/>
                <w:sz w:val="21"/>
              </w:rPr>
              <w:t>7,821,779,740</w:t>
            </w:r>
          </w:p>
        </w:tc>
      </w:tr>
      <w:tr>
        <w:trPr>
          <w:trHeight w:val="672" w:hRule="exact"/>
        </w:trPr>
        <w:tc>
          <w:tcPr>
            <w:tcW w:w="3107" w:type="dxa"/>
            <w:tcBorders>
              <w:top w:val="nil" w:sz="6" w:space="0" w:color="auto"/>
              <w:left w:val="nil" w:sz="6" w:space="0" w:color="auto"/>
              <w:bottom w:val="nil" w:sz="6" w:space="0" w:color="auto"/>
              <w:right w:val="nil" w:sz="6" w:space="0" w:color="auto"/>
            </w:tcBorders>
          </w:tcPr>
          <w:p>
            <w:pPr>
              <w:pStyle w:val="TableParagraph"/>
              <w:spacing w:line="229" w:lineRule="exact"/>
              <w:ind w:left="200" w:right="0"/>
              <w:jc w:val="left"/>
              <w:rPr>
                <w:rFonts w:ascii="宋体" w:hAnsi="宋体" w:cs="宋体" w:eastAsia="宋体" w:hint="default"/>
                <w:sz w:val="21"/>
                <w:szCs w:val="21"/>
              </w:rPr>
            </w:pPr>
            <w:r>
              <w:rPr>
                <w:rFonts w:ascii="宋体" w:hAnsi="宋体" w:cs="宋体" w:eastAsia="宋体" w:hint="default"/>
                <w:spacing w:val="-6"/>
                <w:sz w:val="21"/>
                <w:szCs w:val="21"/>
              </w:rPr>
              <w:t>二、无限售条件的可流通股份发</w:t>
            </w:r>
          </w:p>
          <w:p>
            <w:pPr>
              <w:pStyle w:val="TableParagraph"/>
              <w:spacing w:line="273" w:lineRule="exact"/>
              <w:ind w:left="792" w:right="0"/>
              <w:jc w:val="left"/>
              <w:rPr>
                <w:rFonts w:ascii="宋体" w:hAnsi="宋体" w:cs="宋体" w:eastAsia="宋体" w:hint="default"/>
                <w:sz w:val="21"/>
                <w:szCs w:val="21"/>
              </w:rPr>
            </w:pPr>
            <w:r>
              <w:rPr>
                <w:rFonts w:ascii="宋体" w:hAnsi="宋体" w:cs="宋体" w:eastAsia="宋体" w:hint="default"/>
                <w:sz w:val="21"/>
                <w:szCs w:val="21"/>
              </w:rPr>
              <w:t>起人之法人股</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tabs>
                <w:tab w:pos="1531" w:val="left" w:leader="none"/>
              </w:tabs>
              <w:spacing w:line="240" w:lineRule="auto"/>
              <w:ind w:left="9" w:right="0"/>
              <w:jc w:val="center"/>
              <w:rPr>
                <w:rFonts w:ascii="Arial" w:hAnsi="Arial" w:cs="Arial" w:eastAsia="Arial" w:hint="default"/>
                <w:sz w:val="21"/>
                <w:szCs w:val="21"/>
              </w:rPr>
            </w:pPr>
            <w:r>
              <w:rPr>
                <w:rFonts w:ascii="Arial"/>
                <w:w w:val="100"/>
                <w:sz w:val="21"/>
              </w:rPr>
            </w:r>
            <w:r>
              <w:rPr>
                <w:rFonts w:ascii="Arial"/>
                <w:sz w:val="21"/>
                <w:u w:val="single" w:color="000000"/>
              </w:rPr>
              <w:t>13,374,816,655</w:t>
              <w:tab/>
            </w:r>
            <w:r>
              <w:rPr>
                <w:rFonts w:ascii="Arial"/>
                <w:sz w:val="21"/>
              </w:rPr>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tabs>
                <w:tab w:pos="1193" w:val="left" w:leader="none"/>
                <w:tab w:pos="1332" w:val="left" w:leader="none"/>
              </w:tabs>
              <w:spacing w:line="240" w:lineRule="auto"/>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tab/>
            </w:r>
            <w:r>
              <w:rPr>
                <w:rFonts w:ascii="Arial"/>
                <w:sz w:val="21"/>
              </w:rPr>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tabs>
                <w:tab w:pos="1271" w:val="left" w:leader="none"/>
                <w:tab w:pos="1456" w:val="left" w:leader="none"/>
              </w:tabs>
              <w:spacing w:line="240" w:lineRule="auto"/>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tab/>
            </w:r>
            <w:r>
              <w:rPr>
                <w:rFonts w:ascii="Arial"/>
                <w:sz w:val="21"/>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4"/>
              <w:jc w:val="right"/>
              <w:rPr>
                <w:rFonts w:ascii="Arial" w:hAnsi="Arial" w:cs="Arial" w:eastAsia="Arial" w:hint="default"/>
                <w:sz w:val="21"/>
                <w:szCs w:val="21"/>
              </w:rPr>
            </w:pPr>
            <w:r>
              <w:rPr>
                <w:rFonts w:ascii="Arial"/>
                <w:w w:val="100"/>
                <w:sz w:val="21"/>
              </w:rPr>
            </w:r>
            <w:r>
              <w:rPr>
                <w:rFonts w:ascii="Arial"/>
                <w:spacing w:val="11"/>
                <w:w w:val="100"/>
                <w:sz w:val="21"/>
                <w:u w:val="single" w:color="000000"/>
              </w:rPr>
              <w:t> </w:t>
            </w:r>
            <w:r>
              <w:rPr>
                <w:rFonts w:ascii="Arial"/>
                <w:spacing w:val="-1"/>
                <w:sz w:val="21"/>
                <w:u w:val="single" w:color="000000"/>
              </w:rPr>
              <w:t>13,374,816,655</w:t>
            </w:r>
            <w:r>
              <w:rPr>
                <w:rFonts w:ascii="Arial"/>
                <w:spacing w:val="-1"/>
                <w:sz w:val="21"/>
              </w:rPr>
            </w:r>
          </w:p>
        </w:tc>
      </w:tr>
      <w:tr>
        <w:trPr>
          <w:trHeight w:val="415" w:hRule="exact"/>
        </w:trPr>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00" w:right="0"/>
              <w:jc w:val="left"/>
              <w:rPr>
                <w:rFonts w:ascii="宋体" w:hAnsi="宋体" w:cs="宋体" w:eastAsia="宋体" w:hint="default"/>
                <w:sz w:val="21"/>
                <w:szCs w:val="21"/>
              </w:rPr>
            </w:pPr>
            <w:r>
              <w:rPr>
                <w:rFonts w:ascii="宋体" w:hAnsi="宋体" w:cs="宋体" w:eastAsia="宋体" w:hint="default"/>
                <w:sz w:val="21"/>
                <w:szCs w:val="21"/>
              </w:rPr>
              <w:t>股本合计</w:t>
            </w:r>
          </w:p>
        </w:tc>
        <w:tc>
          <w:tcPr>
            <w:tcW w:w="1531" w:type="dxa"/>
            <w:tcBorders>
              <w:top w:val="nil" w:sz="6" w:space="0" w:color="auto"/>
              <w:left w:val="nil" w:sz="6" w:space="0" w:color="auto"/>
              <w:bottom w:val="single" w:sz="17" w:space="0" w:color="000000"/>
              <w:right w:val="nil" w:sz="6" w:space="0" w:color="auto"/>
            </w:tcBorders>
          </w:tcPr>
          <w:p>
            <w:pPr>
              <w:pStyle w:val="TableParagraph"/>
              <w:spacing w:line="240" w:lineRule="auto" w:before="143"/>
              <w:ind w:right="48"/>
              <w:jc w:val="center"/>
              <w:rPr>
                <w:rFonts w:ascii="Arial" w:hAnsi="Arial" w:cs="Arial" w:eastAsia="Arial" w:hint="default"/>
                <w:sz w:val="21"/>
                <w:szCs w:val="21"/>
              </w:rPr>
            </w:pPr>
            <w:r>
              <w:rPr>
                <w:rFonts w:ascii="Arial"/>
                <w:spacing w:val="-1"/>
                <w:sz w:val="21"/>
              </w:rPr>
              <w:t>21,196,596,395</w:t>
            </w:r>
          </w:p>
        </w:tc>
        <w:tc>
          <w:tcPr>
            <w:tcW w:w="1412" w:type="dxa"/>
            <w:tcBorders>
              <w:top w:val="nil" w:sz="6" w:space="0" w:color="auto"/>
              <w:left w:val="nil" w:sz="6" w:space="0" w:color="auto"/>
              <w:bottom w:val="single" w:sz="17" w:space="0" w:color="000000"/>
              <w:right w:val="nil" w:sz="6" w:space="0" w:color="auto"/>
            </w:tcBorders>
          </w:tcPr>
          <w:p>
            <w:pPr>
              <w:pStyle w:val="TableParagraph"/>
              <w:spacing w:line="240" w:lineRule="auto" w:before="143"/>
              <w:ind w:right="66"/>
              <w:jc w:val="right"/>
              <w:rPr>
                <w:rFonts w:ascii="Arial" w:hAnsi="Arial" w:cs="Arial" w:eastAsia="Arial" w:hint="default"/>
                <w:sz w:val="21"/>
                <w:szCs w:val="21"/>
              </w:rPr>
            </w:pPr>
            <w:r>
              <w:rPr>
                <w:rFonts w:ascii="Arial"/>
                <w:w w:val="100"/>
                <w:sz w:val="21"/>
              </w:rPr>
              <w:t>-</w:t>
            </w:r>
          </w:p>
        </w:tc>
        <w:tc>
          <w:tcPr>
            <w:tcW w:w="1538" w:type="dxa"/>
            <w:tcBorders>
              <w:top w:val="nil" w:sz="6" w:space="0" w:color="auto"/>
              <w:left w:val="nil" w:sz="6" w:space="0" w:color="auto"/>
              <w:bottom w:val="single" w:sz="17" w:space="0" w:color="000000"/>
              <w:right w:val="nil" w:sz="6" w:space="0" w:color="auto"/>
            </w:tcBorders>
          </w:tcPr>
          <w:p>
            <w:pPr>
              <w:pStyle w:val="TableParagraph"/>
              <w:spacing w:line="240" w:lineRule="auto" w:before="143"/>
              <w:ind w:right="112"/>
              <w:jc w:val="right"/>
              <w:rPr>
                <w:rFonts w:ascii="Arial" w:hAnsi="Arial" w:cs="Arial" w:eastAsia="Arial" w:hint="default"/>
                <w:sz w:val="21"/>
                <w:szCs w:val="21"/>
              </w:rPr>
            </w:pPr>
            <w:r>
              <w:rPr>
                <w:rFonts w:ascii="Arial"/>
                <w:w w:val="100"/>
                <w:sz w:val="21"/>
              </w:rPr>
              <w:t>-</w:t>
            </w:r>
          </w:p>
        </w:tc>
        <w:tc>
          <w:tcPr>
            <w:tcW w:w="1640" w:type="dxa"/>
            <w:tcBorders>
              <w:top w:val="nil" w:sz="6" w:space="0" w:color="auto"/>
              <w:left w:val="nil" w:sz="6" w:space="0" w:color="auto"/>
              <w:bottom w:val="single" w:sz="17" w:space="0" w:color="000000"/>
              <w:right w:val="nil" w:sz="6" w:space="0" w:color="auto"/>
            </w:tcBorders>
          </w:tcPr>
          <w:p>
            <w:pPr>
              <w:pStyle w:val="TableParagraph"/>
              <w:spacing w:line="240" w:lineRule="auto" w:before="143"/>
              <w:ind w:right="60"/>
              <w:jc w:val="right"/>
              <w:rPr>
                <w:rFonts w:ascii="Arial" w:hAnsi="Arial" w:cs="Arial" w:eastAsia="Arial" w:hint="default"/>
                <w:sz w:val="21"/>
                <w:szCs w:val="21"/>
              </w:rPr>
            </w:pPr>
            <w:r>
              <w:rPr>
                <w:rFonts w:ascii="Arial"/>
                <w:spacing w:val="-1"/>
                <w:sz w:val="21"/>
              </w:rPr>
              <w:t>21,196,596,395</w:t>
            </w:r>
          </w:p>
        </w:tc>
      </w:tr>
    </w:tbl>
    <w:p>
      <w:pPr>
        <w:spacing w:line="240" w:lineRule="auto" w:before="11"/>
        <w:rPr>
          <w:rFonts w:ascii="宋体" w:hAnsi="宋体" w:cs="宋体" w:eastAsia="宋体" w:hint="default"/>
          <w:sz w:val="13"/>
          <w:szCs w:val="13"/>
        </w:rPr>
      </w:pPr>
    </w:p>
    <w:p>
      <w:pPr>
        <w:pStyle w:val="BodyText"/>
        <w:spacing w:line="295" w:lineRule="exact" w:before="32"/>
        <w:ind w:left="386" w:right="0"/>
        <w:jc w:val="left"/>
      </w:pPr>
      <w:r>
        <w:rPr/>
        <w:t>注：</w:t>
      </w:r>
      <w:r>
        <w:rPr>
          <w:spacing w:val="-45"/>
        </w:rPr>
        <w:t> </w:t>
      </w:r>
      <w:r>
        <w:rPr/>
        <w:t>根据本公司</w:t>
      </w:r>
      <w:r>
        <w:rPr>
          <w:spacing w:val="-49"/>
        </w:rPr>
        <w:t> </w:t>
      </w:r>
      <w:r>
        <w:rPr>
          <w:rFonts w:ascii="Arial" w:hAnsi="Arial" w:cs="Arial" w:eastAsia="Arial" w:hint="default"/>
        </w:rPr>
        <w:t>2013</w:t>
      </w:r>
      <w:r>
        <w:rPr>
          <w:rFonts w:ascii="Arial" w:hAnsi="Arial" w:cs="Arial" w:eastAsia="Arial" w:hint="default"/>
          <w:spacing w:val="-1"/>
        </w:rPr>
        <w:t> </w:t>
      </w:r>
      <w:r>
        <w:rPr/>
        <w:t>年</w:t>
      </w:r>
      <w:r>
        <w:rPr>
          <w:spacing w:val="-49"/>
        </w:rPr>
        <w:t> </w:t>
      </w:r>
      <w:r>
        <w:rPr>
          <w:rFonts w:ascii="Arial" w:hAnsi="Arial" w:cs="Arial" w:eastAsia="Arial" w:hint="default"/>
        </w:rPr>
        <w:t>5</w:t>
      </w:r>
      <w:r>
        <w:rPr>
          <w:rFonts w:ascii="Arial" w:hAnsi="Arial" w:cs="Arial" w:eastAsia="Arial" w:hint="default"/>
          <w:spacing w:val="-4"/>
        </w:rPr>
        <w:t> </w:t>
      </w:r>
      <w:r>
        <w:rPr/>
        <w:t>月</w:t>
      </w:r>
      <w:r>
        <w:rPr>
          <w:spacing w:val="-53"/>
        </w:rPr>
        <w:t> </w:t>
      </w:r>
      <w:r>
        <w:rPr>
          <w:rFonts w:ascii="Arial" w:hAnsi="Arial" w:cs="Arial" w:eastAsia="Arial" w:hint="default"/>
        </w:rPr>
        <w:t>4</w:t>
      </w:r>
      <w:r>
        <w:rPr>
          <w:rFonts w:ascii="Arial" w:hAnsi="Arial" w:cs="Arial" w:eastAsia="Arial" w:hint="default"/>
          <w:spacing w:val="-1"/>
        </w:rPr>
        <w:t> </w:t>
      </w:r>
      <w:r>
        <w:rPr>
          <w:spacing w:val="-4"/>
        </w:rPr>
        <w:t>日发布的《关于控股股东增持公告》，本公司的母公司联通集团</w:t>
      </w:r>
    </w:p>
    <w:p>
      <w:pPr>
        <w:pStyle w:val="BodyText"/>
        <w:spacing w:line="286" w:lineRule="exact"/>
        <w:ind w:left="887" w:right="0"/>
        <w:jc w:val="both"/>
      </w:pPr>
      <w:r>
        <w:rPr/>
        <w:t>自</w:t>
      </w:r>
      <w:r>
        <w:rPr>
          <w:spacing w:val="-54"/>
        </w:rPr>
        <w:t> </w:t>
      </w:r>
      <w:r>
        <w:rPr>
          <w:rFonts w:ascii="Arial" w:hAnsi="Arial" w:cs="Arial" w:eastAsia="Arial" w:hint="default"/>
        </w:rPr>
        <w:t>2013</w:t>
      </w:r>
      <w:r>
        <w:rPr>
          <w:rFonts w:ascii="Arial" w:hAnsi="Arial" w:cs="Arial" w:eastAsia="Arial" w:hint="default"/>
          <w:spacing w:val="-8"/>
        </w:rPr>
        <w:t> </w:t>
      </w:r>
      <w:r>
        <w:rPr/>
        <w:t>年</w:t>
      </w:r>
      <w:r>
        <w:rPr>
          <w:spacing w:val="-54"/>
        </w:rPr>
        <w:t> </w:t>
      </w:r>
      <w:r>
        <w:rPr>
          <w:rFonts w:ascii="Arial" w:hAnsi="Arial" w:cs="Arial" w:eastAsia="Arial" w:hint="default"/>
        </w:rPr>
        <w:t>5</w:t>
      </w:r>
      <w:r>
        <w:rPr>
          <w:rFonts w:ascii="Arial" w:hAnsi="Arial" w:cs="Arial" w:eastAsia="Arial" w:hint="default"/>
          <w:spacing w:val="-8"/>
        </w:rPr>
        <w:t> </w:t>
      </w:r>
      <w:r>
        <w:rPr/>
        <w:t>月</w:t>
      </w:r>
      <w:r>
        <w:rPr>
          <w:spacing w:val="-54"/>
        </w:rPr>
        <w:t> </w:t>
      </w:r>
      <w:r>
        <w:rPr>
          <w:rFonts w:ascii="Arial" w:hAnsi="Arial" w:cs="Arial" w:eastAsia="Arial" w:hint="default"/>
        </w:rPr>
        <w:t>3</w:t>
      </w:r>
      <w:r>
        <w:rPr>
          <w:rFonts w:ascii="Arial" w:hAnsi="Arial" w:cs="Arial" w:eastAsia="Arial" w:hint="default"/>
          <w:spacing w:val="-5"/>
        </w:rPr>
        <w:t> </w:t>
      </w:r>
      <w:r>
        <w:rPr/>
        <w:t>日起</w:t>
      </w:r>
      <w:r>
        <w:rPr>
          <w:spacing w:val="-53"/>
        </w:rPr>
        <w:t> </w:t>
      </w:r>
      <w:r>
        <w:rPr>
          <w:rFonts w:ascii="Arial" w:hAnsi="Arial" w:cs="Arial" w:eastAsia="Arial" w:hint="default"/>
        </w:rPr>
        <w:t>12</w:t>
      </w:r>
      <w:r>
        <w:rPr>
          <w:rFonts w:ascii="Arial" w:hAnsi="Arial" w:cs="Arial" w:eastAsia="Arial" w:hint="default"/>
          <w:spacing w:val="-5"/>
        </w:rPr>
        <w:t> </w:t>
      </w:r>
      <w:r>
        <w:rPr/>
        <w:t>个月内通过上海证券交易系统增持本公司股份，累计增持比例不</w:t>
      </w:r>
    </w:p>
    <w:p>
      <w:pPr>
        <w:pStyle w:val="BodyText"/>
        <w:spacing w:line="286" w:lineRule="exact"/>
        <w:ind w:left="887" w:right="0"/>
        <w:jc w:val="both"/>
      </w:pPr>
      <w:r>
        <w:rPr/>
        <w:t>超过公司发行总股本的</w:t>
      </w:r>
      <w:r>
        <w:rPr>
          <w:spacing w:val="-56"/>
        </w:rPr>
        <w:t> </w:t>
      </w:r>
      <w:r>
        <w:rPr>
          <w:rFonts w:ascii="Arial" w:hAnsi="Arial" w:cs="Arial" w:eastAsia="Arial" w:hint="default"/>
        </w:rPr>
        <w:t>2%</w:t>
      </w:r>
      <w:r>
        <w:rPr/>
        <w:t>。截至</w:t>
      </w:r>
      <w:r>
        <w:rPr>
          <w:spacing w:val="-56"/>
        </w:rPr>
        <w:t> </w:t>
      </w:r>
      <w:r>
        <w:rPr>
          <w:rFonts w:ascii="Arial" w:hAnsi="Arial" w:cs="Arial" w:eastAsia="Arial" w:hint="default"/>
        </w:rPr>
        <w:t>2014</w:t>
      </w:r>
      <w:r>
        <w:rPr>
          <w:rFonts w:ascii="Arial" w:hAnsi="Arial" w:cs="Arial" w:eastAsia="Arial" w:hint="default"/>
          <w:spacing w:val="-8"/>
        </w:rPr>
        <w:t> </w:t>
      </w:r>
      <w:r>
        <w:rPr/>
        <w:t>年</w:t>
      </w:r>
      <w:r>
        <w:rPr>
          <w:spacing w:val="-56"/>
        </w:rPr>
        <w:t> </w:t>
      </w:r>
      <w:r>
        <w:rPr>
          <w:rFonts w:ascii="Arial" w:hAnsi="Arial" w:cs="Arial" w:eastAsia="Arial" w:hint="default"/>
        </w:rPr>
        <w:t>5</w:t>
      </w:r>
      <w:r>
        <w:rPr>
          <w:rFonts w:ascii="Arial" w:hAnsi="Arial" w:cs="Arial" w:eastAsia="Arial" w:hint="default"/>
          <w:spacing w:val="-8"/>
        </w:rPr>
        <w:t> </w:t>
      </w:r>
      <w:r>
        <w:rPr/>
        <w:t>月</w:t>
      </w:r>
      <w:r>
        <w:rPr>
          <w:spacing w:val="-58"/>
        </w:rPr>
        <w:t> </w:t>
      </w:r>
      <w:r>
        <w:rPr>
          <w:rFonts w:ascii="Arial" w:hAnsi="Arial" w:cs="Arial" w:eastAsia="Arial" w:hint="default"/>
        </w:rPr>
        <w:t>5</w:t>
      </w:r>
      <w:r>
        <w:rPr>
          <w:rFonts w:ascii="Arial" w:hAnsi="Arial" w:cs="Arial" w:eastAsia="Arial" w:hint="default"/>
          <w:spacing w:val="-10"/>
        </w:rPr>
        <w:t> </w:t>
      </w:r>
      <w:r>
        <w:rPr/>
        <w:t>日即本次增持的实施期限届满，本次增持</w:t>
      </w:r>
    </w:p>
    <w:p>
      <w:pPr>
        <w:pStyle w:val="BodyText"/>
        <w:spacing w:line="225" w:lineRule="auto" w:before="6"/>
        <w:ind w:left="887" w:right="120"/>
        <w:jc w:val="both"/>
      </w:pPr>
      <w:r>
        <w:rPr>
          <w:spacing w:val="-15"/>
          <w:w w:val="100"/>
        </w:rPr>
        <w:t>已经实施完毕。自</w:t>
      </w:r>
      <w:r>
        <w:rPr>
          <w:spacing w:val="-79"/>
          <w:w w:val="100"/>
        </w:rPr>
        <w:t> </w:t>
      </w:r>
      <w:r>
        <w:rPr>
          <w:rFonts w:ascii="Arial" w:hAnsi="Arial" w:cs="Arial" w:eastAsia="Arial" w:hint="default"/>
          <w:spacing w:val="-1"/>
          <w:w w:val="100"/>
        </w:rPr>
        <w:t>2013</w:t>
      </w:r>
      <w:r>
        <w:rPr>
          <w:rFonts w:ascii="Arial" w:hAnsi="Arial" w:cs="Arial" w:eastAsia="Arial" w:hint="default"/>
          <w:spacing w:val="-33"/>
          <w:w w:val="100"/>
        </w:rPr>
        <w:t> </w:t>
      </w:r>
      <w:r>
        <w:rPr>
          <w:w w:val="100"/>
        </w:rPr>
        <w:t>年</w:t>
      </w:r>
      <w:r>
        <w:rPr>
          <w:spacing w:val="-82"/>
          <w:w w:val="100"/>
        </w:rPr>
        <w:t> </w:t>
      </w:r>
      <w:r>
        <w:rPr>
          <w:rFonts w:ascii="Arial" w:hAnsi="Arial" w:cs="Arial" w:eastAsia="Arial" w:hint="default"/>
          <w:w w:val="100"/>
        </w:rPr>
        <w:t>5</w:t>
      </w:r>
      <w:r>
        <w:rPr>
          <w:rFonts w:ascii="Arial" w:hAnsi="Arial" w:cs="Arial" w:eastAsia="Arial" w:hint="default"/>
          <w:spacing w:val="-31"/>
          <w:w w:val="100"/>
        </w:rPr>
        <w:t> </w:t>
      </w:r>
      <w:r>
        <w:rPr>
          <w:w w:val="100"/>
        </w:rPr>
        <w:t>月</w:t>
      </w:r>
      <w:r>
        <w:rPr>
          <w:spacing w:val="-82"/>
          <w:w w:val="100"/>
        </w:rPr>
        <w:t> </w:t>
      </w:r>
      <w:r>
        <w:rPr>
          <w:rFonts w:ascii="Arial" w:hAnsi="Arial" w:cs="Arial" w:eastAsia="Arial" w:hint="default"/>
          <w:w w:val="100"/>
        </w:rPr>
        <w:t>3</w:t>
      </w:r>
      <w:r>
        <w:rPr>
          <w:rFonts w:ascii="Arial" w:hAnsi="Arial" w:cs="Arial" w:eastAsia="Arial" w:hint="default"/>
          <w:spacing w:val="-31"/>
          <w:w w:val="100"/>
        </w:rPr>
        <w:t> </w:t>
      </w:r>
      <w:r>
        <w:rPr>
          <w:spacing w:val="-2"/>
          <w:w w:val="100"/>
        </w:rPr>
        <w:t>日至</w:t>
      </w:r>
      <w:r>
        <w:rPr>
          <w:spacing w:val="-79"/>
          <w:w w:val="100"/>
        </w:rPr>
        <w:t> </w:t>
      </w:r>
      <w:r>
        <w:rPr>
          <w:rFonts w:ascii="Arial" w:hAnsi="Arial" w:cs="Arial" w:eastAsia="Arial" w:hint="default"/>
          <w:spacing w:val="-1"/>
          <w:w w:val="100"/>
        </w:rPr>
        <w:t>2014</w:t>
      </w:r>
      <w:r>
        <w:rPr>
          <w:rFonts w:ascii="Arial" w:hAnsi="Arial" w:cs="Arial" w:eastAsia="Arial" w:hint="default"/>
          <w:spacing w:val="-33"/>
          <w:w w:val="100"/>
        </w:rPr>
        <w:t> </w:t>
      </w:r>
      <w:r>
        <w:rPr>
          <w:w w:val="100"/>
        </w:rPr>
        <w:t>年</w:t>
      </w:r>
      <w:r>
        <w:rPr>
          <w:spacing w:val="-82"/>
          <w:w w:val="100"/>
        </w:rPr>
        <w:t> </w:t>
      </w:r>
      <w:r>
        <w:rPr>
          <w:rFonts w:ascii="Arial" w:hAnsi="Arial" w:cs="Arial" w:eastAsia="Arial" w:hint="default"/>
          <w:w w:val="100"/>
        </w:rPr>
        <w:t>5</w:t>
      </w:r>
      <w:r>
        <w:rPr>
          <w:rFonts w:ascii="Arial" w:hAnsi="Arial" w:cs="Arial" w:eastAsia="Arial" w:hint="default"/>
          <w:spacing w:val="-31"/>
          <w:w w:val="100"/>
        </w:rPr>
        <w:t> </w:t>
      </w:r>
      <w:r>
        <w:rPr>
          <w:w w:val="100"/>
        </w:rPr>
        <w:t>月</w:t>
      </w:r>
      <w:r>
        <w:rPr>
          <w:spacing w:val="-81"/>
          <w:w w:val="100"/>
        </w:rPr>
        <w:t> </w:t>
      </w:r>
      <w:r>
        <w:rPr>
          <w:rFonts w:ascii="Arial" w:hAnsi="Arial" w:cs="Arial" w:eastAsia="Arial" w:hint="default"/>
          <w:w w:val="100"/>
        </w:rPr>
        <w:t>5</w:t>
      </w:r>
      <w:r>
        <w:rPr>
          <w:rFonts w:ascii="Arial" w:hAnsi="Arial" w:cs="Arial" w:eastAsia="Arial" w:hint="default"/>
          <w:spacing w:val="-33"/>
          <w:w w:val="100"/>
        </w:rPr>
        <w:t> </w:t>
      </w:r>
      <w:r>
        <w:rPr>
          <w:spacing w:val="-1"/>
          <w:w w:val="100"/>
        </w:rPr>
        <w:t>日联通集团增持本公司股份</w:t>
      </w:r>
      <w:r>
        <w:rPr>
          <w:spacing w:val="-79"/>
          <w:w w:val="100"/>
        </w:rPr>
        <w:t> </w:t>
      </w:r>
      <w:r>
        <w:rPr>
          <w:rFonts w:ascii="Arial" w:hAnsi="Arial" w:cs="Arial" w:eastAsia="Arial" w:hint="default"/>
          <w:spacing w:val="-1"/>
          <w:w w:val="100"/>
        </w:rPr>
        <w:t>184,518,024</w:t>
      </w:r>
      <w:r>
        <w:rPr>
          <w:rFonts w:ascii="Arial" w:hAnsi="Arial" w:cs="Arial" w:eastAsia="Arial" w:hint="default"/>
          <w:w w:val="100"/>
        </w:rPr>
        <w:t> </w:t>
      </w:r>
      <w:r>
        <w:rPr/>
        <w:t>股，占本公司已发行总股本的</w:t>
      </w:r>
      <w:r>
        <w:rPr>
          <w:spacing w:val="-59"/>
        </w:rPr>
        <w:t> </w:t>
      </w:r>
      <w:r>
        <w:rPr>
          <w:rFonts w:ascii="Arial" w:hAnsi="Arial" w:cs="Arial" w:eastAsia="Arial" w:hint="default"/>
        </w:rPr>
        <w:t>0.87%</w:t>
      </w:r>
      <w:r>
        <w:rPr/>
        <w:t>，增持后累计持有本公司股份</w:t>
      </w:r>
      <w:r>
        <w:rPr>
          <w:spacing w:val="-59"/>
        </w:rPr>
        <w:t> </w:t>
      </w:r>
      <w:r>
        <w:rPr>
          <w:rFonts w:ascii="Arial" w:hAnsi="Arial" w:cs="Arial" w:eastAsia="Arial" w:hint="default"/>
        </w:rPr>
        <w:t>13,373,677,645</w:t>
      </w:r>
      <w:r>
        <w:rPr>
          <w:rFonts w:ascii="Arial" w:hAnsi="Arial" w:cs="Arial" w:eastAsia="Arial" w:hint="default"/>
          <w:spacing w:val="-10"/>
        </w:rPr>
        <w:t> </w:t>
      </w:r>
      <w:r>
        <w:rPr/>
        <w:t>股，占</w:t>
      </w:r>
      <w:r>
        <w:rPr>
          <w:w w:val="100"/>
        </w:rPr>
        <w:t> </w:t>
      </w:r>
      <w:r>
        <w:rPr/>
        <w:t>总股本的比例为</w:t>
      </w:r>
      <w:r>
        <w:rPr>
          <w:spacing w:val="-56"/>
        </w:rPr>
        <w:t> </w:t>
      </w:r>
      <w:r>
        <w:rPr>
          <w:rFonts w:ascii="Arial" w:hAnsi="Arial" w:cs="Arial" w:eastAsia="Arial" w:hint="default"/>
        </w:rPr>
        <w:t>63.09%</w:t>
      </w:r>
      <w:r>
        <w:rPr/>
        <w:t>。</w:t>
      </w:r>
    </w:p>
    <w:p>
      <w:pPr>
        <w:spacing w:after="0" w:line="225" w:lineRule="auto"/>
        <w:jc w:val="both"/>
        <w:sectPr>
          <w:footerReference w:type="default" r:id="rId104"/>
          <w:pgSz w:w="11910" w:h="16840"/>
          <w:pgMar w:footer="635" w:header="0" w:top="3040" w:bottom="820" w:left="1280" w:right="920"/>
          <w:pgNumType w:start="117"/>
        </w:sectPr>
      </w:pPr>
    </w:p>
    <w:p>
      <w:pPr>
        <w:spacing w:line="240" w:lineRule="auto" w:before="10"/>
        <w:rPr>
          <w:rFonts w:ascii="宋体" w:hAnsi="宋体" w:cs="宋体" w:eastAsia="宋体" w:hint="default"/>
          <w:sz w:val="16"/>
          <w:szCs w:val="16"/>
        </w:rPr>
      </w:pPr>
    </w:p>
    <w:p>
      <w:pPr>
        <w:pStyle w:val="BodyText"/>
        <w:spacing w:line="240" w:lineRule="auto" w:before="32"/>
        <w:ind w:left="102" w:right="0"/>
        <w:jc w:val="left"/>
      </w:pPr>
      <w:r>
        <w:rPr>
          <w:rFonts w:ascii="Arial" w:hAnsi="Arial" w:cs="Arial" w:eastAsia="Arial" w:hint="default"/>
        </w:rPr>
        <w:t>32</w:t>
      </w:r>
      <w:r>
        <w:rPr/>
        <w:t>、资本公积</w:t>
      </w:r>
    </w:p>
    <w:p>
      <w:pPr>
        <w:spacing w:line="240" w:lineRule="auto" w:before="1"/>
        <w:rPr>
          <w:rFonts w:ascii="宋体" w:hAnsi="宋体" w:cs="宋体" w:eastAsia="宋体" w:hint="default"/>
          <w:sz w:val="19"/>
          <w:szCs w:val="19"/>
        </w:rPr>
      </w:pPr>
    </w:p>
    <w:tbl>
      <w:tblPr>
        <w:tblW w:w="0" w:type="auto"/>
        <w:jc w:val="left"/>
        <w:tblInd w:w="580" w:type="dxa"/>
        <w:tblLayout w:type="fixed"/>
        <w:tblCellMar>
          <w:top w:w="0" w:type="dxa"/>
          <w:left w:w="0" w:type="dxa"/>
          <w:bottom w:w="0" w:type="dxa"/>
          <w:right w:w="0" w:type="dxa"/>
        </w:tblCellMar>
        <w:tblLook w:val="01E0"/>
      </w:tblPr>
      <w:tblGrid>
        <w:gridCol w:w="3654"/>
        <w:gridCol w:w="407"/>
        <w:gridCol w:w="1303"/>
        <w:gridCol w:w="1070"/>
        <w:gridCol w:w="1195"/>
        <w:gridCol w:w="1271"/>
      </w:tblGrid>
      <w:tr>
        <w:trPr>
          <w:trHeight w:val="400" w:hRule="exact"/>
        </w:trPr>
        <w:tc>
          <w:tcPr>
            <w:tcW w:w="3654"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8"/>
              <w:jc w:val="center"/>
              <w:rPr>
                <w:rFonts w:ascii="宋体" w:hAnsi="宋体" w:cs="宋体" w:eastAsia="宋体" w:hint="default"/>
                <w:sz w:val="16"/>
                <w:szCs w:val="16"/>
              </w:rPr>
            </w:pPr>
            <w:r>
              <w:rPr>
                <w:rFonts w:ascii="宋体" w:hAnsi="宋体" w:cs="宋体" w:eastAsia="宋体" w:hint="default"/>
                <w:sz w:val="16"/>
                <w:szCs w:val="16"/>
              </w:rPr>
              <w:t>项目</w:t>
            </w:r>
          </w:p>
        </w:tc>
        <w:tc>
          <w:tcPr>
            <w:tcW w:w="407"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8"/>
              <w:jc w:val="center"/>
              <w:rPr>
                <w:rFonts w:ascii="宋体" w:hAnsi="宋体" w:cs="宋体" w:eastAsia="宋体" w:hint="default"/>
                <w:sz w:val="16"/>
                <w:szCs w:val="16"/>
              </w:rPr>
            </w:pPr>
            <w:r>
              <w:rPr>
                <w:rFonts w:ascii="宋体" w:hAnsi="宋体" w:cs="宋体" w:eastAsia="宋体" w:hint="default"/>
                <w:sz w:val="16"/>
                <w:szCs w:val="16"/>
              </w:rPr>
              <w:t>注释</w:t>
            </w:r>
          </w:p>
        </w:tc>
        <w:tc>
          <w:tcPr>
            <w:tcW w:w="1303" w:type="dxa"/>
            <w:tcBorders>
              <w:top w:val="nil" w:sz="6" w:space="0" w:color="auto"/>
              <w:left w:val="nil" w:sz="6" w:space="0" w:color="auto"/>
              <w:bottom w:val="single" w:sz="6" w:space="0" w:color="000000"/>
              <w:right w:val="nil" w:sz="6" w:space="0" w:color="auto"/>
            </w:tcBorders>
          </w:tcPr>
          <w:p>
            <w:pPr>
              <w:pStyle w:val="TableParagraph"/>
              <w:spacing w:line="165" w:lineRule="exact"/>
              <w:ind w:left="616" w:right="0"/>
              <w:jc w:val="left"/>
              <w:rPr>
                <w:rFonts w:ascii="宋体" w:hAnsi="宋体" w:cs="宋体" w:eastAsia="宋体" w:hint="default"/>
                <w:sz w:val="16"/>
                <w:szCs w:val="16"/>
              </w:rPr>
            </w:pPr>
            <w:r>
              <w:rPr>
                <w:rFonts w:ascii="Arial" w:hAnsi="Arial" w:cs="Arial" w:eastAsia="Arial" w:hint="default"/>
                <w:sz w:val="16"/>
                <w:szCs w:val="16"/>
              </w:rPr>
              <w:t>2013</w:t>
            </w:r>
            <w:r>
              <w:rPr>
                <w:rFonts w:ascii="Arial" w:hAnsi="Arial" w:cs="Arial" w:eastAsia="Arial" w:hint="default"/>
                <w:spacing w:val="-5"/>
                <w:sz w:val="16"/>
                <w:szCs w:val="16"/>
              </w:rPr>
              <w:t> </w:t>
            </w:r>
            <w:r>
              <w:rPr>
                <w:rFonts w:ascii="宋体" w:hAnsi="宋体" w:cs="宋体" w:eastAsia="宋体" w:hint="default"/>
                <w:sz w:val="16"/>
                <w:szCs w:val="16"/>
              </w:rPr>
              <w:t>年</w:t>
            </w:r>
          </w:p>
          <w:p>
            <w:pPr>
              <w:pStyle w:val="TableParagraph"/>
              <w:spacing w:line="214" w:lineRule="exact"/>
              <w:ind w:left="376"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39"/>
                <w:sz w:val="16"/>
                <w:szCs w:val="16"/>
              </w:rPr>
              <w:t> </w:t>
            </w:r>
            <w:r>
              <w:rPr>
                <w:rFonts w:ascii="Arial" w:hAnsi="Arial" w:cs="Arial" w:eastAsia="Arial" w:hint="default"/>
                <w:sz w:val="16"/>
                <w:szCs w:val="16"/>
              </w:rPr>
              <w:t>31</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070"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41"/>
              <w:jc w:val="right"/>
              <w:rPr>
                <w:rFonts w:ascii="宋体" w:hAnsi="宋体" w:cs="宋体" w:eastAsia="宋体" w:hint="default"/>
                <w:sz w:val="16"/>
                <w:szCs w:val="16"/>
              </w:rPr>
            </w:pPr>
            <w:r>
              <w:rPr>
                <w:rFonts w:ascii="宋体" w:hAnsi="宋体" w:cs="宋体" w:eastAsia="宋体" w:hint="default"/>
                <w:sz w:val="16"/>
                <w:szCs w:val="16"/>
              </w:rPr>
              <w:t>本年增加</w:t>
            </w:r>
          </w:p>
        </w:tc>
        <w:tc>
          <w:tcPr>
            <w:tcW w:w="1195"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387" w:right="0"/>
              <w:jc w:val="left"/>
              <w:rPr>
                <w:rFonts w:ascii="宋体" w:hAnsi="宋体" w:cs="宋体" w:eastAsia="宋体" w:hint="default"/>
                <w:sz w:val="16"/>
                <w:szCs w:val="16"/>
              </w:rPr>
            </w:pPr>
            <w:r>
              <w:rPr>
                <w:rFonts w:ascii="宋体" w:hAnsi="宋体" w:cs="宋体" w:eastAsia="宋体" w:hint="default"/>
                <w:sz w:val="16"/>
                <w:szCs w:val="16"/>
              </w:rPr>
              <w:t>本年减少</w:t>
            </w:r>
          </w:p>
        </w:tc>
        <w:tc>
          <w:tcPr>
            <w:tcW w:w="1271" w:type="dxa"/>
            <w:tcBorders>
              <w:top w:val="nil" w:sz="6" w:space="0" w:color="auto"/>
              <w:left w:val="nil" w:sz="6" w:space="0" w:color="auto"/>
              <w:bottom w:val="single" w:sz="6" w:space="0" w:color="000000"/>
              <w:right w:val="nil" w:sz="6" w:space="0" w:color="auto"/>
            </w:tcBorders>
          </w:tcPr>
          <w:p>
            <w:pPr>
              <w:pStyle w:val="TableParagraph"/>
              <w:spacing w:line="165" w:lineRule="exact"/>
              <w:ind w:left="639" w:right="0"/>
              <w:jc w:val="lef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6"/>
                <w:sz w:val="16"/>
                <w:szCs w:val="16"/>
              </w:rPr>
              <w:t> </w:t>
            </w:r>
            <w:r>
              <w:rPr>
                <w:rFonts w:ascii="宋体" w:hAnsi="宋体" w:cs="宋体" w:eastAsia="宋体" w:hint="default"/>
                <w:sz w:val="16"/>
                <w:szCs w:val="16"/>
              </w:rPr>
              <w:t>年</w:t>
            </w:r>
          </w:p>
          <w:p>
            <w:pPr>
              <w:pStyle w:val="TableParagraph"/>
              <w:spacing w:line="214" w:lineRule="exact"/>
              <w:ind w:left="399"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31</w:t>
            </w:r>
            <w:r>
              <w:rPr>
                <w:rFonts w:ascii="Arial" w:hAnsi="Arial" w:cs="Arial" w:eastAsia="Arial" w:hint="default"/>
                <w:spacing w:val="-5"/>
                <w:sz w:val="16"/>
                <w:szCs w:val="16"/>
              </w:rPr>
              <w:t> </w:t>
            </w:r>
            <w:r>
              <w:rPr>
                <w:rFonts w:ascii="宋体" w:hAnsi="宋体" w:cs="宋体" w:eastAsia="宋体" w:hint="default"/>
                <w:sz w:val="16"/>
                <w:szCs w:val="16"/>
              </w:rPr>
              <w:t>日</w:t>
            </w:r>
          </w:p>
        </w:tc>
      </w:tr>
      <w:tr>
        <w:trPr>
          <w:trHeight w:val="517" w:hRule="exact"/>
        </w:trPr>
        <w:tc>
          <w:tcPr>
            <w:tcW w:w="3654"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16"/>
                <w:szCs w:val="16"/>
              </w:rPr>
            </w:pPr>
            <w:r>
              <w:rPr>
                <w:rFonts w:ascii="宋体" w:hAnsi="宋体" w:cs="宋体" w:eastAsia="宋体" w:hint="default"/>
                <w:sz w:val="16"/>
                <w:szCs w:val="16"/>
              </w:rPr>
              <w:t>发起人出资溢价</w:t>
            </w:r>
          </w:p>
        </w:tc>
        <w:tc>
          <w:tcPr>
            <w:tcW w:w="407"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
              <w:jc w:val="center"/>
              <w:rPr>
                <w:rFonts w:ascii="Arial" w:hAnsi="Arial" w:cs="Arial" w:eastAsia="Arial" w:hint="default"/>
                <w:sz w:val="16"/>
                <w:szCs w:val="16"/>
              </w:rPr>
            </w:pPr>
            <w:r>
              <w:rPr>
                <w:rFonts w:ascii="Arial"/>
                <w:sz w:val="16"/>
              </w:rPr>
              <w:t>(a)</w:t>
            </w:r>
          </w:p>
        </w:tc>
        <w:tc>
          <w:tcPr>
            <w:tcW w:w="1303"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35"/>
              <w:jc w:val="right"/>
              <w:rPr>
                <w:rFonts w:ascii="Arial" w:hAnsi="Arial" w:cs="Arial" w:eastAsia="Arial" w:hint="default"/>
                <w:sz w:val="16"/>
                <w:szCs w:val="16"/>
              </w:rPr>
            </w:pPr>
            <w:r>
              <w:rPr>
                <w:rFonts w:ascii="Arial"/>
                <w:spacing w:val="-1"/>
                <w:sz w:val="16"/>
              </w:rPr>
              <w:t>7,913,551,905</w:t>
            </w:r>
          </w:p>
        </w:tc>
        <w:tc>
          <w:tcPr>
            <w:tcW w:w="1070"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2"/>
              <w:jc w:val="right"/>
              <w:rPr>
                <w:rFonts w:ascii="Arial" w:hAnsi="Arial" w:cs="Arial" w:eastAsia="Arial" w:hint="default"/>
                <w:sz w:val="16"/>
                <w:szCs w:val="16"/>
              </w:rPr>
            </w:pPr>
            <w:r>
              <w:rPr>
                <w:rFonts w:ascii="Arial"/>
                <w:w w:val="100"/>
                <w:sz w:val="16"/>
              </w:rPr>
              <w:t>-</w:t>
            </w:r>
          </w:p>
        </w:tc>
        <w:tc>
          <w:tcPr>
            <w:tcW w:w="1195"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50"/>
              <w:jc w:val="right"/>
              <w:rPr>
                <w:rFonts w:ascii="Arial" w:hAnsi="Arial" w:cs="Arial" w:eastAsia="Arial" w:hint="default"/>
                <w:sz w:val="16"/>
                <w:szCs w:val="16"/>
              </w:rPr>
            </w:pPr>
            <w:r>
              <w:rPr>
                <w:rFonts w:ascii="Arial"/>
                <w:w w:val="100"/>
                <w:sz w:val="16"/>
              </w:rPr>
              <w:t>-</w:t>
            </w:r>
          </w:p>
        </w:tc>
        <w:tc>
          <w:tcPr>
            <w:tcW w:w="1271"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60"/>
              <w:jc w:val="right"/>
              <w:rPr>
                <w:rFonts w:ascii="Arial" w:hAnsi="Arial" w:cs="Arial" w:eastAsia="Arial" w:hint="default"/>
                <w:sz w:val="16"/>
                <w:szCs w:val="16"/>
              </w:rPr>
            </w:pPr>
            <w:r>
              <w:rPr>
                <w:rFonts w:ascii="Arial"/>
                <w:spacing w:val="-1"/>
                <w:sz w:val="16"/>
              </w:rPr>
              <w:t>7,913,551,905</w:t>
            </w:r>
          </w:p>
        </w:tc>
      </w:tr>
      <w:tr>
        <w:trPr>
          <w:trHeight w:val="278"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 w:right="0"/>
              <w:jc w:val="left"/>
              <w:rPr>
                <w:rFonts w:ascii="宋体" w:hAnsi="宋体" w:cs="宋体" w:eastAsia="宋体" w:hint="default"/>
                <w:sz w:val="16"/>
                <w:szCs w:val="16"/>
              </w:rPr>
            </w:pPr>
            <w:r>
              <w:rPr>
                <w:rFonts w:ascii="宋体" w:hAnsi="宋体" w:cs="宋体" w:eastAsia="宋体" w:hint="default"/>
                <w:sz w:val="16"/>
                <w:szCs w:val="16"/>
              </w:rPr>
              <w:t>人民币普通股发行溢价</w:t>
            </w:r>
          </w:p>
        </w:tc>
        <w:tc>
          <w:tcPr>
            <w:tcW w:w="40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
              <w:jc w:val="center"/>
              <w:rPr>
                <w:rFonts w:ascii="Arial" w:hAnsi="Arial" w:cs="Arial" w:eastAsia="Arial" w:hint="default"/>
                <w:sz w:val="16"/>
                <w:szCs w:val="16"/>
              </w:rPr>
            </w:pPr>
            <w:r>
              <w:rPr>
                <w:rFonts w:ascii="Arial"/>
                <w:sz w:val="16"/>
              </w:rPr>
              <w:t>(a)</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5"/>
              <w:jc w:val="right"/>
              <w:rPr>
                <w:rFonts w:ascii="Arial" w:hAnsi="Arial" w:cs="Arial" w:eastAsia="Arial" w:hint="default"/>
                <w:sz w:val="16"/>
                <w:szCs w:val="16"/>
              </w:rPr>
            </w:pPr>
            <w:r>
              <w:rPr>
                <w:rFonts w:ascii="Arial"/>
                <w:spacing w:val="-1"/>
                <w:sz w:val="16"/>
              </w:rPr>
              <w:t>9,197,551,203</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2"/>
              <w:jc w:val="right"/>
              <w:rPr>
                <w:rFonts w:ascii="Arial" w:hAnsi="Arial" w:cs="Arial" w:eastAsia="Arial" w:hint="default"/>
                <w:sz w:val="16"/>
                <w:szCs w:val="16"/>
              </w:rPr>
            </w:pPr>
            <w:r>
              <w:rPr>
                <w:rFonts w:ascii="Arial"/>
                <w:w w:val="100"/>
                <w:sz w:val="16"/>
              </w:rPr>
              <w:t>-</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50"/>
              <w:jc w:val="right"/>
              <w:rPr>
                <w:rFonts w:ascii="Arial" w:hAnsi="Arial" w:cs="Arial" w:eastAsia="Arial" w:hint="default"/>
                <w:sz w:val="16"/>
                <w:szCs w:val="16"/>
              </w:rPr>
            </w:pPr>
            <w:r>
              <w:rPr>
                <w:rFonts w:ascii="Arial"/>
                <w:w w:val="100"/>
                <w:sz w:val="16"/>
              </w:rPr>
              <w:t>-</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0"/>
              <w:jc w:val="right"/>
              <w:rPr>
                <w:rFonts w:ascii="Arial" w:hAnsi="Arial" w:cs="Arial" w:eastAsia="Arial" w:hint="default"/>
                <w:sz w:val="16"/>
                <w:szCs w:val="16"/>
              </w:rPr>
            </w:pPr>
            <w:r>
              <w:rPr>
                <w:rFonts w:ascii="Arial"/>
                <w:spacing w:val="-1"/>
                <w:sz w:val="16"/>
              </w:rPr>
              <w:t>9,197,551,203</w:t>
            </w:r>
          </w:p>
        </w:tc>
      </w:tr>
      <w:tr>
        <w:trPr>
          <w:trHeight w:val="281"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 w:right="0"/>
              <w:jc w:val="left"/>
              <w:rPr>
                <w:rFonts w:ascii="宋体" w:hAnsi="宋体" w:cs="宋体" w:eastAsia="宋体" w:hint="default"/>
                <w:sz w:val="16"/>
                <w:szCs w:val="16"/>
              </w:rPr>
            </w:pPr>
            <w:r>
              <w:rPr>
                <w:rFonts w:ascii="宋体" w:hAnsi="宋体" w:cs="宋体" w:eastAsia="宋体" w:hint="default"/>
                <w:sz w:val="16"/>
                <w:szCs w:val="16"/>
              </w:rPr>
              <w:t>联通运营公司同一控制下收购相关电信业务的影响</w:t>
            </w:r>
          </w:p>
        </w:tc>
        <w:tc>
          <w:tcPr>
            <w:tcW w:w="40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
              <w:jc w:val="center"/>
              <w:rPr>
                <w:rFonts w:ascii="Arial" w:hAnsi="Arial" w:cs="Arial" w:eastAsia="Arial" w:hint="default"/>
                <w:sz w:val="16"/>
                <w:szCs w:val="16"/>
              </w:rPr>
            </w:pPr>
            <w:r>
              <w:rPr>
                <w:rFonts w:ascii="Arial"/>
                <w:sz w:val="16"/>
              </w:rPr>
              <w:t>(b)</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37"/>
              <w:jc w:val="right"/>
              <w:rPr>
                <w:rFonts w:ascii="Arial" w:hAnsi="Arial" w:cs="Arial" w:eastAsia="Arial" w:hint="default"/>
                <w:sz w:val="16"/>
                <w:szCs w:val="16"/>
              </w:rPr>
            </w:pPr>
            <w:r>
              <w:rPr>
                <w:rFonts w:ascii="Arial"/>
                <w:spacing w:val="-1"/>
                <w:sz w:val="16"/>
              </w:rPr>
              <w:t>306,029,961</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2"/>
              <w:jc w:val="right"/>
              <w:rPr>
                <w:rFonts w:ascii="Arial" w:hAnsi="Arial" w:cs="Arial" w:eastAsia="Arial" w:hint="default"/>
                <w:sz w:val="16"/>
                <w:szCs w:val="16"/>
              </w:rPr>
            </w:pPr>
            <w:r>
              <w:rPr>
                <w:rFonts w:ascii="Arial"/>
                <w:w w:val="100"/>
                <w:sz w:val="16"/>
              </w:rPr>
              <w:t>-</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50"/>
              <w:jc w:val="right"/>
              <w:rPr>
                <w:rFonts w:ascii="Arial" w:hAnsi="Arial" w:cs="Arial" w:eastAsia="Arial" w:hint="default"/>
                <w:sz w:val="16"/>
                <w:szCs w:val="16"/>
              </w:rPr>
            </w:pPr>
            <w:r>
              <w:rPr>
                <w:rFonts w:ascii="Arial"/>
                <w:w w:val="100"/>
                <w:sz w:val="16"/>
              </w:rPr>
              <w:t>-</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62"/>
              <w:jc w:val="right"/>
              <w:rPr>
                <w:rFonts w:ascii="Arial" w:hAnsi="Arial" w:cs="Arial" w:eastAsia="Arial" w:hint="default"/>
                <w:sz w:val="16"/>
                <w:szCs w:val="16"/>
              </w:rPr>
            </w:pPr>
            <w:r>
              <w:rPr>
                <w:rFonts w:ascii="Arial"/>
                <w:spacing w:val="-1"/>
                <w:sz w:val="16"/>
              </w:rPr>
              <w:t>306,029,961</w:t>
            </w:r>
          </w:p>
        </w:tc>
      </w:tr>
      <w:tr>
        <w:trPr>
          <w:trHeight w:val="281"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 w:right="0"/>
              <w:jc w:val="left"/>
              <w:rPr>
                <w:rFonts w:ascii="宋体" w:hAnsi="宋体" w:cs="宋体" w:eastAsia="宋体" w:hint="default"/>
                <w:sz w:val="16"/>
                <w:szCs w:val="16"/>
              </w:rPr>
            </w:pPr>
            <w:r>
              <w:rPr>
                <w:rFonts w:ascii="宋体" w:hAnsi="宋体" w:cs="宋体" w:eastAsia="宋体" w:hint="default"/>
                <w:sz w:val="16"/>
                <w:szCs w:val="16"/>
              </w:rPr>
              <w:t>子公司企业改制评估增值的影响</w:t>
            </w:r>
          </w:p>
        </w:tc>
        <w:tc>
          <w:tcPr>
            <w:tcW w:w="40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2"/>
              <w:jc w:val="center"/>
              <w:rPr>
                <w:rFonts w:ascii="Arial" w:hAnsi="Arial" w:cs="Arial" w:eastAsia="Arial" w:hint="default"/>
                <w:sz w:val="16"/>
                <w:szCs w:val="16"/>
              </w:rPr>
            </w:pPr>
            <w:r>
              <w:rPr>
                <w:rFonts w:ascii="Arial"/>
                <w:sz w:val="16"/>
              </w:rPr>
              <w:t>(c)</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37"/>
              <w:jc w:val="right"/>
              <w:rPr>
                <w:rFonts w:ascii="Arial" w:hAnsi="Arial" w:cs="Arial" w:eastAsia="Arial" w:hint="default"/>
                <w:sz w:val="16"/>
                <w:szCs w:val="16"/>
              </w:rPr>
            </w:pPr>
            <w:r>
              <w:rPr>
                <w:rFonts w:ascii="Arial"/>
                <w:spacing w:val="-1"/>
                <w:sz w:val="16"/>
              </w:rPr>
              <w:t>29,996,252</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2"/>
              <w:jc w:val="right"/>
              <w:rPr>
                <w:rFonts w:ascii="Arial" w:hAnsi="Arial" w:cs="Arial" w:eastAsia="Arial" w:hint="default"/>
                <w:sz w:val="16"/>
                <w:szCs w:val="16"/>
              </w:rPr>
            </w:pPr>
            <w:r>
              <w:rPr>
                <w:rFonts w:ascii="Arial"/>
                <w:w w:val="100"/>
                <w:sz w:val="16"/>
              </w:rPr>
              <w:t>-</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50"/>
              <w:jc w:val="right"/>
              <w:rPr>
                <w:rFonts w:ascii="Arial" w:hAnsi="Arial" w:cs="Arial" w:eastAsia="Arial" w:hint="default"/>
                <w:sz w:val="16"/>
                <w:szCs w:val="16"/>
              </w:rPr>
            </w:pPr>
            <w:r>
              <w:rPr>
                <w:rFonts w:ascii="Arial"/>
                <w:w w:val="100"/>
                <w:sz w:val="16"/>
              </w:rPr>
              <w:t>-</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62"/>
              <w:jc w:val="right"/>
              <w:rPr>
                <w:rFonts w:ascii="Arial" w:hAnsi="Arial" w:cs="Arial" w:eastAsia="Arial" w:hint="default"/>
                <w:sz w:val="16"/>
                <w:szCs w:val="16"/>
              </w:rPr>
            </w:pPr>
            <w:r>
              <w:rPr>
                <w:rFonts w:ascii="Arial"/>
                <w:spacing w:val="-1"/>
                <w:sz w:val="16"/>
              </w:rPr>
              <w:t>29,996,252</w:t>
            </w:r>
          </w:p>
        </w:tc>
      </w:tr>
      <w:tr>
        <w:trPr>
          <w:trHeight w:val="283"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 w:right="0"/>
              <w:jc w:val="left"/>
              <w:rPr>
                <w:rFonts w:ascii="宋体" w:hAnsi="宋体" w:cs="宋体" w:eastAsia="宋体" w:hint="default"/>
                <w:sz w:val="16"/>
                <w:szCs w:val="16"/>
              </w:rPr>
            </w:pPr>
            <w:r>
              <w:rPr>
                <w:rFonts w:ascii="宋体" w:hAnsi="宋体" w:cs="宋体" w:eastAsia="宋体" w:hint="default"/>
                <w:sz w:val="16"/>
                <w:szCs w:val="16"/>
              </w:rPr>
              <w:t>与股份期权相关的员工薪酬所确认金额的影响</w:t>
            </w:r>
          </w:p>
        </w:tc>
        <w:tc>
          <w:tcPr>
            <w:tcW w:w="40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
              <w:jc w:val="center"/>
              <w:rPr>
                <w:rFonts w:ascii="Arial" w:hAnsi="Arial" w:cs="Arial" w:eastAsia="Arial" w:hint="default"/>
                <w:sz w:val="16"/>
                <w:szCs w:val="16"/>
              </w:rPr>
            </w:pPr>
            <w:r>
              <w:rPr>
                <w:rFonts w:ascii="Arial"/>
                <w:sz w:val="16"/>
              </w:rPr>
              <w:t>(d)</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7"/>
              <w:jc w:val="right"/>
              <w:rPr>
                <w:rFonts w:ascii="Arial" w:hAnsi="Arial" w:cs="Arial" w:eastAsia="Arial" w:hint="default"/>
                <w:sz w:val="16"/>
                <w:szCs w:val="16"/>
              </w:rPr>
            </w:pPr>
            <w:r>
              <w:rPr>
                <w:rFonts w:ascii="Arial"/>
                <w:spacing w:val="-1"/>
                <w:sz w:val="16"/>
              </w:rPr>
              <w:t>300,864,206</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2"/>
              <w:jc w:val="right"/>
              <w:rPr>
                <w:rFonts w:ascii="Arial" w:hAnsi="Arial" w:cs="Arial" w:eastAsia="Arial" w:hint="default"/>
                <w:sz w:val="16"/>
                <w:szCs w:val="16"/>
              </w:rPr>
            </w:pPr>
            <w:r>
              <w:rPr>
                <w:rFonts w:ascii="Arial"/>
                <w:w w:val="100"/>
                <w:sz w:val="16"/>
              </w:rPr>
              <w:t>-</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50"/>
              <w:jc w:val="right"/>
              <w:rPr>
                <w:rFonts w:ascii="Arial" w:hAnsi="Arial" w:cs="Arial" w:eastAsia="Arial" w:hint="default"/>
                <w:sz w:val="16"/>
                <w:szCs w:val="16"/>
              </w:rPr>
            </w:pPr>
            <w:r>
              <w:rPr>
                <w:rFonts w:ascii="Arial"/>
                <w:w w:val="100"/>
                <w:sz w:val="16"/>
              </w:rPr>
              <w:t>-</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2"/>
              <w:jc w:val="right"/>
              <w:rPr>
                <w:rFonts w:ascii="Arial" w:hAnsi="Arial" w:cs="Arial" w:eastAsia="Arial" w:hint="default"/>
                <w:sz w:val="16"/>
                <w:szCs w:val="16"/>
              </w:rPr>
            </w:pPr>
            <w:r>
              <w:rPr>
                <w:rFonts w:ascii="Arial"/>
                <w:spacing w:val="-1"/>
                <w:sz w:val="16"/>
              </w:rPr>
              <w:t>300,864,206</w:t>
            </w:r>
          </w:p>
        </w:tc>
      </w:tr>
      <w:tr>
        <w:trPr>
          <w:trHeight w:val="250"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7"/>
              <w:ind w:left="21" w:right="0"/>
              <w:jc w:val="left"/>
              <w:rPr>
                <w:rFonts w:ascii="宋体" w:hAnsi="宋体" w:cs="宋体" w:eastAsia="宋体" w:hint="default"/>
                <w:sz w:val="16"/>
                <w:szCs w:val="16"/>
              </w:rPr>
            </w:pPr>
            <w:r>
              <w:rPr>
                <w:rFonts w:ascii="宋体" w:hAnsi="宋体" w:cs="宋体" w:eastAsia="宋体" w:hint="default"/>
                <w:sz w:val="16"/>
                <w:szCs w:val="16"/>
              </w:rPr>
              <w:t>联通红筹公司为投资西班牙电信而增发的股份</w:t>
            </w:r>
          </w:p>
        </w:tc>
        <w:tc>
          <w:tcPr>
            <w:tcW w:w="4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
              <w:jc w:val="center"/>
              <w:rPr>
                <w:rFonts w:ascii="Arial" w:hAnsi="Arial" w:cs="Arial" w:eastAsia="Arial" w:hint="default"/>
                <w:sz w:val="16"/>
                <w:szCs w:val="16"/>
              </w:rPr>
            </w:pPr>
            <w:r>
              <w:rPr>
                <w:rFonts w:ascii="Arial"/>
                <w:sz w:val="16"/>
              </w:rPr>
              <w:t>(e)</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5"/>
              <w:jc w:val="right"/>
              <w:rPr>
                <w:rFonts w:ascii="Arial" w:hAnsi="Arial" w:cs="Arial" w:eastAsia="Arial" w:hint="default"/>
                <w:sz w:val="16"/>
                <w:szCs w:val="16"/>
              </w:rPr>
            </w:pPr>
            <w:r>
              <w:rPr>
                <w:rFonts w:ascii="Arial"/>
                <w:spacing w:val="-1"/>
                <w:sz w:val="16"/>
              </w:rPr>
              <w:t>2,274,479,484</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2"/>
              <w:jc w:val="right"/>
              <w:rPr>
                <w:rFonts w:ascii="Arial" w:hAnsi="Arial" w:cs="Arial" w:eastAsia="Arial" w:hint="default"/>
                <w:sz w:val="16"/>
                <w:szCs w:val="16"/>
              </w:rPr>
            </w:pPr>
            <w:r>
              <w:rPr>
                <w:rFonts w:ascii="Arial"/>
                <w:w w:val="100"/>
                <w:sz w:val="16"/>
              </w:rPr>
              <w:t>-</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0"/>
              <w:jc w:val="right"/>
              <w:rPr>
                <w:rFonts w:ascii="Arial" w:hAnsi="Arial" w:cs="Arial" w:eastAsia="Arial" w:hint="default"/>
                <w:sz w:val="16"/>
                <w:szCs w:val="16"/>
              </w:rPr>
            </w:pPr>
            <w:r>
              <w:rPr>
                <w:rFonts w:ascii="Arial"/>
                <w:w w:val="100"/>
                <w:sz w:val="16"/>
              </w:rPr>
              <w:t>-</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0"/>
              <w:jc w:val="right"/>
              <w:rPr>
                <w:rFonts w:ascii="Arial" w:hAnsi="Arial" w:cs="Arial" w:eastAsia="Arial" w:hint="default"/>
                <w:sz w:val="16"/>
                <w:szCs w:val="16"/>
              </w:rPr>
            </w:pPr>
            <w:r>
              <w:rPr>
                <w:rFonts w:ascii="Arial"/>
                <w:spacing w:val="-1"/>
                <w:sz w:val="16"/>
              </w:rPr>
              <w:t>2,274,479,484</w:t>
            </w:r>
          </w:p>
        </w:tc>
      </w:tr>
      <w:tr>
        <w:trPr>
          <w:trHeight w:val="451"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174" w:lineRule="exact"/>
              <w:ind w:left="14" w:right="0"/>
              <w:jc w:val="left"/>
              <w:rPr>
                <w:rFonts w:ascii="宋体" w:hAnsi="宋体" w:cs="宋体" w:eastAsia="宋体" w:hint="default"/>
                <w:sz w:val="16"/>
                <w:szCs w:val="16"/>
              </w:rPr>
            </w:pPr>
            <w:r>
              <w:rPr>
                <w:rFonts w:ascii="宋体" w:hAnsi="宋体" w:cs="宋体" w:eastAsia="宋体" w:hint="default"/>
                <w:spacing w:val="2"/>
                <w:sz w:val="16"/>
                <w:szCs w:val="16"/>
              </w:rPr>
              <w:t>确认子公司员工行使股份期权所增加的子公司权益</w:t>
            </w:r>
          </w:p>
          <w:p>
            <w:pPr>
              <w:pStyle w:val="TableParagraph"/>
              <w:spacing w:line="208" w:lineRule="exact"/>
              <w:ind w:left="232" w:right="0"/>
              <w:jc w:val="left"/>
              <w:rPr>
                <w:rFonts w:ascii="宋体" w:hAnsi="宋体" w:cs="宋体" w:eastAsia="宋体" w:hint="default"/>
                <w:sz w:val="16"/>
                <w:szCs w:val="16"/>
              </w:rPr>
            </w:pPr>
            <w:r>
              <w:rPr>
                <w:rFonts w:ascii="宋体" w:hAnsi="宋体" w:cs="宋体" w:eastAsia="宋体" w:hint="default"/>
                <w:sz w:val="16"/>
                <w:szCs w:val="16"/>
              </w:rPr>
              <w:t>的影响</w:t>
            </w:r>
          </w:p>
        </w:tc>
        <w:tc>
          <w:tcPr>
            <w:tcW w:w="4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
              <w:jc w:val="center"/>
              <w:rPr>
                <w:rFonts w:ascii="Arial" w:hAnsi="Arial" w:cs="Arial" w:eastAsia="Arial" w:hint="default"/>
                <w:sz w:val="16"/>
                <w:szCs w:val="16"/>
              </w:rPr>
            </w:pPr>
            <w:r>
              <w:rPr>
                <w:rFonts w:ascii="Arial"/>
                <w:sz w:val="16"/>
              </w:rPr>
              <w:t>(f)</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37"/>
              <w:jc w:val="right"/>
              <w:rPr>
                <w:rFonts w:ascii="Arial" w:hAnsi="Arial" w:cs="Arial" w:eastAsia="Arial" w:hint="default"/>
                <w:sz w:val="16"/>
                <w:szCs w:val="16"/>
              </w:rPr>
            </w:pPr>
            <w:r>
              <w:rPr>
                <w:rFonts w:ascii="Arial"/>
                <w:spacing w:val="-1"/>
                <w:sz w:val="16"/>
              </w:rPr>
              <w:t>395,552,505</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6"/>
                <w:szCs w:val="16"/>
              </w:rPr>
            </w:pPr>
            <w:r>
              <w:rPr>
                <w:rFonts w:ascii="Arial"/>
                <w:spacing w:val="-1"/>
                <w:sz w:val="16"/>
              </w:rPr>
              <w:t>290,344,482</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50"/>
              <w:jc w:val="right"/>
              <w:rPr>
                <w:rFonts w:ascii="Arial" w:hAnsi="Arial" w:cs="Arial" w:eastAsia="Arial" w:hint="default"/>
                <w:sz w:val="16"/>
                <w:szCs w:val="16"/>
              </w:rPr>
            </w:pPr>
            <w:r>
              <w:rPr>
                <w:rFonts w:ascii="Arial"/>
                <w:w w:val="100"/>
                <w:sz w:val="16"/>
              </w:rPr>
              <w:t>-</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62"/>
              <w:jc w:val="right"/>
              <w:rPr>
                <w:rFonts w:ascii="Arial" w:hAnsi="Arial" w:cs="Arial" w:eastAsia="Arial" w:hint="default"/>
                <w:sz w:val="16"/>
                <w:szCs w:val="16"/>
              </w:rPr>
            </w:pPr>
            <w:r>
              <w:rPr>
                <w:rFonts w:ascii="Arial"/>
                <w:spacing w:val="-1"/>
                <w:sz w:val="16"/>
              </w:rPr>
              <w:t>685,896,987</w:t>
            </w:r>
          </w:p>
        </w:tc>
      </w:tr>
      <w:tr>
        <w:trPr>
          <w:trHeight w:val="281"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 w:right="0"/>
              <w:jc w:val="left"/>
              <w:rPr>
                <w:rFonts w:ascii="宋体" w:hAnsi="宋体" w:cs="宋体" w:eastAsia="宋体" w:hint="default"/>
                <w:sz w:val="16"/>
                <w:szCs w:val="16"/>
              </w:rPr>
            </w:pPr>
            <w:r>
              <w:rPr>
                <w:rFonts w:ascii="宋体" w:hAnsi="宋体" w:cs="宋体" w:eastAsia="宋体" w:hint="default"/>
                <w:sz w:val="16"/>
                <w:szCs w:val="16"/>
              </w:rPr>
              <w:t>子公司未分配利润转增资本的影响</w:t>
            </w:r>
          </w:p>
        </w:tc>
        <w:tc>
          <w:tcPr>
            <w:tcW w:w="40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
              <w:jc w:val="center"/>
              <w:rPr>
                <w:rFonts w:ascii="Arial" w:hAnsi="Arial" w:cs="Arial" w:eastAsia="Arial" w:hint="default"/>
                <w:sz w:val="16"/>
                <w:szCs w:val="16"/>
              </w:rPr>
            </w:pPr>
            <w:r>
              <w:rPr>
                <w:rFonts w:ascii="Arial"/>
                <w:sz w:val="16"/>
              </w:rPr>
              <w:t>(g)</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35"/>
              <w:jc w:val="right"/>
              <w:rPr>
                <w:rFonts w:ascii="Arial" w:hAnsi="Arial" w:cs="Arial" w:eastAsia="Arial" w:hint="default"/>
                <w:sz w:val="16"/>
                <w:szCs w:val="16"/>
              </w:rPr>
            </w:pPr>
            <w:r>
              <w:rPr>
                <w:rFonts w:ascii="Arial"/>
                <w:spacing w:val="-1"/>
                <w:sz w:val="16"/>
              </w:rPr>
              <w:t>10,414,323,266</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2"/>
              <w:jc w:val="right"/>
              <w:rPr>
                <w:rFonts w:ascii="Arial" w:hAnsi="Arial" w:cs="Arial" w:eastAsia="Arial" w:hint="default"/>
                <w:sz w:val="16"/>
                <w:szCs w:val="16"/>
              </w:rPr>
            </w:pPr>
            <w:r>
              <w:rPr>
                <w:rFonts w:ascii="Arial"/>
                <w:w w:val="100"/>
                <w:sz w:val="16"/>
              </w:rPr>
              <w:t>-</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50"/>
              <w:jc w:val="right"/>
              <w:rPr>
                <w:rFonts w:ascii="Arial" w:hAnsi="Arial" w:cs="Arial" w:eastAsia="Arial" w:hint="default"/>
                <w:sz w:val="16"/>
                <w:szCs w:val="16"/>
              </w:rPr>
            </w:pPr>
            <w:r>
              <w:rPr>
                <w:rFonts w:ascii="Arial"/>
                <w:w w:val="100"/>
                <w:sz w:val="16"/>
              </w:rPr>
              <w:t>-</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60"/>
              <w:jc w:val="right"/>
              <w:rPr>
                <w:rFonts w:ascii="Arial" w:hAnsi="Arial" w:cs="Arial" w:eastAsia="Arial" w:hint="default"/>
                <w:sz w:val="16"/>
                <w:szCs w:val="16"/>
              </w:rPr>
            </w:pPr>
            <w:r>
              <w:rPr>
                <w:rFonts w:ascii="Arial"/>
                <w:spacing w:val="-1"/>
                <w:sz w:val="16"/>
              </w:rPr>
              <w:t>10,414,323,266</w:t>
            </w:r>
          </w:p>
        </w:tc>
      </w:tr>
      <w:tr>
        <w:trPr>
          <w:trHeight w:val="278"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 w:right="0"/>
              <w:jc w:val="left"/>
              <w:rPr>
                <w:rFonts w:ascii="宋体" w:hAnsi="宋体" w:cs="宋体" w:eastAsia="宋体" w:hint="default"/>
                <w:sz w:val="16"/>
                <w:szCs w:val="16"/>
              </w:rPr>
            </w:pPr>
            <w:r>
              <w:rPr>
                <w:rFonts w:ascii="宋体" w:hAnsi="宋体" w:cs="宋体" w:eastAsia="宋体" w:hint="default"/>
                <w:sz w:val="16"/>
                <w:szCs w:val="16"/>
              </w:rPr>
              <w:t>因所持子公司股份变化对资本公积的影响</w:t>
            </w:r>
          </w:p>
        </w:tc>
        <w:tc>
          <w:tcPr>
            <w:tcW w:w="40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
              <w:jc w:val="center"/>
              <w:rPr>
                <w:rFonts w:ascii="Arial" w:hAnsi="Arial" w:cs="Arial" w:eastAsia="Arial" w:hint="default"/>
                <w:sz w:val="16"/>
                <w:szCs w:val="16"/>
              </w:rPr>
            </w:pPr>
            <w:r>
              <w:rPr>
                <w:rFonts w:ascii="Arial"/>
                <w:sz w:val="16"/>
              </w:rPr>
              <w:t>(h)</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72"/>
              <w:jc w:val="right"/>
              <w:rPr>
                <w:rFonts w:ascii="Arial" w:hAnsi="Arial" w:cs="Arial" w:eastAsia="Arial" w:hint="default"/>
                <w:sz w:val="16"/>
                <w:szCs w:val="16"/>
              </w:rPr>
            </w:pPr>
            <w:r>
              <w:rPr>
                <w:rFonts w:ascii="Arial"/>
                <w:spacing w:val="-1"/>
                <w:sz w:val="16"/>
              </w:rPr>
              <w:t>(6,152,416,402)</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2"/>
              <w:jc w:val="right"/>
              <w:rPr>
                <w:rFonts w:ascii="Arial" w:hAnsi="Arial" w:cs="Arial" w:eastAsia="Arial" w:hint="default"/>
                <w:sz w:val="16"/>
                <w:szCs w:val="16"/>
              </w:rPr>
            </w:pPr>
            <w:r>
              <w:rPr>
                <w:rFonts w:ascii="Arial"/>
                <w:w w:val="100"/>
                <w:sz w:val="16"/>
              </w:rPr>
              <w:t>-</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4" w:right="0"/>
              <w:jc w:val="left"/>
              <w:rPr>
                <w:rFonts w:ascii="Arial" w:hAnsi="Arial" w:cs="Arial" w:eastAsia="Arial" w:hint="default"/>
                <w:sz w:val="16"/>
                <w:szCs w:val="16"/>
              </w:rPr>
            </w:pPr>
            <w:r>
              <w:rPr>
                <w:rFonts w:ascii="Arial"/>
                <w:sz w:val="16"/>
              </w:rPr>
              <w:t>(503,204,764)</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
              <w:jc w:val="right"/>
              <w:rPr>
                <w:rFonts w:ascii="Arial" w:hAnsi="Arial" w:cs="Arial" w:eastAsia="Arial" w:hint="default"/>
                <w:sz w:val="16"/>
                <w:szCs w:val="16"/>
              </w:rPr>
            </w:pPr>
            <w:r>
              <w:rPr>
                <w:rFonts w:ascii="Arial"/>
                <w:spacing w:val="-1"/>
                <w:sz w:val="16"/>
              </w:rPr>
              <w:t>(6,655,621,166)</w:t>
            </w:r>
          </w:p>
        </w:tc>
      </w:tr>
      <w:tr>
        <w:trPr>
          <w:trHeight w:val="281"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 w:right="0"/>
              <w:jc w:val="left"/>
              <w:rPr>
                <w:rFonts w:ascii="宋体" w:hAnsi="宋体" w:cs="宋体" w:eastAsia="宋体" w:hint="default"/>
                <w:sz w:val="16"/>
                <w:szCs w:val="16"/>
              </w:rPr>
            </w:pPr>
            <w:r>
              <w:rPr>
                <w:rFonts w:ascii="宋体" w:hAnsi="宋体" w:cs="宋体" w:eastAsia="宋体" w:hint="default"/>
                <w:sz w:val="16"/>
                <w:szCs w:val="16"/>
              </w:rPr>
              <w:t>子公司发行可转换债券的影响</w:t>
            </w:r>
          </w:p>
        </w:tc>
        <w:tc>
          <w:tcPr>
            <w:tcW w:w="40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
              <w:jc w:val="center"/>
              <w:rPr>
                <w:rFonts w:ascii="Arial" w:hAnsi="Arial" w:cs="Arial" w:eastAsia="Arial" w:hint="default"/>
                <w:sz w:val="16"/>
                <w:szCs w:val="16"/>
              </w:rPr>
            </w:pPr>
            <w:r>
              <w:rPr>
                <w:rFonts w:ascii="Arial"/>
                <w:sz w:val="16"/>
              </w:rPr>
              <w:t>(i)</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35"/>
              <w:jc w:val="right"/>
              <w:rPr>
                <w:rFonts w:ascii="Arial" w:hAnsi="Arial" w:cs="Arial" w:eastAsia="Arial" w:hint="default"/>
                <w:sz w:val="16"/>
                <w:szCs w:val="16"/>
              </w:rPr>
            </w:pPr>
            <w:r>
              <w:rPr>
                <w:rFonts w:ascii="Arial"/>
                <w:spacing w:val="-1"/>
                <w:sz w:val="16"/>
              </w:rPr>
              <w:t>3,310,271,931</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2"/>
              <w:jc w:val="right"/>
              <w:rPr>
                <w:rFonts w:ascii="Arial" w:hAnsi="Arial" w:cs="Arial" w:eastAsia="Arial" w:hint="default"/>
                <w:sz w:val="16"/>
                <w:szCs w:val="16"/>
              </w:rPr>
            </w:pPr>
            <w:r>
              <w:rPr>
                <w:rFonts w:ascii="Arial"/>
                <w:w w:val="100"/>
                <w:sz w:val="16"/>
              </w:rPr>
              <w:t>-</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50"/>
              <w:jc w:val="right"/>
              <w:rPr>
                <w:rFonts w:ascii="Arial" w:hAnsi="Arial" w:cs="Arial" w:eastAsia="Arial" w:hint="default"/>
                <w:sz w:val="16"/>
                <w:szCs w:val="16"/>
              </w:rPr>
            </w:pPr>
            <w:r>
              <w:rPr>
                <w:rFonts w:ascii="Arial"/>
                <w:w w:val="100"/>
                <w:sz w:val="16"/>
              </w:rPr>
              <w:t>-</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60"/>
              <w:jc w:val="right"/>
              <w:rPr>
                <w:rFonts w:ascii="Arial" w:hAnsi="Arial" w:cs="Arial" w:eastAsia="Arial" w:hint="default"/>
                <w:sz w:val="16"/>
                <w:szCs w:val="16"/>
              </w:rPr>
            </w:pPr>
            <w:r>
              <w:rPr>
                <w:rFonts w:ascii="Arial"/>
                <w:spacing w:val="-1"/>
                <w:sz w:val="16"/>
              </w:rPr>
              <w:t>3,310,271,931</w:t>
            </w:r>
          </w:p>
        </w:tc>
      </w:tr>
      <w:tr>
        <w:trPr>
          <w:trHeight w:val="381"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407"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tabs>
                <w:tab w:pos="347" w:val="left" w:leader="none"/>
                <w:tab w:pos="1214" w:val="left" w:leader="none"/>
              </w:tabs>
              <w:spacing w:line="240" w:lineRule="auto" w:before="49"/>
              <w:ind w:right="72"/>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r>
            <w:r>
              <w:rPr>
                <w:rFonts w:ascii="Arial"/>
                <w:spacing w:val="-1"/>
                <w:sz w:val="16"/>
                <w:u w:val="single" w:color="000000"/>
              </w:rPr>
              <w:t>34,158,617</w:t>
              <w:tab/>
            </w:r>
            <w:r>
              <w:rPr>
                <w:rFonts w:ascii="Arial"/>
                <w:spacing w:val="-1"/>
                <w:sz w:val="16"/>
              </w:rPr>
            </w:r>
          </w:p>
        </w:tc>
        <w:tc>
          <w:tcPr>
            <w:tcW w:w="1070" w:type="dxa"/>
            <w:tcBorders>
              <w:top w:val="nil" w:sz="6" w:space="0" w:color="auto"/>
              <w:left w:val="nil" w:sz="6" w:space="0" w:color="auto"/>
              <w:bottom w:val="nil" w:sz="6" w:space="0" w:color="auto"/>
              <w:right w:val="nil" w:sz="6" w:space="0" w:color="auto"/>
            </w:tcBorders>
          </w:tcPr>
          <w:p>
            <w:pPr>
              <w:pStyle w:val="TableParagraph"/>
              <w:tabs>
                <w:tab w:pos="386" w:val="left" w:leader="none"/>
              </w:tabs>
              <w:spacing w:line="240" w:lineRule="auto" w:before="49"/>
              <w:ind w:left="-22" w:right="102"/>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r>
            <w:r>
              <w:rPr>
                <w:rFonts w:ascii="Arial"/>
                <w:spacing w:val="-1"/>
                <w:sz w:val="16"/>
                <w:u w:val="single" w:color="000000"/>
              </w:rPr>
              <w:t>196,705</w:t>
            </w:r>
            <w:r>
              <w:rPr>
                <w:rFonts w:ascii="Arial"/>
                <w:spacing w:val="-1"/>
                <w:sz w:val="16"/>
              </w:rPr>
            </w:r>
          </w:p>
        </w:tc>
        <w:tc>
          <w:tcPr>
            <w:tcW w:w="1195" w:type="dxa"/>
            <w:tcBorders>
              <w:top w:val="nil" w:sz="6" w:space="0" w:color="auto"/>
              <w:left w:val="nil" w:sz="6" w:space="0" w:color="auto"/>
              <w:bottom w:val="nil" w:sz="6" w:space="0" w:color="auto"/>
              <w:right w:val="nil" w:sz="6" w:space="0" w:color="auto"/>
            </w:tcBorders>
          </w:tcPr>
          <w:p>
            <w:pPr>
              <w:pStyle w:val="TableParagraph"/>
              <w:tabs>
                <w:tab w:pos="989" w:val="left" w:leader="none"/>
                <w:tab w:pos="1599" w:val="left" w:leader="none"/>
              </w:tabs>
              <w:spacing w:line="240" w:lineRule="auto" w:before="49"/>
              <w:ind w:left="-9" w:right="-405"/>
              <w:jc w:val="lef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r>
            <w:r>
              <w:rPr>
                <w:rFonts w:ascii="Arial"/>
                <w:spacing w:val="12"/>
                <w:sz w:val="16"/>
                <w:u w:val="single" w:color="000000"/>
              </w:rPr>
              <w:t> </w:t>
            </w:r>
            <w:r>
              <w:rPr>
                <w:rFonts w:ascii="Arial"/>
                <w:spacing w:val="12"/>
                <w:sz w:val="16"/>
              </w:rPr>
            </w:r>
            <w:r>
              <w:rPr>
                <w:rFonts w:ascii="Arial"/>
                <w:spacing w:val="3"/>
                <w:sz w:val="16"/>
              </w:rPr>
              <w:t> </w:t>
            </w:r>
            <w:r>
              <w:rPr>
                <w:rFonts w:ascii="Arial"/>
                <w:spacing w:val="3"/>
                <w:w w:val="100"/>
                <w:sz w:val="16"/>
              </w:rPr>
            </w:r>
            <w:r>
              <w:rPr>
                <w:rFonts w:ascii="Arial"/>
                <w:w w:val="100"/>
                <w:sz w:val="16"/>
                <w:u w:val="single" w:color="000000"/>
              </w:rPr>
              <w:t> </w:t>
            </w:r>
            <w:r>
              <w:rPr>
                <w:rFonts w:ascii="Arial"/>
                <w:sz w:val="16"/>
                <w:u w:val="single" w:color="000000"/>
              </w:rPr>
              <w:tab/>
            </w:r>
            <w:r>
              <w:rPr>
                <w:rFonts w:ascii="Arial"/>
                <w:sz w:val="16"/>
              </w:rPr>
            </w:r>
          </w:p>
        </w:tc>
        <w:tc>
          <w:tcPr>
            <w:tcW w:w="1271" w:type="dxa"/>
            <w:tcBorders>
              <w:top w:val="nil" w:sz="6" w:space="0" w:color="auto"/>
              <w:left w:val="nil" w:sz="6" w:space="0" w:color="auto"/>
              <w:bottom w:val="nil" w:sz="6" w:space="0" w:color="auto"/>
              <w:right w:val="nil" w:sz="6" w:space="0" w:color="auto"/>
            </w:tcBorders>
          </w:tcPr>
          <w:p>
            <w:pPr>
              <w:pStyle w:val="TableParagraph"/>
              <w:tabs>
                <w:tab w:pos="866" w:val="left" w:leader="none"/>
              </w:tabs>
              <w:spacing w:line="240" w:lineRule="auto" w:before="49"/>
              <w:ind w:right="0"/>
              <w:jc w:val="right"/>
              <w:rPr>
                <w:rFonts w:ascii="Arial" w:hAnsi="Arial" w:cs="Arial" w:eastAsia="Arial" w:hint="default"/>
                <w:sz w:val="16"/>
                <w:szCs w:val="16"/>
              </w:rPr>
            </w:pPr>
            <w:r>
              <w:rPr>
                <w:rFonts w:ascii="Arial"/>
                <w:w w:val="100"/>
                <w:sz w:val="16"/>
              </w:rPr>
            </w:r>
            <w:r>
              <w:rPr>
                <w:rFonts w:ascii="Arial"/>
                <w:spacing w:val="-1"/>
                <w:sz w:val="16"/>
                <w:u w:val="single" w:color="000000"/>
              </w:rPr>
              <w:t>34,355,322</w:t>
              <w:tab/>
            </w:r>
            <w:r>
              <w:rPr>
                <w:rFonts w:ascii="Arial"/>
                <w:spacing w:val="-1"/>
                <w:sz w:val="16"/>
              </w:rPr>
            </w:r>
          </w:p>
        </w:tc>
      </w:tr>
      <w:tr>
        <w:trPr>
          <w:trHeight w:val="359"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4"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407"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single" w:sz="17"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35"/>
              <w:jc w:val="right"/>
              <w:rPr>
                <w:rFonts w:ascii="Arial" w:hAnsi="Arial" w:cs="Arial" w:eastAsia="Arial" w:hint="default"/>
                <w:sz w:val="16"/>
                <w:szCs w:val="16"/>
              </w:rPr>
            </w:pPr>
            <w:r>
              <w:rPr>
                <w:rFonts w:ascii="Arial"/>
                <w:spacing w:val="-1"/>
                <w:sz w:val="16"/>
              </w:rPr>
              <w:t>28,024,362,928</w:t>
            </w:r>
          </w:p>
        </w:tc>
        <w:tc>
          <w:tcPr>
            <w:tcW w:w="1070" w:type="dxa"/>
            <w:tcBorders>
              <w:top w:val="nil" w:sz="6" w:space="0" w:color="auto"/>
              <w:left w:val="nil" w:sz="6" w:space="0" w:color="auto"/>
              <w:bottom w:val="single" w:sz="17"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2"/>
              <w:jc w:val="right"/>
              <w:rPr>
                <w:rFonts w:ascii="Arial" w:hAnsi="Arial" w:cs="Arial" w:eastAsia="Arial" w:hint="default"/>
                <w:sz w:val="16"/>
                <w:szCs w:val="16"/>
              </w:rPr>
            </w:pPr>
            <w:r>
              <w:rPr>
                <w:rFonts w:ascii="Arial"/>
                <w:spacing w:val="-1"/>
                <w:sz w:val="16"/>
              </w:rPr>
              <w:t>290,541,187</w:t>
            </w:r>
          </w:p>
        </w:tc>
        <w:tc>
          <w:tcPr>
            <w:tcW w:w="1195" w:type="dxa"/>
            <w:tcBorders>
              <w:top w:val="nil" w:sz="6" w:space="0" w:color="auto"/>
              <w:left w:val="nil" w:sz="6" w:space="0" w:color="auto"/>
              <w:bottom w:val="single" w:sz="17"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4" w:right="0"/>
              <w:jc w:val="left"/>
              <w:rPr>
                <w:rFonts w:ascii="Arial" w:hAnsi="Arial" w:cs="Arial" w:eastAsia="Arial" w:hint="default"/>
                <w:sz w:val="16"/>
                <w:szCs w:val="16"/>
              </w:rPr>
            </w:pPr>
            <w:r>
              <w:rPr>
                <w:rFonts w:ascii="Arial"/>
                <w:sz w:val="16"/>
              </w:rPr>
              <w:t>(503,204,764)</w:t>
            </w:r>
          </w:p>
        </w:tc>
        <w:tc>
          <w:tcPr>
            <w:tcW w:w="1271" w:type="dxa"/>
            <w:tcBorders>
              <w:top w:val="nil" w:sz="6" w:space="0" w:color="auto"/>
              <w:left w:val="nil" w:sz="6" w:space="0" w:color="auto"/>
              <w:bottom w:val="single" w:sz="17"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60"/>
              <w:jc w:val="right"/>
              <w:rPr>
                <w:rFonts w:ascii="Arial" w:hAnsi="Arial" w:cs="Arial" w:eastAsia="Arial" w:hint="default"/>
                <w:sz w:val="16"/>
                <w:szCs w:val="16"/>
              </w:rPr>
            </w:pPr>
            <w:r>
              <w:rPr>
                <w:rFonts w:ascii="Arial"/>
                <w:spacing w:val="-1"/>
                <w:sz w:val="16"/>
              </w:rPr>
              <w:t>27,811,699,351</w:t>
            </w:r>
          </w:p>
        </w:tc>
      </w:tr>
    </w:tbl>
    <w:p>
      <w:pPr>
        <w:spacing w:line="240" w:lineRule="auto" w:before="4"/>
        <w:rPr>
          <w:rFonts w:ascii="宋体" w:hAnsi="宋体" w:cs="宋体" w:eastAsia="宋体" w:hint="default"/>
          <w:sz w:val="10"/>
          <w:szCs w:val="10"/>
        </w:rPr>
      </w:pPr>
    </w:p>
    <w:p>
      <w:pPr>
        <w:pStyle w:val="BodyText"/>
        <w:spacing w:line="240" w:lineRule="auto" w:before="32"/>
        <w:ind w:left="551" w:right="0"/>
        <w:jc w:val="left"/>
      </w:pPr>
      <w:r>
        <w:rPr/>
        <w:t>注释：</w:t>
      </w:r>
    </w:p>
    <w:p>
      <w:pPr>
        <w:spacing w:line="240" w:lineRule="auto" w:before="3"/>
        <w:rPr>
          <w:rFonts w:ascii="宋体" w:hAnsi="宋体" w:cs="宋体" w:eastAsia="宋体" w:hint="default"/>
          <w:sz w:val="21"/>
          <w:szCs w:val="21"/>
        </w:rPr>
      </w:pPr>
    </w:p>
    <w:p>
      <w:pPr>
        <w:pStyle w:val="BodyText"/>
        <w:spacing w:line="286" w:lineRule="exact"/>
        <w:ind w:left="1012" w:right="124" w:hanging="461"/>
        <w:jc w:val="both"/>
      </w:pPr>
      <w:r>
        <w:rPr>
          <w:rFonts w:ascii="Arial" w:hAnsi="Arial" w:cs="Arial" w:eastAsia="Arial" w:hint="default"/>
        </w:rPr>
        <w:t>(a) </w:t>
      </w:r>
      <w:r>
        <w:rPr>
          <w:spacing w:val="-4"/>
        </w:rPr>
        <w:t>本公司成立之初发起人各方实际出资额超过其按《公司章程》规定的 </w:t>
      </w:r>
      <w:r>
        <w:rPr>
          <w:rFonts w:ascii="Arial" w:hAnsi="Arial" w:cs="Arial" w:eastAsia="Arial" w:hint="default"/>
        </w:rPr>
        <w:t>65%</w:t>
      </w:r>
      <w:r>
        <w:rPr/>
        <w:t>折股比例计算之</w:t>
      </w:r>
      <w:r>
        <w:rPr>
          <w:spacing w:val="-109"/>
        </w:rPr>
        <w:t> </w:t>
      </w:r>
      <w:r>
        <w:rPr>
          <w:spacing w:val="-109"/>
        </w:rPr>
      </w:r>
      <w:r>
        <w:rPr/>
        <w:t>实缴注册资本的差额，以及于</w:t>
      </w:r>
      <w:r>
        <w:rPr>
          <w:spacing w:val="-40"/>
        </w:rPr>
        <w:t> </w:t>
      </w:r>
      <w:r>
        <w:rPr>
          <w:rFonts w:ascii="Arial" w:hAnsi="Arial" w:cs="Arial" w:eastAsia="Arial" w:hint="default"/>
        </w:rPr>
        <w:t>2002</w:t>
      </w:r>
      <w:r>
        <w:rPr>
          <w:rFonts w:ascii="Arial" w:hAnsi="Arial" w:cs="Arial" w:eastAsia="Arial" w:hint="default"/>
          <w:spacing w:val="8"/>
        </w:rPr>
        <w:t> </w:t>
      </w:r>
      <w:r>
        <w:rPr/>
        <w:t>年因发行境内上市的人民币普通股和于</w:t>
      </w:r>
      <w:r>
        <w:rPr>
          <w:spacing w:val="-39"/>
        </w:rPr>
        <w:t> </w:t>
      </w:r>
      <w:r>
        <w:rPr>
          <w:rFonts w:ascii="Arial" w:hAnsi="Arial" w:cs="Arial" w:eastAsia="Arial" w:hint="default"/>
        </w:rPr>
        <w:t>2004</w:t>
      </w:r>
      <w:r>
        <w:rPr>
          <w:rFonts w:ascii="Arial" w:hAnsi="Arial" w:cs="Arial" w:eastAsia="Arial" w:hint="default"/>
          <w:spacing w:val="6"/>
        </w:rPr>
        <w:t> </w:t>
      </w:r>
      <w:r>
        <w:rPr/>
        <w:t>年</w:t>
      </w:r>
      <w:r>
        <w:rPr>
          <w:spacing w:val="-40"/>
        </w:rPr>
        <w:t> </w:t>
      </w:r>
      <w:r>
        <w:rPr>
          <w:rFonts w:ascii="Arial" w:hAnsi="Arial" w:cs="Arial" w:eastAsia="Arial" w:hint="default"/>
        </w:rPr>
        <w:t>7</w:t>
      </w:r>
      <w:r>
        <w:rPr>
          <w:rFonts w:ascii="Arial" w:hAnsi="Arial" w:cs="Arial" w:eastAsia="Arial" w:hint="default"/>
          <w:spacing w:val="6"/>
        </w:rPr>
        <w:t> </w:t>
      </w:r>
      <w:r>
        <w:rPr/>
        <w:t>月</w:t>
      </w:r>
      <w:r>
        <w:rPr>
          <w:w w:val="100"/>
        </w:rPr>
        <w:t> </w:t>
      </w:r>
      <w:r>
        <w:rPr/>
        <w:t>配售人民币普通股的溢价被记录于资本公积。</w:t>
      </w:r>
    </w:p>
    <w:p>
      <w:pPr>
        <w:spacing w:line="240" w:lineRule="auto" w:before="9"/>
        <w:rPr>
          <w:rFonts w:ascii="宋体" w:hAnsi="宋体" w:cs="宋体" w:eastAsia="宋体" w:hint="default"/>
          <w:sz w:val="17"/>
          <w:szCs w:val="17"/>
        </w:rPr>
      </w:pPr>
    </w:p>
    <w:p>
      <w:pPr>
        <w:pStyle w:val="BodyText"/>
        <w:spacing w:line="232" w:lineRule="auto"/>
        <w:ind w:left="1012" w:right="126" w:hanging="461"/>
        <w:jc w:val="both"/>
      </w:pPr>
      <w:r>
        <w:rPr>
          <w:rFonts w:ascii="Arial" w:hAnsi="Arial" w:cs="Arial" w:eastAsia="Arial" w:hint="default"/>
        </w:rPr>
        <w:t>(b)</w:t>
      </w:r>
      <w:r>
        <w:rPr>
          <w:rFonts w:ascii="Arial" w:hAnsi="Arial" w:cs="Arial" w:eastAsia="Arial" w:hint="default"/>
          <w:spacing w:val="3"/>
        </w:rPr>
        <w:t> </w:t>
      </w:r>
      <w:r>
        <w:rPr/>
        <w:t>于</w:t>
      </w:r>
      <w:r>
        <w:rPr>
          <w:spacing w:val="-47"/>
        </w:rPr>
        <w:t> </w:t>
      </w:r>
      <w:r>
        <w:rPr>
          <w:rFonts w:ascii="Arial" w:hAnsi="Arial" w:cs="Arial" w:eastAsia="Arial" w:hint="default"/>
        </w:rPr>
        <w:t>2009</w:t>
      </w:r>
      <w:r>
        <w:rPr>
          <w:rFonts w:ascii="Arial" w:hAnsi="Arial" w:cs="Arial" w:eastAsia="Arial" w:hint="default"/>
          <w:spacing w:val="-1"/>
        </w:rPr>
        <w:t> </w:t>
      </w:r>
      <w:r>
        <w:rPr/>
        <w:t>年</w:t>
      </w:r>
      <w:r>
        <w:rPr>
          <w:spacing w:val="-47"/>
        </w:rPr>
        <w:t> </w:t>
      </w:r>
      <w:r>
        <w:rPr>
          <w:rFonts w:ascii="Arial" w:hAnsi="Arial" w:cs="Arial" w:eastAsia="Arial" w:hint="default"/>
        </w:rPr>
        <w:t>1</w:t>
      </w:r>
      <w:r>
        <w:rPr>
          <w:rFonts w:ascii="Arial" w:hAnsi="Arial" w:cs="Arial" w:eastAsia="Arial" w:hint="default"/>
          <w:spacing w:val="-1"/>
        </w:rPr>
        <w:t> </w:t>
      </w:r>
      <w:r>
        <w:rPr/>
        <w:t>月，联通运营公司根据转让协议完成了向联通集团和网通集团收购相关电信</w:t>
      </w:r>
      <w:r>
        <w:rPr>
          <w:w w:val="100"/>
        </w:rPr>
        <w:t> </w:t>
      </w:r>
      <w:r>
        <w:rPr>
          <w:spacing w:val="-2"/>
        </w:rPr>
        <w:t>业务和资产的交易。本公司根据持股比例计算了在同一控制下该等收购对归属于本集团母</w:t>
      </w:r>
      <w:r>
        <w:rPr>
          <w:w w:val="100"/>
        </w:rPr>
        <w:t> </w:t>
      </w:r>
      <w:r>
        <w:rPr/>
        <w:t>公司普通股股东资本公积的影响。</w:t>
      </w:r>
    </w:p>
    <w:p>
      <w:pPr>
        <w:spacing w:line="240" w:lineRule="auto" w:before="4"/>
        <w:rPr>
          <w:rFonts w:ascii="宋体" w:hAnsi="宋体" w:cs="宋体" w:eastAsia="宋体" w:hint="default"/>
          <w:sz w:val="21"/>
          <w:szCs w:val="21"/>
        </w:rPr>
      </w:pPr>
    </w:p>
    <w:p>
      <w:pPr>
        <w:pStyle w:val="BodyText"/>
        <w:spacing w:line="286" w:lineRule="exact"/>
        <w:ind w:left="1012" w:right="112"/>
        <w:jc w:val="both"/>
      </w:pPr>
      <w:r>
        <w:rPr/>
        <w:t>由于本公司所属联通运营公司于</w:t>
      </w:r>
      <w:r>
        <w:rPr>
          <w:spacing w:val="-56"/>
        </w:rPr>
        <w:t> </w:t>
      </w:r>
      <w:r>
        <w:rPr>
          <w:rFonts w:ascii="Arial" w:hAnsi="Arial" w:cs="Arial" w:eastAsia="Arial" w:hint="default"/>
        </w:rPr>
        <w:t>2007</w:t>
      </w:r>
      <w:r>
        <w:rPr>
          <w:rFonts w:ascii="Arial" w:hAnsi="Arial" w:cs="Arial" w:eastAsia="Arial" w:hint="default"/>
          <w:spacing w:val="-10"/>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10"/>
        </w:rPr>
        <w:t> </w:t>
      </w:r>
      <w:r>
        <w:rPr/>
        <w:t>日完成了对贵州业务的收购，本公司根</w:t>
      </w:r>
      <w:r>
        <w:rPr>
          <w:w w:val="100"/>
        </w:rPr>
        <w:t> </w:t>
      </w:r>
      <w:r>
        <w:rPr>
          <w:spacing w:val="-1"/>
        </w:rPr>
        <w:t>据持股比例计算了在同一控制下收购贵州业务对归属于本集团母公司普通股股东资本公积</w:t>
      </w:r>
      <w:r>
        <w:rPr>
          <w:spacing w:val="-78"/>
        </w:rPr>
        <w:t> </w:t>
      </w:r>
      <w:r>
        <w:rPr>
          <w:spacing w:val="-78"/>
        </w:rPr>
      </w:r>
      <w:r>
        <w:rPr/>
        <w:t>的影响。</w:t>
      </w:r>
    </w:p>
    <w:p>
      <w:pPr>
        <w:spacing w:line="240" w:lineRule="auto" w:before="3"/>
        <w:rPr>
          <w:rFonts w:ascii="宋体" w:hAnsi="宋体" w:cs="宋体" w:eastAsia="宋体" w:hint="default"/>
          <w:sz w:val="19"/>
          <w:szCs w:val="19"/>
        </w:rPr>
      </w:pPr>
    </w:p>
    <w:p>
      <w:pPr>
        <w:pStyle w:val="BodyText"/>
        <w:spacing w:line="286" w:lineRule="exact"/>
        <w:ind w:left="1012" w:right="125" w:hanging="461"/>
        <w:jc w:val="both"/>
      </w:pPr>
      <w:r>
        <w:rPr>
          <w:rFonts w:ascii="Arial" w:hAnsi="Arial" w:cs="Arial" w:eastAsia="Arial" w:hint="default"/>
          <w:w w:val="100"/>
        </w:rPr>
        <w:t>(c)</w:t>
      </w:r>
      <w:r>
        <w:rPr>
          <w:rFonts w:ascii="Arial" w:hAnsi="Arial" w:cs="Arial" w:eastAsia="Arial" w:hint="default"/>
          <w:spacing w:val="25"/>
          <w:w w:val="100"/>
        </w:rPr>
        <w:t> </w:t>
      </w:r>
      <w:r>
        <w:rPr>
          <w:spacing w:val="-1"/>
          <w:w w:val="100"/>
        </w:rPr>
        <w:t>本集团的子公司中讯设计院是一家于</w:t>
      </w:r>
      <w:r>
        <w:rPr>
          <w:spacing w:val="-54"/>
          <w:w w:val="100"/>
        </w:rPr>
        <w:t> </w:t>
      </w:r>
      <w:r>
        <w:rPr>
          <w:rFonts w:ascii="Arial" w:hAnsi="Arial" w:cs="Arial" w:eastAsia="Arial" w:hint="default"/>
          <w:spacing w:val="-1"/>
          <w:w w:val="100"/>
        </w:rPr>
        <w:t>2008</w:t>
      </w:r>
      <w:r>
        <w:rPr>
          <w:rFonts w:ascii="Arial" w:hAnsi="Arial" w:cs="Arial" w:eastAsia="Arial" w:hint="default"/>
          <w:spacing w:val="-6"/>
          <w:w w:val="100"/>
        </w:rPr>
        <w:t> </w:t>
      </w:r>
      <w:r>
        <w:rPr>
          <w:w w:val="100"/>
        </w:rPr>
        <w:t>年</w:t>
      </w:r>
      <w:r>
        <w:rPr>
          <w:spacing w:val="-54"/>
          <w:w w:val="100"/>
        </w:rPr>
        <w:t> </w:t>
      </w:r>
      <w:r>
        <w:rPr>
          <w:rFonts w:ascii="Arial" w:hAnsi="Arial" w:cs="Arial" w:eastAsia="Arial" w:hint="default"/>
          <w:w w:val="100"/>
        </w:rPr>
        <w:t>9</w:t>
      </w:r>
      <w:r>
        <w:rPr>
          <w:rFonts w:ascii="Arial" w:hAnsi="Arial" w:cs="Arial" w:eastAsia="Arial" w:hint="default"/>
          <w:spacing w:val="-8"/>
          <w:w w:val="100"/>
        </w:rPr>
        <w:t> </w:t>
      </w:r>
      <w:r>
        <w:rPr>
          <w:w w:val="100"/>
        </w:rPr>
        <w:t>月</w:t>
      </w:r>
      <w:r>
        <w:rPr>
          <w:spacing w:val="-57"/>
          <w:w w:val="100"/>
        </w:rPr>
        <w:t> </w:t>
      </w:r>
      <w:r>
        <w:rPr>
          <w:rFonts w:ascii="Arial" w:hAnsi="Arial" w:cs="Arial" w:eastAsia="Arial" w:hint="default"/>
          <w:spacing w:val="-1"/>
          <w:w w:val="100"/>
        </w:rPr>
        <w:t>27</w:t>
      </w:r>
      <w:r>
        <w:rPr>
          <w:rFonts w:ascii="Arial" w:hAnsi="Arial" w:cs="Arial" w:eastAsia="Arial" w:hint="default"/>
          <w:spacing w:val="-6"/>
          <w:w w:val="100"/>
        </w:rPr>
        <w:t> </w:t>
      </w:r>
      <w:r>
        <w:rPr>
          <w:spacing w:val="-8"/>
          <w:w w:val="100"/>
        </w:rPr>
        <w:t>日完成公司制改制后设立的企业，根</w:t>
      </w:r>
      <w:r>
        <w:rPr>
          <w:w w:val="100"/>
        </w:rPr>
        <w:t> </w:t>
      </w:r>
      <w:r>
        <w:rPr>
          <w:spacing w:val="-2"/>
        </w:rPr>
        <w:t>据企业改制的相关规定，中讯设计院在改制过程中的资产评估增值被计入其改制后公司的</w:t>
      </w:r>
      <w:r>
        <w:rPr>
          <w:w w:val="100"/>
        </w:rPr>
        <w:t> </w:t>
      </w:r>
      <w:r>
        <w:rPr>
          <w:spacing w:val="-2"/>
        </w:rPr>
        <w:t>所有者权益。本公司根据持股比例计算了该资产评估增值对归属于本集团母公司普通股股</w:t>
      </w:r>
      <w:r>
        <w:rPr>
          <w:w w:val="100"/>
        </w:rPr>
        <w:t> </w:t>
      </w:r>
      <w:r>
        <w:rPr/>
        <w:t>东资本公积的影响。</w:t>
      </w:r>
    </w:p>
    <w:p>
      <w:pPr>
        <w:spacing w:line="240" w:lineRule="auto" w:before="1"/>
        <w:rPr>
          <w:rFonts w:ascii="宋体" w:hAnsi="宋体" w:cs="宋体" w:eastAsia="宋体" w:hint="default"/>
          <w:sz w:val="17"/>
          <w:szCs w:val="17"/>
        </w:rPr>
      </w:pPr>
    </w:p>
    <w:p>
      <w:pPr>
        <w:pStyle w:val="BodyText"/>
        <w:spacing w:line="295" w:lineRule="exact"/>
        <w:ind w:left="551" w:right="0"/>
        <w:jc w:val="left"/>
      </w:pPr>
      <w:r>
        <w:rPr>
          <w:rFonts w:ascii="Arial" w:hAnsi="Arial" w:cs="Arial" w:eastAsia="Arial" w:hint="default"/>
        </w:rPr>
        <w:t>(d)  </w:t>
      </w:r>
      <w:r>
        <w:rPr>
          <w:rFonts w:ascii="Arial" w:hAnsi="Arial" w:cs="Arial" w:eastAsia="Arial" w:hint="default"/>
          <w:spacing w:val="4"/>
        </w:rPr>
        <w:t> </w:t>
      </w:r>
      <w:r>
        <w:rPr/>
        <w:t>联通红筹公司及其子公司网通红筹公司授予员工的可行权日在</w:t>
      </w:r>
      <w:r>
        <w:rPr>
          <w:spacing w:val="-50"/>
        </w:rPr>
        <w:t> </w:t>
      </w:r>
      <w:r>
        <w:rPr>
          <w:rFonts w:ascii="Arial" w:hAnsi="Arial" w:cs="Arial" w:eastAsia="Arial" w:hint="default"/>
        </w:rPr>
        <w:t>2007</w:t>
      </w:r>
      <w:r>
        <w:rPr>
          <w:rFonts w:ascii="Arial" w:hAnsi="Arial" w:cs="Arial" w:eastAsia="Arial" w:hint="default"/>
          <w:spacing w:val="-3"/>
        </w:rPr>
        <w:t> </w:t>
      </w:r>
      <w:r>
        <w:rPr/>
        <w:t>年</w:t>
      </w:r>
      <w:r>
        <w:rPr>
          <w:spacing w:val="-54"/>
        </w:rPr>
        <w:t> </w:t>
      </w:r>
      <w:r>
        <w:rPr>
          <w:rFonts w:ascii="Arial" w:hAnsi="Arial" w:cs="Arial" w:eastAsia="Arial" w:hint="default"/>
        </w:rPr>
        <w:t>1</w:t>
      </w:r>
      <w:r>
        <w:rPr>
          <w:rFonts w:ascii="Arial" w:hAnsi="Arial" w:cs="Arial" w:eastAsia="Arial" w:hint="default"/>
          <w:spacing w:val="-5"/>
        </w:rPr>
        <w:t> </w:t>
      </w:r>
      <w:r>
        <w:rPr/>
        <w:t>月</w:t>
      </w:r>
      <w:r>
        <w:rPr>
          <w:spacing w:val="-53"/>
        </w:rPr>
        <w:t> </w:t>
      </w:r>
      <w:r>
        <w:rPr>
          <w:rFonts w:ascii="Arial" w:hAnsi="Arial" w:cs="Arial" w:eastAsia="Arial" w:hint="default"/>
        </w:rPr>
        <w:t>1</w:t>
      </w:r>
      <w:r>
        <w:rPr>
          <w:rFonts w:ascii="Arial" w:hAnsi="Arial" w:cs="Arial" w:eastAsia="Arial" w:hint="default"/>
          <w:spacing w:val="-3"/>
        </w:rPr>
        <w:t> </w:t>
      </w:r>
      <w:r>
        <w:rPr/>
        <w:t>日后的股份</w:t>
      </w:r>
    </w:p>
    <w:p>
      <w:pPr>
        <w:pStyle w:val="BodyText"/>
        <w:spacing w:line="286" w:lineRule="exact"/>
        <w:ind w:left="1012" w:right="0"/>
        <w:jc w:val="both"/>
      </w:pPr>
      <w:r>
        <w:rPr/>
        <w:t>期权的公允价值于等待期内确认相应的费用。截至</w:t>
      </w:r>
      <w:r>
        <w:rPr>
          <w:spacing w:val="-56"/>
        </w:rPr>
        <w:t> </w:t>
      </w:r>
      <w:r>
        <w:rPr>
          <w:rFonts w:ascii="Arial" w:hAnsi="Arial" w:cs="Arial" w:eastAsia="Arial" w:hint="default"/>
        </w:rPr>
        <w:t>2014</w:t>
      </w:r>
      <w:r>
        <w:rPr>
          <w:rFonts w:ascii="Arial" w:hAnsi="Arial" w:cs="Arial" w:eastAsia="Arial" w:hint="default"/>
          <w:spacing w:val="-9"/>
        </w:rPr>
        <w:t> </w:t>
      </w:r>
      <w:r>
        <w:rPr/>
        <w:t>年</w:t>
      </w:r>
      <w:r>
        <w:rPr>
          <w:spacing w:val="-57"/>
        </w:rPr>
        <w:t> </w:t>
      </w:r>
      <w:r>
        <w:rPr>
          <w:rFonts w:ascii="Arial" w:hAnsi="Arial" w:cs="Arial" w:eastAsia="Arial" w:hint="default"/>
        </w:rPr>
        <w:t>12</w:t>
      </w:r>
      <w:r>
        <w:rPr>
          <w:rFonts w:ascii="Arial" w:hAnsi="Arial" w:cs="Arial" w:eastAsia="Arial" w:hint="default"/>
          <w:spacing w:val="-9"/>
        </w:rPr>
        <w:t> </w:t>
      </w:r>
      <w:r>
        <w:rPr/>
        <w:t>月</w:t>
      </w:r>
      <w:r>
        <w:rPr>
          <w:spacing w:val="-57"/>
        </w:rPr>
        <w:t> </w:t>
      </w:r>
      <w:r>
        <w:rPr>
          <w:rFonts w:ascii="Arial" w:hAnsi="Arial" w:cs="Arial" w:eastAsia="Arial" w:hint="default"/>
        </w:rPr>
        <w:t>31</w:t>
      </w:r>
      <w:r>
        <w:rPr>
          <w:rFonts w:ascii="Arial" w:hAnsi="Arial" w:cs="Arial" w:eastAsia="Arial" w:hint="default"/>
          <w:spacing w:val="-9"/>
        </w:rPr>
        <w:t> </w:t>
      </w:r>
      <w:r>
        <w:rPr/>
        <w:t>日与股份期权相关的</w:t>
      </w:r>
    </w:p>
    <w:p>
      <w:pPr>
        <w:pStyle w:val="BodyText"/>
        <w:spacing w:line="286" w:lineRule="exact"/>
        <w:ind w:left="1012" w:right="0"/>
        <w:jc w:val="both"/>
        <w:rPr>
          <w:rFonts w:ascii="Arial" w:hAnsi="Arial" w:cs="Arial" w:eastAsia="Arial" w:hint="default"/>
        </w:rPr>
      </w:pPr>
      <w:r>
        <w:rPr/>
        <w:t>员工薪酬未导致归属于本集团母公司普通股股东资本公积变动（</w:t>
      </w:r>
      <w:r>
        <w:rPr>
          <w:rFonts w:ascii="Arial" w:hAnsi="Arial" w:cs="Arial" w:eastAsia="Arial" w:hint="default"/>
        </w:rPr>
        <w:t>2013 </w:t>
      </w:r>
      <w:r>
        <w:rPr>
          <w:spacing w:val="-6"/>
        </w:rPr>
        <w:t>年：约人民币</w:t>
      </w:r>
      <w:r>
        <w:rPr>
          <w:spacing w:val="-97"/>
        </w:rPr>
        <w:t> </w:t>
      </w:r>
      <w:r>
        <w:rPr>
          <w:rFonts w:ascii="Arial" w:hAnsi="Arial" w:cs="Arial" w:eastAsia="Arial" w:hint="default"/>
        </w:rPr>
        <w:t>1,677</w:t>
      </w:r>
    </w:p>
    <w:p>
      <w:pPr>
        <w:pStyle w:val="BodyText"/>
        <w:spacing w:line="279" w:lineRule="exact"/>
        <w:ind w:left="1012" w:right="0"/>
        <w:jc w:val="both"/>
      </w:pPr>
      <w:r>
        <w:rPr/>
        <w:t>万元）。</w:t>
      </w:r>
    </w:p>
    <w:p>
      <w:pPr>
        <w:spacing w:after="0" w:line="279" w:lineRule="exact"/>
        <w:jc w:val="both"/>
        <w:sectPr>
          <w:headerReference w:type="default" r:id="rId105"/>
          <w:pgSz w:w="11910" w:h="16840"/>
          <w:pgMar w:header="1185" w:footer="635" w:top="3040" w:bottom="820" w:left="1280" w:right="920"/>
        </w:sectPr>
      </w:pPr>
    </w:p>
    <w:p>
      <w:pPr>
        <w:spacing w:line="240" w:lineRule="auto" w:before="10"/>
        <w:rPr>
          <w:rFonts w:ascii="宋体" w:hAnsi="宋体" w:cs="宋体" w:eastAsia="宋体" w:hint="default"/>
          <w:sz w:val="16"/>
          <w:szCs w:val="16"/>
        </w:rPr>
      </w:pPr>
    </w:p>
    <w:p>
      <w:pPr>
        <w:pStyle w:val="BodyText"/>
        <w:spacing w:line="424" w:lineRule="auto" w:before="32"/>
        <w:ind w:left="551" w:right="7692" w:hanging="449"/>
        <w:jc w:val="left"/>
      </w:pPr>
      <w:r>
        <w:rPr>
          <w:rFonts w:ascii="Arial" w:hAnsi="Arial" w:cs="Arial" w:eastAsia="Arial" w:hint="default"/>
          <w:spacing w:val="-1"/>
        </w:rPr>
        <w:t>32</w:t>
      </w:r>
      <w:r>
        <w:rPr>
          <w:spacing w:val="-1"/>
        </w:rPr>
        <w:t>、资本公积（续）</w:t>
      </w:r>
      <w:r>
        <w:rPr>
          <w:spacing w:val="-101"/>
        </w:rPr>
        <w:t> </w:t>
      </w:r>
      <w:r>
        <w:rPr>
          <w:spacing w:val="-101"/>
        </w:rPr>
      </w:r>
      <w:r>
        <w:rPr/>
        <w:t>注释（续）：</w:t>
      </w:r>
    </w:p>
    <w:p>
      <w:pPr>
        <w:pStyle w:val="BodyText"/>
        <w:spacing w:line="295" w:lineRule="exact" w:before="80"/>
        <w:ind w:left="551" w:right="110"/>
        <w:jc w:val="left"/>
        <w:rPr>
          <w:rFonts w:ascii="Arial" w:hAnsi="Arial" w:cs="Arial" w:eastAsia="Arial" w:hint="default"/>
        </w:rPr>
      </w:pPr>
      <w:r>
        <w:rPr>
          <w:rFonts w:ascii="Arial" w:hAnsi="Arial" w:cs="Arial" w:eastAsia="Arial" w:hint="default"/>
        </w:rPr>
        <w:t>(e)  </w:t>
      </w:r>
      <w:r>
        <w:rPr>
          <w:rFonts w:ascii="Arial" w:hAnsi="Arial" w:cs="Arial" w:eastAsia="Arial" w:hint="default"/>
          <w:spacing w:val="16"/>
        </w:rPr>
        <w:t> </w:t>
      </w:r>
      <w:r>
        <w:rPr/>
        <w:t>于</w:t>
      </w:r>
      <w:r>
        <w:rPr>
          <w:spacing w:val="-52"/>
        </w:rPr>
        <w:t> </w:t>
      </w:r>
      <w:r>
        <w:rPr>
          <w:rFonts w:ascii="Arial" w:hAnsi="Arial" w:cs="Arial" w:eastAsia="Arial" w:hint="default"/>
        </w:rPr>
        <w:t>2009</w:t>
      </w:r>
      <w:r>
        <w:rPr>
          <w:rFonts w:ascii="Arial" w:hAnsi="Arial" w:cs="Arial" w:eastAsia="Arial" w:hint="default"/>
          <w:spacing w:val="-4"/>
        </w:rPr>
        <w:t> </w:t>
      </w:r>
      <w:r>
        <w:rPr/>
        <w:t>年</w:t>
      </w:r>
      <w:r>
        <w:rPr>
          <w:spacing w:val="-52"/>
        </w:rPr>
        <w:t> </w:t>
      </w:r>
      <w:r>
        <w:rPr>
          <w:rFonts w:ascii="Arial" w:hAnsi="Arial" w:cs="Arial" w:eastAsia="Arial" w:hint="default"/>
        </w:rPr>
        <w:t>10</w:t>
      </w:r>
      <w:r>
        <w:rPr>
          <w:rFonts w:ascii="Arial" w:hAnsi="Arial" w:cs="Arial" w:eastAsia="Arial" w:hint="default"/>
          <w:spacing w:val="-4"/>
        </w:rPr>
        <w:t> </w:t>
      </w:r>
      <w:r>
        <w:rPr/>
        <w:t>月</w:t>
      </w:r>
      <w:r>
        <w:rPr>
          <w:spacing w:val="-52"/>
        </w:rPr>
        <w:t> </w:t>
      </w:r>
      <w:r>
        <w:rPr>
          <w:rFonts w:ascii="Arial" w:hAnsi="Arial" w:cs="Arial" w:eastAsia="Arial" w:hint="default"/>
        </w:rPr>
        <w:t>21</w:t>
      </w:r>
      <w:r>
        <w:rPr>
          <w:rFonts w:ascii="Arial" w:hAnsi="Arial" w:cs="Arial" w:eastAsia="Arial" w:hint="default"/>
          <w:spacing w:val="-3"/>
        </w:rPr>
        <w:t> </w:t>
      </w:r>
      <w:r>
        <w:rPr>
          <w:spacing w:val="-3"/>
        </w:rPr>
        <w:t>日，本公司所属子公司联通红筹公司通过向西班牙电信新发行约</w:t>
      </w:r>
      <w:r>
        <w:rPr>
          <w:spacing w:val="-51"/>
        </w:rPr>
        <w:t> </w:t>
      </w:r>
      <w:r>
        <w:rPr>
          <w:rFonts w:ascii="Arial" w:hAnsi="Arial" w:cs="Arial" w:eastAsia="Arial" w:hint="default"/>
        </w:rPr>
        <w:t>6.94</w:t>
      </w:r>
    </w:p>
    <w:p>
      <w:pPr>
        <w:pStyle w:val="BodyText"/>
        <w:spacing w:line="286" w:lineRule="exact"/>
        <w:ind w:left="1012" w:right="0"/>
        <w:jc w:val="both"/>
      </w:pPr>
      <w:r>
        <w:rPr/>
        <w:t>亿股股份并购买西班牙电信的约 </w:t>
      </w:r>
      <w:r>
        <w:rPr>
          <w:rFonts w:ascii="Arial" w:hAnsi="Arial" w:cs="Arial" w:eastAsia="Arial" w:hint="default"/>
        </w:rPr>
        <w:t>0.41</w:t>
      </w:r>
      <w:r>
        <w:rPr>
          <w:rFonts w:ascii="Arial" w:hAnsi="Arial" w:cs="Arial" w:eastAsia="Arial" w:hint="default"/>
          <w:spacing w:val="41"/>
        </w:rPr>
        <w:t> </w:t>
      </w:r>
      <w:r>
        <w:rPr/>
        <w:t>亿股股份完成了与西班牙电信的相互投资。为完成</w:t>
      </w:r>
    </w:p>
    <w:p>
      <w:pPr>
        <w:pStyle w:val="BodyText"/>
        <w:spacing w:line="286" w:lineRule="exact" w:before="19"/>
        <w:ind w:left="1012" w:right="225"/>
        <w:jc w:val="both"/>
      </w:pPr>
      <w:r>
        <w:rPr/>
        <w:t>该交易联通红筹公司所新发行股份的公允价值约人民币</w:t>
      </w:r>
      <w:r>
        <w:rPr>
          <w:spacing w:val="-63"/>
        </w:rPr>
        <w:t> </w:t>
      </w:r>
      <w:r>
        <w:rPr>
          <w:rFonts w:ascii="Arial" w:hAnsi="Arial" w:cs="Arial" w:eastAsia="Arial" w:hint="default"/>
        </w:rPr>
        <w:t>67.12</w:t>
      </w:r>
      <w:r>
        <w:rPr>
          <w:rFonts w:ascii="Arial" w:hAnsi="Arial" w:cs="Arial" w:eastAsia="Arial" w:hint="default"/>
          <w:spacing w:val="-17"/>
        </w:rPr>
        <w:t> </w:t>
      </w:r>
      <w:r>
        <w:rPr/>
        <w:t>亿元，分别增加了联通红筹</w:t>
      </w:r>
      <w:r>
        <w:rPr>
          <w:w w:val="100"/>
        </w:rPr>
        <w:t> </w:t>
      </w:r>
      <w:r>
        <w:rPr>
          <w:spacing w:val="-2"/>
        </w:rPr>
        <w:t>公司的股本和资本溢价。本公司根据持股比例计算了该子公司发行股份对归属于本集团母</w:t>
      </w:r>
      <w:r>
        <w:rPr>
          <w:spacing w:val="-51"/>
        </w:rPr>
        <w:t> </w:t>
      </w:r>
      <w:r>
        <w:rPr>
          <w:spacing w:val="-51"/>
        </w:rPr>
      </w:r>
      <w:r>
        <w:rPr/>
        <w:t>公司普通股股东资本公积的影响。</w:t>
      </w:r>
    </w:p>
    <w:p>
      <w:pPr>
        <w:spacing w:line="240" w:lineRule="auto" w:before="3"/>
        <w:rPr>
          <w:rFonts w:ascii="宋体" w:hAnsi="宋体" w:cs="宋体" w:eastAsia="宋体" w:hint="default"/>
          <w:sz w:val="19"/>
          <w:szCs w:val="19"/>
        </w:rPr>
      </w:pPr>
    </w:p>
    <w:p>
      <w:pPr>
        <w:pStyle w:val="BodyText"/>
        <w:spacing w:line="286" w:lineRule="exact"/>
        <w:ind w:left="1012" w:right="224" w:hanging="461"/>
        <w:jc w:val="both"/>
      </w:pPr>
      <w:r>
        <w:rPr>
          <w:rFonts w:ascii="Arial" w:hAnsi="Arial" w:cs="Arial" w:eastAsia="Arial" w:hint="default"/>
        </w:rPr>
        <w:t>(f) </w:t>
      </w:r>
      <w:r>
        <w:rPr/>
        <w:t>于 </w:t>
      </w:r>
      <w:r>
        <w:rPr>
          <w:rFonts w:ascii="Arial" w:hAnsi="Arial" w:cs="Arial" w:eastAsia="Arial" w:hint="default"/>
        </w:rPr>
        <w:t>2014</w:t>
      </w:r>
      <w:r>
        <w:rPr>
          <w:rFonts w:ascii="Arial" w:hAnsi="Arial" w:cs="Arial" w:eastAsia="Arial" w:hint="default"/>
          <w:spacing w:val="-15"/>
        </w:rPr>
        <w:t> </w:t>
      </w:r>
      <w:r>
        <w:rPr/>
        <w:t>年度，联通红筹公司的部分被授予股份期权的员工行使股份期权而增加了联通红</w:t>
      </w:r>
      <w:r>
        <w:rPr>
          <w:w w:val="100"/>
        </w:rPr>
        <w:t> </w:t>
      </w:r>
      <w:r>
        <w:rPr>
          <w:spacing w:val="-2"/>
        </w:rPr>
        <w:t>筹公司的股本及股本溢价，根据本公司对联通红筹公司的持股比例计算，增加归属于本集</w:t>
      </w:r>
      <w:r>
        <w:rPr>
          <w:w w:val="100"/>
        </w:rPr>
        <w:t> </w:t>
      </w:r>
      <w:r>
        <w:rPr/>
        <w:t>团母公司普通股股东资本公积约人民币</w:t>
      </w:r>
      <w:r>
        <w:rPr>
          <w:spacing w:val="-56"/>
        </w:rPr>
        <w:t> </w:t>
      </w:r>
      <w:r>
        <w:rPr>
          <w:rFonts w:ascii="Arial" w:hAnsi="Arial" w:cs="Arial" w:eastAsia="Arial" w:hint="default"/>
        </w:rPr>
        <w:t>2.90</w:t>
      </w:r>
      <w:r>
        <w:rPr>
          <w:rFonts w:ascii="Arial" w:hAnsi="Arial" w:cs="Arial" w:eastAsia="Arial" w:hint="default"/>
          <w:spacing w:val="-8"/>
        </w:rPr>
        <w:t> </w:t>
      </w:r>
      <w:r>
        <w:rPr/>
        <w:t>亿元（</w:t>
      </w:r>
      <w:r>
        <w:rPr>
          <w:rFonts w:ascii="Arial" w:hAnsi="Arial" w:cs="Arial" w:eastAsia="Arial" w:hint="default"/>
        </w:rPr>
        <w:t>2013</w:t>
      </w:r>
      <w:r>
        <w:rPr>
          <w:rFonts w:ascii="Arial" w:hAnsi="Arial" w:cs="Arial" w:eastAsia="Arial" w:hint="default"/>
          <w:spacing w:val="-8"/>
        </w:rPr>
        <w:t> </w:t>
      </w:r>
      <w:r>
        <w:rPr/>
        <w:t>年：约人民币</w:t>
      </w:r>
      <w:r>
        <w:rPr>
          <w:spacing w:val="-56"/>
        </w:rPr>
        <w:t> </w:t>
      </w:r>
      <w:r>
        <w:rPr>
          <w:rFonts w:ascii="Arial" w:hAnsi="Arial" w:cs="Arial" w:eastAsia="Arial" w:hint="default"/>
        </w:rPr>
        <w:t>3.70</w:t>
      </w:r>
      <w:r>
        <w:rPr>
          <w:rFonts w:ascii="Arial" w:hAnsi="Arial" w:cs="Arial" w:eastAsia="Arial" w:hint="default"/>
          <w:spacing w:val="-7"/>
        </w:rPr>
        <w:t> </w:t>
      </w:r>
      <w:r>
        <w:rPr/>
        <w:t>亿元）。</w:t>
      </w:r>
    </w:p>
    <w:p>
      <w:pPr>
        <w:spacing w:line="240" w:lineRule="auto" w:before="1"/>
        <w:rPr>
          <w:rFonts w:ascii="宋体" w:hAnsi="宋体" w:cs="宋体" w:eastAsia="宋体" w:hint="default"/>
          <w:sz w:val="17"/>
          <w:szCs w:val="17"/>
        </w:rPr>
      </w:pPr>
    </w:p>
    <w:p>
      <w:pPr>
        <w:pStyle w:val="BodyText"/>
        <w:spacing w:line="295" w:lineRule="exact"/>
        <w:ind w:left="551" w:right="110"/>
        <w:jc w:val="left"/>
      </w:pPr>
      <w:r>
        <w:rPr>
          <w:rFonts w:ascii="Arial" w:hAnsi="Arial" w:cs="Arial" w:eastAsia="Arial" w:hint="default"/>
        </w:rPr>
        <w:t>(g)  </w:t>
      </w:r>
      <w:r>
        <w:rPr>
          <w:rFonts w:ascii="Arial" w:hAnsi="Arial" w:cs="Arial" w:eastAsia="Arial" w:hint="default"/>
          <w:spacing w:val="2"/>
        </w:rPr>
        <w:t> </w:t>
      </w:r>
      <w:r>
        <w:rPr/>
        <w:t>于</w:t>
      </w:r>
      <w:r>
        <w:rPr>
          <w:spacing w:val="-54"/>
        </w:rPr>
        <w:t> </w:t>
      </w:r>
      <w:r>
        <w:rPr>
          <w:rFonts w:ascii="Arial" w:hAnsi="Arial" w:cs="Arial" w:eastAsia="Arial" w:hint="default"/>
        </w:rPr>
        <w:t>2007</w:t>
      </w:r>
      <w:r>
        <w:rPr>
          <w:rFonts w:ascii="Arial" w:hAnsi="Arial" w:cs="Arial" w:eastAsia="Arial" w:hint="default"/>
          <w:spacing w:val="-5"/>
        </w:rPr>
        <w:t> </w:t>
      </w:r>
      <w:r>
        <w:rPr/>
        <w:t>年度，联通运营公司根据董事会决议，以其累计未分配利润中的约人民币</w:t>
      </w:r>
      <w:r>
        <w:rPr>
          <w:spacing w:val="-52"/>
        </w:rPr>
        <w:t> </w:t>
      </w:r>
      <w:r>
        <w:rPr>
          <w:rFonts w:ascii="Arial" w:hAnsi="Arial" w:cs="Arial" w:eastAsia="Arial" w:hint="default"/>
        </w:rPr>
        <w:t>173</w:t>
      </w:r>
      <w:r>
        <w:rPr>
          <w:rFonts w:ascii="Arial" w:hAnsi="Arial" w:cs="Arial" w:eastAsia="Arial" w:hint="default"/>
          <w:spacing w:val="-5"/>
        </w:rPr>
        <w:t> </w:t>
      </w:r>
      <w:r>
        <w:rPr/>
        <w:t>亿</w:t>
      </w:r>
    </w:p>
    <w:p>
      <w:pPr>
        <w:pStyle w:val="BodyText"/>
        <w:spacing w:line="235" w:lineRule="auto"/>
        <w:ind w:left="1012" w:right="222"/>
        <w:jc w:val="both"/>
      </w:pPr>
      <w:r>
        <w:rPr>
          <w:spacing w:val="-3"/>
        </w:rPr>
        <w:t>元未分配利润转增注册资本。此外，本公司的子公司中讯设计院是一家于</w:t>
      </w:r>
      <w:r>
        <w:rPr>
          <w:spacing w:val="-46"/>
        </w:rPr>
        <w:t> </w:t>
      </w:r>
      <w:r>
        <w:rPr>
          <w:rFonts w:ascii="Arial" w:hAnsi="Arial" w:cs="Arial" w:eastAsia="Arial" w:hint="default"/>
        </w:rPr>
        <w:t>2008</w:t>
      </w:r>
      <w:r>
        <w:rPr>
          <w:rFonts w:ascii="Arial" w:hAnsi="Arial" w:cs="Arial" w:eastAsia="Arial" w:hint="default"/>
          <w:spacing w:val="2"/>
        </w:rPr>
        <w:t> </w:t>
      </w:r>
      <w:r>
        <w:rPr/>
        <w:t>年</w:t>
      </w:r>
      <w:r>
        <w:rPr>
          <w:spacing w:val="-47"/>
        </w:rPr>
        <w:t> </w:t>
      </w:r>
      <w:r>
        <w:rPr>
          <w:rFonts w:ascii="Arial" w:hAnsi="Arial" w:cs="Arial" w:eastAsia="Arial" w:hint="default"/>
        </w:rPr>
        <w:t>9</w:t>
      </w:r>
      <w:r>
        <w:rPr>
          <w:rFonts w:ascii="Arial" w:hAnsi="Arial" w:cs="Arial" w:eastAsia="Arial" w:hint="default"/>
          <w:spacing w:val="1"/>
        </w:rPr>
        <w:t> </w:t>
      </w:r>
      <w:r>
        <w:rPr/>
        <w:t>月</w:t>
      </w:r>
      <w:r>
        <w:rPr>
          <w:spacing w:val="-47"/>
        </w:rPr>
        <w:t> </w:t>
      </w:r>
      <w:r>
        <w:rPr>
          <w:rFonts w:ascii="Arial" w:hAnsi="Arial" w:cs="Arial" w:eastAsia="Arial" w:hint="default"/>
        </w:rPr>
        <w:t>27</w:t>
      </w:r>
      <w:r>
        <w:rPr>
          <w:rFonts w:ascii="Arial" w:hAnsi="Arial" w:cs="Arial" w:eastAsia="Arial" w:hint="default"/>
          <w:spacing w:val="-59"/>
        </w:rPr>
        <w:t> </w:t>
      </w:r>
      <w:r>
        <w:rPr>
          <w:spacing w:val="-2"/>
        </w:rPr>
        <w:t>日完成公司制改制后设立的企业，根据相关企业改制的规定，中讯设计院截至改制日止的</w:t>
      </w:r>
      <w:r>
        <w:rPr>
          <w:spacing w:val="-49"/>
        </w:rPr>
        <w:t> </w:t>
      </w:r>
      <w:r>
        <w:rPr>
          <w:spacing w:val="-49"/>
        </w:rPr>
      </w:r>
      <w:r>
        <w:rPr>
          <w:spacing w:val="-2"/>
        </w:rPr>
        <w:t>未分配利润被全部转入资本公积项下。本公司根据持股比例计算了上述事项对归属于本集</w:t>
      </w:r>
      <w:r>
        <w:rPr>
          <w:spacing w:val="-51"/>
        </w:rPr>
        <w:t> </w:t>
      </w:r>
      <w:r>
        <w:rPr>
          <w:spacing w:val="-51"/>
        </w:rPr>
      </w:r>
      <w:r>
        <w:rPr/>
        <w:t>团母公司普通股股东资本公积的影响。</w:t>
      </w:r>
    </w:p>
    <w:p>
      <w:pPr>
        <w:spacing w:line="240" w:lineRule="auto" w:before="4"/>
        <w:rPr>
          <w:rFonts w:ascii="宋体" w:hAnsi="宋体" w:cs="宋体" w:eastAsia="宋体" w:hint="default"/>
          <w:sz w:val="21"/>
          <w:szCs w:val="21"/>
        </w:rPr>
      </w:pPr>
    </w:p>
    <w:p>
      <w:pPr>
        <w:pStyle w:val="BodyText"/>
        <w:spacing w:line="286" w:lineRule="exact"/>
        <w:ind w:left="1012" w:right="104" w:hanging="461"/>
        <w:jc w:val="left"/>
      </w:pPr>
      <w:r>
        <w:rPr>
          <w:rFonts w:ascii="Arial" w:hAnsi="Arial" w:cs="Arial" w:eastAsia="Arial" w:hint="default"/>
        </w:rPr>
        <w:t>(h)</w:t>
      </w:r>
      <w:r>
        <w:rPr>
          <w:rFonts w:ascii="Arial" w:hAnsi="Arial" w:cs="Arial" w:eastAsia="Arial" w:hint="default"/>
          <w:spacing w:val="19"/>
        </w:rPr>
        <w:t> </w:t>
      </w:r>
      <w:r>
        <w:rPr>
          <w:spacing w:val="-3"/>
        </w:rPr>
        <w:t>如附注二</w:t>
      </w:r>
      <w:r>
        <w:rPr>
          <w:rFonts w:ascii="Arial" w:hAnsi="Arial" w:cs="Arial" w:eastAsia="Arial" w:hint="default"/>
          <w:spacing w:val="-3"/>
        </w:rPr>
        <w:t>(1)</w:t>
      </w:r>
      <w:r>
        <w:rPr>
          <w:spacing w:val="-3"/>
        </w:rPr>
        <w:t>所述，于</w:t>
      </w:r>
      <w:r>
        <w:rPr>
          <w:spacing w:val="-52"/>
        </w:rPr>
        <w:t> </w:t>
      </w:r>
      <w:r>
        <w:rPr>
          <w:rFonts w:ascii="Arial" w:hAnsi="Arial" w:cs="Arial" w:eastAsia="Arial" w:hint="default"/>
        </w:rPr>
        <w:t>2008</w:t>
      </w:r>
      <w:r>
        <w:rPr>
          <w:rFonts w:ascii="Arial" w:hAnsi="Arial" w:cs="Arial" w:eastAsia="Arial" w:hint="default"/>
          <w:spacing w:val="-4"/>
        </w:rPr>
        <w:t> </w:t>
      </w:r>
      <w:r>
        <w:rPr/>
        <w:t>年</w:t>
      </w:r>
      <w:r>
        <w:rPr>
          <w:spacing w:val="-52"/>
        </w:rPr>
        <w:t> </w:t>
      </w:r>
      <w:r>
        <w:rPr>
          <w:rFonts w:ascii="Arial" w:hAnsi="Arial" w:cs="Arial" w:eastAsia="Arial" w:hint="default"/>
        </w:rPr>
        <w:t>10</w:t>
      </w:r>
      <w:r>
        <w:rPr>
          <w:rFonts w:ascii="Arial" w:hAnsi="Arial" w:cs="Arial" w:eastAsia="Arial" w:hint="default"/>
          <w:spacing w:val="-4"/>
        </w:rPr>
        <w:t> </w:t>
      </w:r>
      <w:r>
        <w:rPr/>
        <w:t>月</w:t>
      </w:r>
      <w:r>
        <w:rPr>
          <w:spacing w:val="-52"/>
        </w:rPr>
        <w:t> </w:t>
      </w:r>
      <w:r>
        <w:rPr>
          <w:rFonts w:ascii="Arial" w:hAnsi="Arial" w:cs="Arial" w:eastAsia="Arial" w:hint="default"/>
        </w:rPr>
        <w:t>15</w:t>
      </w:r>
      <w:r>
        <w:rPr>
          <w:rFonts w:ascii="Arial" w:hAnsi="Arial" w:cs="Arial" w:eastAsia="Arial" w:hint="default"/>
          <w:spacing w:val="-4"/>
        </w:rPr>
        <w:t> </w:t>
      </w:r>
      <w:r>
        <w:rPr>
          <w:spacing w:val="-3"/>
        </w:rPr>
        <w:t>日，联通红筹公司与网通红筹公司通过换股方式完</w:t>
      </w:r>
      <w:r>
        <w:rPr>
          <w:spacing w:val="-102"/>
        </w:rPr>
        <w:t> </w:t>
      </w:r>
      <w:r>
        <w:rPr>
          <w:spacing w:val="-102"/>
        </w:rPr>
      </w:r>
      <w:r>
        <w:rPr>
          <w:spacing w:val="-6"/>
          <w:w w:val="100"/>
        </w:rPr>
        <w:t>成了两家公司的合并，从而导致本公司通过联通</w:t>
      </w:r>
      <w:r>
        <w:rPr>
          <w:spacing w:val="-73"/>
          <w:w w:val="100"/>
        </w:rPr>
        <w:t> </w:t>
      </w:r>
      <w:r>
        <w:rPr>
          <w:rFonts w:ascii="Arial" w:hAnsi="Arial" w:cs="Arial" w:eastAsia="Arial" w:hint="default"/>
          <w:spacing w:val="-2"/>
          <w:w w:val="100"/>
        </w:rPr>
        <w:t>BVI</w:t>
      </w:r>
      <w:r>
        <w:rPr>
          <w:rFonts w:ascii="Arial" w:hAnsi="Arial" w:cs="Arial" w:eastAsia="Arial" w:hint="default"/>
          <w:spacing w:val="-24"/>
          <w:w w:val="100"/>
        </w:rPr>
        <w:t> </w:t>
      </w:r>
      <w:r>
        <w:rPr>
          <w:spacing w:val="-1"/>
          <w:w w:val="100"/>
        </w:rPr>
        <w:t>公司对联通红筹公司的持股比例下降。</w:t>
      </w:r>
      <w:r>
        <w:rPr>
          <w:w w:val="100"/>
        </w:rPr>
        <w:t> </w:t>
      </w:r>
      <w:r>
        <w:rPr>
          <w:spacing w:val="3"/>
        </w:rPr>
        <w:t>该同一控制下企业合并增加的本集团资本公积与本公司对联通红筹公司持股比例下降的</w:t>
      </w:r>
      <w:r>
        <w:rPr>
          <w:spacing w:val="4"/>
          <w:w w:val="100"/>
        </w:rPr>
        <w:t> </w:t>
      </w:r>
      <w:r>
        <w:rPr/>
        <w:t>因素互抵后减少归属于本集团母公司普通股股东资本公积约人民币</w:t>
      </w:r>
      <w:r>
        <w:rPr>
          <w:spacing w:val="-58"/>
        </w:rPr>
        <w:t> </w:t>
      </w:r>
      <w:r>
        <w:rPr>
          <w:rFonts w:ascii="Arial" w:hAnsi="Arial" w:cs="Arial" w:eastAsia="Arial" w:hint="default"/>
        </w:rPr>
        <w:t>61.18</w:t>
      </w:r>
      <w:r>
        <w:rPr>
          <w:rFonts w:ascii="Arial" w:hAnsi="Arial" w:cs="Arial" w:eastAsia="Arial" w:hint="default"/>
          <w:spacing w:val="-11"/>
        </w:rPr>
        <w:t> </w:t>
      </w:r>
      <w:r>
        <w:rPr/>
        <w:t>亿元。</w:t>
      </w:r>
    </w:p>
    <w:p>
      <w:pPr>
        <w:spacing w:line="240" w:lineRule="auto" w:before="11"/>
        <w:rPr>
          <w:rFonts w:ascii="宋体" w:hAnsi="宋体" w:cs="宋体" w:eastAsia="宋体" w:hint="default"/>
          <w:sz w:val="17"/>
          <w:szCs w:val="17"/>
        </w:rPr>
      </w:pPr>
    </w:p>
    <w:p>
      <w:pPr>
        <w:pStyle w:val="BodyText"/>
        <w:spacing w:line="230" w:lineRule="auto"/>
        <w:ind w:left="998" w:right="221"/>
        <w:jc w:val="both"/>
      </w:pPr>
      <w:r>
        <w:rPr>
          <w:spacing w:val="-5"/>
        </w:rPr>
        <w:t>此外，由于本公司子公司联通红筹公司分别于</w:t>
      </w:r>
      <w:r>
        <w:rPr>
          <w:spacing w:val="-53"/>
        </w:rPr>
        <w:t> </w:t>
      </w:r>
      <w:r>
        <w:rPr>
          <w:rFonts w:ascii="Arial" w:hAnsi="Arial" w:cs="Arial" w:eastAsia="Arial" w:hint="default"/>
        </w:rPr>
        <w:t>2009</w:t>
      </w:r>
      <w:r>
        <w:rPr>
          <w:rFonts w:ascii="Arial" w:hAnsi="Arial" w:cs="Arial" w:eastAsia="Arial" w:hint="default"/>
          <w:spacing w:val="-5"/>
        </w:rPr>
        <w:t> </w:t>
      </w:r>
      <w:r>
        <w:rPr/>
        <w:t>年</w:t>
      </w:r>
      <w:r>
        <w:rPr>
          <w:spacing w:val="-54"/>
        </w:rPr>
        <w:t> </w:t>
      </w:r>
      <w:r>
        <w:rPr>
          <w:rFonts w:ascii="Arial" w:hAnsi="Arial" w:cs="Arial" w:eastAsia="Arial" w:hint="default"/>
        </w:rPr>
        <w:t>10</w:t>
      </w:r>
      <w:r>
        <w:rPr>
          <w:rFonts w:ascii="Arial" w:hAnsi="Arial" w:cs="Arial" w:eastAsia="Arial" w:hint="default"/>
          <w:spacing w:val="-6"/>
        </w:rPr>
        <w:t> </w:t>
      </w:r>
      <w:r>
        <w:rPr/>
        <w:t>月</w:t>
      </w:r>
      <w:r>
        <w:rPr>
          <w:spacing w:val="-54"/>
        </w:rPr>
        <w:t> </w:t>
      </w:r>
      <w:r>
        <w:rPr>
          <w:rFonts w:ascii="Arial" w:hAnsi="Arial" w:cs="Arial" w:eastAsia="Arial" w:hint="default"/>
        </w:rPr>
        <w:t>21</w:t>
      </w:r>
      <w:r>
        <w:rPr>
          <w:rFonts w:ascii="Arial" w:hAnsi="Arial" w:cs="Arial" w:eastAsia="Arial" w:hint="default"/>
          <w:spacing w:val="-6"/>
        </w:rPr>
        <w:t> </w:t>
      </w:r>
      <w:r>
        <w:rPr/>
        <w:t>日和</w:t>
      </w:r>
      <w:r>
        <w:rPr>
          <w:spacing w:val="-54"/>
        </w:rPr>
        <w:t> </w:t>
      </w:r>
      <w:r>
        <w:rPr>
          <w:rFonts w:ascii="Arial" w:hAnsi="Arial" w:cs="Arial" w:eastAsia="Arial" w:hint="default"/>
        </w:rPr>
        <w:t>2009</w:t>
      </w:r>
      <w:r>
        <w:rPr>
          <w:rFonts w:ascii="Arial" w:hAnsi="Arial" w:cs="Arial" w:eastAsia="Arial" w:hint="default"/>
          <w:spacing w:val="-8"/>
        </w:rPr>
        <w:t> </w:t>
      </w:r>
      <w:r>
        <w:rPr/>
        <w:t>年</w:t>
      </w:r>
      <w:r>
        <w:rPr>
          <w:spacing w:val="-54"/>
        </w:rPr>
        <w:t> </w:t>
      </w:r>
      <w:r>
        <w:rPr>
          <w:rFonts w:ascii="Arial" w:hAnsi="Arial" w:cs="Arial" w:eastAsia="Arial" w:hint="default"/>
        </w:rPr>
        <w:t>11</w:t>
      </w:r>
      <w:r>
        <w:rPr>
          <w:rFonts w:ascii="Arial" w:hAnsi="Arial" w:cs="Arial" w:eastAsia="Arial" w:hint="default"/>
          <w:spacing w:val="-6"/>
        </w:rPr>
        <w:t> </w:t>
      </w:r>
      <w:r>
        <w:rPr/>
        <w:t>月</w:t>
      </w:r>
      <w:r>
        <w:rPr>
          <w:spacing w:val="-54"/>
        </w:rPr>
        <w:t> </w:t>
      </w:r>
      <w:r>
        <w:rPr>
          <w:rFonts w:ascii="Arial" w:hAnsi="Arial" w:cs="Arial" w:eastAsia="Arial" w:hint="default"/>
        </w:rPr>
        <w:t>5</w:t>
      </w:r>
      <w:r>
        <w:rPr>
          <w:rFonts w:ascii="Arial" w:hAnsi="Arial" w:cs="Arial" w:eastAsia="Arial" w:hint="default"/>
          <w:spacing w:val="-6"/>
        </w:rPr>
        <w:t> </w:t>
      </w:r>
      <w:r>
        <w:rPr>
          <w:spacing w:val="-3"/>
        </w:rPr>
        <w:t>日完</w:t>
      </w:r>
      <w:r>
        <w:rPr>
          <w:spacing w:val="-3"/>
          <w:w w:val="100"/>
        </w:rPr>
        <w:t> </w:t>
      </w:r>
      <w:r>
        <w:rPr/>
        <w:t>成了与西班牙电信相互投资和回购 </w:t>
      </w:r>
      <w:r>
        <w:rPr>
          <w:rFonts w:ascii="Arial" w:hAnsi="Arial" w:cs="Arial" w:eastAsia="Arial" w:hint="default"/>
        </w:rPr>
        <w:t>SKT </w:t>
      </w:r>
      <w:r>
        <w:rPr/>
        <w:t>持有的联通红筹公司股份的交易导致联通 </w:t>
      </w:r>
      <w:r>
        <w:rPr>
          <w:rFonts w:ascii="Arial" w:hAnsi="Arial" w:cs="Arial" w:eastAsia="Arial" w:hint="default"/>
        </w:rPr>
        <w:t>BVI</w:t>
      </w:r>
      <w:r>
        <w:rPr>
          <w:rFonts w:ascii="Arial" w:hAnsi="Arial" w:cs="Arial" w:eastAsia="Arial" w:hint="default"/>
          <w:spacing w:val="-29"/>
        </w:rPr>
        <w:t> </w:t>
      </w:r>
      <w:r>
        <w:rPr/>
        <w:t>公</w:t>
      </w:r>
      <w:r>
        <w:rPr>
          <w:w w:val="100"/>
        </w:rPr>
        <w:t> </w:t>
      </w:r>
      <w:r>
        <w:rPr>
          <w:spacing w:val="-1"/>
        </w:rPr>
        <w:t>司对联通红筹公司的持股比例增加，使归属于本集团母公司普通股股东资本公积增加约人</w:t>
      </w:r>
      <w:r>
        <w:rPr>
          <w:spacing w:val="-70"/>
        </w:rPr>
        <w:t> </w:t>
      </w:r>
      <w:r>
        <w:rPr>
          <w:spacing w:val="-70"/>
        </w:rPr>
      </w:r>
      <w:r>
        <w:rPr/>
        <w:t>民币</w:t>
      </w:r>
      <w:r>
        <w:rPr>
          <w:spacing w:val="-53"/>
        </w:rPr>
        <w:t> </w:t>
      </w:r>
      <w:r>
        <w:rPr>
          <w:rFonts w:ascii="Arial" w:hAnsi="Arial" w:cs="Arial" w:eastAsia="Arial" w:hint="default"/>
        </w:rPr>
        <w:t>6.22</w:t>
      </w:r>
      <w:r>
        <w:rPr>
          <w:rFonts w:ascii="Arial" w:hAnsi="Arial" w:cs="Arial" w:eastAsia="Arial" w:hint="default"/>
          <w:spacing w:val="-7"/>
        </w:rPr>
        <w:t> </w:t>
      </w:r>
      <w:r>
        <w:rPr/>
        <w:t>亿元。</w:t>
      </w:r>
    </w:p>
    <w:p>
      <w:pPr>
        <w:spacing w:line="240" w:lineRule="auto" w:before="3"/>
        <w:rPr>
          <w:rFonts w:ascii="宋体" w:hAnsi="宋体" w:cs="宋体" w:eastAsia="宋体" w:hint="default"/>
          <w:sz w:val="19"/>
          <w:szCs w:val="19"/>
        </w:rPr>
      </w:pPr>
    </w:p>
    <w:p>
      <w:pPr>
        <w:pStyle w:val="BodyText"/>
        <w:spacing w:line="225" w:lineRule="auto"/>
        <w:ind w:left="1012" w:right="224"/>
        <w:jc w:val="both"/>
      </w:pPr>
      <w:r>
        <w:rPr/>
        <w:t>于 </w:t>
      </w:r>
      <w:r>
        <w:rPr>
          <w:rFonts w:ascii="Arial" w:hAnsi="Arial" w:cs="Arial" w:eastAsia="Arial" w:hint="default"/>
        </w:rPr>
        <w:t>2014</w:t>
      </w:r>
      <w:r>
        <w:rPr>
          <w:rFonts w:ascii="Arial" w:hAnsi="Arial" w:cs="Arial" w:eastAsia="Arial" w:hint="default"/>
          <w:spacing w:val="-22"/>
        </w:rPr>
        <w:t> </w:t>
      </w:r>
      <w:r>
        <w:rPr/>
        <w:t>年度及以前年度，联通红筹公司的部分被授予股份期权的员工行使股份期权导致</w:t>
      </w:r>
      <w:r>
        <w:rPr>
          <w:w w:val="100"/>
        </w:rPr>
        <w:t> </w:t>
      </w:r>
      <w:r>
        <w:rPr/>
        <w:t>联通</w:t>
      </w:r>
      <w:r>
        <w:rPr>
          <w:spacing w:val="-51"/>
        </w:rPr>
        <w:t> </w:t>
      </w:r>
      <w:r>
        <w:rPr>
          <w:rFonts w:ascii="Arial" w:hAnsi="Arial" w:cs="Arial" w:eastAsia="Arial" w:hint="default"/>
        </w:rPr>
        <w:t>BVI</w:t>
      </w:r>
      <w:r>
        <w:rPr>
          <w:rFonts w:ascii="Arial" w:hAnsi="Arial" w:cs="Arial" w:eastAsia="Arial" w:hint="default"/>
          <w:spacing w:val="-2"/>
        </w:rPr>
        <w:t> </w:t>
      </w:r>
      <w:r>
        <w:rPr/>
        <w:t>公司对联通红筹公司持股比例下降。于</w:t>
      </w:r>
      <w:r>
        <w:rPr>
          <w:spacing w:val="-50"/>
        </w:rPr>
        <w:t> </w:t>
      </w:r>
      <w:r>
        <w:rPr>
          <w:rFonts w:ascii="Arial" w:hAnsi="Arial" w:cs="Arial" w:eastAsia="Arial" w:hint="default"/>
        </w:rPr>
        <w:t>2014</w:t>
      </w:r>
      <w:r>
        <w:rPr>
          <w:rFonts w:ascii="Arial" w:hAnsi="Arial" w:cs="Arial" w:eastAsia="Arial" w:hint="default"/>
          <w:spacing w:val="-3"/>
        </w:rPr>
        <w:t> </w:t>
      </w:r>
      <w:r>
        <w:rPr/>
        <w:t>年度，联通红筹公司的部分被授予</w:t>
      </w:r>
      <w:r>
        <w:rPr>
          <w:w w:val="100"/>
        </w:rPr>
        <w:t> </w:t>
      </w:r>
      <w:r>
        <w:rPr/>
        <w:t>股份期权的员工行使股份期权而增加联通红筹公司公众股份约 </w:t>
      </w:r>
      <w:r>
        <w:rPr>
          <w:rFonts w:ascii="Arial" w:hAnsi="Arial" w:cs="Arial" w:eastAsia="Arial" w:hint="default"/>
        </w:rPr>
        <w:t>1.65</w:t>
      </w:r>
      <w:r>
        <w:rPr>
          <w:rFonts w:ascii="Arial" w:hAnsi="Arial" w:cs="Arial" w:eastAsia="Arial" w:hint="default"/>
          <w:spacing w:val="41"/>
        </w:rPr>
        <w:t> </w:t>
      </w:r>
      <w:r>
        <w:rPr/>
        <w:t>亿股，因此导致联通</w:t>
      </w:r>
      <w:r>
        <w:rPr>
          <w:w w:val="100"/>
        </w:rPr>
        <w:t> </w:t>
      </w:r>
      <w:r>
        <w:rPr>
          <w:rFonts w:ascii="Arial" w:hAnsi="Arial" w:cs="Arial" w:eastAsia="Arial" w:hint="default"/>
        </w:rPr>
        <w:t>BVI</w:t>
      </w:r>
      <w:r>
        <w:rPr>
          <w:rFonts w:ascii="Arial" w:hAnsi="Arial" w:cs="Arial" w:eastAsia="Arial" w:hint="default"/>
          <w:spacing w:val="5"/>
        </w:rPr>
        <w:t> </w:t>
      </w:r>
      <w:r>
        <w:rPr/>
        <w:t>公司对联通红筹公司持股比例下降而使归属于本集团母公司普通股股东的资本公积减</w:t>
      </w:r>
      <w:r>
        <w:rPr>
          <w:w w:val="100"/>
        </w:rPr>
        <w:t> </w:t>
      </w:r>
      <w:r>
        <w:rPr/>
        <w:t>少约人民币</w:t>
      </w:r>
      <w:r>
        <w:rPr>
          <w:spacing w:val="-54"/>
        </w:rPr>
        <w:t> </w:t>
      </w:r>
      <w:r>
        <w:rPr>
          <w:rFonts w:ascii="Arial" w:hAnsi="Arial" w:cs="Arial" w:eastAsia="Arial" w:hint="default"/>
        </w:rPr>
        <w:t>5.03</w:t>
      </w:r>
      <w:r>
        <w:rPr>
          <w:rFonts w:ascii="Arial" w:hAnsi="Arial" w:cs="Arial" w:eastAsia="Arial" w:hint="default"/>
          <w:spacing w:val="-8"/>
        </w:rPr>
        <w:t> </w:t>
      </w:r>
      <w:r>
        <w:rPr/>
        <w:t>亿元（</w:t>
      </w:r>
      <w:r>
        <w:rPr>
          <w:rFonts w:ascii="Arial" w:hAnsi="Arial" w:cs="Arial" w:eastAsia="Arial" w:hint="default"/>
        </w:rPr>
        <w:t>2013</w:t>
      </w:r>
      <w:r>
        <w:rPr>
          <w:rFonts w:ascii="Arial" w:hAnsi="Arial" w:cs="Arial" w:eastAsia="Arial" w:hint="default"/>
          <w:spacing w:val="-6"/>
        </w:rPr>
        <w:t> </w:t>
      </w:r>
      <w:r>
        <w:rPr/>
        <w:t>年：约人民币</w:t>
      </w:r>
      <w:r>
        <w:rPr>
          <w:spacing w:val="-54"/>
        </w:rPr>
        <w:t> </w:t>
      </w:r>
      <w:r>
        <w:rPr>
          <w:rFonts w:ascii="Arial" w:hAnsi="Arial" w:cs="Arial" w:eastAsia="Arial" w:hint="default"/>
        </w:rPr>
        <w:t>6.47</w:t>
      </w:r>
      <w:r>
        <w:rPr>
          <w:rFonts w:ascii="Arial" w:hAnsi="Arial" w:cs="Arial" w:eastAsia="Arial" w:hint="default"/>
          <w:spacing w:val="-8"/>
        </w:rPr>
        <w:t> </w:t>
      </w:r>
      <w:r>
        <w:rPr/>
        <w:t>亿元）。</w:t>
      </w:r>
    </w:p>
    <w:p>
      <w:pPr>
        <w:spacing w:line="240" w:lineRule="auto" w:before="1"/>
        <w:rPr>
          <w:rFonts w:ascii="宋体" w:hAnsi="宋体" w:cs="宋体" w:eastAsia="宋体" w:hint="default"/>
          <w:sz w:val="19"/>
          <w:szCs w:val="19"/>
        </w:rPr>
      </w:pPr>
    </w:p>
    <w:p>
      <w:pPr>
        <w:pStyle w:val="BodyText"/>
        <w:spacing w:line="230" w:lineRule="auto"/>
        <w:ind w:left="1012" w:right="173" w:hanging="461"/>
        <w:jc w:val="both"/>
      </w:pPr>
      <w:r>
        <w:rPr>
          <w:rFonts w:ascii="Arial" w:hAnsi="Arial" w:cs="Arial" w:eastAsia="Arial" w:hint="default"/>
        </w:rPr>
        <w:t>(i)</w:t>
      </w:r>
      <w:r>
        <w:rPr>
          <w:rFonts w:ascii="Arial" w:hAnsi="Arial" w:cs="Arial" w:eastAsia="Arial" w:hint="default"/>
          <w:spacing w:val="15"/>
        </w:rPr>
        <w:t> </w:t>
      </w:r>
      <w:r>
        <w:rPr/>
        <w:t>于</w:t>
      </w:r>
      <w:r>
        <w:rPr>
          <w:spacing w:val="-56"/>
        </w:rPr>
        <w:t> </w:t>
      </w:r>
      <w:r>
        <w:rPr>
          <w:rFonts w:ascii="Arial" w:hAnsi="Arial" w:cs="Arial" w:eastAsia="Arial" w:hint="default"/>
        </w:rPr>
        <w:t>2007</w:t>
      </w:r>
      <w:r>
        <w:rPr>
          <w:rFonts w:ascii="Arial" w:hAnsi="Arial" w:cs="Arial" w:eastAsia="Arial" w:hint="default"/>
          <w:spacing w:val="-8"/>
        </w:rPr>
        <w:t> </w:t>
      </w:r>
      <w:r>
        <w:rPr/>
        <w:t>年度，联通红筹公司向</w:t>
      </w:r>
      <w:r>
        <w:rPr>
          <w:spacing w:val="-56"/>
        </w:rPr>
        <w:t> </w:t>
      </w:r>
      <w:r>
        <w:rPr>
          <w:rFonts w:ascii="Arial" w:hAnsi="Arial" w:cs="Arial" w:eastAsia="Arial" w:hint="default"/>
        </w:rPr>
        <w:t>SKT</w:t>
      </w:r>
      <w:r>
        <w:rPr>
          <w:rFonts w:ascii="Arial" w:hAnsi="Arial" w:cs="Arial" w:eastAsia="Arial" w:hint="default"/>
          <w:spacing w:val="-5"/>
        </w:rPr>
        <w:t> </w:t>
      </w:r>
      <w:r>
        <w:rPr/>
        <w:t>发行的可转换债券已全部转换为联通红筹公司股份，</w:t>
      </w:r>
      <w:r>
        <w:rPr>
          <w:w w:val="100"/>
        </w:rPr>
        <w:t> </w:t>
      </w:r>
      <w:r>
        <w:rPr>
          <w:spacing w:val="-2"/>
        </w:rPr>
        <w:t>根据换股后本公司对联通红筹公司的持股比例计算，增加归属于本集团母公司普通股股东</w:t>
      </w:r>
      <w:r>
        <w:rPr>
          <w:w w:val="100"/>
        </w:rPr>
        <w:t> </w:t>
      </w:r>
      <w:r>
        <w:rPr/>
        <w:t>资本公积约人民币</w:t>
      </w:r>
      <w:r>
        <w:rPr>
          <w:spacing w:val="-54"/>
        </w:rPr>
        <w:t> </w:t>
      </w:r>
      <w:r>
        <w:rPr>
          <w:rFonts w:ascii="Arial" w:hAnsi="Arial" w:cs="Arial" w:eastAsia="Arial" w:hint="default"/>
        </w:rPr>
        <w:t>31.17</w:t>
      </w:r>
      <w:r>
        <w:rPr>
          <w:rFonts w:ascii="Arial" w:hAnsi="Arial" w:cs="Arial" w:eastAsia="Arial" w:hint="default"/>
          <w:spacing w:val="-8"/>
        </w:rPr>
        <w:t> </w:t>
      </w:r>
      <w:r>
        <w:rPr/>
        <w:t>亿元。</w:t>
      </w:r>
    </w:p>
    <w:p>
      <w:pPr>
        <w:spacing w:line="240" w:lineRule="auto" w:before="3"/>
        <w:rPr>
          <w:rFonts w:ascii="宋体" w:hAnsi="宋体" w:cs="宋体" w:eastAsia="宋体" w:hint="default"/>
          <w:sz w:val="18"/>
          <w:szCs w:val="18"/>
        </w:rPr>
      </w:pPr>
    </w:p>
    <w:p>
      <w:pPr>
        <w:pStyle w:val="BodyText"/>
        <w:spacing w:line="295" w:lineRule="exact"/>
        <w:ind w:left="1012" w:right="0"/>
        <w:jc w:val="both"/>
      </w:pPr>
      <w:r>
        <w:rPr/>
        <w:t>另外，本公司所属子公司亿讯公司（发行人）于</w:t>
      </w:r>
      <w:r>
        <w:rPr>
          <w:spacing w:val="-56"/>
        </w:rPr>
        <w:t> </w:t>
      </w:r>
      <w:r>
        <w:rPr>
          <w:rFonts w:ascii="Arial" w:hAnsi="Arial" w:cs="Arial" w:eastAsia="Arial" w:hint="default"/>
        </w:rPr>
        <w:t>2010</w:t>
      </w:r>
      <w:r>
        <w:rPr>
          <w:rFonts w:ascii="Arial" w:hAnsi="Arial" w:cs="Arial" w:eastAsia="Arial" w:hint="default"/>
          <w:spacing w:val="-8"/>
        </w:rPr>
        <w:t> </w:t>
      </w:r>
      <w:r>
        <w:rPr/>
        <w:t>年</w:t>
      </w:r>
      <w:r>
        <w:rPr>
          <w:spacing w:val="-56"/>
        </w:rPr>
        <w:t> </w:t>
      </w:r>
      <w:r>
        <w:rPr>
          <w:rFonts w:ascii="Arial" w:hAnsi="Arial" w:cs="Arial" w:eastAsia="Arial" w:hint="default"/>
        </w:rPr>
        <w:t>10</w:t>
      </w:r>
      <w:r>
        <w:rPr>
          <w:rFonts w:ascii="Arial" w:hAnsi="Arial" w:cs="Arial" w:eastAsia="Arial" w:hint="default"/>
          <w:spacing w:val="-8"/>
        </w:rPr>
        <w:t> </w:t>
      </w:r>
      <w:r>
        <w:rPr/>
        <w:t>月</w:t>
      </w:r>
      <w:r>
        <w:rPr>
          <w:spacing w:val="-56"/>
        </w:rPr>
        <w:t> </w:t>
      </w:r>
      <w:r>
        <w:rPr>
          <w:rFonts w:ascii="Arial" w:hAnsi="Arial" w:cs="Arial" w:eastAsia="Arial" w:hint="default"/>
        </w:rPr>
        <w:t>18</w:t>
      </w:r>
      <w:r>
        <w:rPr>
          <w:rFonts w:ascii="Arial" w:hAnsi="Arial" w:cs="Arial" w:eastAsia="Arial" w:hint="default"/>
          <w:spacing w:val="-8"/>
        </w:rPr>
        <w:t> </w:t>
      </w:r>
      <w:r>
        <w:rPr/>
        <w:t>日完成了联通红筹公司</w:t>
      </w:r>
    </w:p>
    <w:p>
      <w:pPr>
        <w:pStyle w:val="BodyText"/>
        <w:spacing w:line="284" w:lineRule="exact"/>
        <w:ind w:left="1012" w:right="0"/>
        <w:jc w:val="both"/>
      </w:pPr>
      <w:r>
        <w:rPr/>
        <w:t>可转换债券的发行，该可转换债券权益部分约人民币 </w:t>
      </w:r>
      <w:r>
        <w:rPr>
          <w:rFonts w:ascii="Arial" w:hAnsi="Arial" w:cs="Arial" w:eastAsia="Arial" w:hint="default"/>
        </w:rPr>
        <w:t>5.72</w:t>
      </w:r>
      <w:r>
        <w:rPr>
          <w:rFonts w:ascii="Arial" w:hAnsi="Arial" w:cs="Arial" w:eastAsia="Arial" w:hint="default"/>
          <w:spacing w:val="40"/>
        </w:rPr>
        <w:t> </w:t>
      </w:r>
      <w:r>
        <w:rPr/>
        <w:t>亿元根据本公司的持股比例计</w:t>
      </w:r>
    </w:p>
    <w:p>
      <w:pPr>
        <w:pStyle w:val="BodyText"/>
        <w:spacing w:line="293" w:lineRule="exact"/>
        <w:ind w:left="1012" w:right="0"/>
        <w:jc w:val="both"/>
      </w:pPr>
      <w:r>
        <w:rPr/>
        <w:t>算约人民币</w:t>
      </w:r>
      <w:r>
        <w:rPr>
          <w:spacing w:val="-57"/>
        </w:rPr>
        <w:t> </w:t>
      </w:r>
      <w:r>
        <w:rPr>
          <w:rFonts w:ascii="Arial" w:hAnsi="Arial" w:cs="Arial" w:eastAsia="Arial" w:hint="default"/>
        </w:rPr>
        <w:t>1.94</w:t>
      </w:r>
      <w:r>
        <w:rPr>
          <w:rFonts w:ascii="Arial" w:hAnsi="Arial" w:cs="Arial" w:eastAsia="Arial" w:hint="default"/>
          <w:spacing w:val="-11"/>
        </w:rPr>
        <w:t> </w:t>
      </w:r>
      <w:r>
        <w:rPr/>
        <w:t>亿元被反映在归属于本集团母公司普通股股东资本公积项下。</w:t>
      </w:r>
    </w:p>
    <w:p>
      <w:pPr>
        <w:spacing w:after="0" w:line="293" w:lineRule="exact"/>
        <w:jc w:val="both"/>
        <w:sectPr>
          <w:headerReference w:type="default" r:id="rId106"/>
          <w:pgSz w:w="11910" w:h="16840"/>
          <w:pgMar w:header="1185" w:footer="635" w:top="3040" w:bottom="820" w:left="1280" w:right="820"/>
        </w:sectPr>
      </w:pPr>
    </w:p>
    <w:p>
      <w:pPr>
        <w:pStyle w:val="BodyText"/>
        <w:spacing w:line="240" w:lineRule="auto" w:before="10"/>
        <w:ind w:left="106" w:right="11242"/>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1"/>
        <w:rPr>
          <w:rFonts w:ascii="黑体" w:hAnsi="黑体" w:cs="黑体" w:eastAsia="黑体" w:hint="default"/>
          <w:sz w:val="19"/>
          <w:szCs w:val="19"/>
        </w:rPr>
      </w:pPr>
    </w:p>
    <w:p>
      <w:pPr>
        <w:pStyle w:val="BodyText"/>
        <w:spacing w:line="287" w:lineRule="exact"/>
        <w:ind w:left="106" w:right="11242"/>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left="106" w:right="11242"/>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tabs>
          <w:tab w:pos="557" w:val="left" w:leader="none"/>
        </w:tabs>
        <w:spacing w:line="448" w:lineRule="auto"/>
        <w:ind w:left="106" w:right="11242"/>
        <w:jc w:val="left"/>
        <w:rPr>
          <w:rFonts w:ascii="黑体" w:hAnsi="黑体" w:cs="黑体" w:eastAsia="黑体" w:hint="default"/>
        </w:rPr>
      </w:pPr>
      <w:r>
        <w:rPr>
          <w:rFonts w:ascii="黑体" w:hAnsi="黑体" w:cs="黑体" w:eastAsia="黑体" w:hint="default"/>
          <w:spacing w:val="-1"/>
        </w:rPr>
        <w:t>（除特别注明外，金额单位为人民币元）</w:t>
      </w:r>
      <w:r>
        <w:rPr>
          <w:rFonts w:ascii="黑体" w:hAnsi="黑体" w:cs="黑体" w:eastAsia="黑体" w:hint="default"/>
          <w:spacing w:val="-93"/>
        </w:rPr>
        <w:t> </w:t>
      </w:r>
      <w:r>
        <w:rPr>
          <w:rFonts w:ascii="黑体" w:hAnsi="黑体" w:cs="黑体" w:eastAsia="黑体" w:hint="default"/>
          <w:spacing w:val="-93"/>
        </w:rPr>
      </w:r>
      <w:r>
        <w:rPr>
          <w:rFonts w:ascii="黑体" w:hAnsi="黑体" w:cs="黑体" w:eastAsia="黑体" w:hint="default"/>
        </w:rPr>
        <w:t>五</w:t>
        <w:tab/>
        <w:t>合并财务报表项目附注（续）</w:t>
      </w:r>
    </w:p>
    <w:p>
      <w:pPr>
        <w:pStyle w:val="BodyText"/>
        <w:spacing w:line="240" w:lineRule="auto" w:before="60"/>
        <w:ind w:left="106" w:right="11242"/>
        <w:jc w:val="left"/>
      </w:pPr>
      <w:r>
        <w:rPr>
          <w:rFonts w:ascii="Arial" w:hAnsi="Arial" w:cs="Arial" w:eastAsia="Arial" w:hint="default"/>
        </w:rPr>
        <w:t>33</w:t>
      </w:r>
      <w:r>
        <w:rPr/>
        <w:t>、其他综合收益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tbl>
      <w:tblPr>
        <w:tblW w:w="0" w:type="auto"/>
        <w:jc w:val="left"/>
        <w:tblInd w:w="389" w:type="dxa"/>
        <w:tblLayout w:type="fixed"/>
        <w:tblCellMar>
          <w:top w:w="0" w:type="dxa"/>
          <w:left w:w="0" w:type="dxa"/>
          <w:bottom w:w="0" w:type="dxa"/>
          <w:right w:w="0" w:type="dxa"/>
        </w:tblCellMar>
        <w:tblLook w:val="01E0"/>
      </w:tblPr>
      <w:tblGrid>
        <w:gridCol w:w="3437"/>
        <w:gridCol w:w="1808"/>
        <w:gridCol w:w="1831"/>
        <w:gridCol w:w="1278"/>
        <w:gridCol w:w="1334"/>
        <w:gridCol w:w="1505"/>
        <w:gridCol w:w="1670"/>
        <w:gridCol w:w="1748"/>
      </w:tblGrid>
      <w:tr>
        <w:trPr>
          <w:trHeight w:val="215" w:hRule="exact"/>
        </w:trPr>
        <w:tc>
          <w:tcPr>
            <w:tcW w:w="3437"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single" w:sz="4" w:space="0" w:color="000000"/>
              <w:right w:val="nil" w:sz="6" w:space="0" w:color="auto"/>
            </w:tcBorders>
          </w:tcPr>
          <w:p>
            <w:pPr/>
          </w:p>
        </w:tc>
        <w:tc>
          <w:tcPr>
            <w:tcW w:w="1278" w:type="dxa"/>
            <w:tcBorders>
              <w:top w:val="nil" w:sz="6" w:space="0" w:color="auto"/>
              <w:left w:val="nil" w:sz="6" w:space="0" w:color="auto"/>
              <w:bottom w:val="single" w:sz="4" w:space="0" w:color="000000"/>
              <w:right w:val="nil" w:sz="6" w:space="0" w:color="auto"/>
            </w:tcBorders>
          </w:tcPr>
          <w:p>
            <w:pPr/>
          </w:p>
        </w:tc>
        <w:tc>
          <w:tcPr>
            <w:tcW w:w="1334" w:type="dxa"/>
            <w:tcBorders>
              <w:top w:val="nil" w:sz="6" w:space="0" w:color="auto"/>
              <w:left w:val="nil" w:sz="6" w:space="0" w:color="auto"/>
              <w:bottom w:val="single" w:sz="4" w:space="0" w:color="000000"/>
              <w:right w:val="nil" w:sz="6" w:space="0" w:color="auto"/>
            </w:tcBorders>
          </w:tcPr>
          <w:p>
            <w:pPr>
              <w:pStyle w:val="TableParagraph"/>
              <w:spacing w:line="180" w:lineRule="exact"/>
              <w:ind w:left="198"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505" w:type="dxa"/>
            <w:tcBorders>
              <w:top w:val="nil" w:sz="6" w:space="0" w:color="auto"/>
              <w:left w:val="nil" w:sz="6" w:space="0" w:color="auto"/>
              <w:bottom w:val="single" w:sz="4" w:space="0" w:color="000000"/>
              <w:right w:val="nil" w:sz="6" w:space="0" w:color="auto"/>
            </w:tcBorders>
          </w:tcPr>
          <w:p>
            <w:pPr/>
          </w:p>
        </w:tc>
        <w:tc>
          <w:tcPr>
            <w:tcW w:w="1670" w:type="dxa"/>
            <w:tcBorders>
              <w:top w:val="nil" w:sz="6" w:space="0" w:color="auto"/>
              <w:left w:val="nil" w:sz="6" w:space="0" w:color="auto"/>
              <w:bottom w:val="single" w:sz="4" w:space="0" w:color="000000"/>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
        </w:tc>
      </w:tr>
      <w:tr>
        <w:trPr>
          <w:trHeight w:val="713" w:hRule="exact"/>
        </w:trPr>
        <w:tc>
          <w:tcPr>
            <w:tcW w:w="3437"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37"/>
              <w:jc w:val="center"/>
              <w:rPr>
                <w:rFonts w:ascii="宋体" w:hAnsi="宋体" w:cs="宋体" w:eastAsia="宋体" w:hint="default"/>
                <w:sz w:val="18"/>
                <w:szCs w:val="18"/>
              </w:rPr>
            </w:pPr>
            <w:r>
              <w:rPr>
                <w:rFonts w:ascii="宋体" w:hAnsi="宋体" w:cs="宋体" w:eastAsia="宋体" w:hint="default"/>
                <w:sz w:val="18"/>
                <w:szCs w:val="18"/>
              </w:rPr>
              <w:t>项目</w:t>
            </w:r>
          </w:p>
        </w:tc>
        <w:tc>
          <w:tcPr>
            <w:tcW w:w="1808" w:type="dxa"/>
            <w:tcBorders>
              <w:top w:val="nil" w:sz="6" w:space="0" w:color="auto"/>
              <w:left w:val="nil" w:sz="6" w:space="0" w:color="auto"/>
              <w:bottom w:val="single" w:sz="6" w:space="0" w:color="000000"/>
              <w:right w:val="nil" w:sz="6" w:space="0" w:color="auto"/>
            </w:tcBorders>
          </w:tcPr>
          <w:p>
            <w:pPr>
              <w:pStyle w:val="TableParagraph"/>
              <w:spacing w:line="209" w:lineRule="exact"/>
              <w:ind w:left="117" w:right="0"/>
              <w:jc w:val="left"/>
              <w:rPr>
                <w:rFonts w:ascii="宋体" w:hAnsi="宋体" w:cs="宋体" w:eastAsia="宋体" w:hint="default"/>
                <w:sz w:val="18"/>
                <w:szCs w:val="18"/>
              </w:rPr>
            </w:pPr>
            <w:r>
              <w:rPr>
                <w:rFonts w:ascii="宋体" w:hAnsi="宋体" w:cs="宋体" w:eastAsia="宋体" w:hint="default"/>
                <w:sz w:val="18"/>
                <w:szCs w:val="18"/>
              </w:rPr>
              <w:t>归属于母公司股东的</w:t>
            </w:r>
          </w:p>
          <w:p>
            <w:pPr>
              <w:pStyle w:val="TableParagraph"/>
              <w:spacing w:line="233" w:lineRule="exact"/>
              <w:ind w:left="658" w:right="0"/>
              <w:jc w:val="left"/>
              <w:rPr>
                <w:rFonts w:ascii="宋体" w:hAnsi="宋体" w:cs="宋体" w:eastAsia="宋体" w:hint="default"/>
                <w:sz w:val="18"/>
                <w:szCs w:val="18"/>
              </w:rPr>
            </w:pPr>
            <w:r>
              <w:rPr>
                <w:rFonts w:ascii="宋体" w:hAnsi="宋体" w:cs="宋体" w:eastAsia="宋体" w:hint="default"/>
                <w:sz w:val="18"/>
                <w:szCs w:val="18"/>
              </w:rPr>
              <w:t>其他综合收益</w:t>
            </w:r>
          </w:p>
          <w:p>
            <w:pPr>
              <w:pStyle w:val="TableParagraph"/>
              <w:spacing w:line="234" w:lineRule="exact"/>
              <w:ind w:left="101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831" w:type="dxa"/>
            <w:tcBorders>
              <w:top w:val="single" w:sz="4"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本期所得税前发生额</w:t>
            </w:r>
          </w:p>
        </w:tc>
        <w:tc>
          <w:tcPr>
            <w:tcW w:w="1278" w:type="dxa"/>
            <w:tcBorders>
              <w:top w:val="single" w:sz="4" w:space="0" w:color="000000"/>
              <w:left w:val="nil" w:sz="6" w:space="0" w:color="auto"/>
              <w:bottom w:val="single" w:sz="4" w:space="0" w:color="000000"/>
              <w:right w:val="nil" w:sz="6" w:space="0" w:color="auto"/>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减：前期计入</w:t>
            </w:r>
          </w:p>
          <w:p>
            <w:pPr>
              <w:pStyle w:val="TableParagraph"/>
              <w:spacing w:line="232" w:lineRule="exact" w:before="23"/>
              <w:ind w:left="98" w:right="97"/>
              <w:jc w:val="left"/>
              <w:rPr>
                <w:rFonts w:ascii="宋体" w:hAnsi="宋体" w:cs="宋体" w:eastAsia="宋体" w:hint="default"/>
                <w:sz w:val="18"/>
                <w:szCs w:val="18"/>
              </w:rPr>
            </w:pPr>
            <w:r>
              <w:rPr>
                <w:rFonts w:ascii="宋体" w:hAnsi="宋体" w:cs="宋体" w:eastAsia="宋体" w:hint="default"/>
                <w:sz w:val="18"/>
                <w:szCs w:val="18"/>
              </w:rPr>
              <w:t>其他综合收益 当期转入损益</w:t>
            </w:r>
          </w:p>
        </w:tc>
        <w:tc>
          <w:tcPr>
            <w:tcW w:w="1334" w:type="dxa"/>
            <w:tcBorders>
              <w:top w:val="single" w:sz="4"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pacing w:val="-9"/>
                <w:sz w:val="18"/>
                <w:szCs w:val="18"/>
              </w:rPr>
              <w:t>减：所得税费用</w:t>
            </w:r>
          </w:p>
        </w:tc>
        <w:tc>
          <w:tcPr>
            <w:tcW w:w="1505" w:type="dxa"/>
            <w:tcBorders>
              <w:top w:val="single" w:sz="4"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税后归属于母公司</w:t>
            </w:r>
          </w:p>
        </w:tc>
        <w:tc>
          <w:tcPr>
            <w:tcW w:w="1670" w:type="dxa"/>
            <w:tcBorders>
              <w:top w:val="single" w:sz="4"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税后归属于少数股东</w:t>
            </w:r>
          </w:p>
        </w:tc>
        <w:tc>
          <w:tcPr>
            <w:tcW w:w="1748" w:type="dxa"/>
            <w:tcBorders>
              <w:top w:val="nil" w:sz="6" w:space="0" w:color="auto"/>
              <w:left w:val="nil" w:sz="6" w:space="0" w:color="auto"/>
              <w:bottom w:val="single" w:sz="6" w:space="0" w:color="000000"/>
              <w:right w:val="nil" w:sz="6" w:space="0" w:color="auto"/>
            </w:tcBorders>
          </w:tcPr>
          <w:p>
            <w:pPr>
              <w:pStyle w:val="TableParagraph"/>
              <w:spacing w:line="209"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归属于母公司股东的</w:t>
            </w:r>
          </w:p>
          <w:p>
            <w:pPr>
              <w:pStyle w:val="TableParagraph"/>
              <w:spacing w:line="233" w:lineRule="exact"/>
              <w:ind w:left="648" w:right="0"/>
              <w:jc w:val="left"/>
              <w:rPr>
                <w:rFonts w:ascii="宋体" w:hAnsi="宋体" w:cs="宋体" w:eastAsia="宋体" w:hint="default"/>
                <w:sz w:val="18"/>
                <w:szCs w:val="18"/>
              </w:rPr>
            </w:pPr>
            <w:r>
              <w:rPr>
                <w:rFonts w:ascii="宋体" w:hAnsi="宋体" w:cs="宋体" w:eastAsia="宋体" w:hint="default"/>
                <w:sz w:val="18"/>
                <w:szCs w:val="18"/>
              </w:rPr>
              <w:t>其他综合收益</w:t>
            </w:r>
          </w:p>
          <w:p>
            <w:pPr>
              <w:pStyle w:val="TableParagraph"/>
              <w:spacing w:line="234" w:lineRule="exact"/>
              <w:ind w:left="1008"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512" w:hRule="exact"/>
        </w:trPr>
        <w:tc>
          <w:tcPr>
            <w:tcW w:w="3437"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以后不能重分类进损益的其他综合收益</w:t>
            </w:r>
          </w:p>
        </w:tc>
        <w:tc>
          <w:tcPr>
            <w:tcW w:w="1808"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51"/>
              <w:jc w:val="right"/>
              <w:rPr>
                <w:rFonts w:ascii="Arial" w:hAnsi="Arial" w:cs="Arial" w:eastAsia="Arial" w:hint="default"/>
                <w:sz w:val="18"/>
                <w:szCs w:val="18"/>
              </w:rPr>
            </w:pPr>
            <w:r>
              <w:rPr>
                <w:rFonts w:ascii="Arial"/>
                <w:spacing w:val="-1"/>
                <w:sz w:val="18"/>
              </w:rPr>
              <w:t>(798,501)</w:t>
            </w:r>
          </w:p>
        </w:tc>
        <w:tc>
          <w:tcPr>
            <w:tcW w:w="1831"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717" w:right="0"/>
              <w:jc w:val="left"/>
              <w:rPr>
                <w:rFonts w:ascii="Arial" w:hAnsi="Arial" w:cs="Arial" w:eastAsia="Arial" w:hint="default"/>
                <w:sz w:val="18"/>
                <w:szCs w:val="18"/>
              </w:rPr>
            </w:pPr>
            <w:r>
              <w:rPr>
                <w:rFonts w:ascii="Arial"/>
                <w:sz w:val="18"/>
              </w:rPr>
              <w:t>(1,418,496)</w:t>
            </w:r>
          </w:p>
        </w:tc>
        <w:tc>
          <w:tcPr>
            <w:tcW w:w="127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6"/>
              <w:jc w:val="right"/>
              <w:rPr>
                <w:rFonts w:ascii="Arial" w:hAnsi="Arial" w:cs="Arial" w:eastAsia="Arial" w:hint="default"/>
                <w:sz w:val="18"/>
                <w:szCs w:val="18"/>
              </w:rPr>
            </w:pPr>
            <w:r>
              <w:rPr>
                <w:rFonts w:ascii="Arial"/>
                <w:w w:val="99"/>
                <w:sz w:val="18"/>
              </w:rPr>
              <w:t>-</w:t>
            </w:r>
            <w:r>
              <w:rPr>
                <w:rFonts w:ascii="Arial"/>
                <w:sz w:val="18"/>
              </w:rPr>
            </w:r>
          </w:p>
        </w:tc>
        <w:tc>
          <w:tcPr>
            <w:tcW w:w="1334"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40"/>
              <w:jc w:val="right"/>
              <w:rPr>
                <w:rFonts w:ascii="Arial" w:hAnsi="Arial" w:cs="Arial" w:eastAsia="Arial" w:hint="default"/>
                <w:sz w:val="18"/>
                <w:szCs w:val="18"/>
              </w:rPr>
            </w:pPr>
            <w:r>
              <w:rPr>
                <w:rFonts w:ascii="Arial"/>
                <w:spacing w:val="-1"/>
                <w:sz w:val="18"/>
              </w:rPr>
              <w:t>(748,548)</w:t>
            </w:r>
          </w:p>
        </w:tc>
        <w:tc>
          <w:tcPr>
            <w:tcW w:w="1505"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(722,487)</w:t>
            </w:r>
          </w:p>
        </w:tc>
        <w:tc>
          <w:tcPr>
            <w:tcW w:w="1670"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5"/>
              <w:jc w:val="right"/>
              <w:rPr>
                <w:rFonts w:ascii="Arial" w:hAnsi="Arial" w:cs="Arial" w:eastAsia="Arial" w:hint="default"/>
                <w:sz w:val="18"/>
                <w:szCs w:val="18"/>
              </w:rPr>
            </w:pPr>
            <w:r>
              <w:rPr>
                <w:rFonts w:ascii="Arial"/>
                <w:spacing w:val="-1"/>
                <w:sz w:val="18"/>
              </w:rPr>
              <w:t>(1,444,557)</w:t>
            </w:r>
          </w:p>
        </w:tc>
        <w:tc>
          <w:tcPr>
            <w:tcW w:w="1748"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83"/>
              <w:jc w:val="right"/>
              <w:rPr>
                <w:rFonts w:ascii="Arial" w:hAnsi="Arial" w:cs="Arial" w:eastAsia="Arial" w:hint="default"/>
                <w:sz w:val="18"/>
                <w:szCs w:val="18"/>
              </w:rPr>
            </w:pPr>
            <w:r>
              <w:rPr>
                <w:rFonts w:ascii="Arial"/>
                <w:spacing w:val="-1"/>
                <w:sz w:val="18"/>
              </w:rPr>
              <w:t>(1,520,988)</w:t>
            </w:r>
          </w:p>
        </w:tc>
      </w:tr>
      <w:tr>
        <w:trPr>
          <w:trHeight w:val="602"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193" w:lineRule="exact"/>
              <w:ind w:left="424" w:right="0"/>
              <w:jc w:val="left"/>
              <w:rPr>
                <w:rFonts w:ascii="宋体" w:hAnsi="宋体" w:cs="宋体" w:eastAsia="宋体" w:hint="default"/>
                <w:sz w:val="18"/>
                <w:szCs w:val="18"/>
              </w:rPr>
            </w:pPr>
            <w:r>
              <w:rPr>
                <w:rFonts w:ascii="宋体" w:hAnsi="宋体" w:cs="宋体" w:eastAsia="宋体" w:hint="default"/>
                <w:spacing w:val="4"/>
                <w:sz w:val="18"/>
                <w:szCs w:val="18"/>
              </w:rPr>
              <w:t>其中：重新计算设定受益计划负债的</w:t>
            </w:r>
          </w:p>
          <w:p>
            <w:pPr>
              <w:pStyle w:val="TableParagraph"/>
              <w:spacing w:line="247" w:lineRule="exact"/>
              <w:ind w:right="45"/>
              <w:jc w:val="center"/>
              <w:rPr>
                <w:rFonts w:ascii="宋体" w:hAnsi="宋体" w:cs="宋体" w:eastAsia="宋体" w:hint="default"/>
                <w:sz w:val="18"/>
                <w:szCs w:val="18"/>
              </w:rPr>
            </w:pPr>
            <w:r>
              <w:rPr>
                <w:rFonts w:ascii="宋体" w:hAnsi="宋体" w:cs="宋体" w:eastAsia="宋体" w:hint="default"/>
                <w:sz w:val="18"/>
                <w:szCs w:val="18"/>
              </w:rPr>
              <w:t>变动（注</w:t>
            </w:r>
            <w:r>
              <w:rPr>
                <w:rFonts w:ascii="宋体" w:hAnsi="宋体" w:cs="宋体" w:eastAsia="宋体" w:hint="default"/>
                <w:spacing w:val="-46"/>
                <w:sz w:val="18"/>
                <w:szCs w:val="18"/>
              </w:rPr>
              <w:t> </w:t>
            </w:r>
            <w:r>
              <w:rPr>
                <w:rFonts w:ascii="Arial" w:hAnsi="Arial" w:cs="Arial" w:eastAsia="Arial" w:hint="default"/>
                <w:sz w:val="18"/>
                <w:szCs w:val="18"/>
              </w:rPr>
              <w:t>1</w:t>
            </w:r>
            <w:r>
              <w:rPr>
                <w:rFonts w:ascii="宋体" w:hAnsi="宋体" w:cs="宋体" w:eastAsia="宋体" w:hint="default"/>
                <w:sz w:val="18"/>
                <w:szCs w:val="18"/>
              </w:rPr>
              <w:t>）</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1"/>
              <w:jc w:val="right"/>
              <w:rPr>
                <w:rFonts w:ascii="Arial" w:hAnsi="Arial" w:cs="Arial" w:eastAsia="Arial" w:hint="default"/>
                <w:sz w:val="18"/>
                <w:szCs w:val="18"/>
              </w:rPr>
            </w:pPr>
            <w:r>
              <w:rPr>
                <w:rFonts w:ascii="Arial"/>
                <w:spacing w:val="-1"/>
                <w:sz w:val="18"/>
              </w:rPr>
              <w:t>(798,501)</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7" w:right="0"/>
              <w:jc w:val="left"/>
              <w:rPr>
                <w:rFonts w:ascii="Arial" w:hAnsi="Arial" w:cs="Arial" w:eastAsia="Arial" w:hint="default"/>
                <w:sz w:val="18"/>
                <w:szCs w:val="18"/>
              </w:rPr>
            </w:pPr>
            <w:r>
              <w:rPr>
                <w:rFonts w:ascii="Arial"/>
                <w:sz w:val="18"/>
              </w:rPr>
              <w:t>(1,418,496)</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Arial" w:hAnsi="Arial" w:cs="Arial" w:eastAsia="Arial" w:hint="default"/>
                <w:sz w:val="18"/>
                <w:szCs w:val="18"/>
              </w:rPr>
            </w:pPr>
            <w:r>
              <w:rPr>
                <w:rFonts w:ascii="Arial"/>
                <w:w w:val="99"/>
                <w:sz w:val="18"/>
              </w:rPr>
              <w:t>-</w:t>
            </w:r>
            <w:r>
              <w:rPr>
                <w:rFonts w:ascii="Arial"/>
                <w:sz w:val="18"/>
              </w:rPr>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0"/>
              <w:jc w:val="right"/>
              <w:rPr>
                <w:rFonts w:ascii="Arial" w:hAnsi="Arial" w:cs="Arial" w:eastAsia="Arial" w:hint="default"/>
                <w:sz w:val="18"/>
                <w:szCs w:val="18"/>
              </w:rPr>
            </w:pPr>
            <w:r>
              <w:rPr>
                <w:rFonts w:ascii="Arial"/>
                <w:spacing w:val="-1"/>
                <w:sz w:val="18"/>
              </w:rPr>
              <w:t>(748,548)</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(722,487)</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Arial" w:hAnsi="Arial" w:cs="Arial" w:eastAsia="Arial" w:hint="default"/>
                <w:sz w:val="18"/>
                <w:szCs w:val="18"/>
              </w:rPr>
            </w:pPr>
            <w:r>
              <w:rPr>
                <w:rFonts w:ascii="Arial"/>
                <w:spacing w:val="-1"/>
                <w:sz w:val="18"/>
              </w:rPr>
              <w:t>(1,444,557)</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3"/>
              <w:jc w:val="right"/>
              <w:rPr>
                <w:rFonts w:ascii="Arial" w:hAnsi="Arial" w:cs="Arial" w:eastAsia="Arial" w:hint="default"/>
                <w:sz w:val="18"/>
                <w:szCs w:val="18"/>
              </w:rPr>
            </w:pPr>
            <w:r>
              <w:rPr>
                <w:rFonts w:ascii="Arial"/>
                <w:spacing w:val="-1"/>
                <w:sz w:val="18"/>
              </w:rPr>
              <w:t>(1,520,988)</w:t>
            </w:r>
          </w:p>
        </w:tc>
      </w:tr>
      <w:tr>
        <w:trPr>
          <w:trHeight w:val="370"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8" w:right="0"/>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52"/>
              <w:jc w:val="right"/>
              <w:rPr>
                <w:rFonts w:ascii="Arial" w:hAnsi="Arial" w:cs="Arial" w:eastAsia="Arial" w:hint="default"/>
                <w:sz w:val="18"/>
                <w:szCs w:val="18"/>
              </w:rPr>
            </w:pPr>
            <w:r>
              <w:rPr>
                <w:rFonts w:ascii="Arial"/>
                <w:spacing w:val="-1"/>
                <w:sz w:val="18"/>
              </w:rPr>
              <w:t>(1,307,757,508)</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518" w:right="0"/>
              <w:jc w:val="left"/>
              <w:rPr>
                <w:rFonts w:ascii="Arial" w:hAnsi="Arial" w:cs="Arial" w:eastAsia="Arial" w:hint="default"/>
                <w:sz w:val="18"/>
                <w:szCs w:val="18"/>
              </w:rPr>
            </w:pPr>
            <w:r>
              <w:rPr>
                <w:rFonts w:ascii="Arial"/>
                <w:sz w:val="18"/>
              </w:rPr>
              <w:t>(631,181,506)</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6"/>
              <w:jc w:val="right"/>
              <w:rPr>
                <w:rFonts w:ascii="Arial" w:hAnsi="Arial" w:cs="Arial" w:eastAsia="Arial" w:hint="default"/>
                <w:sz w:val="18"/>
                <w:szCs w:val="18"/>
              </w:rPr>
            </w:pPr>
            <w:r>
              <w:rPr>
                <w:rFonts w:ascii="Arial"/>
                <w:w w:val="99"/>
                <w:sz w:val="18"/>
              </w:rPr>
              <w:t>-</w:t>
            </w:r>
            <w:r>
              <w:rPr>
                <w:rFonts w:ascii="Arial"/>
                <w:sz w:val="18"/>
              </w:rPr>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231" w:right="0"/>
              <w:jc w:val="left"/>
              <w:rPr>
                <w:rFonts w:ascii="Arial" w:hAnsi="Arial" w:cs="Arial" w:eastAsia="Arial" w:hint="default"/>
                <w:sz w:val="18"/>
                <w:szCs w:val="18"/>
              </w:rPr>
            </w:pPr>
            <w:r>
              <w:rPr>
                <w:rFonts w:ascii="Arial"/>
                <w:sz w:val="18"/>
              </w:rPr>
              <w:t>154,650,414</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9"/>
              <w:jc w:val="right"/>
              <w:rPr>
                <w:rFonts w:ascii="Arial" w:hAnsi="Arial" w:cs="Arial" w:eastAsia="Arial" w:hint="default"/>
                <w:sz w:val="18"/>
                <w:szCs w:val="18"/>
              </w:rPr>
            </w:pPr>
            <w:r>
              <w:rPr>
                <w:rFonts w:ascii="Arial"/>
                <w:spacing w:val="-1"/>
                <w:sz w:val="18"/>
              </w:rPr>
              <w:t>(158,874,313)</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25"/>
              <w:jc w:val="right"/>
              <w:rPr>
                <w:rFonts w:ascii="Arial" w:hAnsi="Arial" w:cs="Arial" w:eastAsia="Arial" w:hint="default"/>
                <w:sz w:val="18"/>
                <w:szCs w:val="18"/>
              </w:rPr>
            </w:pPr>
            <w:r>
              <w:rPr>
                <w:rFonts w:ascii="Arial"/>
                <w:spacing w:val="-1"/>
                <w:sz w:val="18"/>
              </w:rPr>
              <w:t>(317,656,779)</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83"/>
              <w:jc w:val="right"/>
              <w:rPr>
                <w:rFonts w:ascii="Arial" w:hAnsi="Arial" w:cs="Arial" w:eastAsia="Arial" w:hint="default"/>
                <w:sz w:val="18"/>
                <w:szCs w:val="18"/>
              </w:rPr>
            </w:pPr>
            <w:r>
              <w:rPr>
                <w:rFonts w:ascii="Arial"/>
                <w:spacing w:val="-1"/>
                <w:sz w:val="18"/>
              </w:rPr>
              <w:t>(1,466,631,821)</w:t>
            </w:r>
          </w:p>
        </w:tc>
      </w:tr>
      <w:tr>
        <w:trPr>
          <w:trHeight w:val="477"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194" w:lineRule="exact"/>
              <w:ind w:left="424" w:right="0"/>
              <w:jc w:val="left"/>
              <w:rPr>
                <w:rFonts w:ascii="宋体" w:hAnsi="宋体" w:cs="宋体" w:eastAsia="宋体" w:hint="default"/>
                <w:sz w:val="18"/>
                <w:szCs w:val="18"/>
              </w:rPr>
            </w:pPr>
            <w:r>
              <w:rPr>
                <w:rFonts w:ascii="宋体" w:hAnsi="宋体" w:cs="宋体" w:eastAsia="宋体" w:hint="default"/>
                <w:spacing w:val="4"/>
                <w:sz w:val="18"/>
                <w:szCs w:val="18"/>
              </w:rPr>
              <w:t>其中：可供出售金融资产公允价值变</w:t>
            </w:r>
          </w:p>
          <w:p>
            <w:pPr>
              <w:pStyle w:val="TableParagraph"/>
              <w:spacing w:line="247" w:lineRule="exact"/>
              <w:ind w:left="1171" w:right="0"/>
              <w:jc w:val="left"/>
              <w:rPr>
                <w:rFonts w:ascii="宋体" w:hAnsi="宋体" w:cs="宋体" w:eastAsia="宋体" w:hint="default"/>
                <w:sz w:val="18"/>
                <w:szCs w:val="18"/>
              </w:rPr>
            </w:pPr>
            <w:r>
              <w:rPr>
                <w:rFonts w:ascii="宋体" w:hAnsi="宋体" w:cs="宋体" w:eastAsia="宋体" w:hint="default"/>
                <w:sz w:val="18"/>
                <w:szCs w:val="18"/>
              </w:rPr>
              <w:t>动损益（注</w:t>
            </w:r>
            <w:r>
              <w:rPr>
                <w:rFonts w:ascii="宋体" w:hAnsi="宋体" w:cs="宋体" w:eastAsia="宋体" w:hint="default"/>
                <w:spacing w:val="-46"/>
                <w:sz w:val="18"/>
                <w:szCs w:val="18"/>
              </w:rPr>
              <w:t> </w:t>
            </w:r>
            <w:r>
              <w:rPr>
                <w:rFonts w:ascii="Arial" w:hAnsi="Arial" w:cs="Arial" w:eastAsia="Arial" w:hint="default"/>
                <w:sz w:val="18"/>
                <w:szCs w:val="18"/>
              </w:rPr>
              <w:t>2</w:t>
            </w:r>
            <w:r>
              <w:rPr>
                <w:rFonts w:ascii="宋体" w:hAnsi="宋体" w:cs="宋体" w:eastAsia="宋体" w:hint="default"/>
                <w:sz w:val="18"/>
                <w:szCs w:val="18"/>
              </w:rPr>
              <w:t>）</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2"/>
              <w:jc w:val="right"/>
              <w:rPr>
                <w:rFonts w:ascii="Arial" w:hAnsi="Arial" w:cs="Arial" w:eastAsia="Arial" w:hint="default"/>
                <w:sz w:val="18"/>
                <w:szCs w:val="18"/>
              </w:rPr>
            </w:pPr>
            <w:r>
              <w:rPr>
                <w:rFonts w:ascii="Arial"/>
                <w:spacing w:val="-1"/>
                <w:sz w:val="18"/>
              </w:rPr>
              <w:t>(1,277,614,973)</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8" w:right="0"/>
              <w:jc w:val="left"/>
              <w:rPr>
                <w:rFonts w:ascii="Arial" w:hAnsi="Arial" w:cs="Arial" w:eastAsia="Arial" w:hint="default"/>
                <w:sz w:val="18"/>
                <w:szCs w:val="18"/>
              </w:rPr>
            </w:pPr>
            <w:r>
              <w:rPr>
                <w:rFonts w:ascii="Arial"/>
                <w:sz w:val="18"/>
              </w:rPr>
              <w:t>(618,601,654)</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Arial" w:hAnsi="Arial" w:cs="Arial" w:eastAsia="Arial" w:hint="default"/>
                <w:sz w:val="18"/>
                <w:szCs w:val="18"/>
              </w:rPr>
            </w:pPr>
            <w:r>
              <w:rPr>
                <w:rFonts w:ascii="Arial"/>
                <w:w w:val="99"/>
                <w:sz w:val="18"/>
              </w:rPr>
              <w:t>-</w:t>
            </w:r>
            <w:r>
              <w:rPr>
                <w:rFonts w:ascii="Arial"/>
                <w:sz w:val="18"/>
              </w:rPr>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1" w:right="0"/>
              <w:jc w:val="left"/>
              <w:rPr>
                <w:rFonts w:ascii="Arial" w:hAnsi="Arial" w:cs="Arial" w:eastAsia="Arial" w:hint="default"/>
                <w:sz w:val="18"/>
                <w:szCs w:val="18"/>
              </w:rPr>
            </w:pPr>
            <w:r>
              <w:rPr>
                <w:rFonts w:ascii="Arial"/>
                <w:sz w:val="18"/>
              </w:rPr>
              <w:t>154,650,414</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(154,680,221)</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Arial" w:hAnsi="Arial" w:cs="Arial" w:eastAsia="Arial" w:hint="default"/>
                <w:sz w:val="18"/>
                <w:szCs w:val="18"/>
              </w:rPr>
            </w:pPr>
            <w:r>
              <w:rPr>
                <w:rFonts w:ascii="Arial"/>
                <w:spacing w:val="-1"/>
                <w:sz w:val="18"/>
              </w:rPr>
              <w:t>(309,271,019)</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3"/>
              <w:jc w:val="right"/>
              <w:rPr>
                <w:rFonts w:ascii="Arial" w:hAnsi="Arial" w:cs="Arial" w:eastAsia="Arial" w:hint="default"/>
                <w:sz w:val="18"/>
                <w:szCs w:val="18"/>
              </w:rPr>
            </w:pPr>
            <w:r>
              <w:rPr>
                <w:rFonts w:ascii="Arial"/>
                <w:spacing w:val="-1"/>
                <w:sz w:val="18"/>
              </w:rPr>
              <w:t>(1,432,295,194)</w:t>
            </w:r>
          </w:p>
        </w:tc>
      </w:tr>
      <w:tr>
        <w:trPr>
          <w:trHeight w:val="385"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06" w:lineRule="exact"/>
              <w:ind w:left="99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808" w:type="dxa"/>
            <w:tcBorders>
              <w:top w:val="nil" w:sz="6" w:space="0" w:color="auto"/>
              <w:left w:val="nil" w:sz="6" w:space="0" w:color="auto"/>
              <w:bottom w:val="nil" w:sz="6" w:space="0" w:color="auto"/>
              <w:right w:val="nil" w:sz="6" w:space="0" w:color="auto"/>
            </w:tcBorders>
          </w:tcPr>
          <w:p>
            <w:pPr>
              <w:pStyle w:val="TableParagraph"/>
              <w:tabs>
                <w:tab w:pos="718" w:val="left" w:leader="none"/>
              </w:tabs>
              <w:spacing w:line="240" w:lineRule="auto" w:before="26"/>
              <w:ind w:right="5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(30,142,535)</w:t>
            </w:r>
            <w:r>
              <w:rPr>
                <w:rFonts w:ascii="Arial"/>
                <w:spacing w:val="-1"/>
                <w:sz w:val="18"/>
              </w:rPr>
            </w:r>
          </w:p>
        </w:tc>
        <w:tc>
          <w:tcPr>
            <w:tcW w:w="1831" w:type="dxa"/>
            <w:tcBorders>
              <w:top w:val="nil" w:sz="6" w:space="0" w:color="auto"/>
              <w:left w:val="nil" w:sz="6" w:space="0" w:color="auto"/>
              <w:bottom w:val="nil" w:sz="6" w:space="0" w:color="auto"/>
              <w:right w:val="nil" w:sz="6" w:space="0" w:color="auto"/>
            </w:tcBorders>
          </w:tcPr>
          <w:p>
            <w:pPr>
              <w:pStyle w:val="TableParagraph"/>
              <w:tabs>
                <w:tab w:pos="619" w:val="left" w:leader="none"/>
                <w:tab w:pos="1788" w:val="left" w:leader="none"/>
              </w:tabs>
              <w:spacing w:line="240" w:lineRule="auto" w:before="26"/>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(12,579,852)</w:t>
              <w:tab/>
            </w:r>
            <w:r>
              <w:rPr>
                <w:rFonts w:ascii="Arial"/>
                <w:sz w:val="18"/>
              </w:rPr>
            </w:r>
          </w:p>
        </w:tc>
        <w:tc>
          <w:tcPr>
            <w:tcW w:w="1278" w:type="dxa"/>
            <w:tcBorders>
              <w:top w:val="nil" w:sz="6" w:space="0" w:color="auto"/>
              <w:left w:val="nil" w:sz="6" w:space="0" w:color="auto"/>
              <w:bottom w:val="nil" w:sz="6" w:space="0" w:color="auto"/>
              <w:right w:val="nil" w:sz="6" w:space="0" w:color="auto"/>
            </w:tcBorders>
          </w:tcPr>
          <w:p>
            <w:pPr>
              <w:pStyle w:val="TableParagraph"/>
              <w:tabs>
                <w:tab w:pos="1190" w:val="left" w:leader="none"/>
              </w:tabs>
              <w:spacing w:line="240" w:lineRule="auto" w:before="26"/>
              <w:ind w:right="1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34" w:type="dxa"/>
            <w:tcBorders>
              <w:top w:val="nil" w:sz="6" w:space="0" w:color="auto"/>
              <w:left w:val="nil" w:sz="6" w:space="0" w:color="auto"/>
              <w:bottom w:val="nil" w:sz="6" w:space="0" w:color="auto"/>
              <w:right w:val="nil" w:sz="6" w:space="0" w:color="auto"/>
            </w:tcBorders>
          </w:tcPr>
          <w:p>
            <w:pPr>
              <w:pStyle w:val="TableParagraph"/>
              <w:tabs>
                <w:tab w:pos="1172" w:val="left" w:leader="none"/>
              </w:tabs>
              <w:spacing w:line="240" w:lineRule="auto" w:before="26"/>
              <w:ind w:left="70"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505"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40" w:lineRule="auto" w:before="26"/>
              <w:ind w:left="-9" w:right="1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(4,194,092)</w:t>
            </w:r>
            <w:r>
              <w:rPr>
                <w:rFonts w:ascii="Arial"/>
                <w:spacing w:val="-1"/>
                <w:sz w:val="18"/>
              </w:rPr>
            </w:r>
          </w:p>
        </w:tc>
        <w:tc>
          <w:tcPr>
            <w:tcW w:w="1670" w:type="dxa"/>
            <w:tcBorders>
              <w:top w:val="nil" w:sz="6" w:space="0" w:color="auto"/>
              <w:left w:val="nil" w:sz="6" w:space="0" w:color="auto"/>
              <w:bottom w:val="nil" w:sz="6" w:space="0" w:color="auto"/>
              <w:right w:val="nil" w:sz="6" w:space="0" w:color="auto"/>
            </w:tcBorders>
          </w:tcPr>
          <w:p>
            <w:pPr>
              <w:pStyle w:val="TableParagraph"/>
              <w:tabs>
                <w:tab w:pos="676" w:val="left" w:leader="none"/>
              </w:tabs>
              <w:spacing w:line="240" w:lineRule="auto" w:before="26"/>
              <w:ind w:right="2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(8,385,760)</w:t>
            </w:r>
            <w:r>
              <w:rPr>
                <w:rFonts w:ascii="Arial"/>
                <w:spacing w:val="-1"/>
                <w:sz w:val="18"/>
              </w:rPr>
            </w:r>
          </w:p>
        </w:tc>
        <w:tc>
          <w:tcPr>
            <w:tcW w:w="1748" w:type="dxa"/>
            <w:tcBorders>
              <w:top w:val="nil" w:sz="6" w:space="0" w:color="auto"/>
              <w:left w:val="nil" w:sz="6" w:space="0" w:color="auto"/>
              <w:bottom w:val="nil" w:sz="6" w:space="0" w:color="auto"/>
              <w:right w:val="nil" w:sz="6" w:space="0" w:color="auto"/>
            </w:tcBorders>
          </w:tcPr>
          <w:p>
            <w:pPr>
              <w:pStyle w:val="TableParagraph"/>
              <w:tabs>
                <w:tab w:pos="607" w:val="left" w:leader="none"/>
              </w:tabs>
              <w:spacing w:line="240" w:lineRule="auto" w:before="26"/>
              <w:ind w:right="8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(34,336,627)</w:t>
            </w:r>
            <w:r>
              <w:rPr>
                <w:rFonts w:ascii="Arial"/>
                <w:spacing w:val="-1"/>
                <w:sz w:val="18"/>
              </w:rPr>
            </w:r>
          </w:p>
        </w:tc>
      </w:tr>
      <w:tr>
        <w:trPr>
          <w:trHeight w:val="381"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6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8" w:type="dxa"/>
            <w:tcBorders>
              <w:top w:val="nil" w:sz="6" w:space="0" w:color="auto"/>
              <w:left w:val="nil" w:sz="6" w:space="0" w:color="auto"/>
              <w:bottom w:val="single" w:sz="12" w:space="0" w:color="000000"/>
              <w:right w:val="nil" w:sz="6" w:space="0" w:color="auto"/>
            </w:tcBorders>
          </w:tcPr>
          <w:p>
            <w:pPr>
              <w:pStyle w:val="TableParagraph"/>
              <w:spacing w:line="240" w:lineRule="auto" w:before="156"/>
              <w:ind w:right="52"/>
              <w:jc w:val="right"/>
              <w:rPr>
                <w:rFonts w:ascii="Arial" w:hAnsi="Arial" w:cs="Arial" w:eastAsia="Arial" w:hint="default"/>
                <w:sz w:val="18"/>
                <w:szCs w:val="18"/>
              </w:rPr>
            </w:pPr>
            <w:r>
              <w:rPr>
                <w:rFonts w:ascii="Arial"/>
                <w:spacing w:val="-1"/>
                <w:sz w:val="18"/>
              </w:rPr>
              <w:t>(1,308,556,009)</w:t>
            </w:r>
          </w:p>
        </w:tc>
        <w:tc>
          <w:tcPr>
            <w:tcW w:w="1831" w:type="dxa"/>
            <w:tcBorders>
              <w:top w:val="nil" w:sz="6" w:space="0" w:color="auto"/>
              <w:left w:val="nil" w:sz="6" w:space="0" w:color="auto"/>
              <w:bottom w:val="single" w:sz="12" w:space="0" w:color="000000"/>
              <w:right w:val="nil" w:sz="6" w:space="0" w:color="auto"/>
            </w:tcBorders>
          </w:tcPr>
          <w:p>
            <w:pPr>
              <w:pStyle w:val="TableParagraph"/>
              <w:spacing w:line="240" w:lineRule="auto" w:before="156"/>
              <w:ind w:left="530" w:right="0"/>
              <w:jc w:val="left"/>
              <w:rPr>
                <w:rFonts w:ascii="Arial" w:hAnsi="Arial" w:cs="Arial" w:eastAsia="Arial" w:hint="default"/>
                <w:sz w:val="18"/>
                <w:szCs w:val="18"/>
              </w:rPr>
            </w:pPr>
            <w:r>
              <w:rPr>
                <w:rFonts w:ascii="Arial"/>
                <w:sz w:val="18"/>
              </w:rPr>
              <w:t>(632,600,002)</w:t>
            </w:r>
          </w:p>
        </w:tc>
        <w:tc>
          <w:tcPr>
            <w:tcW w:w="1278" w:type="dxa"/>
            <w:tcBorders>
              <w:top w:val="nil" w:sz="6" w:space="0" w:color="auto"/>
              <w:left w:val="nil" w:sz="6" w:space="0" w:color="auto"/>
              <w:bottom w:val="single" w:sz="12" w:space="0" w:color="000000"/>
              <w:right w:val="nil" w:sz="6" w:space="0" w:color="auto"/>
            </w:tcBorders>
          </w:tcPr>
          <w:p>
            <w:pPr>
              <w:pStyle w:val="TableParagraph"/>
              <w:spacing w:line="240" w:lineRule="auto" w:before="156"/>
              <w:ind w:right="16"/>
              <w:jc w:val="right"/>
              <w:rPr>
                <w:rFonts w:ascii="Arial" w:hAnsi="Arial" w:cs="Arial" w:eastAsia="Arial" w:hint="default"/>
                <w:sz w:val="18"/>
                <w:szCs w:val="18"/>
              </w:rPr>
            </w:pPr>
            <w:r>
              <w:rPr>
                <w:rFonts w:ascii="Arial"/>
                <w:w w:val="99"/>
                <w:sz w:val="18"/>
              </w:rPr>
              <w:t>-</w:t>
            </w:r>
            <w:r>
              <w:rPr>
                <w:rFonts w:ascii="Arial"/>
                <w:sz w:val="18"/>
              </w:rPr>
            </w:r>
          </w:p>
        </w:tc>
        <w:tc>
          <w:tcPr>
            <w:tcW w:w="1334" w:type="dxa"/>
            <w:tcBorders>
              <w:top w:val="nil" w:sz="6" w:space="0" w:color="auto"/>
              <w:left w:val="nil" w:sz="6" w:space="0" w:color="auto"/>
              <w:bottom w:val="single" w:sz="12" w:space="0" w:color="000000"/>
              <w:right w:val="nil" w:sz="6" w:space="0" w:color="auto"/>
            </w:tcBorders>
          </w:tcPr>
          <w:p>
            <w:pPr>
              <w:pStyle w:val="TableParagraph"/>
              <w:spacing w:line="240" w:lineRule="auto" w:before="156"/>
              <w:ind w:left="231" w:right="0"/>
              <w:jc w:val="left"/>
              <w:rPr>
                <w:rFonts w:ascii="Arial" w:hAnsi="Arial" w:cs="Arial" w:eastAsia="Arial" w:hint="default"/>
                <w:sz w:val="18"/>
                <w:szCs w:val="18"/>
              </w:rPr>
            </w:pPr>
            <w:r>
              <w:rPr>
                <w:rFonts w:ascii="Arial"/>
                <w:sz w:val="18"/>
              </w:rPr>
              <w:t>153,901,866</w:t>
            </w:r>
          </w:p>
        </w:tc>
        <w:tc>
          <w:tcPr>
            <w:tcW w:w="1505" w:type="dxa"/>
            <w:tcBorders>
              <w:top w:val="nil" w:sz="6" w:space="0" w:color="auto"/>
              <w:left w:val="nil" w:sz="6" w:space="0" w:color="auto"/>
              <w:bottom w:val="single" w:sz="12" w:space="0" w:color="000000"/>
              <w:right w:val="nil" w:sz="6" w:space="0" w:color="auto"/>
            </w:tcBorders>
          </w:tcPr>
          <w:p>
            <w:pPr>
              <w:pStyle w:val="TableParagraph"/>
              <w:spacing w:line="240" w:lineRule="auto" w:before="156"/>
              <w:ind w:right="19"/>
              <w:jc w:val="right"/>
              <w:rPr>
                <w:rFonts w:ascii="Arial" w:hAnsi="Arial" w:cs="Arial" w:eastAsia="Arial" w:hint="default"/>
                <w:sz w:val="18"/>
                <w:szCs w:val="18"/>
              </w:rPr>
            </w:pPr>
            <w:r>
              <w:rPr>
                <w:rFonts w:ascii="Arial"/>
                <w:spacing w:val="-1"/>
                <w:sz w:val="18"/>
              </w:rPr>
              <w:t>(159,596,800)</w:t>
            </w:r>
          </w:p>
        </w:tc>
        <w:tc>
          <w:tcPr>
            <w:tcW w:w="1670" w:type="dxa"/>
            <w:tcBorders>
              <w:top w:val="nil" w:sz="6" w:space="0" w:color="auto"/>
              <w:left w:val="nil" w:sz="6" w:space="0" w:color="auto"/>
              <w:bottom w:val="single" w:sz="12" w:space="0" w:color="000000"/>
              <w:right w:val="nil" w:sz="6" w:space="0" w:color="auto"/>
            </w:tcBorders>
          </w:tcPr>
          <w:p>
            <w:pPr>
              <w:pStyle w:val="TableParagraph"/>
              <w:spacing w:line="240" w:lineRule="auto" w:before="156"/>
              <w:ind w:right="25"/>
              <w:jc w:val="right"/>
              <w:rPr>
                <w:rFonts w:ascii="Arial" w:hAnsi="Arial" w:cs="Arial" w:eastAsia="Arial" w:hint="default"/>
                <w:sz w:val="18"/>
                <w:szCs w:val="18"/>
              </w:rPr>
            </w:pPr>
            <w:r>
              <w:rPr>
                <w:rFonts w:ascii="Arial"/>
                <w:spacing w:val="-1"/>
                <w:sz w:val="18"/>
              </w:rPr>
              <w:t>(319,101,336)</w:t>
            </w:r>
          </w:p>
        </w:tc>
        <w:tc>
          <w:tcPr>
            <w:tcW w:w="1748" w:type="dxa"/>
            <w:tcBorders>
              <w:top w:val="nil" w:sz="6" w:space="0" w:color="auto"/>
              <w:left w:val="nil" w:sz="6" w:space="0" w:color="auto"/>
              <w:bottom w:val="single" w:sz="12" w:space="0" w:color="000000"/>
              <w:right w:val="nil" w:sz="6" w:space="0" w:color="auto"/>
            </w:tcBorders>
          </w:tcPr>
          <w:p>
            <w:pPr>
              <w:pStyle w:val="TableParagraph"/>
              <w:spacing w:line="240" w:lineRule="auto" w:before="156"/>
              <w:ind w:right="66"/>
              <w:jc w:val="right"/>
              <w:rPr>
                <w:rFonts w:ascii="Arial" w:hAnsi="Arial" w:cs="Arial" w:eastAsia="Arial" w:hint="default"/>
                <w:sz w:val="18"/>
                <w:szCs w:val="18"/>
              </w:rPr>
            </w:pPr>
            <w:r>
              <w:rPr>
                <w:rFonts w:ascii="Arial"/>
                <w:spacing w:val="-1"/>
                <w:sz w:val="18"/>
              </w:rPr>
              <w:t>(1,468,152,809)</w:t>
            </w:r>
          </w:p>
        </w:tc>
      </w:tr>
    </w:tbl>
    <w:p>
      <w:pPr>
        <w:spacing w:line="240" w:lineRule="auto" w:before="11"/>
        <w:rPr>
          <w:rFonts w:ascii="宋体" w:hAnsi="宋体" w:cs="宋体" w:eastAsia="宋体" w:hint="default"/>
          <w:sz w:val="13"/>
          <w:szCs w:val="13"/>
        </w:rPr>
      </w:pPr>
    </w:p>
    <w:p>
      <w:pPr>
        <w:pStyle w:val="BodyText"/>
        <w:spacing w:line="286" w:lineRule="exact" w:before="61"/>
        <w:ind w:left="1016" w:right="0" w:hanging="461"/>
        <w:jc w:val="left"/>
      </w:pPr>
      <w:r>
        <w:rPr/>
        <w:t>注 </w:t>
      </w:r>
      <w:r>
        <w:rPr>
          <w:rFonts w:ascii="Arial" w:hAnsi="Arial" w:cs="Arial" w:eastAsia="Arial" w:hint="default"/>
          <w:spacing w:val="-2"/>
        </w:rPr>
        <w:t>1</w:t>
      </w:r>
      <w:r>
        <w:rPr>
          <w:spacing w:val="-2"/>
        </w:rPr>
        <w:t>：如附注三</w:t>
      </w:r>
      <w:r>
        <w:rPr>
          <w:rFonts w:ascii="Arial" w:hAnsi="Arial" w:cs="Arial" w:eastAsia="Arial" w:hint="default"/>
          <w:spacing w:val="-2"/>
        </w:rPr>
        <w:t>(19)</w:t>
      </w:r>
      <w:r>
        <w:rPr>
          <w:spacing w:val="-2"/>
        </w:rPr>
        <w:t>所述，本集团的个别子公司向职工提供其他离退休后补充福利，该福利被视为设定受益计划。重新计量设定受益计划净负债所产生的</w:t>
      </w:r>
      <w:r>
        <w:rPr>
          <w:spacing w:val="-47"/>
        </w:rPr>
        <w:t> </w:t>
      </w:r>
      <w:r>
        <w:rPr>
          <w:spacing w:val="-47"/>
        </w:rPr>
      </w:r>
      <w:r>
        <w:rPr/>
        <w:t>变动使本集团其他综合收益减少约人民币</w:t>
      </w:r>
      <w:r>
        <w:rPr>
          <w:spacing w:val="-57"/>
        </w:rPr>
        <w:t> </w:t>
      </w:r>
      <w:r>
        <w:rPr>
          <w:rFonts w:ascii="Arial" w:hAnsi="Arial" w:cs="Arial" w:eastAsia="Arial" w:hint="default"/>
        </w:rPr>
        <w:t>72</w:t>
      </w:r>
      <w:r>
        <w:rPr>
          <w:rFonts w:ascii="Arial" w:hAnsi="Arial" w:cs="Arial" w:eastAsia="Arial" w:hint="default"/>
          <w:spacing w:val="-11"/>
        </w:rPr>
        <w:t> </w:t>
      </w:r>
      <w:r>
        <w:rPr/>
        <w:t>万元（</w:t>
      </w:r>
      <w:r>
        <w:rPr>
          <w:rFonts w:ascii="Arial" w:hAnsi="Arial" w:cs="Arial" w:eastAsia="Arial" w:hint="default"/>
        </w:rPr>
        <w:t>2013</w:t>
      </w:r>
      <w:r>
        <w:rPr>
          <w:rFonts w:ascii="Arial" w:hAnsi="Arial" w:cs="Arial" w:eastAsia="Arial" w:hint="default"/>
          <w:spacing w:val="-9"/>
        </w:rPr>
        <w:t> </w:t>
      </w:r>
      <w:r>
        <w:rPr/>
        <w:t>年：减少约人民币</w:t>
      </w:r>
      <w:r>
        <w:rPr>
          <w:spacing w:val="-57"/>
        </w:rPr>
        <w:t> </w:t>
      </w:r>
      <w:r>
        <w:rPr>
          <w:rFonts w:ascii="Arial" w:hAnsi="Arial" w:cs="Arial" w:eastAsia="Arial" w:hint="default"/>
        </w:rPr>
        <w:t>80</w:t>
      </w:r>
      <w:r>
        <w:rPr>
          <w:rFonts w:ascii="Arial" w:hAnsi="Arial" w:cs="Arial" w:eastAsia="Arial" w:hint="default"/>
          <w:spacing w:val="-9"/>
        </w:rPr>
        <w:t> </w:t>
      </w:r>
      <w:r>
        <w:rPr/>
        <w:t>万元）。</w:t>
      </w:r>
    </w:p>
    <w:p>
      <w:pPr>
        <w:spacing w:line="240" w:lineRule="auto" w:before="1"/>
        <w:rPr>
          <w:rFonts w:ascii="宋体" w:hAnsi="宋体" w:cs="宋体" w:eastAsia="宋体" w:hint="default"/>
          <w:sz w:val="17"/>
          <w:szCs w:val="17"/>
        </w:rPr>
      </w:pPr>
    </w:p>
    <w:p>
      <w:pPr>
        <w:pStyle w:val="BodyText"/>
        <w:spacing w:line="295" w:lineRule="exact"/>
        <w:ind w:left="555" w:right="0"/>
        <w:jc w:val="left"/>
        <w:rPr>
          <w:rFonts w:ascii="Arial" w:hAnsi="Arial" w:cs="Arial" w:eastAsia="Arial" w:hint="default"/>
        </w:rPr>
      </w:pPr>
      <w:r>
        <w:rPr/>
        <w:t>注</w:t>
      </w:r>
      <w:r>
        <w:rPr>
          <w:spacing w:val="-62"/>
        </w:rPr>
        <w:t> </w:t>
      </w:r>
      <w:r>
        <w:rPr>
          <w:rFonts w:ascii="Arial" w:hAnsi="Arial" w:cs="Arial" w:eastAsia="Arial" w:hint="default"/>
        </w:rPr>
        <w:t>2</w:t>
      </w:r>
      <w:r>
        <w:rPr/>
        <w:t>：如附注五</w:t>
      </w:r>
      <w:r>
        <w:rPr>
          <w:rFonts w:ascii="Arial" w:hAnsi="Arial" w:cs="Arial" w:eastAsia="Arial" w:hint="default"/>
        </w:rPr>
        <w:t>(8)</w:t>
      </w:r>
      <w:r>
        <w:rPr/>
        <w:t>所述，本公司所属子公司持有的可供出售金融资产产生的公允价值变动被计入其他综合收益项下。根据本公司的持股比例，截至</w:t>
      </w:r>
      <w:r>
        <w:rPr>
          <w:spacing w:val="-60"/>
        </w:rPr>
        <w:t> </w:t>
      </w:r>
      <w:r>
        <w:rPr>
          <w:rFonts w:ascii="Arial" w:hAnsi="Arial" w:cs="Arial" w:eastAsia="Arial" w:hint="default"/>
        </w:rPr>
        <w:t>2014</w:t>
      </w:r>
    </w:p>
    <w:p>
      <w:pPr>
        <w:pStyle w:val="BodyText"/>
        <w:spacing w:line="295" w:lineRule="exact"/>
        <w:ind w:left="1196" w:right="0"/>
        <w:jc w:val="left"/>
      </w:pP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日，该可供出售金融资产公允价值变动减少本集团其他综合收益约人民币</w:t>
      </w:r>
      <w:r>
        <w:rPr>
          <w:spacing w:val="-55"/>
        </w:rPr>
        <w:t> </w:t>
      </w:r>
      <w:r>
        <w:rPr>
          <w:rFonts w:ascii="Arial" w:hAnsi="Arial" w:cs="Arial" w:eastAsia="Arial" w:hint="default"/>
        </w:rPr>
        <w:t>1.55</w:t>
      </w:r>
      <w:r>
        <w:rPr>
          <w:rFonts w:ascii="Arial" w:hAnsi="Arial" w:cs="Arial" w:eastAsia="Arial" w:hint="default"/>
          <w:spacing w:val="-10"/>
        </w:rPr>
        <w:t> </w:t>
      </w:r>
      <w:r>
        <w:rPr/>
        <w:t>亿元（</w:t>
      </w:r>
      <w:r>
        <w:rPr>
          <w:rFonts w:ascii="Arial" w:hAnsi="Arial" w:cs="Arial" w:eastAsia="Arial" w:hint="default"/>
        </w:rPr>
        <w:t>2013</w:t>
      </w:r>
      <w:r>
        <w:rPr>
          <w:rFonts w:ascii="Arial" w:hAnsi="Arial" w:cs="Arial" w:eastAsia="Arial" w:hint="default"/>
          <w:spacing w:val="-8"/>
        </w:rPr>
        <w:t> </w:t>
      </w:r>
      <w:r>
        <w:rPr/>
        <w:t>年：增加约人民币</w:t>
      </w:r>
      <w:r>
        <w:rPr>
          <w:spacing w:val="-56"/>
        </w:rPr>
        <w:t> </w:t>
      </w:r>
      <w:r>
        <w:rPr>
          <w:rFonts w:ascii="Arial" w:hAnsi="Arial" w:cs="Arial" w:eastAsia="Arial" w:hint="default"/>
        </w:rPr>
        <w:t>2.32</w:t>
      </w:r>
      <w:r>
        <w:rPr>
          <w:rFonts w:ascii="Arial" w:hAnsi="Arial" w:cs="Arial" w:eastAsia="Arial" w:hint="default"/>
          <w:spacing w:val="-8"/>
        </w:rPr>
        <w:t> </w:t>
      </w:r>
      <w:r>
        <w:rPr/>
        <w:t>亿元）。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before="77"/>
        <w:ind w:left="7495" w:right="7478" w:firstLine="0"/>
        <w:jc w:val="center"/>
        <w:rPr>
          <w:rFonts w:ascii="Arial" w:hAnsi="Arial" w:cs="Arial" w:eastAsia="Arial" w:hint="default"/>
          <w:sz w:val="18"/>
          <w:szCs w:val="18"/>
        </w:rPr>
      </w:pPr>
      <w:r>
        <w:rPr>
          <w:rFonts w:ascii="Arial"/>
          <w:sz w:val="18"/>
        </w:rPr>
        <w:t>120</w:t>
      </w:r>
    </w:p>
    <w:p>
      <w:pPr>
        <w:spacing w:after="0"/>
        <w:jc w:val="center"/>
        <w:rPr>
          <w:rFonts w:ascii="Arial" w:hAnsi="Arial" w:cs="Arial" w:eastAsia="Arial" w:hint="default"/>
          <w:sz w:val="18"/>
          <w:szCs w:val="18"/>
        </w:rPr>
        <w:sectPr>
          <w:headerReference w:type="default" r:id="rId107"/>
          <w:footerReference w:type="default" r:id="rId108"/>
          <w:pgSz w:w="16840" w:h="11910" w:orient="landscape"/>
          <w:pgMar w:header="0" w:footer="0" w:top="1100" w:bottom="280" w:left="460" w:right="1060"/>
        </w:sectPr>
      </w:pPr>
    </w:p>
    <w:p>
      <w:pPr>
        <w:spacing w:line="240" w:lineRule="auto" w:before="1"/>
        <w:rPr>
          <w:rFonts w:ascii="Arial" w:hAnsi="Arial" w:cs="Arial" w:eastAsia="Arial" w:hint="default"/>
          <w:sz w:val="19"/>
          <w:szCs w:val="19"/>
        </w:rPr>
      </w:pPr>
    </w:p>
    <w:p>
      <w:pPr>
        <w:pStyle w:val="BodyText"/>
        <w:spacing w:line="240" w:lineRule="auto" w:before="32"/>
        <w:ind w:left="102" w:right="115"/>
        <w:jc w:val="left"/>
      </w:pPr>
      <w:r>
        <w:rPr>
          <w:rFonts w:ascii="Arial" w:hAnsi="Arial" w:cs="Arial" w:eastAsia="Arial" w:hint="default"/>
        </w:rPr>
        <w:t>34</w:t>
      </w:r>
      <w:r>
        <w:rPr/>
        <w:t>、盈余公积</w:t>
      </w:r>
    </w:p>
    <w:p>
      <w:pPr>
        <w:spacing w:line="240" w:lineRule="auto" w:before="0"/>
        <w:rPr>
          <w:rFonts w:ascii="宋体" w:hAnsi="宋体" w:cs="宋体" w:eastAsia="宋体" w:hint="default"/>
          <w:sz w:val="23"/>
          <w:szCs w:val="23"/>
        </w:rPr>
      </w:pPr>
    </w:p>
    <w:tbl>
      <w:tblPr>
        <w:tblW w:w="0" w:type="auto"/>
        <w:jc w:val="left"/>
        <w:tblInd w:w="551" w:type="dxa"/>
        <w:tblLayout w:type="fixed"/>
        <w:tblCellMar>
          <w:top w:w="0" w:type="dxa"/>
          <w:left w:w="0" w:type="dxa"/>
          <w:bottom w:w="0" w:type="dxa"/>
          <w:right w:w="0" w:type="dxa"/>
        </w:tblCellMar>
        <w:tblLook w:val="01E0"/>
      </w:tblPr>
      <w:tblGrid>
        <w:gridCol w:w="1934"/>
        <w:gridCol w:w="2029"/>
        <w:gridCol w:w="1955"/>
        <w:gridCol w:w="1467"/>
        <w:gridCol w:w="1631"/>
      </w:tblGrid>
      <w:tr>
        <w:trPr>
          <w:trHeight w:val="550" w:hRule="exact"/>
        </w:trPr>
        <w:tc>
          <w:tcPr>
            <w:tcW w:w="1934" w:type="dxa"/>
            <w:tcBorders>
              <w:top w:val="nil" w:sz="6" w:space="0" w:color="auto"/>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1"/>
              <w:jc w:val="center"/>
              <w:rPr>
                <w:rFonts w:ascii="宋体" w:hAnsi="宋体" w:cs="宋体" w:eastAsia="宋体" w:hint="default"/>
                <w:sz w:val="22"/>
                <w:szCs w:val="22"/>
              </w:rPr>
            </w:pPr>
            <w:r>
              <w:rPr>
                <w:rFonts w:ascii="宋体" w:hAnsi="宋体" w:cs="宋体" w:eastAsia="宋体" w:hint="default"/>
                <w:sz w:val="22"/>
                <w:szCs w:val="22"/>
              </w:rPr>
              <w:t>项目</w:t>
            </w:r>
          </w:p>
        </w:tc>
        <w:tc>
          <w:tcPr>
            <w:tcW w:w="2029" w:type="dxa"/>
            <w:tcBorders>
              <w:top w:val="nil" w:sz="6" w:space="0" w:color="auto"/>
              <w:left w:val="nil" w:sz="6" w:space="0" w:color="auto"/>
              <w:bottom w:val="single" w:sz="6" w:space="0" w:color="000000"/>
              <w:right w:val="nil" w:sz="6" w:space="0" w:color="auto"/>
            </w:tcBorders>
          </w:tcPr>
          <w:p>
            <w:pPr>
              <w:pStyle w:val="TableParagraph"/>
              <w:spacing w:line="227" w:lineRule="exact"/>
              <w:ind w:left="1046" w:right="0"/>
              <w:jc w:val="lef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8"/>
                <w:sz w:val="22"/>
                <w:szCs w:val="22"/>
              </w:rPr>
              <w:t> </w:t>
            </w:r>
            <w:r>
              <w:rPr>
                <w:rFonts w:ascii="宋体" w:hAnsi="宋体" w:cs="宋体" w:eastAsia="宋体" w:hint="default"/>
                <w:sz w:val="22"/>
                <w:szCs w:val="22"/>
              </w:rPr>
              <w:t>年</w:t>
            </w:r>
          </w:p>
          <w:p>
            <w:pPr>
              <w:pStyle w:val="TableParagraph"/>
              <w:spacing w:line="295" w:lineRule="exact"/>
              <w:ind w:left="718"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955" w:type="dxa"/>
            <w:tcBorders>
              <w:top w:val="nil" w:sz="6" w:space="0" w:color="auto"/>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611" w:right="0"/>
              <w:jc w:val="left"/>
              <w:rPr>
                <w:rFonts w:ascii="宋体" w:hAnsi="宋体" w:cs="宋体" w:eastAsia="宋体" w:hint="default"/>
                <w:sz w:val="22"/>
                <w:szCs w:val="22"/>
              </w:rPr>
            </w:pPr>
            <w:r>
              <w:rPr>
                <w:rFonts w:ascii="宋体" w:hAnsi="宋体" w:cs="宋体" w:eastAsia="宋体" w:hint="default"/>
                <w:sz w:val="22"/>
                <w:szCs w:val="22"/>
              </w:rPr>
              <w:t>本年增加</w:t>
            </w:r>
          </w:p>
        </w:tc>
        <w:tc>
          <w:tcPr>
            <w:tcW w:w="1467" w:type="dxa"/>
            <w:tcBorders>
              <w:top w:val="nil" w:sz="6" w:space="0" w:color="auto"/>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21"/>
              <w:jc w:val="right"/>
              <w:rPr>
                <w:rFonts w:ascii="宋体" w:hAnsi="宋体" w:cs="宋体" w:eastAsia="宋体" w:hint="default"/>
                <w:sz w:val="22"/>
                <w:szCs w:val="22"/>
              </w:rPr>
            </w:pPr>
            <w:r>
              <w:rPr>
                <w:rFonts w:ascii="宋体" w:hAnsi="宋体" w:cs="宋体" w:eastAsia="宋体" w:hint="default"/>
                <w:sz w:val="22"/>
                <w:szCs w:val="22"/>
              </w:rPr>
              <w:t>本年减少</w:t>
            </w:r>
          </w:p>
        </w:tc>
        <w:tc>
          <w:tcPr>
            <w:tcW w:w="1631" w:type="dxa"/>
            <w:tcBorders>
              <w:top w:val="nil" w:sz="6" w:space="0" w:color="auto"/>
              <w:left w:val="nil" w:sz="6" w:space="0" w:color="auto"/>
              <w:bottom w:val="single" w:sz="6" w:space="0" w:color="000000"/>
              <w:right w:val="nil" w:sz="6" w:space="0" w:color="auto"/>
            </w:tcBorders>
          </w:tcPr>
          <w:p>
            <w:pPr>
              <w:pStyle w:val="TableParagraph"/>
              <w:spacing w:line="227" w:lineRule="exact"/>
              <w:ind w:left="851"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p>
          <w:p>
            <w:pPr>
              <w:pStyle w:val="TableParagraph"/>
              <w:spacing w:line="295" w:lineRule="exact"/>
              <w:ind w:left="522"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7" w:hRule="exact"/>
        </w:trPr>
        <w:tc>
          <w:tcPr>
            <w:tcW w:w="1934"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22"/>
                <w:szCs w:val="22"/>
              </w:rPr>
            </w:pPr>
            <w:r>
              <w:rPr>
                <w:rFonts w:ascii="宋体" w:hAnsi="宋体" w:cs="宋体" w:eastAsia="宋体" w:hint="default"/>
                <w:sz w:val="22"/>
                <w:szCs w:val="22"/>
              </w:rPr>
              <w:t>法定盈余公积</w:t>
            </w:r>
          </w:p>
        </w:tc>
        <w:tc>
          <w:tcPr>
            <w:tcW w:w="2029" w:type="dxa"/>
            <w:tcBorders>
              <w:top w:val="single" w:sz="6"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516" w:right="0"/>
              <w:jc w:val="left"/>
              <w:rPr>
                <w:rFonts w:ascii="Arial" w:hAnsi="Arial" w:cs="Arial" w:eastAsia="Arial" w:hint="default"/>
                <w:sz w:val="22"/>
                <w:szCs w:val="22"/>
              </w:rPr>
            </w:pPr>
            <w:r>
              <w:rPr>
                <w:rFonts w:ascii="Arial"/>
                <w:sz w:val="22"/>
              </w:rPr>
              <w:t>919,120,486</w:t>
            </w:r>
          </w:p>
        </w:tc>
        <w:tc>
          <w:tcPr>
            <w:tcW w:w="1955" w:type="dxa"/>
            <w:tcBorders>
              <w:top w:val="single" w:sz="6"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13" w:right="0"/>
              <w:jc w:val="left"/>
              <w:rPr>
                <w:rFonts w:ascii="Arial" w:hAnsi="Arial" w:cs="Arial" w:eastAsia="Arial" w:hint="default"/>
                <w:sz w:val="22"/>
                <w:szCs w:val="22"/>
              </w:rPr>
            </w:pPr>
            <w:r>
              <w:rPr>
                <w:rFonts w:ascii="Arial"/>
                <w:sz w:val="22"/>
              </w:rPr>
              <w:t>125,702,273</w:t>
            </w:r>
          </w:p>
        </w:tc>
        <w:tc>
          <w:tcPr>
            <w:tcW w:w="1467" w:type="dxa"/>
            <w:tcBorders>
              <w:top w:val="single" w:sz="6"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80"/>
              <w:jc w:val="right"/>
              <w:rPr>
                <w:rFonts w:ascii="Arial" w:hAnsi="Arial" w:cs="Arial" w:eastAsia="Arial" w:hint="default"/>
                <w:sz w:val="22"/>
                <w:szCs w:val="22"/>
              </w:rPr>
            </w:pPr>
            <w:r>
              <w:rPr>
                <w:rFonts w:ascii="Arial"/>
                <w:w w:val="100"/>
                <w:sz w:val="22"/>
              </w:rPr>
              <w:t>-</w:t>
            </w:r>
          </w:p>
        </w:tc>
        <w:tc>
          <w:tcPr>
            <w:tcW w:w="1631" w:type="dxa"/>
            <w:tcBorders>
              <w:top w:val="single" w:sz="6"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3" w:right="0"/>
              <w:jc w:val="left"/>
              <w:rPr>
                <w:rFonts w:ascii="Arial" w:hAnsi="Arial" w:cs="Arial" w:eastAsia="Arial" w:hint="default"/>
                <w:sz w:val="22"/>
                <w:szCs w:val="22"/>
              </w:rPr>
            </w:pPr>
            <w:r>
              <w:rPr>
                <w:rFonts w:ascii="Arial"/>
                <w:sz w:val="22"/>
              </w:rPr>
              <w:t>1,044,822,759</w:t>
            </w:r>
          </w:p>
        </w:tc>
      </w:tr>
    </w:tbl>
    <w:p>
      <w:pPr>
        <w:spacing w:line="240" w:lineRule="auto" w:before="13"/>
        <w:rPr>
          <w:rFonts w:ascii="宋体" w:hAnsi="宋体" w:cs="宋体" w:eastAsia="宋体" w:hint="default"/>
          <w:sz w:val="13"/>
          <w:szCs w:val="13"/>
        </w:rPr>
      </w:pPr>
    </w:p>
    <w:p>
      <w:pPr>
        <w:pStyle w:val="BodyText"/>
        <w:spacing w:line="228" w:lineRule="auto" w:before="45"/>
        <w:ind w:left="551" w:right="137"/>
        <w:jc w:val="both"/>
      </w:pPr>
      <w:r>
        <w:rPr>
          <w:spacing w:val="-3"/>
        </w:rPr>
        <w:t>根据《中华人民共和国公司法》及本公司《公司章程》，本公司于年度决算时按年度净利润的</w:t>
      </w:r>
      <w:r>
        <w:rPr>
          <w:spacing w:val="-41"/>
        </w:rPr>
        <w:t> </w:t>
      </w:r>
      <w:r>
        <w:rPr>
          <w:spacing w:val="-41"/>
        </w:rPr>
      </w:r>
      <w:r>
        <w:rPr>
          <w:rFonts w:ascii="Arial" w:hAnsi="Arial" w:cs="Arial" w:eastAsia="Arial" w:hint="default"/>
          <w:spacing w:val="-3"/>
        </w:rPr>
        <w:t>10%</w:t>
      </w:r>
      <w:r>
        <w:rPr>
          <w:spacing w:val="-3"/>
        </w:rPr>
        <w:t>提取法定盈余公积金。当法定盈余公积金累计额达到股本的 </w:t>
      </w:r>
      <w:r>
        <w:rPr>
          <w:rFonts w:ascii="Arial" w:hAnsi="Arial" w:cs="Arial" w:eastAsia="Arial" w:hint="default"/>
          <w:spacing w:val="-6"/>
        </w:rPr>
        <w:t>50%</w:t>
      </w:r>
      <w:r>
        <w:rPr>
          <w:spacing w:val="-6"/>
        </w:rPr>
        <w:t>以上时，可不再提取。法</w:t>
      </w:r>
      <w:r>
        <w:rPr>
          <w:spacing w:val="-101"/>
        </w:rPr>
        <w:t> </w:t>
      </w:r>
      <w:r>
        <w:rPr>
          <w:spacing w:val="-101"/>
        </w:rPr>
      </w:r>
      <w:r>
        <w:rPr/>
        <w:t>定盈余公积金经批准后可用于弥补亏损，或者增加股本。经董事会决议，本公司</w:t>
      </w:r>
      <w:r>
        <w:rPr>
          <w:spacing w:val="-50"/>
        </w:rPr>
        <w:t> </w:t>
      </w:r>
      <w:r>
        <w:rPr>
          <w:rFonts w:ascii="Arial" w:hAnsi="Arial" w:cs="Arial" w:eastAsia="Arial" w:hint="default"/>
        </w:rPr>
        <w:t>2014</w:t>
      </w:r>
      <w:r>
        <w:rPr>
          <w:rFonts w:ascii="Arial" w:hAnsi="Arial" w:cs="Arial" w:eastAsia="Arial" w:hint="default"/>
          <w:spacing w:val="-5"/>
        </w:rPr>
        <w:t> </w:t>
      </w:r>
      <w:r>
        <w:rPr/>
        <w:t>年按净</w:t>
      </w:r>
      <w:r>
        <w:rPr>
          <w:w w:val="100"/>
        </w:rPr>
        <w:t> </w:t>
      </w:r>
      <w:r>
        <w:rPr/>
        <w:t>利润的</w:t>
      </w:r>
      <w:r>
        <w:rPr>
          <w:spacing w:val="-42"/>
        </w:rPr>
        <w:t> </w:t>
      </w:r>
      <w:r>
        <w:rPr>
          <w:rFonts w:ascii="Arial" w:hAnsi="Arial" w:cs="Arial" w:eastAsia="Arial" w:hint="default"/>
        </w:rPr>
        <w:t>10%</w:t>
      </w:r>
      <w:r>
        <w:rPr/>
        <w:t>提取法定盈余公积约人民币</w:t>
      </w:r>
      <w:r>
        <w:rPr>
          <w:spacing w:val="-41"/>
        </w:rPr>
        <w:t> </w:t>
      </w:r>
      <w:r>
        <w:rPr>
          <w:rFonts w:ascii="Arial" w:hAnsi="Arial" w:cs="Arial" w:eastAsia="Arial" w:hint="default"/>
        </w:rPr>
        <w:t>1.26</w:t>
      </w:r>
      <w:r>
        <w:rPr>
          <w:rFonts w:ascii="Arial" w:hAnsi="Arial" w:cs="Arial" w:eastAsia="Arial" w:hint="default"/>
          <w:spacing w:val="7"/>
        </w:rPr>
        <w:t> </w:t>
      </w:r>
      <w:r>
        <w:rPr/>
        <w:t>亿元（</w:t>
      </w:r>
      <w:r>
        <w:rPr>
          <w:rFonts w:ascii="Arial" w:hAnsi="Arial" w:cs="Arial" w:eastAsia="Arial" w:hint="default"/>
        </w:rPr>
        <w:t>2013</w:t>
      </w:r>
      <w:r>
        <w:rPr>
          <w:rFonts w:ascii="Arial" w:hAnsi="Arial" w:cs="Arial" w:eastAsia="Arial" w:hint="default"/>
          <w:spacing w:val="7"/>
        </w:rPr>
        <w:t> </w:t>
      </w:r>
      <w:r>
        <w:rPr/>
        <w:t>年度：按净利润的</w:t>
      </w:r>
      <w:r>
        <w:rPr>
          <w:spacing w:val="-41"/>
        </w:rPr>
        <w:t> </w:t>
      </w:r>
      <w:r>
        <w:rPr>
          <w:rFonts w:ascii="Arial" w:hAnsi="Arial" w:cs="Arial" w:eastAsia="Arial" w:hint="default"/>
        </w:rPr>
        <w:t>10%</w:t>
      </w:r>
      <w:r>
        <w:rPr/>
        <w:t>提取，共约</w:t>
      </w:r>
      <w:r>
        <w:rPr>
          <w:w w:val="100"/>
        </w:rPr>
        <w:t> </w:t>
      </w:r>
      <w:r>
        <w:rPr/>
        <w:t>人民币</w:t>
      </w:r>
      <w:r>
        <w:rPr>
          <w:spacing w:val="-55"/>
        </w:rPr>
        <w:t> </w:t>
      </w:r>
      <w:r>
        <w:rPr>
          <w:rFonts w:ascii="Arial" w:hAnsi="Arial" w:cs="Arial" w:eastAsia="Arial" w:hint="default"/>
        </w:rPr>
        <w:t>0.95</w:t>
      </w:r>
      <w:r>
        <w:rPr>
          <w:rFonts w:ascii="Arial" w:hAnsi="Arial" w:cs="Arial" w:eastAsia="Arial" w:hint="default"/>
          <w:spacing w:val="-7"/>
        </w:rPr>
        <w:t> </w:t>
      </w:r>
      <w:r>
        <w:rPr/>
        <w:t>亿元）。</w:t>
      </w:r>
    </w:p>
    <w:p>
      <w:pPr>
        <w:spacing w:line="240" w:lineRule="auto" w:before="1"/>
        <w:rPr>
          <w:rFonts w:ascii="宋体" w:hAnsi="宋体" w:cs="宋体" w:eastAsia="宋体" w:hint="default"/>
          <w:sz w:val="18"/>
          <w:szCs w:val="18"/>
        </w:rPr>
      </w:pPr>
    </w:p>
    <w:p>
      <w:pPr>
        <w:pStyle w:val="BodyText"/>
        <w:spacing w:line="240" w:lineRule="auto"/>
        <w:ind w:left="102" w:right="115"/>
        <w:jc w:val="left"/>
      </w:pPr>
      <w:r>
        <w:rPr>
          <w:rFonts w:ascii="Arial" w:hAnsi="Arial" w:cs="Arial" w:eastAsia="Arial" w:hint="default"/>
        </w:rPr>
        <w:t>35</w:t>
      </w:r>
      <w:r>
        <w:rPr/>
        <w:t>、未分配利润</w:t>
      </w:r>
    </w:p>
    <w:p>
      <w:pPr>
        <w:spacing w:line="240" w:lineRule="auto" w:before="3"/>
        <w:rPr>
          <w:rFonts w:ascii="宋体" w:hAnsi="宋体" w:cs="宋体" w:eastAsia="宋体" w:hint="default"/>
          <w:sz w:val="23"/>
          <w:szCs w:val="23"/>
        </w:rPr>
      </w:pPr>
    </w:p>
    <w:tbl>
      <w:tblPr>
        <w:tblW w:w="0" w:type="auto"/>
        <w:jc w:val="left"/>
        <w:tblInd w:w="346" w:type="dxa"/>
        <w:tblLayout w:type="fixed"/>
        <w:tblCellMar>
          <w:top w:w="0" w:type="dxa"/>
          <w:left w:w="0" w:type="dxa"/>
          <w:bottom w:w="0" w:type="dxa"/>
          <w:right w:w="0" w:type="dxa"/>
        </w:tblCellMar>
        <w:tblLook w:val="01E0"/>
      </w:tblPr>
      <w:tblGrid>
        <w:gridCol w:w="3899"/>
        <w:gridCol w:w="612"/>
        <w:gridCol w:w="2032"/>
        <w:gridCol w:w="388"/>
        <w:gridCol w:w="2163"/>
      </w:tblGrid>
      <w:tr>
        <w:trPr>
          <w:trHeight w:val="262" w:hRule="exact"/>
        </w:trPr>
        <w:tc>
          <w:tcPr>
            <w:tcW w:w="3899"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single" w:sz="4" w:space="0" w:color="000000"/>
              <w:right w:val="nil" w:sz="6" w:space="0" w:color="auto"/>
            </w:tcBorders>
          </w:tcPr>
          <w:p>
            <w:pPr>
              <w:pStyle w:val="TableParagraph"/>
              <w:spacing w:line="236" w:lineRule="exact"/>
              <w:ind w:right="97"/>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7"/>
                <w:sz w:val="22"/>
                <w:szCs w:val="22"/>
              </w:rPr>
              <w:t> </w:t>
            </w:r>
            <w:r>
              <w:rPr>
                <w:rFonts w:ascii="宋体" w:hAnsi="宋体" w:cs="宋体" w:eastAsia="宋体" w:hint="default"/>
                <w:sz w:val="22"/>
                <w:szCs w:val="22"/>
              </w:rPr>
              <w:t>年度</w:t>
            </w:r>
          </w:p>
        </w:tc>
        <w:tc>
          <w:tcPr>
            <w:tcW w:w="388"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single" w:sz="4" w:space="0" w:color="000000"/>
              <w:right w:val="nil" w:sz="6" w:space="0" w:color="auto"/>
            </w:tcBorders>
          </w:tcPr>
          <w:p>
            <w:pPr>
              <w:pStyle w:val="TableParagraph"/>
              <w:spacing w:line="236" w:lineRule="exact"/>
              <w:ind w:left="1037" w:right="0"/>
              <w:jc w:val="lef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7"/>
                <w:sz w:val="22"/>
                <w:szCs w:val="22"/>
              </w:rPr>
              <w:t> </w:t>
            </w:r>
            <w:r>
              <w:rPr>
                <w:rFonts w:ascii="宋体" w:hAnsi="宋体" w:cs="宋体" w:eastAsia="宋体" w:hint="default"/>
                <w:sz w:val="22"/>
                <w:szCs w:val="22"/>
              </w:rPr>
              <w:t>年度</w:t>
            </w:r>
          </w:p>
        </w:tc>
      </w:tr>
      <w:tr>
        <w:trPr>
          <w:trHeight w:val="298" w:hRule="exact"/>
        </w:trPr>
        <w:tc>
          <w:tcPr>
            <w:tcW w:w="3899"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Style w:val="TableParagraph"/>
              <w:spacing w:line="254" w:lineRule="exact"/>
              <w:ind w:left="67" w:right="0"/>
              <w:jc w:val="left"/>
              <w:rPr>
                <w:rFonts w:ascii="宋体" w:hAnsi="宋体" w:cs="宋体" w:eastAsia="宋体" w:hint="default"/>
                <w:sz w:val="22"/>
                <w:szCs w:val="22"/>
              </w:rPr>
            </w:pPr>
            <w:r>
              <w:rPr>
                <w:rFonts w:ascii="宋体" w:hAnsi="宋体" w:cs="宋体" w:eastAsia="宋体" w:hint="default"/>
                <w:sz w:val="22"/>
                <w:szCs w:val="22"/>
              </w:rPr>
              <w:t>注释</w:t>
            </w:r>
          </w:p>
        </w:tc>
        <w:tc>
          <w:tcPr>
            <w:tcW w:w="2032" w:type="dxa"/>
            <w:tcBorders>
              <w:top w:val="single" w:sz="4" w:space="0" w:color="000000"/>
              <w:left w:val="nil" w:sz="6" w:space="0" w:color="auto"/>
              <w:bottom w:val="single" w:sz="6" w:space="0" w:color="000000"/>
              <w:right w:val="nil" w:sz="6" w:space="0" w:color="auto"/>
            </w:tcBorders>
          </w:tcPr>
          <w:p>
            <w:pPr>
              <w:pStyle w:val="TableParagraph"/>
              <w:spacing w:line="249" w:lineRule="exact"/>
              <w:ind w:right="97"/>
              <w:jc w:val="right"/>
              <w:rPr>
                <w:rFonts w:ascii="宋体" w:hAnsi="宋体" w:cs="宋体" w:eastAsia="宋体" w:hint="default"/>
                <w:sz w:val="22"/>
                <w:szCs w:val="22"/>
              </w:rPr>
            </w:pPr>
            <w:r>
              <w:rPr>
                <w:rFonts w:ascii="宋体" w:hAnsi="宋体" w:cs="宋体" w:eastAsia="宋体" w:hint="default"/>
                <w:sz w:val="22"/>
                <w:szCs w:val="22"/>
              </w:rPr>
              <w:t>金额</w:t>
            </w:r>
          </w:p>
        </w:tc>
        <w:tc>
          <w:tcPr>
            <w:tcW w:w="388" w:type="dxa"/>
            <w:tcBorders>
              <w:top w:val="nil" w:sz="6" w:space="0" w:color="auto"/>
              <w:left w:val="nil" w:sz="6" w:space="0" w:color="auto"/>
              <w:bottom w:val="nil" w:sz="6" w:space="0" w:color="auto"/>
              <w:right w:val="nil" w:sz="6" w:space="0" w:color="auto"/>
            </w:tcBorders>
          </w:tcPr>
          <w:p>
            <w:pPr/>
          </w:p>
        </w:tc>
        <w:tc>
          <w:tcPr>
            <w:tcW w:w="2163" w:type="dxa"/>
            <w:tcBorders>
              <w:top w:val="single" w:sz="4" w:space="0" w:color="000000"/>
              <w:left w:val="nil" w:sz="6" w:space="0" w:color="auto"/>
              <w:bottom w:val="single" w:sz="6" w:space="0" w:color="000000"/>
              <w:right w:val="nil" w:sz="6" w:space="0" w:color="auto"/>
            </w:tcBorders>
          </w:tcPr>
          <w:p>
            <w:pPr>
              <w:pStyle w:val="TableParagraph"/>
              <w:spacing w:line="249" w:lineRule="exact"/>
              <w:ind w:right="138"/>
              <w:jc w:val="right"/>
              <w:rPr>
                <w:rFonts w:ascii="宋体" w:hAnsi="宋体" w:cs="宋体" w:eastAsia="宋体" w:hint="default"/>
                <w:sz w:val="22"/>
                <w:szCs w:val="22"/>
              </w:rPr>
            </w:pPr>
            <w:r>
              <w:rPr>
                <w:rFonts w:ascii="宋体" w:hAnsi="宋体" w:cs="宋体" w:eastAsia="宋体" w:hint="default"/>
                <w:sz w:val="22"/>
                <w:szCs w:val="22"/>
              </w:rPr>
              <w:t>金额</w:t>
            </w:r>
          </w:p>
        </w:tc>
      </w:tr>
      <w:tr>
        <w:trPr>
          <w:trHeight w:val="556"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年初未分配利润</w:t>
            </w:r>
          </w:p>
        </w:tc>
        <w:tc>
          <w:tcPr>
            <w:tcW w:w="612" w:type="dxa"/>
            <w:tcBorders>
              <w:top w:val="nil" w:sz="6" w:space="0" w:color="auto"/>
              <w:left w:val="nil" w:sz="6" w:space="0" w:color="auto"/>
              <w:bottom w:val="nil" w:sz="6" w:space="0" w:color="auto"/>
              <w:right w:val="nil" w:sz="6" w:space="0" w:color="auto"/>
            </w:tcBorders>
          </w:tcPr>
          <w:p>
            <w:pPr/>
          </w:p>
        </w:tc>
        <w:tc>
          <w:tcPr>
            <w:tcW w:w="203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5"/>
              <w:jc w:val="right"/>
              <w:rPr>
                <w:rFonts w:ascii="Arial" w:hAnsi="Arial" w:cs="Arial" w:eastAsia="Arial" w:hint="default"/>
                <w:sz w:val="22"/>
                <w:szCs w:val="22"/>
              </w:rPr>
            </w:pPr>
            <w:r>
              <w:rPr>
                <w:rFonts w:ascii="Arial"/>
                <w:spacing w:val="-1"/>
                <w:sz w:val="22"/>
              </w:rPr>
              <w:t>26,027,415,661</w:t>
            </w:r>
          </w:p>
        </w:tc>
        <w:tc>
          <w:tcPr>
            <w:tcW w:w="388" w:type="dxa"/>
            <w:tcBorders>
              <w:top w:val="nil" w:sz="6" w:space="0" w:color="auto"/>
              <w:left w:val="nil" w:sz="6" w:space="0" w:color="auto"/>
              <w:bottom w:val="nil" w:sz="6" w:space="0" w:color="auto"/>
              <w:right w:val="nil" w:sz="6" w:space="0" w:color="auto"/>
            </w:tcBorders>
          </w:tcPr>
          <w:p>
            <w:pPr/>
          </w:p>
        </w:tc>
        <w:tc>
          <w:tcPr>
            <w:tcW w:w="2163"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6"/>
              <w:jc w:val="right"/>
              <w:rPr>
                <w:rFonts w:ascii="Arial" w:hAnsi="Arial" w:cs="Arial" w:eastAsia="Arial" w:hint="default"/>
                <w:sz w:val="22"/>
                <w:szCs w:val="22"/>
              </w:rPr>
            </w:pPr>
            <w:r>
              <w:rPr>
                <w:rFonts w:ascii="Arial"/>
                <w:spacing w:val="-1"/>
                <w:sz w:val="22"/>
              </w:rPr>
              <w:t>23,525,010,902</w:t>
            </w:r>
          </w:p>
        </w:tc>
      </w:tr>
      <w:tr>
        <w:trPr>
          <w:trHeight w:val="286"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加：本年归属于母公司股东的净利润</w:t>
            </w:r>
          </w:p>
        </w:tc>
        <w:tc>
          <w:tcPr>
            <w:tcW w:w="61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
              <w:jc w:val="right"/>
              <w:rPr>
                <w:rFonts w:ascii="Arial" w:hAnsi="Arial" w:cs="Arial" w:eastAsia="Arial" w:hint="default"/>
                <w:sz w:val="22"/>
                <w:szCs w:val="22"/>
              </w:rPr>
            </w:pPr>
            <w:r>
              <w:rPr>
                <w:rFonts w:ascii="Arial"/>
                <w:spacing w:val="-1"/>
                <w:sz w:val="22"/>
              </w:rPr>
              <w:t>3,981,738,536</w:t>
            </w:r>
          </w:p>
        </w:tc>
        <w:tc>
          <w:tcPr>
            <w:tcW w:w="388"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6"/>
              <w:jc w:val="right"/>
              <w:rPr>
                <w:rFonts w:ascii="Arial" w:hAnsi="Arial" w:cs="Arial" w:eastAsia="Arial" w:hint="default"/>
                <w:sz w:val="22"/>
                <w:szCs w:val="22"/>
              </w:rPr>
            </w:pPr>
            <w:r>
              <w:rPr>
                <w:rFonts w:ascii="Arial"/>
                <w:spacing w:val="-1"/>
                <w:sz w:val="22"/>
              </w:rPr>
              <w:t>3,442,853,809</w:t>
            </w:r>
          </w:p>
        </w:tc>
      </w:tr>
      <w:tr>
        <w:trPr>
          <w:trHeight w:val="286"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宋体" w:hAnsi="宋体" w:cs="宋体" w:eastAsia="宋体" w:hint="default"/>
                <w:spacing w:val="-4"/>
                <w:sz w:val="22"/>
                <w:szCs w:val="22"/>
              </w:rPr>
              <w:t>减：提取法定盈余公积（附注五</w:t>
            </w:r>
            <w:r>
              <w:rPr>
                <w:rFonts w:ascii="Arial" w:hAnsi="Arial" w:cs="Arial" w:eastAsia="Arial" w:hint="default"/>
                <w:spacing w:val="-4"/>
                <w:sz w:val="22"/>
                <w:szCs w:val="22"/>
              </w:rPr>
              <w:t>(34)</w:t>
            </w:r>
            <w:r>
              <w:rPr>
                <w:rFonts w:ascii="宋体" w:hAnsi="宋体" w:cs="宋体" w:eastAsia="宋体" w:hint="default"/>
                <w:spacing w:val="-4"/>
                <w:sz w:val="22"/>
                <w:szCs w:val="22"/>
              </w:rPr>
              <w:t>）</w:t>
            </w:r>
          </w:p>
        </w:tc>
        <w:tc>
          <w:tcPr>
            <w:tcW w:w="61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Arial" w:hAnsi="Arial" w:cs="Arial" w:eastAsia="Arial" w:hint="default"/>
                <w:sz w:val="22"/>
                <w:szCs w:val="22"/>
              </w:rPr>
            </w:pPr>
            <w:r>
              <w:rPr>
                <w:rFonts w:ascii="Arial"/>
                <w:spacing w:val="-1"/>
                <w:sz w:val="22"/>
              </w:rPr>
              <w:t>(125,702,273)</w:t>
            </w:r>
          </w:p>
        </w:tc>
        <w:tc>
          <w:tcPr>
            <w:tcW w:w="388"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7"/>
              <w:jc w:val="right"/>
              <w:rPr>
                <w:rFonts w:ascii="Arial" w:hAnsi="Arial" w:cs="Arial" w:eastAsia="Arial" w:hint="default"/>
                <w:sz w:val="22"/>
                <w:szCs w:val="22"/>
              </w:rPr>
            </w:pPr>
            <w:r>
              <w:rPr>
                <w:rFonts w:ascii="Arial"/>
                <w:spacing w:val="-1"/>
                <w:sz w:val="22"/>
              </w:rPr>
              <w:t>(94,704,854)</w:t>
            </w:r>
          </w:p>
        </w:tc>
      </w:tr>
      <w:tr>
        <w:trPr>
          <w:trHeight w:val="292"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38" w:lineRule="exact"/>
              <w:ind w:left="622" w:right="0"/>
              <w:jc w:val="left"/>
              <w:rPr>
                <w:rFonts w:ascii="宋体" w:hAnsi="宋体" w:cs="宋体" w:eastAsia="宋体" w:hint="default"/>
                <w:sz w:val="22"/>
                <w:szCs w:val="22"/>
              </w:rPr>
            </w:pPr>
            <w:r>
              <w:rPr>
                <w:rFonts w:ascii="宋体" w:hAnsi="宋体" w:cs="宋体" w:eastAsia="宋体" w:hint="default"/>
                <w:sz w:val="22"/>
                <w:szCs w:val="22"/>
              </w:rPr>
              <w:t>应付普通股股利</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5" w:right="0"/>
              <w:jc w:val="left"/>
              <w:rPr>
                <w:rFonts w:ascii="Arial" w:hAnsi="Arial" w:cs="Arial" w:eastAsia="Arial" w:hint="default"/>
                <w:sz w:val="22"/>
                <w:szCs w:val="22"/>
              </w:rPr>
            </w:pPr>
            <w:r>
              <w:rPr>
                <w:rFonts w:ascii="Arial"/>
                <w:sz w:val="22"/>
              </w:rPr>
              <w:t>(a)</w:t>
            </w:r>
          </w:p>
        </w:tc>
        <w:tc>
          <w:tcPr>
            <w:tcW w:w="2032" w:type="dxa"/>
            <w:tcBorders>
              <w:top w:val="nil" w:sz="6" w:space="0" w:color="auto"/>
              <w:left w:val="nil" w:sz="6" w:space="0" w:color="auto"/>
              <w:bottom w:val="nil" w:sz="6" w:space="0" w:color="auto"/>
              <w:right w:val="nil" w:sz="6" w:space="0" w:color="auto"/>
            </w:tcBorders>
          </w:tcPr>
          <w:p>
            <w:pPr>
              <w:pStyle w:val="TableParagraph"/>
              <w:tabs>
                <w:tab w:pos="477" w:val="left" w:leader="none"/>
              </w:tabs>
              <w:spacing w:line="240" w:lineRule="auto" w:before="17"/>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(1,131,898,248)</w:t>
            </w:r>
            <w:r>
              <w:rPr>
                <w:rFonts w:ascii="Arial"/>
                <w:spacing w:val="-1"/>
                <w:sz w:val="22"/>
              </w:rPr>
            </w:r>
          </w:p>
        </w:tc>
        <w:tc>
          <w:tcPr>
            <w:tcW w:w="388"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tabs>
                <w:tab w:pos="765" w:val="left" w:leader="none"/>
              </w:tabs>
              <w:spacing w:line="240" w:lineRule="auto" w:before="17"/>
              <w:ind w:right="23"/>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(845,744,196)</w:t>
            </w:r>
            <w:r>
              <w:rPr>
                <w:rFonts w:ascii="Arial"/>
                <w:spacing w:val="-1"/>
                <w:sz w:val="22"/>
              </w:rPr>
            </w:r>
          </w:p>
        </w:tc>
      </w:tr>
      <w:tr>
        <w:trPr>
          <w:trHeight w:val="307" w:hRule="exact"/>
        </w:trPr>
        <w:tc>
          <w:tcPr>
            <w:tcW w:w="3899"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2"/>
                <w:szCs w:val="22"/>
              </w:rPr>
            </w:pPr>
            <w:r>
              <w:rPr>
                <w:rFonts w:ascii="宋体" w:hAnsi="宋体" w:cs="宋体" w:eastAsia="宋体" w:hint="default"/>
                <w:sz w:val="22"/>
                <w:szCs w:val="22"/>
              </w:rPr>
              <w:t>年末未分配利润</w:t>
            </w:r>
          </w:p>
        </w:tc>
        <w:tc>
          <w:tcPr>
            <w:tcW w:w="61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single" w:sz="17" w:space="0" w:color="000000"/>
              <w:right w:val="nil" w:sz="6" w:space="0" w:color="auto"/>
            </w:tcBorders>
          </w:tcPr>
          <w:p>
            <w:pPr>
              <w:pStyle w:val="TableParagraph"/>
              <w:spacing w:line="240" w:lineRule="auto" w:before="28"/>
              <w:ind w:right="27"/>
              <w:jc w:val="right"/>
              <w:rPr>
                <w:rFonts w:ascii="Arial" w:hAnsi="Arial" w:cs="Arial" w:eastAsia="Arial" w:hint="default"/>
                <w:sz w:val="22"/>
                <w:szCs w:val="22"/>
              </w:rPr>
            </w:pPr>
            <w:r>
              <w:rPr>
                <w:rFonts w:ascii="Arial"/>
                <w:spacing w:val="-1"/>
                <w:sz w:val="22"/>
              </w:rPr>
              <w:t>28,751,553,676</w:t>
            </w:r>
          </w:p>
        </w:tc>
        <w:tc>
          <w:tcPr>
            <w:tcW w:w="388"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single" w:sz="17" w:space="0" w:color="000000"/>
              <w:right w:val="nil" w:sz="6" w:space="0" w:color="auto"/>
            </w:tcBorders>
          </w:tcPr>
          <w:p>
            <w:pPr>
              <w:pStyle w:val="TableParagraph"/>
              <w:spacing w:line="240" w:lineRule="auto" w:before="28"/>
              <w:ind w:right="22"/>
              <w:jc w:val="right"/>
              <w:rPr>
                <w:rFonts w:ascii="Arial" w:hAnsi="Arial" w:cs="Arial" w:eastAsia="Arial" w:hint="default"/>
                <w:sz w:val="22"/>
                <w:szCs w:val="22"/>
              </w:rPr>
            </w:pPr>
            <w:r>
              <w:rPr>
                <w:rFonts w:ascii="Arial"/>
                <w:spacing w:val="-1"/>
                <w:sz w:val="22"/>
              </w:rPr>
              <w:t>26,027,415,661</w:t>
            </w:r>
          </w:p>
        </w:tc>
      </w:tr>
    </w:tbl>
    <w:p>
      <w:pPr>
        <w:spacing w:line="240" w:lineRule="auto" w:before="11"/>
        <w:rPr>
          <w:rFonts w:ascii="宋体" w:hAnsi="宋体" w:cs="宋体" w:eastAsia="宋体" w:hint="default"/>
          <w:sz w:val="13"/>
          <w:szCs w:val="13"/>
        </w:rPr>
      </w:pPr>
    </w:p>
    <w:p>
      <w:pPr>
        <w:pStyle w:val="BodyText"/>
        <w:spacing w:line="295" w:lineRule="exact" w:before="32"/>
        <w:ind w:left="561" w:right="115"/>
        <w:jc w:val="left"/>
      </w:pPr>
      <w:r>
        <w:rPr/>
        <w:t>于</w:t>
      </w:r>
      <w:r>
        <w:rPr>
          <w:spacing w:val="-52"/>
        </w:rPr>
        <w:t> </w:t>
      </w:r>
      <w:r>
        <w:rPr>
          <w:rFonts w:ascii="Arial" w:hAnsi="Arial" w:cs="Arial" w:eastAsia="Arial" w:hint="default"/>
        </w:rPr>
        <w:t>2014</w:t>
      </w:r>
      <w:r>
        <w:rPr>
          <w:rFonts w:ascii="Arial" w:hAnsi="Arial" w:cs="Arial" w:eastAsia="Arial" w:hint="default"/>
          <w:spacing w:val="-3"/>
        </w:rPr>
        <w:t> </w:t>
      </w:r>
      <w:r>
        <w:rPr/>
        <w:t>年</w:t>
      </w:r>
      <w:r>
        <w:rPr>
          <w:spacing w:val="-51"/>
        </w:rPr>
        <w:t> </w:t>
      </w:r>
      <w:r>
        <w:rPr>
          <w:rFonts w:ascii="Arial" w:hAnsi="Arial" w:cs="Arial" w:eastAsia="Arial" w:hint="default"/>
        </w:rPr>
        <w:t>4</w:t>
      </w:r>
      <w:r>
        <w:rPr>
          <w:rFonts w:ascii="Arial" w:hAnsi="Arial" w:cs="Arial" w:eastAsia="Arial" w:hint="default"/>
          <w:spacing w:val="-3"/>
        </w:rPr>
        <w:t> </w:t>
      </w:r>
      <w:r>
        <w:rPr/>
        <w:t>月</w:t>
      </w:r>
      <w:r>
        <w:rPr>
          <w:spacing w:val="-51"/>
        </w:rPr>
        <w:t> </w:t>
      </w:r>
      <w:r>
        <w:rPr>
          <w:rFonts w:ascii="Arial" w:hAnsi="Arial" w:cs="Arial" w:eastAsia="Arial" w:hint="default"/>
        </w:rPr>
        <w:t>16</w:t>
      </w:r>
      <w:r>
        <w:rPr>
          <w:rFonts w:ascii="Arial" w:hAnsi="Arial" w:cs="Arial" w:eastAsia="Arial" w:hint="default"/>
          <w:spacing w:val="-5"/>
        </w:rPr>
        <w:t> </w:t>
      </w:r>
      <w:r>
        <w:rPr/>
        <w:t>日，本公司股东大会批准根据</w:t>
      </w:r>
      <w:r>
        <w:rPr>
          <w:spacing w:val="-51"/>
        </w:rPr>
        <w:t> </w:t>
      </w:r>
      <w:r>
        <w:rPr>
          <w:rFonts w:ascii="Arial" w:hAnsi="Arial" w:cs="Arial" w:eastAsia="Arial" w:hint="default"/>
        </w:rPr>
        <w:t>2013</w:t>
      </w:r>
      <w:r>
        <w:rPr>
          <w:rFonts w:ascii="Arial" w:hAnsi="Arial" w:cs="Arial" w:eastAsia="Arial" w:hint="default"/>
          <w:spacing w:val="-3"/>
        </w:rPr>
        <w:t> </w:t>
      </w:r>
      <w:r>
        <w:rPr/>
        <w:t>年</w:t>
      </w:r>
      <w:r>
        <w:rPr>
          <w:spacing w:val="-51"/>
        </w:rPr>
        <w:t> </w:t>
      </w:r>
      <w:r>
        <w:rPr>
          <w:rFonts w:ascii="Arial" w:hAnsi="Arial" w:cs="Arial" w:eastAsia="Arial" w:hint="default"/>
        </w:rPr>
        <w:t>12</w:t>
      </w:r>
      <w:r>
        <w:rPr>
          <w:rFonts w:ascii="Arial" w:hAnsi="Arial" w:cs="Arial" w:eastAsia="Arial" w:hint="default"/>
          <w:spacing w:val="-3"/>
        </w:rPr>
        <w:t> </w:t>
      </w:r>
      <w:r>
        <w:rPr/>
        <w:t>月</w:t>
      </w:r>
      <w:r>
        <w:rPr>
          <w:spacing w:val="-51"/>
        </w:rPr>
        <w:t> </w:t>
      </w:r>
      <w:r>
        <w:rPr>
          <w:rFonts w:ascii="Arial" w:hAnsi="Arial" w:cs="Arial" w:eastAsia="Arial" w:hint="default"/>
        </w:rPr>
        <w:t>31</w:t>
      </w:r>
      <w:r>
        <w:rPr>
          <w:rFonts w:ascii="Arial" w:hAnsi="Arial" w:cs="Arial" w:eastAsia="Arial" w:hint="default"/>
          <w:spacing w:val="-5"/>
        </w:rPr>
        <w:t> </w:t>
      </w:r>
      <w:r>
        <w:rPr/>
        <w:t>日股本为基数向全体股东</w:t>
      </w:r>
    </w:p>
    <w:p>
      <w:pPr>
        <w:pStyle w:val="BodyText"/>
        <w:spacing w:line="286" w:lineRule="exact"/>
        <w:ind w:left="561" w:right="115"/>
        <w:jc w:val="left"/>
        <w:rPr>
          <w:rFonts w:ascii="Arial" w:hAnsi="Arial" w:cs="Arial" w:eastAsia="Arial" w:hint="default"/>
        </w:rPr>
      </w:pPr>
      <w:r>
        <w:rPr/>
        <w:t>派发每股现金股利人民币</w:t>
      </w:r>
      <w:r>
        <w:rPr>
          <w:spacing w:val="-52"/>
        </w:rPr>
        <w:t> </w:t>
      </w:r>
      <w:r>
        <w:rPr>
          <w:rFonts w:ascii="Arial" w:hAnsi="Arial" w:cs="Arial" w:eastAsia="Arial" w:hint="default"/>
        </w:rPr>
        <w:t>0.0534</w:t>
      </w:r>
      <w:r>
        <w:rPr>
          <w:rFonts w:ascii="Arial" w:hAnsi="Arial" w:cs="Arial" w:eastAsia="Arial" w:hint="default"/>
          <w:spacing w:val="-4"/>
        </w:rPr>
        <w:t> </w:t>
      </w:r>
      <w:r>
        <w:rPr>
          <w:spacing w:val="-12"/>
        </w:rPr>
        <w:t>元（含税）的</w:t>
      </w:r>
      <w:r>
        <w:rPr>
          <w:spacing w:val="-52"/>
        </w:rPr>
        <w:t> </w:t>
      </w:r>
      <w:r>
        <w:rPr>
          <w:rFonts w:ascii="Arial" w:hAnsi="Arial" w:cs="Arial" w:eastAsia="Arial" w:hint="default"/>
        </w:rPr>
        <w:t>2013</w:t>
      </w:r>
      <w:r>
        <w:rPr>
          <w:rFonts w:ascii="Arial" w:hAnsi="Arial" w:cs="Arial" w:eastAsia="Arial" w:hint="default"/>
          <w:spacing w:val="-3"/>
        </w:rPr>
        <w:t> </w:t>
      </w:r>
      <w:r>
        <w:rPr>
          <w:spacing w:val="-3"/>
        </w:rPr>
        <w:t>年度利润分配方案，共计约人民币</w:t>
      </w:r>
      <w:r>
        <w:rPr>
          <w:spacing w:val="-52"/>
        </w:rPr>
        <w:t> </w:t>
      </w:r>
      <w:r>
        <w:rPr>
          <w:rFonts w:ascii="Arial" w:hAnsi="Arial" w:cs="Arial" w:eastAsia="Arial" w:hint="default"/>
        </w:rPr>
        <w:t>11.32</w:t>
      </w:r>
    </w:p>
    <w:p>
      <w:pPr>
        <w:pStyle w:val="BodyText"/>
        <w:spacing w:line="295" w:lineRule="exact"/>
        <w:ind w:left="561" w:right="115"/>
        <w:jc w:val="left"/>
      </w:pPr>
      <w:r>
        <w:rPr/>
        <w:t>亿元（</w:t>
      </w:r>
      <w:r>
        <w:rPr>
          <w:rFonts w:ascii="Arial" w:hAnsi="Arial" w:cs="Arial" w:eastAsia="Arial" w:hint="default"/>
        </w:rPr>
        <w:t>2013</w:t>
      </w:r>
      <w:r>
        <w:rPr>
          <w:rFonts w:ascii="Arial" w:hAnsi="Arial" w:cs="Arial" w:eastAsia="Arial" w:hint="default"/>
          <w:spacing w:val="-9"/>
        </w:rPr>
        <w:t> </w:t>
      </w:r>
      <w:r>
        <w:rPr/>
        <w:t>年：约人民币</w:t>
      </w:r>
      <w:r>
        <w:rPr>
          <w:spacing w:val="-57"/>
        </w:rPr>
        <w:t> </w:t>
      </w:r>
      <w:r>
        <w:rPr>
          <w:rFonts w:ascii="Arial" w:hAnsi="Arial" w:cs="Arial" w:eastAsia="Arial" w:hint="default"/>
        </w:rPr>
        <w:t>8.46</w:t>
      </w:r>
      <w:r>
        <w:rPr>
          <w:rFonts w:ascii="Arial" w:hAnsi="Arial" w:cs="Arial" w:eastAsia="Arial" w:hint="default"/>
          <w:spacing w:val="-8"/>
        </w:rPr>
        <w:t> </w:t>
      </w:r>
      <w:r>
        <w:rPr/>
        <w:t>亿元）的股利自未分配利润转出。</w:t>
      </w:r>
    </w:p>
    <w:p>
      <w:pPr>
        <w:spacing w:after="0" w:line="295" w:lineRule="exact"/>
        <w:jc w:val="left"/>
        <w:sectPr>
          <w:footerReference w:type="default" r:id="rId109"/>
          <w:pgSz w:w="11910" w:h="16840"/>
          <w:pgMar w:footer="635" w:header="0" w:top="3040" w:bottom="820" w:left="1280" w:right="960"/>
          <w:pgNumType w:start="121"/>
        </w:sectPr>
      </w:pPr>
    </w:p>
    <w:p>
      <w:pPr>
        <w:spacing w:line="240" w:lineRule="auto" w:before="5"/>
        <w:rPr>
          <w:rFonts w:ascii="宋体" w:hAnsi="宋体" w:cs="宋体" w:eastAsia="宋体" w:hint="default"/>
          <w:sz w:val="23"/>
          <w:szCs w:val="23"/>
        </w:rPr>
      </w:pPr>
    </w:p>
    <w:tbl>
      <w:tblPr>
        <w:tblW w:w="0" w:type="auto"/>
        <w:jc w:val="left"/>
        <w:tblInd w:w="462" w:type="dxa"/>
        <w:tblLayout w:type="fixed"/>
        <w:tblCellMar>
          <w:top w:w="0" w:type="dxa"/>
          <w:left w:w="0" w:type="dxa"/>
          <w:bottom w:w="0" w:type="dxa"/>
          <w:right w:w="0" w:type="dxa"/>
        </w:tblCellMar>
        <w:tblLook w:val="01E0"/>
      </w:tblPr>
      <w:tblGrid>
        <w:gridCol w:w="4439"/>
        <w:gridCol w:w="2196"/>
        <w:gridCol w:w="230"/>
        <w:gridCol w:w="2146"/>
      </w:tblGrid>
      <w:tr>
        <w:trPr>
          <w:trHeight w:val="264" w:hRule="exact"/>
        </w:trPr>
        <w:tc>
          <w:tcPr>
            <w:tcW w:w="4439" w:type="dxa"/>
            <w:tcBorders>
              <w:top w:val="nil" w:sz="6" w:space="0" w:color="auto"/>
              <w:left w:val="nil" w:sz="6" w:space="0" w:color="auto"/>
              <w:bottom w:val="nil" w:sz="6" w:space="0" w:color="auto"/>
              <w:right w:val="nil" w:sz="6" w:space="0" w:color="auto"/>
            </w:tcBorders>
          </w:tcPr>
          <w:p>
            <w:pPr/>
          </w:p>
        </w:tc>
        <w:tc>
          <w:tcPr>
            <w:tcW w:w="2196" w:type="dxa"/>
            <w:tcBorders>
              <w:top w:val="nil" w:sz="6" w:space="0" w:color="auto"/>
              <w:left w:val="nil" w:sz="6" w:space="0" w:color="auto"/>
              <w:bottom w:val="single" w:sz="6" w:space="0" w:color="000000"/>
              <w:right w:val="nil" w:sz="6" w:space="0" w:color="auto"/>
            </w:tcBorders>
          </w:tcPr>
          <w:p>
            <w:pPr>
              <w:pStyle w:val="TableParagraph"/>
              <w:spacing w:line="236" w:lineRule="exact"/>
              <w:ind w:left="1267"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30"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single" w:sz="6" w:space="0" w:color="000000"/>
              <w:right w:val="nil" w:sz="6" w:space="0" w:color="auto"/>
            </w:tcBorders>
          </w:tcPr>
          <w:p>
            <w:pPr>
              <w:pStyle w:val="TableParagraph"/>
              <w:spacing w:line="236" w:lineRule="exact"/>
              <w:ind w:right="122"/>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650" w:hRule="exact"/>
        </w:trPr>
        <w:tc>
          <w:tcPr>
            <w:tcW w:w="44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主营业务收入：</w:t>
            </w:r>
          </w:p>
        </w:tc>
        <w:tc>
          <w:tcPr>
            <w:tcW w:w="2196" w:type="dxa"/>
            <w:tcBorders>
              <w:top w:val="single" w:sz="6" w:space="0" w:color="000000"/>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2146" w:type="dxa"/>
            <w:tcBorders>
              <w:top w:val="single" w:sz="6" w:space="0" w:color="000000"/>
              <w:left w:val="nil" w:sz="6" w:space="0" w:color="auto"/>
              <w:bottom w:val="nil" w:sz="6" w:space="0" w:color="auto"/>
              <w:right w:val="nil" w:sz="6" w:space="0" w:color="auto"/>
            </w:tcBorders>
          </w:tcPr>
          <w:p>
            <w:pPr/>
          </w:p>
        </w:tc>
      </w:tr>
      <w:tr>
        <w:trPr>
          <w:trHeight w:val="328" w:hRule="exact"/>
        </w:trPr>
        <w:tc>
          <w:tcPr>
            <w:tcW w:w="4439" w:type="dxa"/>
            <w:tcBorders>
              <w:top w:val="nil" w:sz="6" w:space="0" w:color="auto"/>
              <w:left w:val="nil" w:sz="6" w:space="0" w:color="auto"/>
              <w:bottom w:val="nil" w:sz="6" w:space="0" w:color="auto"/>
              <w:right w:val="nil" w:sz="6" w:space="0" w:color="auto"/>
            </w:tcBorders>
          </w:tcPr>
          <w:p>
            <w:pPr>
              <w:pStyle w:val="TableParagraph"/>
              <w:spacing w:line="267" w:lineRule="exact"/>
              <w:ind w:left="406" w:right="0"/>
              <w:jc w:val="left"/>
              <w:rPr>
                <w:rFonts w:ascii="宋体" w:hAnsi="宋体" w:cs="宋体" w:eastAsia="宋体" w:hint="default"/>
                <w:sz w:val="22"/>
                <w:szCs w:val="22"/>
              </w:rPr>
            </w:pPr>
            <w:r>
              <w:rPr>
                <w:rFonts w:ascii="宋体" w:hAnsi="宋体" w:cs="宋体" w:eastAsia="宋体" w:hint="default"/>
                <w:sz w:val="22"/>
                <w:szCs w:val="22"/>
              </w:rPr>
              <w:t>通话及月租费收入</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59" w:right="0"/>
              <w:jc w:val="left"/>
              <w:rPr>
                <w:rFonts w:ascii="Arial" w:hAnsi="Arial" w:cs="Arial" w:eastAsia="Arial" w:hint="default"/>
                <w:sz w:val="22"/>
                <w:szCs w:val="22"/>
              </w:rPr>
            </w:pPr>
            <w:r>
              <w:rPr>
                <w:rFonts w:ascii="Arial"/>
                <w:sz w:val="22"/>
              </w:rPr>
              <w:t>77,699,329,568</w:t>
            </w:r>
          </w:p>
        </w:tc>
        <w:tc>
          <w:tcPr>
            <w:tcW w:w="230"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8"/>
              <w:jc w:val="right"/>
              <w:rPr>
                <w:rFonts w:ascii="Arial" w:hAnsi="Arial" w:cs="Arial" w:eastAsia="Arial" w:hint="default"/>
                <w:sz w:val="22"/>
                <w:szCs w:val="22"/>
              </w:rPr>
            </w:pPr>
            <w:r>
              <w:rPr>
                <w:rFonts w:ascii="Arial"/>
                <w:spacing w:val="-1"/>
                <w:sz w:val="22"/>
              </w:rPr>
              <w:t>89,005,375,395</w:t>
            </w:r>
          </w:p>
        </w:tc>
      </w:tr>
      <w:tr>
        <w:trPr>
          <w:trHeight w:val="301" w:hRule="exact"/>
        </w:trPr>
        <w:tc>
          <w:tcPr>
            <w:tcW w:w="4439" w:type="dxa"/>
            <w:tcBorders>
              <w:top w:val="nil" w:sz="6" w:space="0" w:color="auto"/>
              <w:left w:val="nil" w:sz="6" w:space="0" w:color="auto"/>
              <w:bottom w:val="nil" w:sz="6" w:space="0" w:color="auto"/>
              <w:right w:val="nil" w:sz="6" w:space="0" w:color="auto"/>
            </w:tcBorders>
          </w:tcPr>
          <w:p>
            <w:pPr>
              <w:pStyle w:val="TableParagraph"/>
              <w:spacing w:line="254" w:lineRule="exact"/>
              <w:ind w:left="406" w:right="0"/>
              <w:jc w:val="left"/>
              <w:rPr>
                <w:rFonts w:ascii="宋体" w:hAnsi="宋体" w:cs="宋体" w:eastAsia="宋体" w:hint="default"/>
                <w:sz w:val="22"/>
                <w:szCs w:val="22"/>
              </w:rPr>
            </w:pPr>
            <w:r>
              <w:rPr>
                <w:rFonts w:ascii="宋体" w:hAnsi="宋体" w:cs="宋体" w:eastAsia="宋体" w:hint="default"/>
                <w:sz w:val="22"/>
                <w:szCs w:val="22"/>
              </w:rPr>
              <w:t>增值业务收入</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59" w:right="0"/>
              <w:jc w:val="left"/>
              <w:rPr>
                <w:rFonts w:ascii="Arial" w:hAnsi="Arial" w:cs="Arial" w:eastAsia="Arial" w:hint="default"/>
                <w:sz w:val="22"/>
                <w:szCs w:val="22"/>
              </w:rPr>
            </w:pPr>
            <w:r>
              <w:rPr>
                <w:rFonts w:ascii="Arial"/>
                <w:sz w:val="22"/>
              </w:rPr>
              <w:t>85,263,510,621</w:t>
            </w:r>
          </w:p>
        </w:tc>
        <w:tc>
          <w:tcPr>
            <w:tcW w:w="230"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8"/>
              <w:jc w:val="right"/>
              <w:rPr>
                <w:rFonts w:ascii="Arial" w:hAnsi="Arial" w:cs="Arial" w:eastAsia="Arial" w:hint="default"/>
                <w:sz w:val="22"/>
                <w:szCs w:val="22"/>
              </w:rPr>
            </w:pPr>
            <w:r>
              <w:rPr>
                <w:rFonts w:ascii="Arial"/>
                <w:spacing w:val="-1"/>
                <w:sz w:val="22"/>
              </w:rPr>
              <w:t>74,165,012,468</w:t>
            </w:r>
          </w:p>
        </w:tc>
      </w:tr>
      <w:tr>
        <w:trPr>
          <w:trHeight w:val="300" w:hRule="exact"/>
        </w:trPr>
        <w:tc>
          <w:tcPr>
            <w:tcW w:w="4439" w:type="dxa"/>
            <w:tcBorders>
              <w:top w:val="nil" w:sz="6" w:space="0" w:color="auto"/>
              <w:left w:val="nil" w:sz="6" w:space="0" w:color="auto"/>
              <w:bottom w:val="nil" w:sz="6" w:space="0" w:color="auto"/>
              <w:right w:val="nil" w:sz="6" w:space="0" w:color="auto"/>
            </w:tcBorders>
          </w:tcPr>
          <w:p>
            <w:pPr>
              <w:pStyle w:val="TableParagraph"/>
              <w:spacing w:line="238" w:lineRule="exact"/>
              <w:ind w:left="406" w:right="0"/>
              <w:jc w:val="left"/>
              <w:rPr>
                <w:rFonts w:ascii="宋体" w:hAnsi="宋体" w:cs="宋体" w:eastAsia="宋体" w:hint="default"/>
                <w:sz w:val="22"/>
                <w:szCs w:val="22"/>
              </w:rPr>
            </w:pPr>
            <w:r>
              <w:rPr>
                <w:rFonts w:ascii="宋体" w:hAnsi="宋体" w:cs="宋体" w:eastAsia="宋体" w:hint="default"/>
                <w:sz w:val="22"/>
                <w:szCs w:val="22"/>
              </w:rPr>
              <w:t>宽带、数据及互联网收入</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59" w:right="0"/>
              <w:jc w:val="left"/>
              <w:rPr>
                <w:rFonts w:ascii="Arial" w:hAnsi="Arial" w:cs="Arial" w:eastAsia="Arial" w:hint="default"/>
                <w:sz w:val="22"/>
                <w:szCs w:val="22"/>
              </w:rPr>
            </w:pPr>
            <w:r>
              <w:rPr>
                <w:rFonts w:ascii="Arial"/>
                <w:sz w:val="22"/>
              </w:rPr>
              <w:t>53,332,699,071</w:t>
            </w:r>
          </w:p>
        </w:tc>
        <w:tc>
          <w:tcPr>
            <w:tcW w:w="230"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8"/>
              <w:jc w:val="right"/>
              <w:rPr>
                <w:rFonts w:ascii="Arial" w:hAnsi="Arial" w:cs="Arial" w:eastAsia="Arial" w:hint="default"/>
                <w:sz w:val="22"/>
                <w:szCs w:val="22"/>
              </w:rPr>
            </w:pPr>
            <w:r>
              <w:rPr>
                <w:rFonts w:ascii="Arial"/>
                <w:spacing w:val="-1"/>
                <w:sz w:val="22"/>
              </w:rPr>
              <w:t>49,906,379,266</w:t>
            </w:r>
          </w:p>
        </w:tc>
      </w:tr>
      <w:tr>
        <w:trPr>
          <w:trHeight w:val="310" w:hRule="exact"/>
        </w:trPr>
        <w:tc>
          <w:tcPr>
            <w:tcW w:w="4439" w:type="dxa"/>
            <w:tcBorders>
              <w:top w:val="nil" w:sz="6" w:space="0" w:color="auto"/>
              <w:left w:val="nil" w:sz="6" w:space="0" w:color="auto"/>
              <w:bottom w:val="nil" w:sz="6" w:space="0" w:color="auto"/>
              <w:right w:val="nil" w:sz="6" w:space="0" w:color="auto"/>
            </w:tcBorders>
          </w:tcPr>
          <w:p>
            <w:pPr>
              <w:pStyle w:val="TableParagraph"/>
              <w:spacing w:line="252" w:lineRule="exact"/>
              <w:ind w:left="406" w:right="0"/>
              <w:jc w:val="left"/>
              <w:rPr>
                <w:rFonts w:ascii="宋体" w:hAnsi="宋体" w:cs="宋体" w:eastAsia="宋体" w:hint="default"/>
                <w:sz w:val="22"/>
                <w:szCs w:val="22"/>
              </w:rPr>
            </w:pPr>
            <w:r>
              <w:rPr>
                <w:rFonts w:ascii="宋体" w:hAnsi="宋体" w:cs="宋体" w:eastAsia="宋体" w:hint="default"/>
                <w:sz w:val="22"/>
                <w:szCs w:val="22"/>
              </w:rPr>
              <w:t>网间结算收入</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59" w:right="0"/>
              <w:jc w:val="left"/>
              <w:rPr>
                <w:rFonts w:ascii="Arial" w:hAnsi="Arial" w:cs="Arial" w:eastAsia="Arial" w:hint="default"/>
                <w:sz w:val="22"/>
                <w:szCs w:val="22"/>
              </w:rPr>
            </w:pPr>
            <w:r>
              <w:rPr>
                <w:rFonts w:ascii="Arial"/>
                <w:sz w:val="22"/>
              </w:rPr>
              <w:t>16,604,811,859</w:t>
            </w:r>
          </w:p>
        </w:tc>
        <w:tc>
          <w:tcPr>
            <w:tcW w:w="230"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8"/>
              <w:jc w:val="right"/>
              <w:rPr>
                <w:rFonts w:ascii="Arial" w:hAnsi="Arial" w:cs="Arial" w:eastAsia="Arial" w:hint="default"/>
                <w:sz w:val="22"/>
                <w:szCs w:val="22"/>
              </w:rPr>
            </w:pPr>
            <w:r>
              <w:rPr>
                <w:rFonts w:ascii="Arial"/>
                <w:spacing w:val="-1"/>
                <w:sz w:val="22"/>
              </w:rPr>
              <w:t>18,261,730,323</w:t>
            </w:r>
          </w:p>
        </w:tc>
      </w:tr>
      <w:tr>
        <w:trPr>
          <w:trHeight w:val="295" w:hRule="exact"/>
        </w:trPr>
        <w:tc>
          <w:tcPr>
            <w:tcW w:w="4439" w:type="dxa"/>
            <w:tcBorders>
              <w:top w:val="nil" w:sz="6" w:space="0" w:color="auto"/>
              <w:left w:val="nil" w:sz="6" w:space="0" w:color="auto"/>
              <w:bottom w:val="nil" w:sz="6" w:space="0" w:color="auto"/>
              <w:right w:val="nil" w:sz="6" w:space="0" w:color="auto"/>
            </w:tcBorders>
          </w:tcPr>
          <w:p>
            <w:pPr>
              <w:pStyle w:val="TableParagraph"/>
              <w:spacing w:line="248" w:lineRule="exact"/>
              <w:ind w:left="406" w:right="0"/>
              <w:jc w:val="left"/>
              <w:rPr>
                <w:rFonts w:ascii="宋体" w:hAnsi="宋体" w:cs="宋体" w:eastAsia="宋体" w:hint="default"/>
                <w:sz w:val="22"/>
                <w:szCs w:val="22"/>
              </w:rPr>
            </w:pPr>
            <w:r>
              <w:rPr>
                <w:rFonts w:ascii="宋体" w:hAnsi="宋体" w:cs="宋体" w:eastAsia="宋体" w:hint="default"/>
                <w:sz w:val="22"/>
                <w:szCs w:val="22"/>
              </w:rPr>
              <w:t>电路及网元租赁收入</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81" w:right="0"/>
              <w:jc w:val="left"/>
              <w:rPr>
                <w:rFonts w:ascii="Arial" w:hAnsi="Arial" w:cs="Arial" w:eastAsia="Arial" w:hint="default"/>
                <w:sz w:val="22"/>
                <w:szCs w:val="22"/>
              </w:rPr>
            </w:pPr>
            <w:r>
              <w:rPr>
                <w:rFonts w:ascii="Arial"/>
                <w:sz w:val="22"/>
              </w:rPr>
              <w:t>9,891,854,615</w:t>
            </w:r>
          </w:p>
        </w:tc>
        <w:tc>
          <w:tcPr>
            <w:tcW w:w="230"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8"/>
              <w:jc w:val="right"/>
              <w:rPr>
                <w:rFonts w:ascii="Arial" w:hAnsi="Arial" w:cs="Arial" w:eastAsia="Arial" w:hint="default"/>
                <w:sz w:val="22"/>
                <w:szCs w:val="22"/>
              </w:rPr>
            </w:pPr>
            <w:r>
              <w:rPr>
                <w:rFonts w:ascii="Arial"/>
                <w:spacing w:val="-1"/>
                <w:sz w:val="22"/>
              </w:rPr>
              <w:t>9,514,112,229</w:t>
            </w:r>
          </w:p>
        </w:tc>
      </w:tr>
      <w:tr>
        <w:trPr>
          <w:trHeight w:val="301" w:hRule="exact"/>
        </w:trPr>
        <w:tc>
          <w:tcPr>
            <w:tcW w:w="4439" w:type="dxa"/>
            <w:tcBorders>
              <w:top w:val="nil" w:sz="6" w:space="0" w:color="auto"/>
              <w:left w:val="nil" w:sz="6" w:space="0" w:color="auto"/>
              <w:bottom w:val="nil" w:sz="6" w:space="0" w:color="auto"/>
              <w:right w:val="nil" w:sz="6" w:space="0" w:color="auto"/>
            </w:tcBorders>
          </w:tcPr>
          <w:p>
            <w:pPr>
              <w:pStyle w:val="TableParagraph"/>
              <w:spacing w:line="238" w:lineRule="exact"/>
              <w:ind w:left="406" w:right="0"/>
              <w:jc w:val="left"/>
              <w:rPr>
                <w:rFonts w:ascii="宋体" w:hAnsi="宋体" w:cs="宋体" w:eastAsia="宋体" w:hint="default"/>
                <w:sz w:val="22"/>
                <w:szCs w:val="22"/>
              </w:rPr>
            </w:pPr>
            <w:r>
              <w:rPr>
                <w:rFonts w:ascii="宋体" w:hAnsi="宋体" w:cs="宋体" w:eastAsia="宋体" w:hint="default"/>
                <w:sz w:val="22"/>
                <w:szCs w:val="22"/>
              </w:rPr>
              <w:t>装移机收入的摊销</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64" w:right="0"/>
              <w:jc w:val="left"/>
              <w:rPr>
                <w:rFonts w:ascii="Arial" w:hAnsi="Arial" w:cs="Arial" w:eastAsia="Arial" w:hint="default"/>
                <w:sz w:val="22"/>
                <w:szCs w:val="22"/>
              </w:rPr>
            </w:pPr>
            <w:r>
              <w:rPr>
                <w:rFonts w:ascii="Arial"/>
                <w:sz w:val="22"/>
              </w:rPr>
              <w:t>324,911,321</w:t>
            </w:r>
          </w:p>
        </w:tc>
        <w:tc>
          <w:tcPr>
            <w:tcW w:w="230"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7"/>
              <w:jc w:val="right"/>
              <w:rPr>
                <w:rFonts w:ascii="Arial" w:hAnsi="Arial" w:cs="Arial" w:eastAsia="Arial" w:hint="default"/>
                <w:sz w:val="22"/>
                <w:szCs w:val="22"/>
              </w:rPr>
            </w:pPr>
            <w:r>
              <w:rPr>
                <w:rFonts w:ascii="Arial"/>
                <w:spacing w:val="-1"/>
                <w:sz w:val="22"/>
              </w:rPr>
              <w:t>664,402,707</w:t>
            </w:r>
          </w:p>
        </w:tc>
      </w:tr>
      <w:tr>
        <w:trPr>
          <w:trHeight w:val="314" w:hRule="exact"/>
        </w:trPr>
        <w:tc>
          <w:tcPr>
            <w:tcW w:w="4439" w:type="dxa"/>
            <w:tcBorders>
              <w:top w:val="nil" w:sz="6" w:space="0" w:color="auto"/>
              <w:left w:val="nil" w:sz="6" w:space="0" w:color="auto"/>
              <w:bottom w:val="nil" w:sz="6" w:space="0" w:color="auto"/>
              <w:right w:val="nil" w:sz="6" w:space="0" w:color="auto"/>
            </w:tcBorders>
          </w:tcPr>
          <w:p>
            <w:pPr>
              <w:pStyle w:val="TableParagraph"/>
              <w:spacing w:line="254" w:lineRule="exact"/>
              <w:ind w:left="406" w:right="0"/>
              <w:jc w:val="left"/>
              <w:rPr>
                <w:rFonts w:ascii="宋体" w:hAnsi="宋体" w:cs="宋体" w:eastAsia="宋体" w:hint="default"/>
                <w:sz w:val="22"/>
                <w:szCs w:val="22"/>
              </w:rPr>
            </w:pPr>
            <w:r>
              <w:rPr>
                <w:rFonts w:ascii="宋体" w:hAnsi="宋体" w:cs="宋体" w:eastAsia="宋体" w:hint="default"/>
                <w:sz w:val="22"/>
                <w:szCs w:val="22"/>
              </w:rPr>
              <w:t>信息与通信技术服务收入等</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81" w:right="0"/>
              <w:jc w:val="left"/>
              <w:rPr>
                <w:rFonts w:ascii="Arial" w:hAnsi="Arial" w:cs="Arial" w:eastAsia="Arial" w:hint="default"/>
                <w:sz w:val="22"/>
                <w:szCs w:val="22"/>
              </w:rPr>
            </w:pPr>
            <w:r>
              <w:rPr>
                <w:rFonts w:ascii="Arial"/>
                <w:sz w:val="22"/>
              </w:rPr>
              <w:t>4,548,511,043</w:t>
            </w:r>
          </w:p>
        </w:tc>
        <w:tc>
          <w:tcPr>
            <w:tcW w:w="230"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8"/>
              <w:jc w:val="right"/>
              <w:rPr>
                <w:rFonts w:ascii="Arial" w:hAnsi="Arial" w:cs="Arial" w:eastAsia="Arial" w:hint="default"/>
                <w:sz w:val="22"/>
                <w:szCs w:val="22"/>
              </w:rPr>
            </w:pPr>
            <w:r>
              <w:rPr>
                <w:rFonts w:ascii="Arial"/>
                <w:spacing w:val="-1"/>
                <w:sz w:val="22"/>
              </w:rPr>
              <w:t>4,039,334,478</w:t>
            </w:r>
          </w:p>
        </w:tc>
      </w:tr>
      <w:tr>
        <w:trPr>
          <w:trHeight w:val="307" w:hRule="exact"/>
        </w:trPr>
        <w:tc>
          <w:tcPr>
            <w:tcW w:w="4439" w:type="dxa"/>
            <w:tcBorders>
              <w:top w:val="nil" w:sz="6" w:space="0" w:color="auto"/>
              <w:left w:val="nil" w:sz="6" w:space="0" w:color="auto"/>
              <w:bottom w:val="nil" w:sz="6" w:space="0" w:color="auto"/>
              <w:right w:val="nil" w:sz="6" w:space="0" w:color="auto"/>
            </w:tcBorders>
          </w:tcPr>
          <w:p>
            <w:pPr>
              <w:pStyle w:val="TableParagraph"/>
              <w:spacing w:line="254" w:lineRule="exact"/>
              <w:ind w:left="406"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196" w:type="dxa"/>
            <w:tcBorders>
              <w:top w:val="nil" w:sz="6" w:space="0" w:color="auto"/>
              <w:left w:val="nil" w:sz="6" w:space="0" w:color="auto"/>
              <w:bottom w:val="nil" w:sz="6" w:space="0" w:color="auto"/>
              <w:right w:val="nil" w:sz="6" w:space="0" w:color="auto"/>
            </w:tcBorders>
          </w:tcPr>
          <w:p>
            <w:pPr>
              <w:pStyle w:val="TableParagraph"/>
              <w:tabs>
                <w:tab w:pos="864" w:val="left" w:leader="none"/>
                <w:tab w:pos="2196" w:val="left" w:leader="none"/>
              </w:tabs>
              <w:spacing w:line="240" w:lineRule="auto" w:before="33"/>
              <w:ind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736,208,753</w:t>
              <w:tab/>
            </w:r>
            <w:r>
              <w:rPr>
                <w:rFonts w:ascii="Arial"/>
                <w:sz w:val="22"/>
              </w:rPr>
            </w:r>
          </w:p>
        </w:tc>
        <w:tc>
          <w:tcPr>
            <w:tcW w:w="230"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Style w:val="TableParagraph"/>
              <w:tabs>
                <w:tab w:pos="862" w:val="left" w:leader="none"/>
              </w:tabs>
              <w:spacing w:line="240" w:lineRule="auto" w:before="33"/>
              <w:ind w:right="47"/>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718,656,796</w:t>
            </w:r>
            <w:r>
              <w:rPr>
                <w:rFonts w:ascii="Arial"/>
                <w:spacing w:val="-1"/>
                <w:sz w:val="22"/>
              </w:rPr>
            </w:r>
          </w:p>
        </w:tc>
      </w:tr>
      <w:tr>
        <w:trPr>
          <w:trHeight w:val="435" w:hRule="exact"/>
        </w:trPr>
        <w:tc>
          <w:tcPr>
            <w:tcW w:w="4439"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36" w:right="0"/>
              <w:jc w:val="left"/>
              <w:rPr>
                <w:rFonts w:ascii="Arial" w:hAnsi="Arial" w:cs="Arial" w:eastAsia="Arial" w:hint="default"/>
                <w:sz w:val="22"/>
                <w:szCs w:val="22"/>
              </w:rPr>
            </w:pPr>
            <w:r>
              <w:rPr>
                <w:rFonts w:ascii="Arial"/>
                <w:sz w:val="22"/>
              </w:rPr>
              <w:t>248,401,836,851</w:t>
            </w:r>
          </w:p>
        </w:tc>
        <w:tc>
          <w:tcPr>
            <w:tcW w:w="230"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8"/>
              <w:jc w:val="right"/>
              <w:rPr>
                <w:rFonts w:ascii="Arial" w:hAnsi="Arial" w:cs="Arial" w:eastAsia="Arial" w:hint="default"/>
                <w:sz w:val="22"/>
                <w:szCs w:val="22"/>
              </w:rPr>
            </w:pPr>
            <w:r>
              <w:rPr>
                <w:rFonts w:ascii="Arial"/>
                <w:spacing w:val="-1"/>
                <w:sz w:val="22"/>
              </w:rPr>
              <w:t>246,275,003,662</w:t>
            </w:r>
          </w:p>
        </w:tc>
      </w:tr>
      <w:tr>
        <w:trPr>
          <w:trHeight w:val="414" w:hRule="exact"/>
        </w:trPr>
        <w:tc>
          <w:tcPr>
            <w:tcW w:w="443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00" w:right="0"/>
              <w:jc w:val="left"/>
              <w:rPr>
                <w:rFonts w:ascii="宋体" w:hAnsi="宋体" w:cs="宋体" w:eastAsia="宋体" w:hint="default"/>
                <w:sz w:val="22"/>
                <w:szCs w:val="22"/>
              </w:rPr>
            </w:pPr>
            <w:r>
              <w:rPr>
                <w:rFonts w:ascii="宋体" w:hAnsi="宋体" w:cs="宋体" w:eastAsia="宋体" w:hint="default"/>
                <w:sz w:val="22"/>
                <w:szCs w:val="22"/>
              </w:rPr>
              <w:t>其他业务收入：</w:t>
            </w:r>
          </w:p>
        </w:tc>
        <w:tc>
          <w:tcPr>
            <w:tcW w:w="2196"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r>
      <w:tr>
        <w:trPr>
          <w:trHeight w:val="433" w:hRule="exact"/>
        </w:trPr>
        <w:tc>
          <w:tcPr>
            <w:tcW w:w="4439" w:type="dxa"/>
            <w:tcBorders>
              <w:top w:val="nil" w:sz="6" w:space="0" w:color="auto"/>
              <w:left w:val="nil" w:sz="6" w:space="0" w:color="auto"/>
              <w:bottom w:val="nil" w:sz="6" w:space="0" w:color="auto"/>
              <w:right w:val="nil" w:sz="6" w:space="0" w:color="auto"/>
            </w:tcBorders>
          </w:tcPr>
          <w:p>
            <w:pPr>
              <w:pStyle w:val="TableParagraph"/>
              <w:spacing w:line="253" w:lineRule="exact"/>
              <w:ind w:left="406" w:right="0"/>
              <w:jc w:val="left"/>
              <w:rPr>
                <w:rFonts w:ascii="宋体" w:hAnsi="宋体" w:cs="宋体" w:eastAsia="宋体" w:hint="default"/>
                <w:sz w:val="22"/>
                <w:szCs w:val="22"/>
              </w:rPr>
            </w:pPr>
            <w:r>
              <w:rPr>
                <w:rFonts w:ascii="宋体" w:hAnsi="宋体" w:cs="宋体" w:eastAsia="宋体" w:hint="default"/>
                <w:sz w:val="22"/>
                <w:szCs w:val="22"/>
              </w:rPr>
              <w:t>销售通信产品收入</w:t>
            </w:r>
          </w:p>
        </w:tc>
        <w:tc>
          <w:tcPr>
            <w:tcW w:w="2196" w:type="dxa"/>
            <w:tcBorders>
              <w:top w:val="nil" w:sz="6" w:space="0" w:color="auto"/>
              <w:left w:val="nil" w:sz="6" w:space="0" w:color="auto"/>
              <w:bottom w:val="nil" w:sz="6" w:space="0" w:color="auto"/>
              <w:right w:val="nil" w:sz="6" w:space="0" w:color="auto"/>
            </w:tcBorders>
          </w:tcPr>
          <w:p>
            <w:pPr>
              <w:pStyle w:val="TableParagraph"/>
              <w:tabs>
                <w:tab w:pos="559" w:val="left" w:leader="none"/>
                <w:tab w:pos="2196" w:val="left" w:leader="none"/>
              </w:tabs>
              <w:spacing w:line="240" w:lineRule="auto" w:before="32"/>
              <w:ind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40,169,037,523</w:t>
              <w:tab/>
            </w:r>
            <w:r>
              <w:rPr>
                <w:rFonts w:ascii="Arial"/>
                <w:sz w:val="22"/>
              </w:rPr>
            </w:r>
          </w:p>
        </w:tc>
        <w:tc>
          <w:tcPr>
            <w:tcW w:w="230"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Style w:val="TableParagraph"/>
              <w:tabs>
                <w:tab w:pos="518" w:val="left" w:leader="none"/>
                <w:tab w:pos="2138" w:val="left" w:leader="none"/>
              </w:tabs>
              <w:spacing w:line="240" w:lineRule="auto" w:before="32"/>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57,452,199,520</w:t>
              <w:tab/>
            </w:r>
            <w:r>
              <w:rPr>
                <w:rFonts w:ascii="Arial"/>
                <w:spacing w:val="-1"/>
                <w:sz w:val="22"/>
              </w:rPr>
            </w:r>
          </w:p>
        </w:tc>
      </w:tr>
      <w:tr>
        <w:trPr>
          <w:trHeight w:val="433" w:hRule="exact"/>
        </w:trPr>
        <w:tc>
          <w:tcPr>
            <w:tcW w:w="443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196"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left="436" w:right="0"/>
              <w:jc w:val="left"/>
              <w:rPr>
                <w:rFonts w:ascii="Arial" w:hAnsi="Arial" w:cs="Arial" w:eastAsia="Arial" w:hint="default"/>
                <w:sz w:val="22"/>
                <w:szCs w:val="22"/>
              </w:rPr>
            </w:pPr>
            <w:r>
              <w:rPr>
                <w:rFonts w:ascii="Arial"/>
                <w:sz w:val="22"/>
              </w:rPr>
              <w:t>288,570,874,374</w:t>
            </w:r>
          </w:p>
        </w:tc>
        <w:tc>
          <w:tcPr>
            <w:tcW w:w="230"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50"/>
              <w:jc w:val="right"/>
              <w:rPr>
                <w:rFonts w:ascii="Arial" w:hAnsi="Arial" w:cs="Arial" w:eastAsia="Arial" w:hint="default"/>
                <w:sz w:val="22"/>
                <w:szCs w:val="22"/>
              </w:rPr>
            </w:pPr>
            <w:r>
              <w:rPr>
                <w:rFonts w:ascii="Arial"/>
                <w:spacing w:val="-1"/>
                <w:sz w:val="22"/>
              </w:rPr>
              <w:t>303,727,203,182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tbl>
      <w:tblPr>
        <w:tblW w:w="0" w:type="auto"/>
        <w:jc w:val="left"/>
        <w:tblInd w:w="411" w:type="dxa"/>
        <w:tblLayout w:type="fixed"/>
        <w:tblCellMar>
          <w:top w:w="0" w:type="dxa"/>
          <w:left w:w="0" w:type="dxa"/>
          <w:bottom w:w="0" w:type="dxa"/>
          <w:right w:w="0" w:type="dxa"/>
        </w:tblCellMar>
        <w:tblLook w:val="01E0"/>
      </w:tblPr>
      <w:tblGrid>
        <w:gridCol w:w="4489"/>
        <w:gridCol w:w="2242"/>
        <w:gridCol w:w="178"/>
        <w:gridCol w:w="2180"/>
      </w:tblGrid>
      <w:tr>
        <w:trPr>
          <w:trHeight w:val="264" w:hRule="exact"/>
        </w:trPr>
        <w:tc>
          <w:tcPr>
            <w:tcW w:w="4489"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single" w:sz="6" w:space="0" w:color="000000"/>
              <w:right w:val="nil" w:sz="6" w:space="0" w:color="auto"/>
            </w:tcBorders>
          </w:tcPr>
          <w:p>
            <w:pPr>
              <w:pStyle w:val="TableParagraph"/>
              <w:spacing w:line="236" w:lineRule="exact"/>
              <w:ind w:right="110"/>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single" w:sz="6" w:space="0" w:color="000000"/>
              <w:right w:val="nil" w:sz="6" w:space="0" w:color="auto"/>
            </w:tcBorders>
          </w:tcPr>
          <w:p>
            <w:pPr>
              <w:pStyle w:val="TableParagraph"/>
              <w:spacing w:line="236" w:lineRule="exact"/>
              <w:ind w:right="156"/>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41"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主营业务成本：</w:t>
            </w:r>
          </w:p>
        </w:tc>
        <w:tc>
          <w:tcPr>
            <w:tcW w:w="2242" w:type="dxa"/>
            <w:tcBorders>
              <w:top w:val="single" w:sz="6" w:space="0" w:color="000000"/>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single" w:sz="6" w:space="0" w:color="000000"/>
              <w:left w:val="nil" w:sz="6" w:space="0" w:color="auto"/>
              <w:bottom w:val="nil" w:sz="6" w:space="0" w:color="auto"/>
              <w:right w:val="nil" w:sz="6" w:space="0" w:color="auto"/>
            </w:tcBorders>
          </w:tcPr>
          <w:p>
            <w:pPr/>
          </w:p>
        </w:tc>
      </w:tr>
      <w:tr>
        <w:trPr>
          <w:trHeight w:val="301"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53" w:lineRule="exact"/>
              <w:ind w:left="406" w:right="0"/>
              <w:jc w:val="left"/>
              <w:rPr>
                <w:rFonts w:ascii="宋体" w:hAnsi="宋体" w:cs="宋体" w:eastAsia="宋体" w:hint="default"/>
                <w:sz w:val="22"/>
                <w:szCs w:val="22"/>
              </w:rPr>
            </w:pPr>
            <w:r>
              <w:rPr>
                <w:rFonts w:ascii="宋体" w:hAnsi="宋体" w:cs="宋体" w:eastAsia="宋体" w:hint="default"/>
                <w:sz w:val="22"/>
                <w:szCs w:val="22"/>
              </w:rPr>
              <w:t>折旧及摊销</w:t>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2"/>
              <w:jc w:val="right"/>
              <w:rPr>
                <w:rFonts w:ascii="Arial" w:hAnsi="Arial" w:cs="Arial" w:eastAsia="Arial" w:hint="default"/>
                <w:sz w:val="22"/>
                <w:szCs w:val="22"/>
              </w:rPr>
            </w:pPr>
            <w:r>
              <w:rPr>
                <w:rFonts w:ascii="Arial"/>
                <w:spacing w:val="-1"/>
                <w:sz w:val="22"/>
              </w:rPr>
              <w:t>70,680,465,135</w:t>
            </w: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0"/>
              <w:jc w:val="right"/>
              <w:rPr>
                <w:rFonts w:ascii="Arial" w:hAnsi="Arial" w:cs="Arial" w:eastAsia="Arial" w:hint="default"/>
                <w:sz w:val="22"/>
                <w:szCs w:val="22"/>
              </w:rPr>
            </w:pPr>
            <w:r>
              <w:rPr>
                <w:rFonts w:ascii="Arial"/>
                <w:spacing w:val="-1"/>
                <w:sz w:val="22"/>
              </w:rPr>
              <w:t>64,224,450,327</w:t>
            </w:r>
          </w:p>
        </w:tc>
      </w:tr>
      <w:tr>
        <w:trPr>
          <w:trHeight w:val="286"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38" w:lineRule="exact"/>
              <w:ind w:left="406" w:right="0"/>
              <w:jc w:val="left"/>
              <w:rPr>
                <w:rFonts w:ascii="宋体" w:hAnsi="宋体" w:cs="宋体" w:eastAsia="宋体" w:hint="default"/>
                <w:sz w:val="22"/>
                <w:szCs w:val="22"/>
              </w:rPr>
            </w:pPr>
            <w:r>
              <w:rPr>
                <w:rFonts w:ascii="宋体" w:hAnsi="宋体" w:cs="宋体" w:eastAsia="宋体" w:hint="default"/>
                <w:sz w:val="22"/>
                <w:szCs w:val="22"/>
              </w:rPr>
              <w:t>网间结算支出</w:t>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2"/>
              <w:jc w:val="right"/>
              <w:rPr>
                <w:rFonts w:ascii="Arial" w:hAnsi="Arial" w:cs="Arial" w:eastAsia="Arial" w:hint="default"/>
                <w:sz w:val="22"/>
                <w:szCs w:val="22"/>
              </w:rPr>
            </w:pPr>
            <w:r>
              <w:rPr>
                <w:rFonts w:ascii="Arial"/>
                <w:spacing w:val="-1"/>
                <w:sz w:val="22"/>
              </w:rPr>
              <w:t>14,599,404,797</w:t>
            </w: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0"/>
              <w:jc w:val="right"/>
              <w:rPr>
                <w:rFonts w:ascii="Arial" w:hAnsi="Arial" w:cs="Arial" w:eastAsia="Arial" w:hint="default"/>
                <w:sz w:val="22"/>
                <w:szCs w:val="22"/>
              </w:rPr>
            </w:pPr>
            <w:r>
              <w:rPr>
                <w:rFonts w:ascii="Arial"/>
                <w:spacing w:val="-1"/>
                <w:sz w:val="22"/>
              </w:rPr>
              <w:t>20,207,648,793</w:t>
            </w:r>
          </w:p>
        </w:tc>
      </w:tr>
      <w:tr>
        <w:trPr>
          <w:trHeight w:val="286"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38" w:lineRule="exact"/>
              <w:ind w:left="406" w:right="0"/>
              <w:jc w:val="left"/>
              <w:rPr>
                <w:rFonts w:ascii="宋体" w:hAnsi="宋体" w:cs="宋体" w:eastAsia="宋体" w:hint="default"/>
                <w:sz w:val="22"/>
                <w:szCs w:val="22"/>
              </w:rPr>
            </w:pPr>
            <w:r>
              <w:rPr>
                <w:rFonts w:ascii="宋体" w:hAnsi="宋体" w:cs="宋体" w:eastAsia="宋体" w:hint="default"/>
                <w:sz w:val="22"/>
                <w:szCs w:val="22"/>
              </w:rPr>
              <w:t>人工成本</w:t>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2"/>
              <w:jc w:val="right"/>
              <w:rPr>
                <w:rFonts w:ascii="Arial" w:hAnsi="Arial" w:cs="Arial" w:eastAsia="Arial" w:hint="default"/>
                <w:sz w:val="22"/>
                <w:szCs w:val="22"/>
              </w:rPr>
            </w:pPr>
            <w:r>
              <w:rPr>
                <w:rFonts w:ascii="Arial"/>
                <w:spacing w:val="-1"/>
                <w:sz w:val="22"/>
              </w:rPr>
              <w:t>25,115,958,997</w:t>
            </w: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0"/>
              <w:jc w:val="right"/>
              <w:rPr>
                <w:rFonts w:ascii="Arial" w:hAnsi="Arial" w:cs="Arial" w:eastAsia="Arial" w:hint="default"/>
                <w:sz w:val="22"/>
                <w:szCs w:val="22"/>
              </w:rPr>
            </w:pPr>
            <w:r>
              <w:rPr>
                <w:rFonts w:ascii="Arial"/>
                <w:spacing w:val="-1"/>
                <w:sz w:val="22"/>
              </w:rPr>
              <w:t>22,728,913,813</w:t>
            </w:r>
          </w:p>
        </w:tc>
      </w:tr>
      <w:tr>
        <w:trPr>
          <w:trHeight w:val="284"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38" w:lineRule="exact"/>
              <w:ind w:left="406" w:right="0"/>
              <w:jc w:val="left"/>
              <w:rPr>
                <w:rFonts w:ascii="宋体" w:hAnsi="宋体" w:cs="宋体" w:eastAsia="宋体" w:hint="default"/>
                <w:sz w:val="22"/>
                <w:szCs w:val="22"/>
              </w:rPr>
            </w:pPr>
            <w:r>
              <w:rPr>
                <w:rFonts w:ascii="宋体" w:hAnsi="宋体" w:cs="宋体" w:eastAsia="宋体" w:hint="default"/>
                <w:sz w:val="22"/>
                <w:szCs w:val="22"/>
              </w:rPr>
              <w:t>网络运行及支撑成本（注）</w:t>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2"/>
              <w:jc w:val="right"/>
              <w:rPr>
                <w:rFonts w:ascii="Arial" w:hAnsi="Arial" w:cs="Arial" w:eastAsia="Arial" w:hint="default"/>
                <w:sz w:val="22"/>
                <w:szCs w:val="22"/>
              </w:rPr>
            </w:pPr>
            <w:r>
              <w:rPr>
                <w:rFonts w:ascii="Arial"/>
                <w:spacing w:val="-1"/>
                <w:sz w:val="22"/>
              </w:rPr>
              <w:t>37,851,438,530</w:t>
            </w: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0"/>
              <w:jc w:val="right"/>
              <w:rPr>
                <w:rFonts w:ascii="Arial" w:hAnsi="Arial" w:cs="Arial" w:eastAsia="Arial" w:hint="default"/>
                <w:sz w:val="22"/>
                <w:szCs w:val="22"/>
              </w:rPr>
            </w:pPr>
            <w:r>
              <w:rPr>
                <w:rFonts w:ascii="Arial"/>
                <w:spacing w:val="-1"/>
                <w:sz w:val="22"/>
              </w:rPr>
              <w:t>33,704,163,583</w:t>
            </w:r>
          </w:p>
        </w:tc>
      </w:tr>
      <w:tr>
        <w:trPr>
          <w:trHeight w:val="286"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39" w:lineRule="exact"/>
              <w:ind w:left="406" w:right="0"/>
              <w:jc w:val="left"/>
              <w:rPr>
                <w:rFonts w:ascii="宋体" w:hAnsi="宋体" w:cs="宋体" w:eastAsia="宋体" w:hint="default"/>
                <w:sz w:val="22"/>
                <w:szCs w:val="22"/>
              </w:rPr>
            </w:pPr>
            <w:r>
              <w:rPr>
                <w:rFonts w:ascii="宋体" w:hAnsi="宋体" w:cs="宋体" w:eastAsia="宋体" w:hint="default"/>
                <w:sz w:val="22"/>
                <w:szCs w:val="22"/>
              </w:rPr>
              <w:t>信息与通信技术服务成本</w:t>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2"/>
              <w:jc w:val="right"/>
              <w:rPr>
                <w:rFonts w:ascii="Arial" w:hAnsi="Arial" w:cs="Arial" w:eastAsia="Arial" w:hint="default"/>
                <w:sz w:val="22"/>
                <w:szCs w:val="22"/>
              </w:rPr>
            </w:pPr>
            <w:r>
              <w:rPr>
                <w:rFonts w:ascii="Arial"/>
                <w:spacing w:val="-1"/>
                <w:sz w:val="22"/>
              </w:rPr>
              <w:t>3,119,087,275</w:t>
            </w: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0"/>
              <w:jc w:val="right"/>
              <w:rPr>
                <w:rFonts w:ascii="Arial" w:hAnsi="Arial" w:cs="Arial" w:eastAsia="Arial" w:hint="default"/>
                <w:sz w:val="22"/>
                <w:szCs w:val="22"/>
              </w:rPr>
            </w:pPr>
            <w:r>
              <w:rPr>
                <w:rFonts w:ascii="Arial"/>
                <w:spacing w:val="-1"/>
                <w:sz w:val="22"/>
              </w:rPr>
              <w:t>2,664,133,650</w:t>
            </w:r>
          </w:p>
        </w:tc>
      </w:tr>
      <w:tr>
        <w:trPr>
          <w:trHeight w:val="293"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39" w:lineRule="exact"/>
              <w:ind w:left="406"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42" w:type="dxa"/>
            <w:tcBorders>
              <w:top w:val="nil" w:sz="6" w:space="0" w:color="auto"/>
              <w:left w:val="nil" w:sz="6" w:space="0" w:color="auto"/>
              <w:bottom w:val="nil" w:sz="6" w:space="0" w:color="auto"/>
              <w:right w:val="nil" w:sz="6" w:space="0" w:color="auto"/>
            </w:tcBorders>
          </w:tcPr>
          <w:p>
            <w:pPr>
              <w:pStyle w:val="TableParagraph"/>
              <w:tabs>
                <w:tab w:pos="775" w:val="left" w:leader="none"/>
              </w:tabs>
              <w:spacing w:line="240" w:lineRule="auto" w:before="18"/>
              <w:ind w:right="55"/>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5,173,761,167</w:t>
            </w:r>
            <w:r>
              <w:rPr>
                <w:rFonts w:ascii="Arial"/>
                <w:spacing w:val="-1"/>
                <w:sz w:val="22"/>
              </w:rPr>
            </w: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tabs>
                <w:tab w:pos="710" w:val="left" w:leader="none"/>
              </w:tabs>
              <w:spacing w:line="240" w:lineRule="auto" w:before="18"/>
              <w:ind w:right="5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4,711,857,994</w:t>
            </w:r>
            <w:r>
              <w:rPr>
                <w:rFonts w:ascii="Arial"/>
                <w:spacing w:val="-1"/>
                <w:sz w:val="22"/>
              </w:rPr>
            </w:r>
          </w:p>
        </w:tc>
      </w:tr>
      <w:tr>
        <w:trPr>
          <w:trHeight w:val="419"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2"/>
              <w:jc w:val="right"/>
              <w:rPr>
                <w:rFonts w:ascii="Arial" w:hAnsi="Arial" w:cs="Arial" w:eastAsia="Arial" w:hint="default"/>
                <w:sz w:val="22"/>
                <w:szCs w:val="22"/>
              </w:rPr>
            </w:pPr>
            <w:r>
              <w:rPr>
                <w:rFonts w:ascii="Arial"/>
                <w:spacing w:val="-1"/>
                <w:sz w:val="22"/>
              </w:rPr>
              <w:t>156,540,115,901</w:t>
            </w: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9"/>
              <w:jc w:val="right"/>
              <w:rPr>
                <w:rFonts w:ascii="Arial" w:hAnsi="Arial" w:cs="Arial" w:eastAsia="Arial" w:hint="default"/>
                <w:sz w:val="22"/>
                <w:szCs w:val="22"/>
              </w:rPr>
            </w:pPr>
            <w:r>
              <w:rPr>
                <w:rFonts w:ascii="Arial"/>
                <w:spacing w:val="-1"/>
                <w:sz w:val="22"/>
              </w:rPr>
              <w:t>148,241,168,160</w:t>
            </w:r>
          </w:p>
        </w:tc>
      </w:tr>
      <w:tr>
        <w:trPr>
          <w:trHeight w:val="398"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00" w:right="0"/>
              <w:jc w:val="left"/>
              <w:rPr>
                <w:rFonts w:ascii="宋体" w:hAnsi="宋体" w:cs="宋体" w:eastAsia="宋体" w:hint="default"/>
                <w:sz w:val="22"/>
                <w:szCs w:val="22"/>
              </w:rPr>
            </w:pPr>
            <w:r>
              <w:rPr>
                <w:rFonts w:ascii="宋体" w:hAnsi="宋体" w:cs="宋体" w:eastAsia="宋体" w:hint="default"/>
                <w:sz w:val="22"/>
                <w:szCs w:val="22"/>
              </w:rPr>
              <w:t>其他业务成本：</w:t>
            </w:r>
          </w:p>
        </w:tc>
        <w:tc>
          <w:tcPr>
            <w:tcW w:w="2242"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
        </w:tc>
      </w:tr>
      <w:tr>
        <w:trPr>
          <w:trHeight w:val="434"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53" w:lineRule="exact"/>
              <w:ind w:left="406" w:right="0"/>
              <w:jc w:val="left"/>
              <w:rPr>
                <w:rFonts w:ascii="宋体" w:hAnsi="宋体" w:cs="宋体" w:eastAsia="宋体" w:hint="default"/>
                <w:sz w:val="22"/>
                <w:szCs w:val="22"/>
              </w:rPr>
            </w:pPr>
            <w:r>
              <w:rPr>
                <w:rFonts w:ascii="宋体" w:hAnsi="宋体" w:cs="宋体" w:eastAsia="宋体" w:hint="default"/>
                <w:sz w:val="22"/>
                <w:szCs w:val="22"/>
              </w:rPr>
              <w:t>销售通信产品成本</w:t>
            </w:r>
          </w:p>
        </w:tc>
        <w:tc>
          <w:tcPr>
            <w:tcW w:w="2242" w:type="dxa"/>
            <w:tcBorders>
              <w:top w:val="nil" w:sz="6" w:space="0" w:color="auto"/>
              <w:left w:val="nil" w:sz="6" w:space="0" w:color="auto"/>
              <w:bottom w:val="nil" w:sz="6" w:space="0" w:color="auto"/>
              <w:right w:val="nil" w:sz="6" w:space="0" w:color="auto"/>
            </w:tcBorders>
          </w:tcPr>
          <w:p>
            <w:pPr>
              <w:pStyle w:val="TableParagraph"/>
              <w:tabs>
                <w:tab w:pos="655" w:val="left" w:leader="none"/>
              </w:tabs>
              <w:spacing w:line="240" w:lineRule="auto" w:before="32"/>
              <w:ind w:right="52"/>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43,396,774,459</w:t>
            </w:r>
            <w:r>
              <w:rPr>
                <w:rFonts w:ascii="Arial"/>
                <w:spacing w:val="-1"/>
                <w:sz w:val="22"/>
              </w:rPr>
            </w: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tabs>
                <w:tab w:pos="587" w:val="left" w:leader="none"/>
              </w:tabs>
              <w:spacing w:line="240" w:lineRule="auto" w:before="32"/>
              <w:ind w:right="5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63,415,874,275</w:t>
            </w:r>
            <w:r>
              <w:rPr>
                <w:rFonts w:ascii="Arial"/>
                <w:spacing w:val="-1"/>
                <w:sz w:val="22"/>
              </w:rPr>
            </w:r>
          </w:p>
        </w:tc>
      </w:tr>
      <w:tr>
        <w:trPr>
          <w:trHeight w:val="432"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42" w:type="dxa"/>
            <w:tcBorders>
              <w:top w:val="nil" w:sz="6" w:space="0" w:color="auto"/>
              <w:left w:val="nil" w:sz="6" w:space="0" w:color="auto"/>
              <w:bottom w:val="single" w:sz="17" w:space="0" w:color="000000"/>
              <w:right w:val="nil" w:sz="6" w:space="0" w:color="auto"/>
            </w:tcBorders>
          </w:tcPr>
          <w:p>
            <w:pPr>
              <w:pStyle w:val="TableParagraph"/>
              <w:spacing w:line="240" w:lineRule="auto" w:before="153"/>
              <w:ind w:right="52"/>
              <w:jc w:val="right"/>
              <w:rPr>
                <w:rFonts w:ascii="Arial" w:hAnsi="Arial" w:cs="Arial" w:eastAsia="Arial" w:hint="default"/>
                <w:sz w:val="22"/>
                <w:szCs w:val="22"/>
              </w:rPr>
            </w:pPr>
            <w:r>
              <w:rPr>
                <w:rFonts w:ascii="Arial"/>
                <w:spacing w:val="-1"/>
                <w:sz w:val="22"/>
              </w:rPr>
              <w:t>199,936,890,360</w:t>
            </w: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single" w:sz="17" w:space="0" w:color="000000"/>
              <w:right w:val="nil" w:sz="6" w:space="0" w:color="auto"/>
            </w:tcBorders>
          </w:tcPr>
          <w:p>
            <w:pPr>
              <w:pStyle w:val="TableParagraph"/>
              <w:spacing w:line="240" w:lineRule="auto" w:before="153"/>
              <w:ind w:right="79"/>
              <w:jc w:val="right"/>
              <w:rPr>
                <w:rFonts w:ascii="Arial" w:hAnsi="Arial" w:cs="Arial" w:eastAsia="Arial" w:hint="default"/>
                <w:sz w:val="22"/>
                <w:szCs w:val="22"/>
              </w:rPr>
            </w:pPr>
            <w:r>
              <w:rPr>
                <w:rFonts w:ascii="Arial"/>
                <w:spacing w:val="-1"/>
                <w:sz w:val="22"/>
              </w:rPr>
              <w:t>211,657,042,435</w:t>
            </w:r>
          </w:p>
        </w:tc>
      </w:tr>
    </w:tbl>
    <w:p>
      <w:pPr>
        <w:spacing w:line="240" w:lineRule="auto" w:before="0"/>
        <w:rPr>
          <w:rFonts w:ascii="宋体" w:hAnsi="宋体" w:cs="宋体" w:eastAsia="宋体" w:hint="default"/>
          <w:sz w:val="14"/>
          <w:szCs w:val="14"/>
        </w:rPr>
      </w:pPr>
    </w:p>
    <w:p>
      <w:pPr>
        <w:pStyle w:val="BodyText"/>
        <w:spacing w:line="284" w:lineRule="exact" w:before="62"/>
        <w:ind w:left="940" w:right="0" w:hanging="452"/>
        <w:jc w:val="left"/>
      </w:pPr>
      <w:r>
        <w:rPr>
          <w:spacing w:val="-2"/>
        </w:rPr>
        <w:t>注：网络运行及支撑成本主要包括修理及运行维护费、水电取暖动力费以及房屋设备及通信电</w:t>
      </w:r>
      <w:r>
        <w:rPr>
          <w:spacing w:val="-51"/>
        </w:rPr>
        <w:t> </w:t>
      </w:r>
      <w:r>
        <w:rPr>
          <w:spacing w:val="-51"/>
        </w:rPr>
      </w:r>
      <w:r>
        <w:rPr/>
        <w:t>路租赁费等。</w:t>
      </w:r>
    </w:p>
    <w:p>
      <w:pPr>
        <w:spacing w:after="0" w:line="284" w:lineRule="exact"/>
        <w:jc w:val="left"/>
        <w:sectPr>
          <w:headerReference w:type="default" r:id="rId110"/>
          <w:pgSz w:w="11910" w:h="16840"/>
          <w:pgMar w:header="1185" w:footer="635" w:top="3600" w:bottom="820" w:left="1280" w:right="1020"/>
        </w:sectPr>
      </w:pPr>
    </w:p>
    <w:p>
      <w:pPr>
        <w:spacing w:line="240" w:lineRule="auto" w:before="6"/>
        <w:rPr>
          <w:rFonts w:ascii="宋体" w:hAnsi="宋体" w:cs="宋体" w:eastAsia="宋体" w:hint="default"/>
          <w:sz w:val="22"/>
          <w:szCs w:val="22"/>
        </w:rPr>
      </w:pPr>
    </w:p>
    <w:tbl>
      <w:tblPr>
        <w:tblW w:w="0" w:type="auto"/>
        <w:jc w:val="left"/>
        <w:tblInd w:w="246" w:type="dxa"/>
        <w:tblLayout w:type="fixed"/>
        <w:tblCellMar>
          <w:top w:w="0" w:type="dxa"/>
          <w:left w:w="0" w:type="dxa"/>
          <w:bottom w:w="0" w:type="dxa"/>
          <w:right w:w="0" w:type="dxa"/>
        </w:tblCellMar>
        <w:tblLook w:val="01E0"/>
      </w:tblPr>
      <w:tblGrid>
        <w:gridCol w:w="5097"/>
        <w:gridCol w:w="2300"/>
        <w:gridCol w:w="1812"/>
      </w:tblGrid>
      <w:tr>
        <w:trPr>
          <w:trHeight w:val="264" w:hRule="exact"/>
        </w:trPr>
        <w:tc>
          <w:tcPr>
            <w:tcW w:w="5097"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single" w:sz="6" w:space="0" w:color="000000"/>
              <w:right w:val="nil" w:sz="6" w:space="0" w:color="auto"/>
            </w:tcBorders>
          </w:tcPr>
          <w:p>
            <w:pPr>
              <w:pStyle w:val="TableParagraph"/>
              <w:spacing w:line="236" w:lineRule="exact"/>
              <w:ind w:left="1181"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812" w:type="dxa"/>
            <w:tcBorders>
              <w:top w:val="nil" w:sz="6" w:space="0" w:color="auto"/>
              <w:left w:val="nil" w:sz="6" w:space="0" w:color="auto"/>
              <w:bottom w:val="single" w:sz="6" w:space="0" w:color="000000"/>
              <w:right w:val="nil" w:sz="6" w:space="0" w:color="auto"/>
            </w:tcBorders>
          </w:tcPr>
          <w:p>
            <w:pPr>
              <w:pStyle w:val="TableParagraph"/>
              <w:spacing w:line="236" w:lineRule="exact"/>
              <w:ind w:right="24"/>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58" w:hRule="exact"/>
        </w:trPr>
        <w:tc>
          <w:tcPr>
            <w:tcW w:w="509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2300"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21" w:right="0"/>
              <w:jc w:val="left"/>
              <w:rPr>
                <w:rFonts w:ascii="Arial" w:hAnsi="Arial" w:cs="Arial" w:eastAsia="Arial" w:hint="default"/>
                <w:sz w:val="22"/>
                <w:szCs w:val="22"/>
              </w:rPr>
            </w:pPr>
            <w:r>
              <w:rPr>
                <w:rFonts w:ascii="Arial"/>
                <w:sz w:val="22"/>
              </w:rPr>
              <w:t>3,547,263,295</w:t>
            </w:r>
          </w:p>
        </w:tc>
        <w:tc>
          <w:tcPr>
            <w:tcW w:w="1812"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8"/>
              <w:jc w:val="right"/>
              <w:rPr>
                <w:rFonts w:ascii="Arial" w:hAnsi="Arial" w:cs="Arial" w:eastAsia="Arial" w:hint="default"/>
                <w:sz w:val="22"/>
                <w:szCs w:val="22"/>
              </w:rPr>
            </w:pPr>
            <w:r>
              <w:rPr>
                <w:rFonts w:ascii="Arial"/>
                <w:spacing w:val="-1"/>
                <w:sz w:val="22"/>
              </w:rPr>
              <w:t>7,710,764,304</w:t>
            </w:r>
          </w:p>
        </w:tc>
      </w:tr>
      <w:tr>
        <w:trPr>
          <w:trHeight w:val="419" w:hRule="exact"/>
        </w:trPr>
        <w:tc>
          <w:tcPr>
            <w:tcW w:w="5097"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城市维护建设税及教育费附加等</w:t>
            </w:r>
          </w:p>
        </w:tc>
        <w:tc>
          <w:tcPr>
            <w:tcW w:w="2300" w:type="dxa"/>
            <w:tcBorders>
              <w:top w:val="nil" w:sz="6" w:space="0" w:color="auto"/>
              <w:left w:val="nil" w:sz="6" w:space="0" w:color="auto"/>
              <w:bottom w:val="nil" w:sz="6" w:space="0" w:color="auto"/>
              <w:right w:val="nil" w:sz="6" w:space="0" w:color="auto"/>
            </w:tcBorders>
          </w:tcPr>
          <w:p>
            <w:pPr>
              <w:pStyle w:val="TableParagraph"/>
              <w:tabs>
                <w:tab w:pos="521" w:val="left" w:leader="none"/>
                <w:tab w:pos="2835" w:val="left" w:leader="none"/>
              </w:tabs>
              <w:spacing w:line="240" w:lineRule="auto" w:before="18"/>
              <w:ind w:right="-536"/>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1,173,995,296</w:t>
            </w:r>
            <w:r>
              <w:rPr>
                <w:rFonts w:ascii="Arial"/>
                <w:sz w:val="22"/>
              </w:rPr>
              <w:t> </w:t>
            </w:r>
            <w:r>
              <w:rPr>
                <w:rFonts w:ascii="Arial"/>
                <w:spacing w:val="-20"/>
                <w:sz w:val="22"/>
              </w:rPr>
              <w:t> </w:t>
            </w:r>
            <w:r>
              <w:rPr>
                <w:rFonts w:ascii="Arial"/>
                <w:spacing w:val="-20"/>
                <w:w w:val="100"/>
                <w:sz w:val="22"/>
              </w:rPr>
            </w:r>
            <w:r>
              <w:rPr>
                <w:rFonts w:ascii="Arial"/>
                <w:w w:val="100"/>
                <w:sz w:val="22"/>
                <w:u w:val="single" w:color="000000"/>
              </w:rPr>
              <w:t> </w:t>
            </w:r>
            <w:r>
              <w:rPr>
                <w:rFonts w:ascii="Arial"/>
                <w:sz w:val="22"/>
                <w:u w:val="single" w:color="000000"/>
              </w:rPr>
              <w:tab/>
            </w:r>
            <w:r>
              <w:rPr>
                <w:rFonts w:ascii="Arial"/>
                <w:sz w:val="22"/>
              </w:rPr>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7"/>
              <w:jc w:val="right"/>
              <w:rPr>
                <w:rFonts w:ascii="Arial" w:hAnsi="Arial" w:cs="Arial" w:eastAsia="Arial" w:hint="default"/>
                <w:sz w:val="22"/>
                <w:szCs w:val="22"/>
              </w:rPr>
            </w:pPr>
            <w:r>
              <w:rPr>
                <w:rFonts w:ascii="Arial"/>
                <w:w w:val="100"/>
                <w:sz w:val="22"/>
              </w:rPr>
            </w:r>
            <w:r>
              <w:rPr>
                <w:rFonts w:ascii="Arial"/>
                <w:spacing w:val="-1"/>
                <w:sz w:val="22"/>
                <w:u w:val="single" w:color="000000"/>
              </w:rPr>
              <w:t>978,629,365</w:t>
            </w:r>
            <w:r>
              <w:rPr>
                <w:rFonts w:ascii="Arial"/>
                <w:spacing w:val="-1"/>
                <w:sz w:val="22"/>
              </w:rPr>
            </w:r>
          </w:p>
        </w:tc>
      </w:tr>
      <w:tr>
        <w:trPr>
          <w:trHeight w:val="433" w:hRule="exact"/>
        </w:trPr>
        <w:tc>
          <w:tcPr>
            <w:tcW w:w="509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45"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00"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left="521" w:right="0"/>
              <w:jc w:val="left"/>
              <w:rPr>
                <w:rFonts w:ascii="Arial" w:hAnsi="Arial" w:cs="Arial" w:eastAsia="Arial" w:hint="default"/>
                <w:sz w:val="22"/>
                <w:szCs w:val="22"/>
              </w:rPr>
            </w:pPr>
            <w:r>
              <w:rPr>
                <w:rFonts w:ascii="Arial"/>
                <w:sz w:val="22"/>
              </w:rPr>
              <w:t>4,721,258,591</w:t>
            </w:r>
          </w:p>
        </w:tc>
        <w:tc>
          <w:tcPr>
            <w:tcW w:w="1812"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48"/>
              <w:jc w:val="right"/>
              <w:rPr>
                <w:rFonts w:ascii="Arial" w:hAnsi="Arial" w:cs="Arial" w:eastAsia="Arial" w:hint="default"/>
                <w:sz w:val="22"/>
                <w:szCs w:val="22"/>
              </w:rPr>
            </w:pPr>
            <w:r>
              <w:rPr>
                <w:rFonts w:ascii="Arial"/>
                <w:spacing w:val="-1"/>
                <w:sz w:val="22"/>
              </w:rPr>
              <w:t>8,689,393,669</w:t>
            </w:r>
          </w:p>
        </w:tc>
      </w:tr>
    </w:tbl>
    <w:p>
      <w:pPr>
        <w:spacing w:line="240" w:lineRule="auto" w:before="12"/>
        <w:rPr>
          <w:rFonts w:ascii="宋体" w:hAnsi="宋体" w:cs="宋体" w:eastAsia="宋体" w:hint="default"/>
          <w:sz w:val="12"/>
          <w:szCs w:val="12"/>
        </w:rPr>
      </w:pPr>
    </w:p>
    <w:p>
      <w:pPr>
        <w:pStyle w:val="BodyText"/>
        <w:spacing w:line="240" w:lineRule="auto" w:before="32"/>
        <w:ind w:left="102" w:right="106"/>
        <w:jc w:val="left"/>
      </w:pPr>
      <w:r>
        <w:rPr>
          <w:rFonts w:ascii="Arial" w:hAnsi="Arial" w:cs="Arial" w:eastAsia="Arial" w:hint="default"/>
        </w:rPr>
        <w:t>38</w:t>
      </w:r>
      <w:r>
        <w:rPr/>
        <w:t>、销售费用</w:t>
      </w:r>
    </w:p>
    <w:p>
      <w:pPr>
        <w:spacing w:line="240" w:lineRule="auto" w:before="3"/>
        <w:rPr>
          <w:rFonts w:ascii="宋体" w:hAnsi="宋体" w:cs="宋体" w:eastAsia="宋体" w:hint="default"/>
          <w:sz w:val="23"/>
          <w:szCs w:val="23"/>
        </w:rPr>
      </w:pPr>
    </w:p>
    <w:tbl>
      <w:tblPr>
        <w:tblW w:w="0" w:type="auto"/>
        <w:jc w:val="left"/>
        <w:tblInd w:w="370" w:type="dxa"/>
        <w:tblLayout w:type="fixed"/>
        <w:tblCellMar>
          <w:top w:w="0" w:type="dxa"/>
          <w:left w:w="0" w:type="dxa"/>
          <w:bottom w:w="0" w:type="dxa"/>
          <w:right w:w="0" w:type="dxa"/>
        </w:tblCellMar>
        <w:tblLook w:val="01E0"/>
      </w:tblPr>
      <w:tblGrid>
        <w:gridCol w:w="4530"/>
        <w:gridCol w:w="2247"/>
        <w:gridCol w:w="204"/>
        <w:gridCol w:w="2219"/>
      </w:tblGrid>
      <w:tr>
        <w:trPr>
          <w:trHeight w:val="264" w:hRule="exact"/>
        </w:trPr>
        <w:tc>
          <w:tcPr>
            <w:tcW w:w="4530" w:type="dxa"/>
            <w:tcBorders>
              <w:top w:val="nil" w:sz="6" w:space="0" w:color="auto"/>
              <w:left w:val="nil" w:sz="6" w:space="0" w:color="auto"/>
              <w:bottom w:val="nil" w:sz="6" w:space="0" w:color="auto"/>
              <w:right w:val="nil" w:sz="6" w:space="0" w:color="auto"/>
            </w:tcBorders>
          </w:tcPr>
          <w:p>
            <w:pPr/>
          </w:p>
        </w:tc>
        <w:tc>
          <w:tcPr>
            <w:tcW w:w="2247" w:type="dxa"/>
            <w:tcBorders>
              <w:top w:val="nil" w:sz="6" w:space="0" w:color="auto"/>
              <w:left w:val="nil" w:sz="6" w:space="0" w:color="auto"/>
              <w:bottom w:val="single" w:sz="6" w:space="0" w:color="000000"/>
              <w:right w:val="nil" w:sz="6" w:space="0" w:color="auto"/>
            </w:tcBorders>
          </w:tcPr>
          <w:p>
            <w:pPr>
              <w:pStyle w:val="TableParagraph"/>
              <w:spacing w:line="236" w:lineRule="exact"/>
              <w:ind w:right="36"/>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04"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single" w:sz="6" w:space="0" w:color="000000"/>
              <w:right w:val="nil" w:sz="6" w:space="0" w:color="auto"/>
            </w:tcBorders>
          </w:tcPr>
          <w:p>
            <w:pPr>
              <w:pStyle w:val="TableParagraph"/>
              <w:spacing w:line="236" w:lineRule="exact"/>
              <w:ind w:right="27"/>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56"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销售渠道费用</w:t>
            </w:r>
          </w:p>
        </w:tc>
        <w:tc>
          <w:tcPr>
            <w:tcW w:w="2247"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right"/>
              <w:rPr>
                <w:rFonts w:ascii="Arial" w:hAnsi="Arial" w:cs="Arial" w:eastAsia="Arial" w:hint="default"/>
                <w:sz w:val="22"/>
                <w:szCs w:val="22"/>
              </w:rPr>
            </w:pPr>
            <w:r>
              <w:rPr>
                <w:rFonts w:ascii="Arial"/>
                <w:spacing w:val="-1"/>
                <w:sz w:val="22"/>
              </w:rPr>
              <w:t>26,356,772,111</w:t>
            </w:r>
          </w:p>
        </w:tc>
        <w:tc>
          <w:tcPr>
            <w:tcW w:w="204" w:type="dxa"/>
            <w:tcBorders>
              <w:top w:val="nil" w:sz="6" w:space="0" w:color="auto"/>
              <w:left w:val="nil" w:sz="6" w:space="0" w:color="auto"/>
              <w:bottom w:val="nil" w:sz="6" w:space="0" w:color="auto"/>
              <w:right w:val="nil" w:sz="6" w:space="0" w:color="auto"/>
            </w:tcBorders>
          </w:tcPr>
          <w:p>
            <w:pPr/>
          </w:p>
        </w:tc>
        <w:tc>
          <w:tcPr>
            <w:tcW w:w="2219"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right"/>
              <w:rPr>
                <w:rFonts w:ascii="Arial" w:hAnsi="Arial" w:cs="Arial" w:eastAsia="Arial" w:hint="default"/>
                <w:sz w:val="22"/>
                <w:szCs w:val="22"/>
              </w:rPr>
            </w:pPr>
            <w:r>
              <w:rPr>
                <w:rFonts w:ascii="Arial"/>
                <w:spacing w:val="-1"/>
                <w:sz w:val="22"/>
              </w:rPr>
              <w:t>28,125,915,050</w:t>
            </w:r>
          </w:p>
        </w:tc>
      </w:tr>
      <w:tr>
        <w:trPr>
          <w:trHeight w:val="286"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用户获取及广告业务宣传费等</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Arial" w:hAnsi="Arial" w:cs="Arial" w:eastAsia="Arial" w:hint="default"/>
                <w:sz w:val="22"/>
                <w:szCs w:val="22"/>
              </w:rPr>
            </w:pPr>
            <w:r>
              <w:rPr>
                <w:rFonts w:ascii="Arial"/>
                <w:spacing w:val="-1"/>
                <w:sz w:val="22"/>
              </w:rPr>
              <w:t>4,223,925,003</w:t>
            </w:r>
          </w:p>
        </w:tc>
        <w:tc>
          <w:tcPr>
            <w:tcW w:w="204"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Arial" w:hAnsi="Arial" w:cs="Arial" w:eastAsia="Arial" w:hint="default"/>
                <w:sz w:val="22"/>
                <w:szCs w:val="22"/>
              </w:rPr>
            </w:pPr>
            <w:r>
              <w:rPr>
                <w:rFonts w:ascii="Arial"/>
                <w:spacing w:val="-1"/>
                <w:sz w:val="22"/>
              </w:rPr>
              <w:t>5,361,372,166</w:t>
            </w:r>
          </w:p>
        </w:tc>
      </w:tr>
      <w:tr>
        <w:trPr>
          <w:trHeight w:val="285"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用户保有成本及客服成本</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Arial" w:hAnsi="Arial" w:cs="Arial" w:eastAsia="Arial" w:hint="default"/>
                <w:sz w:val="22"/>
                <w:szCs w:val="22"/>
              </w:rPr>
            </w:pPr>
            <w:r>
              <w:rPr>
                <w:rFonts w:ascii="Arial"/>
                <w:spacing w:val="-1"/>
                <w:sz w:val="22"/>
              </w:rPr>
              <w:t>3,809,245,963</w:t>
            </w:r>
          </w:p>
        </w:tc>
        <w:tc>
          <w:tcPr>
            <w:tcW w:w="204"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Arial" w:hAnsi="Arial" w:cs="Arial" w:eastAsia="Arial" w:hint="default"/>
                <w:sz w:val="22"/>
                <w:szCs w:val="22"/>
              </w:rPr>
            </w:pPr>
            <w:r>
              <w:rPr>
                <w:rFonts w:ascii="Arial"/>
                <w:spacing w:val="-1"/>
                <w:sz w:val="22"/>
              </w:rPr>
              <w:t>4,556,684,287</w:t>
            </w:r>
          </w:p>
        </w:tc>
      </w:tr>
      <w:tr>
        <w:trPr>
          <w:trHeight w:val="286"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固网业务客户接入成本</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Arial" w:hAnsi="Arial" w:cs="Arial" w:eastAsia="Arial" w:hint="default"/>
                <w:sz w:val="22"/>
                <w:szCs w:val="22"/>
              </w:rPr>
            </w:pPr>
            <w:r>
              <w:rPr>
                <w:rFonts w:ascii="Arial"/>
                <w:spacing w:val="-1"/>
                <w:sz w:val="22"/>
              </w:rPr>
              <w:t>4,799,112,621</w:t>
            </w:r>
          </w:p>
        </w:tc>
        <w:tc>
          <w:tcPr>
            <w:tcW w:w="204"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Arial" w:hAnsi="Arial" w:cs="Arial" w:eastAsia="Arial" w:hint="default"/>
                <w:sz w:val="22"/>
                <w:szCs w:val="22"/>
              </w:rPr>
            </w:pPr>
            <w:r>
              <w:rPr>
                <w:rFonts w:ascii="Arial"/>
                <w:spacing w:val="-1"/>
                <w:sz w:val="22"/>
              </w:rPr>
              <w:t>3,319,396,891</w:t>
            </w:r>
          </w:p>
        </w:tc>
      </w:tr>
      <w:tr>
        <w:trPr>
          <w:trHeight w:val="419"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用户获取成本</w:t>
            </w:r>
          </w:p>
        </w:tc>
        <w:tc>
          <w:tcPr>
            <w:tcW w:w="2247" w:type="dxa"/>
            <w:tcBorders>
              <w:top w:val="nil" w:sz="6" w:space="0" w:color="auto"/>
              <w:left w:val="nil" w:sz="6" w:space="0" w:color="auto"/>
              <w:bottom w:val="nil" w:sz="6" w:space="0" w:color="auto"/>
              <w:right w:val="nil" w:sz="6" w:space="0" w:color="auto"/>
            </w:tcBorders>
          </w:tcPr>
          <w:p>
            <w:pPr>
              <w:pStyle w:val="TableParagraph"/>
              <w:tabs>
                <w:tab w:pos="837"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1,004,313,048</w:t>
            </w:r>
            <w:r>
              <w:rPr>
                <w:rFonts w:ascii="Arial"/>
                <w:spacing w:val="-1"/>
                <w:sz w:val="22"/>
              </w:rPr>
            </w:r>
          </w:p>
        </w:tc>
        <w:tc>
          <w:tcPr>
            <w:tcW w:w="204"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1,628,130,180</w:t>
            </w:r>
            <w:r>
              <w:rPr>
                <w:rFonts w:ascii="Arial"/>
                <w:spacing w:val="-1"/>
                <w:sz w:val="22"/>
              </w:rPr>
            </w:r>
          </w:p>
        </w:tc>
      </w:tr>
      <w:tr>
        <w:trPr>
          <w:trHeight w:val="433"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47"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0"/>
              <w:jc w:val="right"/>
              <w:rPr>
                <w:rFonts w:ascii="Arial" w:hAnsi="Arial" w:cs="Arial" w:eastAsia="Arial" w:hint="default"/>
                <w:sz w:val="22"/>
                <w:szCs w:val="22"/>
              </w:rPr>
            </w:pPr>
            <w:r>
              <w:rPr>
                <w:rFonts w:ascii="Arial"/>
                <w:spacing w:val="-1"/>
                <w:sz w:val="22"/>
              </w:rPr>
              <w:t>40,193,368,746</w:t>
            </w:r>
          </w:p>
        </w:tc>
        <w:tc>
          <w:tcPr>
            <w:tcW w:w="204"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0"/>
              <w:jc w:val="right"/>
              <w:rPr>
                <w:rFonts w:ascii="Arial" w:hAnsi="Arial" w:cs="Arial" w:eastAsia="Arial" w:hint="default"/>
                <w:sz w:val="22"/>
                <w:szCs w:val="22"/>
              </w:rPr>
            </w:pPr>
            <w:r>
              <w:rPr>
                <w:rFonts w:ascii="Arial"/>
                <w:spacing w:val="-1"/>
                <w:sz w:val="22"/>
              </w:rPr>
              <w:t>42,991,498,574</w:t>
            </w:r>
          </w:p>
        </w:tc>
      </w:tr>
    </w:tbl>
    <w:p>
      <w:pPr>
        <w:spacing w:line="240" w:lineRule="auto" w:before="11"/>
        <w:rPr>
          <w:rFonts w:ascii="宋体" w:hAnsi="宋体" w:cs="宋体" w:eastAsia="宋体" w:hint="default"/>
          <w:sz w:val="13"/>
          <w:szCs w:val="13"/>
        </w:rPr>
      </w:pPr>
    </w:p>
    <w:p>
      <w:pPr>
        <w:pStyle w:val="BodyText"/>
        <w:spacing w:line="240" w:lineRule="auto" w:before="32"/>
        <w:ind w:left="102" w:right="106"/>
        <w:jc w:val="left"/>
      </w:pPr>
      <w:r>
        <w:rPr>
          <w:rFonts w:ascii="Arial" w:hAnsi="Arial" w:cs="Arial" w:eastAsia="Arial" w:hint="default"/>
        </w:rPr>
        <w:t>39</w:t>
      </w:r>
      <w:r>
        <w:rPr/>
        <w:t>、管理费用</w:t>
      </w:r>
    </w:p>
    <w:p>
      <w:pPr>
        <w:spacing w:line="240" w:lineRule="auto" w:before="3"/>
        <w:rPr>
          <w:rFonts w:ascii="宋体" w:hAnsi="宋体" w:cs="宋体" w:eastAsia="宋体" w:hint="default"/>
          <w:sz w:val="23"/>
          <w:szCs w:val="23"/>
        </w:rPr>
      </w:pPr>
    </w:p>
    <w:tbl>
      <w:tblPr>
        <w:tblW w:w="0" w:type="auto"/>
        <w:jc w:val="left"/>
        <w:tblInd w:w="370" w:type="dxa"/>
        <w:tblLayout w:type="fixed"/>
        <w:tblCellMar>
          <w:top w:w="0" w:type="dxa"/>
          <w:left w:w="0" w:type="dxa"/>
          <w:bottom w:w="0" w:type="dxa"/>
          <w:right w:w="0" w:type="dxa"/>
        </w:tblCellMar>
        <w:tblLook w:val="01E0"/>
      </w:tblPr>
      <w:tblGrid>
        <w:gridCol w:w="4530"/>
        <w:gridCol w:w="2244"/>
        <w:gridCol w:w="199"/>
        <w:gridCol w:w="2223"/>
      </w:tblGrid>
      <w:tr>
        <w:trPr>
          <w:trHeight w:val="262" w:hRule="exact"/>
        </w:trPr>
        <w:tc>
          <w:tcPr>
            <w:tcW w:w="4530" w:type="dxa"/>
            <w:tcBorders>
              <w:top w:val="nil" w:sz="6" w:space="0" w:color="auto"/>
              <w:left w:val="nil" w:sz="6" w:space="0" w:color="auto"/>
              <w:bottom w:val="nil" w:sz="6" w:space="0" w:color="auto"/>
              <w:right w:val="nil" w:sz="6" w:space="0" w:color="auto"/>
            </w:tcBorders>
          </w:tcPr>
          <w:p>
            <w:pPr/>
          </w:p>
        </w:tc>
        <w:tc>
          <w:tcPr>
            <w:tcW w:w="2244" w:type="dxa"/>
            <w:tcBorders>
              <w:top w:val="nil" w:sz="6" w:space="0" w:color="auto"/>
              <w:left w:val="nil" w:sz="6" w:space="0" w:color="auto"/>
              <w:bottom w:val="single" w:sz="6" w:space="0" w:color="000000"/>
              <w:right w:val="nil" w:sz="6" w:space="0" w:color="auto"/>
            </w:tcBorders>
          </w:tcPr>
          <w:p>
            <w:pPr>
              <w:pStyle w:val="TableParagraph"/>
              <w:spacing w:line="236" w:lineRule="exact"/>
              <w:ind w:right="35"/>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99"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single" w:sz="6" w:space="0" w:color="000000"/>
              <w:right w:val="nil" w:sz="6" w:space="0" w:color="auto"/>
            </w:tcBorders>
          </w:tcPr>
          <w:p>
            <w:pPr>
              <w:pStyle w:val="TableParagraph"/>
              <w:spacing w:line="236" w:lineRule="exact"/>
              <w:ind w:right="24"/>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58"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人工成本</w:t>
            </w:r>
          </w:p>
        </w:tc>
        <w:tc>
          <w:tcPr>
            <w:tcW w:w="2244"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27"/>
              <w:jc w:val="right"/>
              <w:rPr>
                <w:rFonts w:ascii="Arial" w:hAnsi="Arial" w:cs="Arial" w:eastAsia="Arial" w:hint="default"/>
                <w:sz w:val="22"/>
                <w:szCs w:val="22"/>
              </w:rPr>
            </w:pPr>
            <w:r>
              <w:rPr>
                <w:rFonts w:ascii="Arial"/>
                <w:spacing w:val="-1"/>
                <w:sz w:val="22"/>
              </w:rPr>
              <w:t>9,541,218,778</w:t>
            </w:r>
          </w:p>
        </w:tc>
        <w:tc>
          <w:tcPr>
            <w:tcW w:w="199" w:type="dxa"/>
            <w:tcBorders>
              <w:top w:val="nil" w:sz="6" w:space="0" w:color="auto"/>
              <w:left w:val="nil" w:sz="6" w:space="0" w:color="auto"/>
              <w:bottom w:val="nil" w:sz="6" w:space="0" w:color="auto"/>
              <w:right w:val="nil" w:sz="6" w:space="0" w:color="auto"/>
            </w:tcBorders>
          </w:tcPr>
          <w:p>
            <w:pPr/>
          </w:p>
        </w:tc>
        <w:tc>
          <w:tcPr>
            <w:tcW w:w="2223"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Arial" w:hAnsi="Arial" w:cs="Arial" w:eastAsia="Arial" w:hint="default"/>
                <w:sz w:val="22"/>
                <w:szCs w:val="22"/>
              </w:rPr>
            </w:pPr>
            <w:r>
              <w:rPr>
                <w:rFonts w:ascii="Arial"/>
                <w:spacing w:val="-1"/>
                <w:sz w:val="22"/>
              </w:rPr>
              <w:t>9,008,351,575</w:t>
            </w:r>
          </w:p>
        </w:tc>
      </w:tr>
      <w:tr>
        <w:trPr>
          <w:trHeight w:val="286"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办公及交通费</w:t>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7"/>
              <w:jc w:val="right"/>
              <w:rPr>
                <w:rFonts w:ascii="Arial" w:hAnsi="Arial" w:cs="Arial" w:eastAsia="Arial" w:hint="default"/>
                <w:sz w:val="22"/>
                <w:szCs w:val="22"/>
              </w:rPr>
            </w:pPr>
            <w:r>
              <w:rPr>
                <w:rFonts w:ascii="Arial"/>
                <w:spacing w:val="-1"/>
                <w:sz w:val="22"/>
              </w:rPr>
              <w:t>1,951,254,785</w:t>
            </w:r>
          </w:p>
        </w:tc>
        <w:tc>
          <w:tcPr>
            <w:tcW w:w="199"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8"/>
              <w:jc w:val="right"/>
              <w:rPr>
                <w:rFonts w:ascii="Arial" w:hAnsi="Arial" w:cs="Arial" w:eastAsia="Arial" w:hint="default"/>
                <w:sz w:val="22"/>
                <w:szCs w:val="22"/>
              </w:rPr>
            </w:pPr>
            <w:r>
              <w:rPr>
                <w:rFonts w:ascii="Arial"/>
                <w:spacing w:val="-1"/>
                <w:sz w:val="22"/>
              </w:rPr>
              <w:t>2,480,217,758</w:t>
            </w:r>
          </w:p>
        </w:tc>
      </w:tr>
      <w:tr>
        <w:trPr>
          <w:trHeight w:val="285"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折旧及摊销</w:t>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7"/>
              <w:jc w:val="right"/>
              <w:rPr>
                <w:rFonts w:ascii="Arial" w:hAnsi="Arial" w:cs="Arial" w:eastAsia="Arial" w:hint="default"/>
                <w:sz w:val="22"/>
                <w:szCs w:val="22"/>
              </w:rPr>
            </w:pPr>
            <w:r>
              <w:rPr>
                <w:rFonts w:ascii="Arial"/>
                <w:spacing w:val="-1"/>
                <w:sz w:val="22"/>
              </w:rPr>
              <w:t>3,566,821,508</w:t>
            </w:r>
          </w:p>
        </w:tc>
        <w:tc>
          <w:tcPr>
            <w:tcW w:w="199"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8"/>
              <w:jc w:val="right"/>
              <w:rPr>
                <w:rFonts w:ascii="Arial" w:hAnsi="Arial" w:cs="Arial" w:eastAsia="Arial" w:hint="default"/>
                <w:sz w:val="22"/>
                <w:szCs w:val="22"/>
              </w:rPr>
            </w:pPr>
            <w:r>
              <w:rPr>
                <w:rFonts w:ascii="Arial"/>
                <w:spacing w:val="-1"/>
                <w:sz w:val="22"/>
              </w:rPr>
              <w:t>4,258,506,215</w:t>
            </w:r>
          </w:p>
        </w:tc>
      </w:tr>
      <w:tr>
        <w:trPr>
          <w:trHeight w:val="286"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差旅费</w:t>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7"/>
              <w:jc w:val="right"/>
              <w:rPr>
                <w:rFonts w:ascii="Arial" w:hAnsi="Arial" w:cs="Arial" w:eastAsia="Arial" w:hint="default"/>
                <w:sz w:val="22"/>
                <w:szCs w:val="22"/>
              </w:rPr>
            </w:pPr>
            <w:r>
              <w:rPr>
                <w:rFonts w:ascii="Arial"/>
                <w:spacing w:val="-1"/>
                <w:sz w:val="22"/>
              </w:rPr>
              <w:t>207,271,668</w:t>
            </w:r>
          </w:p>
        </w:tc>
        <w:tc>
          <w:tcPr>
            <w:tcW w:w="199"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8"/>
              <w:jc w:val="right"/>
              <w:rPr>
                <w:rFonts w:ascii="Arial" w:hAnsi="Arial" w:cs="Arial" w:eastAsia="Arial" w:hint="default"/>
                <w:sz w:val="22"/>
                <w:szCs w:val="22"/>
              </w:rPr>
            </w:pPr>
            <w:r>
              <w:rPr>
                <w:rFonts w:ascii="Arial"/>
                <w:spacing w:val="-1"/>
                <w:sz w:val="22"/>
              </w:rPr>
              <w:t>236,948,897</w:t>
            </w:r>
          </w:p>
        </w:tc>
      </w:tr>
      <w:tr>
        <w:trPr>
          <w:trHeight w:val="286"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水电取暖费</w:t>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7"/>
              <w:jc w:val="right"/>
              <w:rPr>
                <w:rFonts w:ascii="Arial" w:hAnsi="Arial" w:cs="Arial" w:eastAsia="Arial" w:hint="default"/>
                <w:sz w:val="22"/>
                <w:szCs w:val="22"/>
              </w:rPr>
            </w:pPr>
            <w:r>
              <w:rPr>
                <w:rFonts w:ascii="Arial"/>
                <w:spacing w:val="-1"/>
                <w:sz w:val="22"/>
              </w:rPr>
              <w:t>786,611,642</w:t>
            </w:r>
          </w:p>
        </w:tc>
        <w:tc>
          <w:tcPr>
            <w:tcW w:w="199"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8"/>
              <w:jc w:val="right"/>
              <w:rPr>
                <w:rFonts w:ascii="Arial" w:hAnsi="Arial" w:cs="Arial" w:eastAsia="Arial" w:hint="default"/>
                <w:sz w:val="22"/>
                <w:szCs w:val="22"/>
              </w:rPr>
            </w:pPr>
            <w:r>
              <w:rPr>
                <w:rFonts w:ascii="Arial"/>
                <w:spacing w:val="-1"/>
                <w:sz w:val="22"/>
              </w:rPr>
              <w:t>835,208,900</w:t>
            </w:r>
          </w:p>
        </w:tc>
      </w:tr>
      <w:tr>
        <w:trPr>
          <w:trHeight w:val="284"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房屋租赁费用</w:t>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7"/>
              <w:jc w:val="right"/>
              <w:rPr>
                <w:rFonts w:ascii="Arial" w:hAnsi="Arial" w:cs="Arial" w:eastAsia="Arial" w:hint="default"/>
                <w:sz w:val="22"/>
                <w:szCs w:val="22"/>
              </w:rPr>
            </w:pPr>
            <w:r>
              <w:rPr>
                <w:rFonts w:ascii="Arial"/>
                <w:spacing w:val="-1"/>
                <w:sz w:val="22"/>
              </w:rPr>
              <w:t>1,290,028,859</w:t>
            </w:r>
          </w:p>
        </w:tc>
        <w:tc>
          <w:tcPr>
            <w:tcW w:w="199"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8"/>
              <w:jc w:val="right"/>
              <w:rPr>
                <w:rFonts w:ascii="Arial" w:hAnsi="Arial" w:cs="Arial" w:eastAsia="Arial" w:hint="default"/>
                <w:sz w:val="22"/>
                <w:szCs w:val="22"/>
              </w:rPr>
            </w:pPr>
            <w:r>
              <w:rPr>
                <w:rFonts w:ascii="Arial"/>
                <w:spacing w:val="-1"/>
                <w:sz w:val="22"/>
              </w:rPr>
              <w:t>1,209,645,974</w:t>
            </w:r>
          </w:p>
        </w:tc>
      </w:tr>
      <w:tr>
        <w:trPr>
          <w:trHeight w:val="286"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其他税费</w:t>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9"/>
              <w:jc w:val="right"/>
              <w:rPr>
                <w:rFonts w:ascii="Arial" w:hAnsi="Arial" w:cs="Arial" w:eastAsia="Arial" w:hint="default"/>
                <w:sz w:val="22"/>
                <w:szCs w:val="22"/>
              </w:rPr>
            </w:pPr>
            <w:r>
              <w:rPr>
                <w:rFonts w:ascii="Arial"/>
                <w:spacing w:val="-1"/>
                <w:sz w:val="22"/>
              </w:rPr>
              <w:t>1,126,302,333</w:t>
            </w:r>
          </w:p>
        </w:tc>
        <w:tc>
          <w:tcPr>
            <w:tcW w:w="199"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8"/>
              <w:jc w:val="right"/>
              <w:rPr>
                <w:rFonts w:ascii="Arial" w:hAnsi="Arial" w:cs="Arial" w:eastAsia="Arial" w:hint="default"/>
                <w:sz w:val="22"/>
                <w:szCs w:val="22"/>
              </w:rPr>
            </w:pPr>
            <w:r>
              <w:rPr>
                <w:rFonts w:ascii="Arial"/>
                <w:spacing w:val="-1"/>
                <w:sz w:val="22"/>
              </w:rPr>
              <w:t>1,096,940,572</w:t>
            </w:r>
          </w:p>
        </w:tc>
      </w:tr>
      <w:tr>
        <w:trPr>
          <w:trHeight w:val="286"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专业服务及咨询费</w:t>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7"/>
              <w:jc w:val="right"/>
              <w:rPr>
                <w:rFonts w:ascii="Arial" w:hAnsi="Arial" w:cs="Arial" w:eastAsia="Arial" w:hint="default"/>
                <w:sz w:val="22"/>
                <w:szCs w:val="22"/>
              </w:rPr>
            </w:pPr>
            <w:r>
              <w:rPr>
                <w:rFonts w:ascii="Arial"/>
                <w:spacing w:val="-1"/>
                <w:sz w:val="22"/>
              </w:rPr>
              <w:t>183,185,367</w:t>
            </w:r>
          </w:p>
        </w:tc>
        <w:tc>
          <w:tcPr>
            <w:tcW w:w="199"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8"/>
              <w:jc w:val="right"/>
              <w:rPr>
                <w:rFonts w:ascii="Arial" w:hAnsi="Arial" w:cs="Arial" w:eastAsia="Arial" w:hint="default"/>
                <w:sz w:val="22"/>
                <w:szCs w:val="22"/>
              </w:rPr>
            </w:pPr>
            <w:r>
              <w:rPr>
                <w:rFonts w:ascii="Arial"/>
                <w:spacing w:val="-1"/>
                <w:sz w:val="22"/>
              </w:rPr>
              <w:t>136,809,630</w:t>
            </w:r>
          </w:p>
        </w:tc>
      </w:tr>
      <w:tr>
        <w:trPr>
          <w:trHeight w:val="286"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以股份支付为基础的员工薪酬</w:t>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0"/>
              <w:jc w:val="right"/>
              <w:rPr>
                <w:rFonts w:ascii="Arial" w:hAnsi="Arial" w:cs="Arial" w:eastAsia="Arial" w:hint="default"/>
                <w:sz w:val="22"/>
                <w:szCs w:val="22"/>
              </w:rPr>
            </w:pPr>
            <w:r>
              <w:rPr>
                <w:rFonts w:ascii="Arial"/>
                <w:w w:val="100"/>
                <w:sz w:val="22"/>
              </w:rPr>
              <w:t>-</w:t>
            </w:r>
          </w:p>
        </w:tc>
        <w:tc>
          <w:tcPr>
            <w:tcW w:w="199"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8"/>
              <w:jc w:val="right"/>
              <w:rPr>
                <w:rFonts w:ascii="Arial" w:hAnsi="Arial" w:cs="Arial" w:eastAsia="Arial" w:hint="default"/>
                <w:sz w:val="22"/>
                <w:szCs w:val="22"/>
              </w:rPr>
            </w:pPr>
            <w:r>
              <w:rPr>
                <w:rFonts w:ascii="Arial"/>
                <w:spacing w:val="-1"/>
                <w:sz w:val="22"/>
              </w:rPr>
              <w:t>49,954,969</w:t>
            </w:r>
          </w:p>
        </w:tc>
      </w:tr>
      <w:tr>
        <w:trPr>
          <w:trHeight w:val="420"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44" w:type="dxa"/>
            <w:tcBorders>
              <w:top w:val="nil" w:sz="6" w:space="0" w:color="auto"/>
              <w:left w:val="nil" w:sz="6" w:space="0" w:color="auto"/>
              <w:bottom w:val="nil" w:sz="6" w:space="0" w:color="auto"/>
              <w:right w:val="nil" w:sz="6" w:space="0" w:color="auto"/>
            </w:tcBorders>
          </w:tcPr>
          <w:p>
            <w:pPr>
              <w:pStyle w:val="TableParagraph"/>
              <w:tabs>
                <w:tab w:pos="705" w:val="left" w:leader="none"/>
                <w:tab w:pos="2244"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1,172,424,529</w:t>
              <w:tab/>
            </w:r>
            <w:r>
              <w:rPr>
                <w:rFonts w:ascii="Arial"/>
                <w:spacing w:val="-1"/>
                <w:sz w:val="22"/>
              </w:rPr>
            </w:r>
          </w:p>
        </w:tc>
        <w:tc>
          <w:tcPr>
            <w:tcW w:w="199"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tabs>
                <w:tab w:pos="705" w:val="left" w:leader="none"/>
                <w:tab w:pos="2215"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1,060,473,102</w:t>
              <w:tab/>
            </w:r>
            <w:r>
              <w:rPr>
                <w:rFonts w:ascii="Arial"/>
                <w:spacing w:val="-1"/>
                <w:sz w:val="22"/>
              </w:rPr>
            </w:r>
          </w:p>
        </w:tc>
      </w:tr>
      <w:tr>
        <w:trPr>
          <w:trHeight w:val="430"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44"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127"/>
              <w:jc w:val="right"/>
              <w:rPr>
                <w:rFonts w:ascii="Arial" w:hAnsi="Arial" w:cs="Arial" w:eastAsia="Arial" w:hint="default"/>
                <w:sz w:val="22"/>
                <w:szCs w:val="22"/>
              </w:rPr>
            </w:pPr>
            <w:r>
              <w:rPr>
                <w:rFonts w:ascii="Arial"/>
                <w:spacing w:val="-1"/>
                <w:sz w:val="22"/>
              </w:rPr>
              <w:t>19,825,119,469</w:t>
            </w:r>
          </w:p>
        </w:tc>
        <w:tc>
          <w:tcPr>
            <w:tcW w:w="199"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101"/>
              <w:jc w:val="right"/>
              <w:rPr>
                <w:rFonts w:ascii="Arial" w:hAnsi="Arial" w:cs="Arial" w:eastAsia="Arial" w:hint="default"/>
                <w:sz w:val="22"/>
                <w:szCs w:val="22"/>
              </w:rPr>
            </w:pPr>
            <w:r>
              <w:rPr>
                <w:rFonts w:ascii="Arial"/>
                <w:spacing w:val="-1"/>
                <w:sz w:val="22"/>
              </w:rPr>
              <w:t>20,373,057,592</w:t>
            </w:r>
          </w:p>
        </w:tc>
      </w:tr>
    </w:tbl>
    <w:p>
      <w:pPr>
        <w:spacing w:after="0" w:line="240" w:lineRule="auto"/>
        <w:jc w:val="right"/>
        <w:rPr>
          <w:rFonts w:ascii="Arial" w:hAnsi="Arial" w:cs="Arial" w:eastAsia="Arial" w:hint="default"/>
          <w:sz w:val="22"/>
          <w:szCs w:val="22"/>
        </w:rPr>
        <w:sectPr>
          <w:headerReference w:type="default" r:id="rId111"/>
          <w:pgSz w:w="11910" w:h="16840"/>
          <w:pgMar w:header="1185" w:footer="635" w:top="3600" w:bottom="820" w:left="1280" w:right="940"/>
        </w:sectPr>
      </w:pPr>
    </w:p>
    <w:p>
      <w:pPr>
        <w:spacing w:line="240" w:lineRule="auto" w:before="5"/>
        <w:rPr>
          <w:rFonts w:ascii="宋体" w:hAnsi="宋体" w:cs="宋体" w:eastAsia="宋体" w:hint="default"/>
          <w:sz w:val="23"/>
          <w:szCs w:val="23"/>
        </w:rPr>
      </w:pPr>
    </w:p>
    <w:tbl>
      <w:tblPr>
        <w:tblW w:w="0" w:type="auto"/>
        <w:jc w:val="left"/>
        <w:tblInd w:w="351" w:type="dxa"/>
        <w:tblLayout w:type="fixed"/>
        <w:tblCellMar>
          <w:top w:w="0" w:type="dxa"/>
          <w:left w:w="0" w:type="dxa"/>
          <w:bottom w:w="0" w:type="dxa"/>
          <w:right w:w="0" w:type="dxa"/>
        </w:tblCellMar>
        <w:tblLook w:val="01E0"/>
      </w:tblPr>
      <w:tblGrid>
        <w:gridCol w:w="4549"/>
        <w:gridCol w:w="2244"/>
        <w:gridCol w:w="199"/>
        <w:gridCol w:w="2223"/>
      </w:tblGrid>
      <w:tr>
        <w:trPr>
          <w:trHeight w:val="264" w:hRule="exact"/>
        </w:trPr>
        <w:tc>
          <w:tcPr>
            <w:tcW w:w="4549" w:type="dxa"/>
            <w:tcBorders>
              <w:top w:val="nil" w:sz="6" w:space="0" w:color="auto"/>
              <w:left w:val="nil" w:sz="6" w:space="0" w:color="auto"/>
              <w:bottom w:val="nil" w:sz="6" w:space="0" w:color="auto"/>
              <w:right w:val="nil" w:sz="6" w:space="0" w:color="auto"/>
            </w:tcBorders>
          </w:tcPr>
          <w:p>
            <w:pPr/>
          </w:p>
        </w:tc>
        <w:tc>
          <w:tcPr>
            <w:tcW w:w="2244" w:type="dxa"/>
            <w:tcBorders>
              <w:top w:val="nil" w:sz="6" w:space="0" w:color="auto"/>
              <w:left w:val="nil" w:sz="6" w:space="0" w:color="auto"/>
              <w:bottom w:val="single" w:sz="6" w:space="0" w:color="000000"/>
              <w:right w:val="nil" w:sz="6" w:space="0" w:color="auto"/>
            </w:tcBorders>
          </w:tcPr>
          <w:p>
            <w:pPr>
              <w:pStyle w:val="TableParagraph"/>
              <w:spacing w:line="236" w:lineRule="exact"/>
              <w:ind w:right="35"/>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99"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single" w:sz="6" w:space="0" w:color="000000"/>
              <w:right w:val="nil" w:sz="6" w:space="0" w:color="auto"/>
            </w:tcBorders>
          </w:tcPr>
          <w:p>
            <w:pPr>
              <w:pStyle w:val="TableParagraph"/>
              <w:spacing w:line="236" w:lineRule="exact"/>
              <w:ind w:right="24"/>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57" w:hRule="exact"/>
        </w:trPr>
        <w:tc>
          <w:tcPr>
            <w:tcW w:w="454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利息支出</w:t>
            </w:r>
          </w:p>
        </w:tc>
        <w:tc>
          <w:tcPr>
            <w:tcW w:w="2244"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22"/>
              <w:jc w:val="right"/>
              <w:rPr>
                <w:rFonts w:ascii="Arial" w:hAnsi="Arial" w:cs="Arial" w:eastAsia="Arial" w:hint="default"/>
                <w:sz w:val="22"/>
                <w:szCs w:val="22"/>
              </w:rPr>
            </w:pPr>
            <w:r>
              <w:rPr>
                <w:rFonts w:ascii="Arial"/>
                <w:spacing w:val="-1"/>
                <w:sz w:val="22"/>
              </w:rPr>
              <w:t>5,166,605,651</w:t>
            </w:r>
          </w:p>
        </w:tc>
        <w:tc>
          <w:tcPr>
            <w:tcW w:w="199" w:type="dxa"/>
            <w:tcBorders>
              <w:top w:val="nil" w:sz="6" w:space="0" w:color="auto"/>
              <w:left w:val="nil" w:sz="6" w:space="0" w:color="auto"/>
              <w:bottom w:val="nil" w:sz="6" w:space="0" w:color="auto"/>
              <w:right w:val="nil" w:sz="6" w:space="0" w:color="auto"/>
            </w:tcBorders>
          </w:tcPr>
          <w:p>
            <w:pPr/>
          </w:p>
        </w:tc>
        <w:tc>
          <w:tcPr>
            <w:tcW w:w="2223"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4"/>
              <w:jc w:val="right"/>
              <w:rPr>
                <w:rFonts w:ascii="Arial" w:hAnsi="Arial" w:cs="Arial" w:eastAsia="Arial" w:hint="default"/>
                <w:sz w:val="22"/>
                <w:szCs w:val="22"/>
              </w:rPr>
            </w:pPr>
            <w:r>
              <w:rPr>
                <w:rFonts w:ascii="Arial"/>
                <w:spacing w:val="-1"/>
                <w:sz w:val="22"/>
              </w:rPr>
              <w:t>4,929,386,090</w:t>
            </w:r>
          </w:p>
        </w:tc>
      </w:tr>
      <w:tr>
        <w:trPr>
          <w:trHeight w:val="420" w:hRule="exact"/>
        </w:trPr>
        <w:tc>
          <w:tcPr>
            <w:tcW w:w="4549"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减：资本化利息</w:t>
            </w:r>
          </w:p>
        </w:tc>
        <w:tc>
          <w:tcPr>
            <w:tcW w:w="2244" w:type="dxa"/>
            <w:tcBorders>
              <w:top w:val="nil" w:sz="6" w:space="0" w:color="auto"/>
              <w:left w:val="nil" w:sz="6" w:space="0" w:color="auto"/>
              <w:bottom w:val="nil" w:sz="6" w:space="0" w:color="auto"/>
              <w:right w:val="nil" w:sz="6" w:space="0" w:color="auto"/>
            </w:tcBorders>
          </w:tcPr>
          <w:p>
            <w:pPr>
              <w:pStyle w:val="TableParagraph"/>
              <w:tabs>
                <w:tab w:pos="818" w:val="left" w:leader="none"/>
              </w:tabs>
              <w:spacing w:line="240" w:lineRule="auto" w:before="20"/>
              <w:ind w:right="51"/>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(825,393,133)</w:t>
            </w:r>
            <w:r>
              <w:rPr>
                <w:rFonts w:ascii="Arial"/>
                <w:spacing w:val="-1"/>
                <w:sz w:val="22"/>
              </w:rPr>
            </w:r>
          </w:p>
        </w:tc>
        <w:tc>
          <w:tcPr>
            <w:tcW w:w="199"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tabs>
                <w:tab w:pos="818" w:val="left" w:leader="none"/>
              </w:tabs>
              <w:spacing w:line="240" w:lineRule="auto" w:before="20"/>
              <w:ind w:right="22"/>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(894,064,821)</w:t>
            </w:r>
            <w:r>
              <w:rPr>
                <w:rFonts w:ascii="Arial"/>
                <w:spacing w:val="-1"/>
                <w:sz w:val="22"/>
              </w:rPr>
            </w:r>
          </w:p>
        </w:tc>
      </w:tr>
      <w:tr>
        <w:trPr>
          <w:trHeight w:val="419" w:hRule="exact"/>
        </w:trPr>
        <w:tc>
          <w:tcPr>
            <w:tcW w:w="454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净利息支出</w:t>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22"/>
              <w:jc w:val="right"/>
              <w:rPr>
                <w:rFonts w:ascii="Arial" w:hAnsi="Arial" w:cs="Arial" w:eastAsia="Arial" w:hint="default"/>
                <w:sz w:val="22"/>
                <w:szCs w:val="22"/>
              </w:rPr>
            </w:pPr>
            <w:r>
              <w:rPr>
                <w:rFonts w:ascii="Arial"/>
                <w:spacing w:val="-1"/>
                <w:sz w:val="22"/>
              </w:rPr>
              <w:t>4,341,212,518</w:t>
            </w:r>
          </w:p>
        </w:tc>
        <w:tc>
          <w:tcPr>
            <w:tcW w:w="199"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94"/>
              <w:jc w:val="right"/>
              <w:rPr>
                <w:rFonts w:ascii="Arial" w:hAnsi="Arial" w:cs="Arial" w:eastAsia="Arial" w:hint="default"/>
                <w:sz w:val="22"/>
                <w:szCs w:val="22"/>
              </w:rPr>
            </w:pPr>
            <w:r>
              <w:rPr>
                <w:rFonts w:ascii="Arial"/>
                <w:spacing w:val="-1"/>
                <w:sz w:val="22"/>
              </w:rPr>
              <w:t>4,035,321,269</w:t>
            </w:r>
          </w:p>
        </w:tc>
      </w:tr>
      <w:tr>
        <w:trPr>
          <w:trHeight w:val="286" w:hRule="exact"/>
        </w:trPr>
        <w:tc>
          <w:tcPr>
            <w:tcW w:w="4549"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减：利息收入</w:t>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1"/>
              <w:jc w:val="right"/>
              <w:rPr>
                <w:rFonts w:ascii="Arial" w:hAnsi="Arial" w:cs="Arial" w:eastAsia="Arial" w:hint="default"/>
                <w:sz w:val="22"/>
                <w:szCs w:val="22"/>
              </w:rPr>
            </w:pPr>
            <w:r>
              <w:rPr>
                <w:rFonts w:ascii="Arial"/>
                <w:spacing w:val="-1"/>
                <w:sz w:val="22"/>
              </w:rPr>
              <w:t>(284,344,411)</w:t>
            </w:r>
          </w:p>
        </w:tc>
        <w:tc>
          <w:tcPr>
            <w:tcW w:w="199"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
              <w:jc w:val="right"/>
              <w:rPr>
                <w:rFonts w:ascii="Arial" w:hAnsi="Arial" w:cs="Arial" w:eastAsia="Arial" w:hint="default"/>
                <w:sz w:val="22"/>
                <w:szCs w:val="22"/>
              </w:rPr>
            </w:pPr>
            <w:r>
              <w:rPr>
                <w:rFonts w:ascii="Arial"/>
                <w:spacing w:val="-1"/>
                <w:sz w:val="22"/>
              </w:rPr>
              <w:t>(174,809,828)</w:t>
            </w:r>
          </w:p>
        </w:tc>
      </w:tr>
      <w:tr>
        <w:trPr>
          <w:trHeight w:val="286" w:hRule="exact"/>
        </w:trPr>
        <w:tc>
          <w:tcPr>
            <w:tcW w:w="4549" w:type="dxa"/>
            <w:tcBorders>
              <w:top w:val="nil" w:sz="6" w:space="0" w:color="auto"/>
              <w:left w:val="nil" w:sz="6" w:space="0" w:color="auto"/>
              <w:bottom w:val="nil" w:sz="6" w:space="0" w:color="auto"/>
              <w:right w:val="nil" w:sz="6" w:space="0" w:color="auto"/>
            </w:tcBorders>
          </w:tcPr>
          <w:p>
            <w:pPr>
              <w:pStyle w:val="TableParagraph"/>
              <w:spacing w:line="239" w:lineRule="exact"/>
              <w:ind w:left="663" w:right="0"/>
              <w:jc w:val="left"/>
              <w:rPr>
                <w:rFonts w:ascii="宋体" w:hAnsi="宋体" w:cs="宋体" w:eastAsia="宋体" w:hint="default"/>
                <w:sz w:val="22"/>
                <w:szCs w:val="22"/>
              </w:rPr>
            </w:pPr>
            <w:r>
              <w:rPr>
                <w:rFonts w:ascii="宋体" w:hAnsi="宋体" w:cs="宋体" w:eastAsia="宋体" w:hint="default"/>
                <w:sz w:val="22"/>
                <w:szCs w:val="22"/>
              </w:rPr>
              <w:t>汇兑净收益</w:t>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1"/>
              <w:jc w:val="right"/>
              <w:rPr>
                <w:rFonts w:ascii="Arial" w:hAnsi="Arial" w:cs="Arial" w:eastAsia="Arial" w:hint="default"/>
                <w:sz w:val="22"/>
                <w:szCs w:val="22"/>
              </w:rPr>
            </w:pPr>
            <w:r>
              <w:rPr>
                <w:rFonts w:ascii="Arial"/>
                <w:spacing w:val="-1"/>
                <w:sz w:val="22"/>
              </w:rPr>
              <w:t>(5,901,278)</w:t>
            </w:r>
          </w:p>
        </w:tc>
        <w:tc>
          <w:tcPr>
            <w:tcW w:w="199"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
              <w:jc w:val="right"/>
              <w:rPr>
                <w:rFonts w:ascii="Arial" w:hAnsi="Arial" w:cs="Arial" w:eastAsia="Arial" w:hint="default"/>
                <w:sz w:val="22"/>
                <w:szCs w:val="22"/>
              </w:rPr>
            </w:pPr>
            <w:r>
              <w:rPr>
                <w:rFonts w:ascii="Arial"/>
                <w:spacing w:val="-1"/>
                <w:sz w:val="22"/>
              </w:rPr>
              <w:t>(1,314,908,138)</w:t>
            </w:r>
          </w:p>
        </w:tc>
      </w:tr>
      <w:tr>
        <w:trPr>
          <w:trHeight w:val="419" w:hRule="exact"/>
        </w:trPr>
        <w:tc>
          <w:tcPr>
            <w:tcW w:w="4549"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金融机构手续费及其他</w:t>
            </w:r>
          </w:p>
        </w:tc>
        <w:tc>
          <w:tcPr>
            <w:tcW w:w="2244" w:type="dxa"/>
            <w:tcBorders>
              <w:top w:val="nil" w:sz="6" w:space="0" w:color="auto"/>
              <w:left w:val="nil" w:sz="6" w:space="0" w:color="auto"/>
              <w:bottom w:val="nil" w:sz="6" w:space="0" w:color="auto"/>
              <w:right w:val="nil" w:sz="6" w:space="0" w:color="auto"/>
            </w:tcBorders>
          </w:tcPr>
          <w:p>
            <w:pPr>
              <w:pStyle w:val="TableParagraph"/>
              <w:tabs>
                <w:tab w:pos="893" w:val="left" w:leader="none"/>
                <w:tab w:pos="2244"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282,121,009</w:t>
              <w:tab/>
            </w:r>
            <w:r>
              <w:rPr>
                <w:rFonts w:ascii="Arial"/>
                <w:spacing w:val="-1"/>
                <w:sz w:val="22"/>
              </w:rPr>
            </w:r>
          </w:p>
        </w:tc>
        <w:tc>
          <w:tcPr>
            <w:tcW w:w="199"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tabs>
                <w:tab w:pos="893" w:val="left" w:leader="none"/>
                <w:tab w:pos="2215"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403,604,165</w:t>
              <w:tab/>
            </w:r>
            <w:r>
              <w:rPr>
                <w:rFonts w:ascii="Arial"/>
                <w:spacing w:val="-1"/>
                <w:sz w:val="22"/>
              </w:rPr>
            </w:r>
          </w:p>
        </w:tc>
      </w:tr>
      <w:tr>
        <w:trPr>
          <w:trHeight w:val="433" w:hRule="exact"/>
        </w:trPr>
        <w:tc>
          <w:tcPr>
            <w:tcW w:w="454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44"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122"/>
              <w:jc w:val="right"/>
              <w:rPr>
                <w:rFonts w:ascii="Arial" w:hAnsi="Arial" w:cs="Arial" w:eastAsia="Arial" w:hint="default"/>
                <w:sz w:val="22"/>
                <w:szCs w:val="22"/>
              </w:rPr>
            </w:pPr>
            <w:r>
              <w:rPr>
                <w:rFonts w:ascii="Arial"/>
                <w:spacing w:val="-1"/>
                <w:sz w:val="22"/>
              </w:rPr>
              <w:t>4,333,087,838</w:t>
            </w:r>
          </w:p>
        </w:tc>
        <w:tc>
          <w:tcPr>
            <w:tcW w:w="199"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93"/>
              <w:jc w:val="right"/>
              <w:rPr>
                <w:rFonts w:ascii="Arial" w:hAnsi="Arial" w:cs="Arial" w:eastAsia="Arial" w:hint="default"/>
                <w:sz w:val="22"/>
                <w:szCs w:val="22"/>
              </w:rPr>
            </w:pPr>
            <w:r>
              <w:rPr>
                <w:rFonts w:ascii="Arial"/>
                <w:spacing w:val="-1"/>
                <w:sz w:val="22"/>
              </w:rPr>
              <w:t>2,949,207,468</w:t>
            </w:r>
          </w:p>
        </w:tc>
      </w:tr>
    </w:tbl>
    <w:p>
      <w:pPr>
        <w:spacing w:line="240" w:lineRule="auto" w:before="11"/>
        <w:rPr>
          <w:rFonts w:ascii="宋体" w:hAnsi="宋体" w:cs="宋体" w:eastAsia="宋体" w:hint="default"/>
          <w:sz w:val="13"/>
          <w:szCs w:val="13"/>
        </w:rPr>
      </w:pPr>
    </w:p>
    <w:p>
      <w:pPr>
        <w:pStyle w:val="BodyText"/>
        <w:spacing w:line="295" w:lineRule="exact" w:before="32"/>
        <w:ind w:left="554" w:right="0"/>
        <w:jc w:val="left"/>
      </w:pPr>
      <w:r>
        <w:rPr/>
        <w:t>于</w:t>
      </w:r>
      <w:r>
        <w:rPr>
          <w:spacing w:val="-51"/>
        </w:rPr>
        <w:t> </w:t>
      </w:r>
      <w:r>
        <w:rPr>
          <w:rFonts w:ascii="Arial" w:hAnsi="Arial" w:cs="Arial" w:eastAsia="Arial" w:hint="default"/>
        </w:rPr>
        <w:t>2014</w:t>
      </w:r>
      <w:r>
        <w:rPr>
          <w:rFonts w:ascii="Arial" w:hAnsi="Arial" w:cs="Arial" w:eastAsia="Arial" w:hint="default"/>
          <w:spacing w:val="-2"/>
        </w:rPr>
        <w:t> </w:t>
      </w:r>
      <w:r>
        <w:rPr/>
        <w:t>年</w:t>
      </w:r>
      <w:r>
        <w:rPr>
          <w:spacing w:val="-50"/>
        </w:rPr>
        <w:t> </w:t>
      </w:r>
      <w:r>
        <w:rPr>
          <w:rFonts w:ascii="Arial" w:hAnsi="Arial" w:cs="Arial" w:eastAsia="Arial" w:hint="default"/>
        </w:rPr>
        <w:t>12</w:t>
      </w:r>
      <w:r>
        <w:rPr>
          <w:rFonts w:ascii="Arial" w:hAnsi="Arial" w:cs="Arial" w:eastAsia="Arial" w:hint="default"/>
          <w:spacing w:val="-2"/>
        </w:rPr>
        <w:t> </w:t>
      </w:r>
      <w:r>
        <w:rPr/>
        <w:t>月</w:t>
      </w:r>
      <w:r>
        <w:rPr>
          <w:spacing w:val="-50"/>
        </w:rPr>
        <w:t> </w:t>
      </w:r>
      <w:r>
        <w:rPr>
          <w:rFonts w:ascii="Arial" w:hAnsi="Arial" w:cs="Arial" w:eastAsia="Arial" w:hint="default"/>
        </w:rPr>
        <w:t>31</w:t>
      </w:r>
      <w:r>
        <w:rPr>
          <w:rFonts w:ascii="Arial" w:hAnsi="Arial" w:cs="Arial" w:eastAsia="Arial" w:hint="default"/>
          <w:spacing w:val="-2"/>
        </w:rPr>
        <w:t> </w:t>
      </w:r>
      <w:r>
        <w:rPr/>
        <w:t>日，应收利息款项约人民币</w:t>
      </w:r>
      <w:r>
        <w:rPr>
          <w:spacing w:val="-50"/>
        </w:rPr>
        <w:t> </w:t>
      </w:r>
      <w:r>
        <w:rPr>
          <w:rFonts w:ascii="Arial" w:hAnsi="Arial" w:cs="Arial" w:eastAsia="Arial" w:hint="default"/>
        </w:rPr>
        <w:t>88.71</w:t>
      </w:r>
      <w:r>
        <w:rPr>
          <w:rFonts w:ascii="Arial" w:hAnsi="Arial" w:cs="Arial" w:eastAsia="Arial" w:hint="default"/>
          <w:spacing w:val="-1"/>
        </w:rPr>
        <w:t> </w:t>
      </w:r>
      <w:r>
        <w:rPr/>
        <w:t>万元（</w:t>
      </w:r>
      <w:r>
        <w:rPr>
          <w:rFonts w:ascii="Arial" w:hAnsi="Arial" w:cs="Arial" w:eastAsia="Arial" w:hint="default"/>
        </w:rPr>
        <w:t>2013</w:t>
      </w:r>
      <w:r>
        <w:rPr>
          <w:rFonts w:ascii="Arial" w:hAnsi="Arial" w:cs="Arial" w:eastAsia="Arial" w:hint="default"/>
          <w:spacing w:val="-2"/>
        </w:rPr>
        <w:t> </w:t>
      </w:r>
      <w:r>
        <w:rPr/>
        <w:t>年</w:t>
      </w:r>
      <w:r>
        <w:rPr>
          <w:spacing w:val="-50"/>
        </w:rPr>
        <w:t> </w:t>
      </w:r>
      <w:r>
        <w:rPr>
          <w:rFonts w:ascii="Arial" w:hAnsi="Arial" w:cs="Arial" w:eastAsia="Arial" w:hint="default"/>
        </w:rPr>
        <w:t>12</w:t>
      </w:r>
      <w:r>
        <w:rPr>
          <w:rFonts w:ascii="Arial" w:hAnsi="Arial" w:cs="Arial" w:eastAsia="Arial" w:hint="default"/>
          <w:spacing w:val="-4"/>
        </w:rPr>
        <w:t> </w:t>
      </w:r>
      <w:r>
        <w:rPr/>
        <w:t>月</w:t>
      </w:r>
      <w:r>
        <w:rPr>
          <w:spacing w:val="-50"/>
        </w:rPr>
        <w:t> </w:t>
      </w:r>
      <w:r>
        <w:rPr>
          <w:rFonts w:ascii="Arial" w:hAnsi="Arial" w:cs="Arial" w:eastAsia="Arial" w:hint="default"/>
        </w:rPr>
        <w:t>31</w:t>
      </w:r>
      <w:r>
        <w:rPr>
          <w:rFonts w:ascii="Arial" w:hAnsi="Arial" w:cs="Arial" w:eastAsia="Arial" w:hint="default"/>
          <w:spacing w:val="-1"/>
        </w:rPr>
        <w:t> </w:t>
      </w:r>
      <w:r>
        <w:rPr/>
        <w:t>日：约人民币</w:t>
      </w:r>
    </w:p>
    <w:p>
      <w:pPr>
        <w:pStyle w:val="BodyText"/>
        <w:spacing w:line="295" w:lineRule="exact"/>
        <w:ind w:left="554" w:right="106"/>
        <w:jc w:val="left"/>
      </w:pPr>
      <w:r>
        <w:rPr>
          <w:rFonts w:ascii="Arial" w:hAnsi="Arial" w:cs="Arial" w:eastAsia="Arial" w:hint="default"/>
        </w:rPr>
        <w:t>31.06</w:t>
      </w:r>
      <w:r>
        <w:rPr>
          <w:rFonts w:ascii="Arial" w:hAnsi="Arial" w:cs="Arial" w:eastAsia="Arial" w:hint="default"/>
          <w:spacing w:val="-6"/>
        </w:rPr>
        <w:t> </w:t>
      </w:r>
      <w:r>
        <w:rPr/>
        <w:t>万元）。</w:t>
      </w:r>
    </w:p>
    <w:p>
      <w:pPr>
        <w:spacing w:line="240" w:lineRule="auto" w:before="12"/>
        <w:rPr>
          <w:rFonts w:ascii="宋体" w:hAnsi="宋体" w:cs="宋体" w:eastAsia="宋体" w:hint="default"/>
          <w:sz w:val="17"/>
          <w:szCs w:val="17"/>
        </w:rPr>
      </w:pPr>
    </w:p>
    <w:p>
      <w:pPr>
        <w:pStyle w:val="BodyText"/>
        <w:spacing w:line="240" w:lineRule="auto"/>
        <w:ind w:left="102" w:right="106"/>
        <w:jc w:val="left"/>
      </w:pPr>
      <w:r>
        <w:rPr>
          <w:rFonts w:ascii="Arial" w:hAnsi="Arial" w:cs="Arial" w:eastAsia="Arial" w:hint="default"/>
        </w:rPr>
        <w:t>41</w:t>
      </w:r>
      <w:r>
        <w:rPr/>
        <w:t>、投资收益</w:t>
      </w:r>
    </w:p>
    <w:p>
      <w:pPr>
        <w:spacing w:line="240" w:lineRule="auto" w:before="3"/>
        <w:rPr>
          <w:rFonts w:ascii="宋体" w:hAnsi="宋体" w:cs="宋体" w:eastAsia="宋体" w:hint="default"/>
          <w:sz w:val="23"/>
          <w:szCs w:val="23"/>
        </w:rPr>
      </w:pPr>
    </w:p>
    <w:tbl>
      <w:tblPr>
        <w:tblW w:w="0" w:type="auto"/>
        <w:jc w:val="left"/>
        <w:tblInd w:w="366" w:type="dxa"/>
        <w:tblLayout w:type="fixed"/>
        <w:tblCellMar>
          <w:top w:w="0" w:type="dxa"/>
          <w:left w:w="0" w:type="dxa"/>
          <w:bottom w:w="0" w:type="dxa"/>
          <w:right w:w="0" w:type="dxa"/>
        </w:tblCellMar>
        <w:tblLook w:val="01E0"/>
      </w:tblPr>
      <w:tblGrid>
        <w:gridCol w:w="4525"/>
        <w:gridCol w:w="2276"/>
        <w:gridCol w:w="228"/>
        <w:gridCol w:w="2127"/>
      </w:tblGrid>
      <w:tr>
        <w:trPr>
          <w:trHeight w:val="264" w:hRule="exact"/>
        </w:trPr>
        <w:tc>
          <w:tcPr>
            <w:tcW w:w="4525"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single" w:sz="4" w:space="0" w:color="000000"/>
              <w:right w:val="nil" w:sz="6" w:space="0" w:color="auto"/>
            </w:tcBorders>
          </w:tcPr>
          <w:p>
            <w:pPr>
              <w:pStyle w:val="TableParagraph"/>
              <w:spacing w:line="236" w:lineRule="exact"/>
              <w:ind w:left="1368"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28"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single" w:sz="6" w:space="0" w:color="000000"/>
              <w:right w:val="nil" w:sz="6" w:space="0" w:color="auto"/>
            </w:tcBorders>
          </w:tcPr>
          <w:p>
            <w:pPr>
              <w:pStyle w:val="TableParagraph"/>
              <w:spacing w:line="236" w:lineRule="exact"/>
              <w:ind w:left="1224" w:right="0"/>
              <w:jc w:val="lef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88" w:hRule="exact"/>
        </w:trPr>
        <w:tc>
          <w:tcPr>
            <w:tcW w:w="4525"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pacing w:val="13"/>
                <w:sz w:val="22"/>
                <w:szCs w:val="22"/>
              </w:rPr>
              <w:t>可供出售金融资产在持有期间的股利收益</w:t>
            </w:r>
            <w:r>
              <w:rPr>
                <w:rFonts w:ascii="宋体" w:hAnsi="宋体" w:cs="宋体" w:eastAsia="宋体" w:hint="default"/>
                <w:sz w:val="22"/>
                <w:szCs w:val="22"/>
              </w:rPr>
            </w:r>
          </w:p>
          <w:p>
            <w:pPr>
              <w:pStyle w:val="TableParagraph"/>
              <w:spacing w:line="287" w:lineRule="exact"/>
              <w:ind w:left="200" w:right="0"/>
              <w:jc w:val="left"/>
              <w:rPr>
                <w:rFonts w:ascii="宋体" w:hAnsi="宋体" w:cs="宋体" w:eastAsia="宋体" w:hint="default"/>
                <w:sz w:val="22"/>
                <w:szCs w:val="22"/>
              </w:rPr>
            </w:pPr>
            <w:r>
              <w:rPr>
                <w:rFonts w:ascii="宋体" w:hAnsi="宋体" w:cs="宋体" w:eastAsia="宋体" w:hint="default"/>
                <w:sz w:val="22"/>
                <w:szCs w:val="22"/>
              </w:rPr>
              <w:t>（注）</w:t>
            </w:r>
          </w:p>
        </w:tc>
        <w:tc>
          <w:tcPr>
            <w:tcW w:w="2276"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888" w:right="0"/>
              <w:jc w:val="left"/>
              <w:rPr>
                <w:rFonts w:ascii="Arial" w:hAnsi="Arial" w:cs="Arial" w:eastAsia="Arial" w:hint="default"/>
                <w:sz w:val="22"/>
                <w:szCs w:val="22"/>
              </w:rPr>
            </w:pPr>
            <w:r>
              <w:rPr>
                <w:rFonts w:ascii="Arial"/>
                <w:sz w:val="22"/>
              </w:rPr>
              <w:t>391,651,008</w:t>
            </w:r>
          </w:p>
        </w:tc>
        <w:tc>
          <w:tcPr>
            <w:tcW w:w="228" w:type="dxa"/>
            <w:tcBorders>
              <w:top w:val="nil" w:sz="6" w:space="0" w:color="auto"/>
              <w:left w:val="nil" w:sz="6" w:space="0" w:color="auto"/>
              <w:bottom w:val="nil" w:sz="6" w:space="0" w:color="auto"/>
              <w:right w:val="nil" w:sz="6" w:space="0" w:color="auto"/>
            </w:tcBorders>
          </w:tcPr>
          <w:p>
            <w:pPr/>
          </w:p>
        </w:tc>
        <w:tc>
          <w:tcPr>
            <w:tcW w:w="2127" w:type="dxa"/>
            <w:tcBorders>
              <w:top w:val="single" w:sz="6"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737" w:right="0"/>
              <w:jc w:val="left"/>
              <w:rPr>
                <w:rFonts w:ascii="Arial" w:hAnsi="Arial" w:cs="Arial" w:eastAsia="Arial" w:hint="default"/>
                <w:sz w:val="22"/>
                <w:szCs w:val="22"/>
              </w:rPr>
            </w:pPr>
            <w:r>
              <w:rPr>
                <w:rFonts w:ascii="Arial"/>
                <w:sz w:val="22"/>
              </w:rPr>
              <w:t>193,411,273</w:t>
            </w:r>
          </w:p>
        </w:tc>
      </w:tr>
      <w:tr>
        <w:trPr>
          <w:trHeight w:val="284" w:hRule="exact"/>
        </w:trPr>
        <w:tc>
          <w:tcPr>
            <w:tcW w:w="4525"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权益法核算的长期股权投资收益</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19" w:right="0"/>
              <w:jc w:val="left"/>
              <w:rPr>
                <w:rFonts w:ascii="Arial" w:hAnsi="Arial" w:cs="Arial" w:eastAsia="Arial" w:hint="default"/>
                <w:sz w:val="22"/>
                <w:szCs w:val="22"/>
              </w:rPr>
            </w:pPr>
            <w:r>
              <w:rPr>
                <w:rFonts w:ascii="Arial"/>
                <w:sz w:val="22"/>
              </w:rPr>
              <w:t>(28,122,881)</w:t>
            </w:r>
          </w:p>
        </w:tc>
        <w:tc>
          <w:tcPr>
            <w:tcW w:w="228"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82" w:right="0"/>
              <w:jc w:val="left"/>
              <w:rPr>
                <w:rFonts w:ascii="Arial" w:hAnsi="Arial" w:cs="Arial" w:eastAsia="Arial" w:hint="default"/>
                <w:sz w:val="22"/>
                <w:szCs w:val="22"/>
              </w:rPr>
            </w:pPr>
            <w:r>
              <w:rPr>
                <w:rFonts w:ascii="Arial"/>
                <w:sz w:val="22"/>
              </w:rPr>
              <w:t>4,537,739</w:t>
            </w:r>
          </w:p>
        </w:tc>
      </w:tr>
      <w:tr>
        <w:trPr>
          <w:trHeight w:val="420" w:hRule="exact"/>
        </w:trPr>
        <w:tc>
          <w:tcPr>
            <w:tcW w:w="4525"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76" w:type="dxa"/>
            <w:tcBorders>
              <w:top w:val="nil" w:sz="6" w:space="0" w:color="auto"/>
              <w:left w:val="nil" w:sz="6" w:space="0" w:color="auto"/>
              <w:bottom w:val="nil" w:sz="6" w:space="0" w:color="auto"/>
              <w:right w:val="nil" w:sz="6" w:space="0" w:color="auto"/>
            </w:tcBorders>
          </w:tcPr>
          <w:p>
            <w:pPr>
              <w:pStyle w:val="TableParagraph"/>
              <w:tabs>
                <w:tab w:pos="1226" w:val="left" w:leader="none"/>
                <w:tab w:pos="2275" w:val="left" w:leader="none"/>
              </w:tabs>
              <w:spacing w:line="240" w:lineRule="auto" w:before="20"/>
              <w:ind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(203,441)</w:t>
              <w:tab/>
            </w:r>
            <w:r>
              <w:rPr>
                <w:rFonts w:ascii="Arial"/>
                <w:sz w:val="22"/>
              </w:rPr>
            </w:r>
          </w:p>
        </w:tc>
        <w:tc>
          <w:tcPr>
            <w:tcW w:w="228"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tabs>
                <w:tab w:pos="1886" w:val="left" w:leader="none"/>
                <w:tab w:pos="2126" w:val="left" w:leader="none"/>
              </w:tabs>
              <w:spacing w:line="240" w:lineRule="auto" w:before="20"/>
              <w:ind w:left="7"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tab/>
            </w:r>
            <w:r>
              <w:rPr>
                <w:rFonts w:ascii="Arial"/>
                <w:sz w:val="22"/>
              </w:rPr>
            </w:r>
          </w:p>
        </w:tc>
      </w:tr>
      <w:tr>
        <w:trPr>
          <w:trHeight w:val="433" w:hRule="exact"/>
        </w:trPr>
        <w:tc>
          <w:tcPr>
            <w:tcW w:w="452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76"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left="876" w:right="0"/>
              <w:jc w:val="left"/>
              <w:rPr>
                <w:rFonts w:ascii="Arial" w:hAnsi="Arial" w:cs="Arial" w:eastAsia="Arial" w:hint="default"/>
                <w:sz w:val="22"/>
                <w:szCs w:val="22"/>
              </w:rPr>
            </w:pPr>
            <w:r>
              <w:rPr>
                <w:rFonts w:ascii="Arial"/>
                <w:sz w:val="22"/>
              </w:rPr>
              <w:t>363,324,686</w:t>
            </w:r>
          </w:p>
        </w:tc>
        <w:tc>
          <w:tcPr>
            <w:tcW w:w="228"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left="737" w:right="0"/>
              <w:jc w:val="left"/>
              <w:rPr>
                <w:rFonts w:ascii="Arial" w:hAnsi="Arial" w:cs="Arial" w:eastAsia="Arial" w:hint="default"/>
                <w:sz w:val="22"/>
                <w:szCs w:val="22"/>
              </w:rPr>
            </w:pPr>
            <w:r>
              <w:rPr>
                <w:rFonts w:ascii="Arial"/>
                <w:sz w:val="22"/>
              </w:rPr>
              <w:t>197,949,012</w:t>
            </w:r>
          </w:p>
        </w:tc>
      </w:tr>
    </w:tbl>
    <w:p>
      <w:pPr>
        <w:spacing w:line="240" w:lineRule="auto" w:before="11"/>
        <w:rPr>
          <w:rFonts w:ascii="宋体" w:hAnsi="宋体" w:cs="宋体" w:eastAsia="宋体" w:hint="default"/>
          <w:sz w:val="13"/>
          <w:szCs w:val="13"/>
        </w:rPr>
      </w:pPr>
    </w:p>
    <w:p>
      <w:pPr>
        <w:pStyle w:val="BodyText"/>
        <w:spacing w:line="286" w:lineRule="exact" w:before="61"/>
        <w:ind w:left="940" w:right="106" w:hanging="452"/>
        <w:jc w:val="left"/>
      </w:pPr>
      <w:r>
        <w:rPr/>
        <w:t>注：</w:t>
      </w:r>
      <w:r>
        <w:rPr>
          <w:rFonts w:ascii="Arial" w:hAnsi="Arial" w:cs="Arial" w:eastAsia="Arial" w:hint="default"/>
        </w:rPr>
        <w:t>2014</w:t>
      </w:r>
      <w:r>
        <w:rPr/>
        <w:t>年度，本公司所属子公司联通红筹公司收到西班牙电信宣布派发的现金股利人民币</w:t>
      </w:r>
      <w:r>
        <w:rPr>
          <w:w w:val="100"/>
        </w:rPr>
        <w:t> </w:t>
      </w:r>
      <w:r>
        <w:rPr>
          <w:rFonts w:ascii="Arial" w:hAnsi="Arial" w:cs="Arial" w:eastAsia="Arial" w:hint="default"/>
          <w:spacing w:val="-3"/>
        </w:rPr>
        <w:t>3.85</w:t>
      </w:r>
      <w:r>
        <w:rPr>
          <w:spacing w:val="-3"/>
        </w:rPr>
        <w:t>亿（于</w:t>
      </w:r>
      <w:r>
        <w:rPr>
          <w:rFonts w:ascii="Arial" w:hAnsi="Arial" w:cs="Arial" w:eastAsia="Arial" w:hint="default"/>
          <w:spacing w:val="-3"/>
        </w:rPr>
        <w:t>2013</w:t>
      </w:r>
      <w:r>
        <w:rPr>
          <w:spacing w:val="-3"/>
        </w:rPr>
        <w:t>年度，本公司所属子公司联通红筹公司收到西班牙电信宣布派发的约人民</w:t>
      </w:r>
      <w:r>
        <w:rPr>
          <w:w w:val="100"/>
        </w:rPr>
        <w:t> </w:t>
      </w:r>
      <w:r>
        <w:rPr/>
        <w:t>币</w:t>
      </w:r>
      <w:r>
        <w:rPr>
          <w:rFonts w:ascii="Arial" w:hAnsi="Arial" w:cs="Arial" w:eastAsia="Arial" w:hint="default"/>
        </w:rPr>
        <w:t>1.87</w:t>
      </w:r>
      <w:r>
        <w:rPr/>
        <w:t>亿元的现金股利）。</w:t>
      </w:r>
    </w:p>
    <w:p>
      <w:pPr>
        <w:spacing w:after="0" w:line="286" w:lineRule="exact"/>
        <w:jc w:val="left"/>
        <w:sectPr>
          <w:headerReference w:type="default" r:id="rId112"/>
          <w:pgSz w:w="11910" w:h="16840"/>
          <w:pgMar w:header="1185" w:footer="635" w:top="3600" w:bottom="820" w:left="1280" w:right="940"/>
        </w:sectPr>
      </w:pPr>
    </w:p>
    <w:p>
      <w:pPr>
        <w:spacing w:line="240" w:lineRule="auto" w:before="5"/>
        <w:rPr>
          <w:rFonts w:ascii="宋体" w:hAnsi="宋体" w:cs="宋体" w:eastAsia="宋体" w:hint="default"/>
          <w:sz w:val="23"/>
          <w:szCs w:val="23"/>
        </w:rPr>
      </w:pPr>
    </w:p>
    <w:tbl>
      <w:tblPr>
        <w:tblW w:w="0" w:type="auto"/>
        <w:jc w:val="left"/>
        <w:tblInd w:w="351" w:type="dxa"/>
        <w:tblLayout w:type="fixed"/>
        <w:tblCellMar>
          <w:top w:w="0" w:type="dxa"/>
          <w:left w:w="0" w:type="dxa"/>
          <w:bottom w:w="0" w:type="dxa"/>
          <w:right w:w="0" w:type="dxa"/>
        </w:tblCellMar>
        <w:tblLook w:val="01E0"/>
      </w:tblPr>
      <w:tblGrid>
        <w:gridCol w:w="4549"/>
        <w:gridCol w:w="2244"/>
        <w:gridCol w:w="199"/>
        <w:gridCol w:w="2223"/>
      </w:tblGrid>
      <w:tr>
        <w:trPr>
          <w:trHeight w:val="264" w:hRule="exact"/>
        </w:trPr>
        <w:tc>
          <w:tcPr>
            <w:tcW w:w="4549" w:type="dxa"/>
            <w:tcBorders>
              <w:top w:val="nil" w:sz="6" w:space="0" w:color="auto"/>
              <w:left w:val="nil" w:sz="6" w:space="0" w:color="auto"/>
              <w:bottom w:val="nil" w:sz="6" w:space="0" w:color="auto"/>
              <w:right w:val="nil" w:sz="6" w:space="0" w:color="auto"/>
            </w:tcBorders>
          </w:tcPr>
          <w:p>
            <w:pPr/>
          </w:p>
        </w:tc>
        <w:tc>
          <w:tcPr>
            <w:tcW w:w="2244" w:type="dxa"/>
            <w:tcBorders>
              <w:top w:val="nil" w:sz="6" w:space="0" w:color="auto"/>
              <w:left w:val="nil" w:sz="6" w:space="0" w:color="auto"/>
              <w:bottom w:val="single" w:sz="6" w:space="0" w:color="000000"/>
              <w:right w:val="nil" w:sz="6" w:space="0" w:color="auto"/>
            </w:tcBorders>
          </w:tcPr>
          <w:p>
            <w:pPr>
              <w:pStyle w:val="TableParagraph"/>
              <w:spacing w:line="236" w:lineRule="exact"/>
              <w:ind w:right="35"/>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99"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single" w:sz="6" w:space="0" w:color="000000"/>
              <w:right w:val="nil" w:sz="6" w:space="0" w:color="auto"/>
            </w:tcBorders>
          </w:tcPr>
          <w:p>
            <w:pPr>
              <w:pStyle w:val="TableParagraph"/>
              <w:spacing w:line="236" w:lineRule="exact"/>
              <w:ind w:right="24"/>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57" w:hRule="exact"/>
        </w:trPr>
        <w:tc>
          <w:tcPr>
            <w:tcW w:w="454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坏账准备</w:t>
            </w:r>
          </w:p>
        </w:tc>
        <w:tc>
          <w:tcPr>
            <w:tcW w:w="2244"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22"/>
              <w:jc w:val="right"/>
              <w:rPr>
                <w:rFonts w:ascii="Arial" w:hAnsi="Arial" w:cs="Arial" w:eastAsia="Arial" w:hint="default"/>
                <w:sz w:val="22"/>
                <w:szCs w:val="22"/>
              </w:rPr>
            </w:pPr>
            <w:r>
              <w:rPr>
                <w:rFonts w:ascii="Arial"/>
                <w:spacing w:val="-1"/>
                <w:sz w:val="22"/>
              </w:rPr>
              <w:t>3,475,198,634</w:t>
            </w:r>
          </w:p>
        </w:tc>
        <w:tc>
          <w:tcPr>
            <w:tcW w:w="199" w:type="dxa"/>
            <w:tcBorders>
              <w:top w:val="nil" w:sz="6" w:space="0" w:color="auto"/>
              <w:left w:val="nil" w:sz="6" w:space="0" w:color="auto"/>
              <w:bottom w:val="nil" w:sz="6" w:space="0" w:color="auto"/>
              <w:right w:val="nil" w:sz="6" w:space="0" w:color="auto"/>
            </w:tcBorders>
          </w:tcPr>
          <w:p>
            <w:pPr/>
          </w:p>
        </w:tc>
        <w:tc>
          <w:tcPr>
            <w:tcW w:w="2223"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9"/>
              <w:jc w:val="right"/>
              <w:rPr>
                <w:rFonts w:ascii="Arial" w:hAnsi="Arial" w:cs="Arial" w:eastAsia="Arial" w:hint="default"/>
                <w:sz w:val="22"/>
                <w:szCs w:val="22"/>
              </w:rPr>
            </w:pPr>
            <w:r>
              <w:rPr>
                <w:rFonts w:ascii="Arial"/>
                <w:spacing w:val="-1"/>
                <w:sz w:val="22"/>
              </w:rPr>
              <w:t>3,821,783,577</w:t>
            </w:r>
          </w:p>
        </w:tc>
      </w:tr>
      <w:tr>
        <w:trPr>
          <w:trHeight w:val="286" w:hRule="exact"/>
        </w:trPr>
        <w:tc>
          <w:tcPr>
            <w:tcW w:w="4549"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存货跌价准备</w:t>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2"/>
              <w:jc w:val="right"/>
              <w:rPr>
                <w:rFonts w:ascii="Arial" w:hAnsi="Arial" w:cs="Arial" w:eastAsia="Arial" w:hint="default"/>
                <w:sz w:val="22"/>
                <w:szCs w:val="22"/>
              </w:rPr>
            </w:pPr>
            <w:r>
              <w:rPr>
                <w:rFonts w:ascii="Arial"/>
                <w:spacing w:val="-1"/>
                <w:sz w:val="22"/>
              </w:rPr>
              <w:t>483,197,046</w:t>
            </w:r>
          </w:p>
        </w:tc>
        <w:tc>
          <w:tcPr>
            <w:tcW w:w="199"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8"/>
              <w:jc w:val="right"/>
              <w:rPr>
                <w:rFonts w:ascii="Arial" w:hAnsi="Arial" w:cs="Arial" w:eastAsia="Arial" w:hint="default"/>
                <w:sz w:val="22"/>
                <w:szCs w:val="22"/>
              </w:rPr>
            </w:pPr>
            <w:r>
              <w:rPr>
                <w:rFonts w:ascii="Arial"/>
                <w:spacing w:val="-1"/>
                <w:sz w:val="22"/>
              </w:rPr>
              <w:t>396,586,916</w:t>
            </w:r>
          </w:p>
        </w:tc>
      </w:tr>
      <w:tr>
        <w:trPr>
          <w:trHeight w:val="286" w:hRule="exact"/>
        </w:trPr>
        <w:tc>
          <w:tcPr>
            <w:tcW w:w="4549"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固定资产减值准备</w:t>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2"/>
              <w:jc w:val="right"/>
              <w:rPr>
                <w:rFonts w:ascii="Arial" w:hAnsi="Arial" w:cs="Arial" w:eastAsia="Arial" w:hint="default"/>
                <w:sz w:val="22"/>
                <w:szCs w:val="22"/>
              </w:rPr>
            </w:pPr>
            <w:r>
              <w:rPr>
                <w:rFonts w:ascii="Arial"/>
                <w:sz w:val="22"/>
              </w:rPr>
              <w:t>9,693,298</w:t>
            </w:r>
          </w:p>
        </w:tc>
        <w:tc>
          <w:tcPr>
            <w:tcW w:w="199"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7"/>
              <w:jc w:val="right"/>
              <w:rPr>
                <w:rFonts w:ascii="Arial" w:hAnsi="Arial" w:cs="Arial" w:eastAsia="Arial" w:hint="default"/>
                <w:sz w:val="22"/>
                <w:szCs w:val="22"/>
              </w:rPr>
            </w:pPr>
            <w:r>
              <w:rPr>
                <w:rFonts w:ascii="Arial"/>
                <w:w w:val="100"/>
                <w:sz w:val="22"/>
              </w:rPr>
              <w:t>-</w:t>
            </w:r>
          </w:p>
        </w:tc>
      </w:tr>
      <w:tr>
        <w:trPr>
          <w:trHeight w:val="286" w:hRule="exact"/>
        </w:trPr>
        <w:tc>
          <w:tcPr>
            <w:tcW w:w="4549"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在建工程减值准备</w:t>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2"/>
              <w:jc w:val="right"/>
              <w:rPr>
                <w:rFonts w:ascii="Arial" w:hAnsi="Arial" w:cs="Arial" w:eastAsia="Arial" w:hint="default"/>
                <w:sz w:val="22"/>
                <w:szCs w:val="22"/>
              </w:rPr>
            </w:pPr>
            <w:r>
              <w:rPr>
                <w:rFonts w:ascii="Arial"/>
                <w:spacing w:val="-1"/>
                <w:sz w:val="22"/>
              </w:rPr>
              <w:t>27,302,605</w:t>
            </w:r>
          </w:p>
        </w:tc>
        <w:tc>
          <w:tcPr>
            <w:tcW w:w="199"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3"/>
              <w:jc w:val="right"/>
              <w:rPr>
                <w:rFonts w:ascii="Arial" w:hAnsi="Arial" w:cs="Arial" w:eastAsia="Arial" w:hint="default"/>
                <w:sz w:val="22"/>
                <w:szCs w:val="22"/>
              </w:rPr>
            </w:pPr>
            <w:r>
              <w:rPr>
                <w:rFonts w:ascii="Arial"/>
                <w:spacing w:val="-1"/>
                <w:sz w:val="22"/>
              </w:rPr>
              <w:t>124,122,196</w:t>
            </w:r>
          </w:p>
        </w:tc>
      </w:tr>
      <w:tr>
        <w:trPr>
          <w:trHeight w:val="418" w:hRule="exact"/>
        </w:trPr>
        <w:tc>
          <w:tcPr>
            <w:tcW w:w="4549"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工程物资减值准备</w:t>
            </w:r>
          </w:p>
        </w:tc>
        <w:tc>
          <w:tcPr>
            <w:tcW w:w="2244" w:type="dxa"/>
            <w:tcBorders>
              <w:top w:val="nil" w:sz="6" w:space="0" w:color="auto"/>
              <w:left w:val="nil" w:sz="6" w:space="0" w:color="auto"/>
              <w:bottom w:val="nil" w:sz="6" w:space="0" w:color="auto"/>
              <w:right w:val="nil" w:sz="6" w:space="0" w:color="auto"/>
            </w:tcBorders>
          </w:tcPr>
          <w:p>
            <w:pPr>
              <w:pStyle w:val="TableParagraph"/>
              <w:tabs>
                <w:tab w:pos="1015" w:val="left" w:leader="none"/>
                <w:tab w:pos="2244"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28,367,256</w:t>
              <w:tab/>
            </w:r>
            <w:r>
              <w:rPr>
                <w:rFonts w:ascii="Arial"/>
                <w:spacing w:val="-1"/>
                <w:sz w:val="22"/>
              </w:rPr>
            </w:r>
          </w:p>
        </w:tc>
        <w:tc>
          <w:tcPr>
            <w:tcW w:w="199"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tabs>
                <w:tab w:pos="1138" w:val="left" w:leader="none"/>
                <w:tab w:pos="2215"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5,040,541</w:t>
              <w:tab/>
            </w:r>
            <w:r>
              <w:rPr>
                <w:rFonts w:ascii="Arial"/>
                <w:sz w:val="22"/>
              </w:rPr>
            </w:r>
          </w:p>
        </w:tc>
      </w:tr>
      <w:tr>
        <w:trPr>
          <w:trHeight w:val="428" w:hRule="exact"/>
        </w:trPr>
        <w:tc>
          <w:tcPr>
            <w:tcW w:w="454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44" w:type="dxa"/>
            <w:tcBorders>
              <w:top w:val="nil" w:sz="6" w:space="0" w:color="auto"/>
              <w:left w:val="nil" w:sz="6" w:space="0" w:color="auto"/>
              <w:bottom w:val="single" w:sz="17" w:space="0" w:color="000000"/>
              <w:right w:val="nil" w:sz="6" w:space="0" w:color="auto"/>
            </w:tcBorders>
          </w:tcPr>
          <w:p>
            <w:pPr>
              <w:pStyle w:val="TableParagraph"/>
              <w:spacing w:line="240" w:lineRule="auto" w:before="149"/>
              <w:ind w:right="122"/>
              <w:jc w:val="right"/>
              <w:rPr>
                <w:rFonts w:ascii="Arial" w:hAnsi="Arial" w:cs="Arial" w:eastAsia="Arial" w:hint="default"/>
                <w:sz w:val="22"/>
                <w:szCs w:val="22"/>
              </w:rPr>
            </w:pPr>
            <w:r>
              <w:rPr>
                <w:rFonts w:ascii="Arial"/>
                <w:spacing w:val="-1"/>
                <w:sz w:val="22"/>
              </w:rPr>
              <w:t>4,023,758,839</w:t>
            </w:r>
          </w:p>
        </w:tc>
        <w:tc>
          <w:tcPr>
            <w:tcW w:w="199"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single" w:sz="17" w:space="0" w:color="000000"/>
              <w:right w:val="nil" w:sz="6" w:space="0" w:color="auto"/>
            </w:tcBorders>
          </w:tcPr>
          <w:p>
            <w:pPr>
              <w:pStyle w:val="TableParagraph"/>
              <w:spacing w:line="240" w:lineRule="auto" w:before="149"/>
              <w:ind w:right="94"/>
              <w:jc w:val="right"/>
              <w:rPr>
                <w:rFonts w:ascii="Arial" w:hAnsi="Arial" w:cs="Arial" w:eastAsia="Arial" w:hint="default"/>
                <w:sz w:val="22"/>
                <w:szCs w:val="22"/>
              </w:rPr>
            </w:pPr>
            <w:r>
              <w:rPr>
                <w:rFonts w:ascii="Arial"/>
                <w:spacing w:val="-1"/>
                <w:sz w:val="22"/>
              </w:rPr>
              <w:t>4,347,533,230</w:t>
            </w:r>
          </w:p>
        </w:tc>
      </w:tr>
    </w:tbl>
    <w:p>
      <w:pPr>
        <w:spacing w:line="240" w:lineRule="auto" w:before="13"/>
        <w:rPr>
          <w:rFonts w:ascii="宋体" w:hAnsi="宋体" w:cs="宋体" w:eastAsia="宋体" w:hint="default"/>
          <w:sz w:val="13"/>
          <w:szCs w:val="13"/>
        </w:rPr>
      </w:pPr>
    </w:p>
    <w:p>
      <w:pPr>
        <w:pStyle w:val="BodyText"/>
        <w:spacing w:line="240" w:lineRule="auto" w:before="32"/>
        <w:ind w:left="102" w:right="106"/>
        <w:jc w:val="left"/>
      </w:pPr>
      <w:r>
        <w:rPr>
          <w:rFonts w:ascii="Arial" w:hAnsi="Arial" w:cs="Arial" w:eastAsia="Arial" w:hint="default"/>
        </w:rPr>
        <w:t>43</w:t>
      </w:r>
      <w:r>
        <w:rPr/>
        <w:t>、营业外收入</w:t>
      </w:r>
    </w:p>
    <w:p>
      <w:pPr>
        <w:spacing w:line="240" w:lineRule="auto" w:before="0"/>
        <w:rPr>
          <w:rFonts w:ascii="宋体" w:hAnsi="宋体" w:cs="宋体" w:eastAsia="宋体" w:hint="default"/>
          <w:sz w:val="23"/>
          <w:szCs w:val="23"/>
        </w:rPr>
      </w:pPr>
    </w:p>
    <w:tbl>
      <w:tblPr>
        <w:tblW w:w="0" w:type="auto"/>
        <w:jc w:val="left"/>
        <w:tblInd w:w="652" w:type="dxa"/>
        <w:tblLayout w:type="fixed"/>
        <w:tblCellMar>
          <w:top w:w="0" w:type="dxa"/>
          <w:left w:w="0" w:type="dxa"/>
          <w:bottom w:w="0" w:type="dxa"/>
          <w:right w:w="0" w:type="dxa"/>
        </w:tblCellMar>
        <w:tblLook w:val="01E0"/>
      </w:tblPr>
      <w:tblGrid>
        <w:gridCol w:w="2890"/>
        <w:gridCol w:w="1800"/>
        <w:gridCol w:w="1935"/>
        <w:gridCol w:w="2271"/>
      </w:tblGrid>
      <w:tr>
        <w:trPr>
          <w:trHeight w:val="550" w:hRule="exact"/>
        </w:trPr>
        <w:tc>
          <w:tcPr>
            <w:tcW w:w="2890"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67"/>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935" w:type="dxa"/>
            <w:tcBorders>
              <w:top w:val="nil" w:sz="6" w:space="0" w:color="auto"/>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907" w:right="0"/>
              <w:jc w:val="lef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271" w:type="dxa"/>
            <w:tcBorders>
              <w:top w:val="nil" w:sz="6" w:space="0" w:color="auto"/>
              <w:left w:val="nil" w:sz="6" w:space="0" w:color="auto"/>
              <w:bottom w:val="single" w:sz="6" w:space="0" w:color="000000"/>
              <w:right w:val="nil" w:sz="6" w:space="0" w:color="auto"/>
            </w:tcBorders>
          </w:tcPr>
          <w:p>
            <w:pPr>
              <w:pStyle w:val="TableParagraph"/>
              <w:spacing w:line="228" w:lineRule="exact"/>
              <w:ind w:left="261" w:right="0" w:firstLine="761"/>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6"/>
                <w:sz w:val="22"/>
                <w:szCs w:val="22"/>
              </w:rPr>
              <w:t> </w:t>
            </w:r>
            <w:r>
              <w:rPr>
                <w:rFonts w:ascii="宋体" w:hAnsi="宋体" w:cs="宋体" w:eastAsia="宋体" w:hint="default"/>
                <w:sz w:val="22"/>
                <w:szCs w:val="22"/>
              </w:rPr>
              <w:t>年计入</w:t>
            </w:r>
          </w:p>
          <w:p>
            <w:pPr>
              <w:pStyle w:val="TableParagraph"/>
              <w:spacing w:line="279" w:lineRule="exact"/>
              <w:ind w:left="261" w:right="0"/>
              <w:jc w:val="left"/>
              <w:rPr>
                <w:rFonts w:ascii="宋体" w:hAnsi="宋体" w:cs="宋体" w:eastAsia="宋体" w:hint="default"/>
                <w:sz w:val="22"/>
                <w:szCs w:val="22"/>
              </w:rPr>
            </w:pPr>
            <w:r>
              <w:rPr>
                <w:rFonts w:ascii="宋体" w:hAnsi="宋体" w:cs="宋体" w:eastAsia="宋体" w:hint="default"/>
                <w:sz w:val="22"/>
                <w:szCs w:val="22"/>
              </w:rPr>
              <w:t>非经常性损益的金额</w:t>
            </w:r>
          </w:p>
        </w:tc>
      </w:tr>
      <w:tr>
        <w:trPr>
          <w:trHeight w:val="552" w:hRule="exact"/>
        </w:trPr>
        <w:tc>
          <w:tcPr>
            <w:tcW w:w="2890"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8" w:right="0"/>
              <w:jc w:val="left"/>
              <w:rPr>
                <w:rFonts w:ascii="宋体" w:hAnsi="宋体" w:cs="宋体" w:eastAsia="宋体" w:hint="default"/>
                <w:sz w:val="22"/>
                <w:szCs w:val="22"/>
              </w:rPr>
            </w:pPr>
            <w:r>
              <w:rPr>
                <w:rFonts w:ascii="宋体" w:hAnsi="宋体" w:cs="宋体" w:eastAsia="宋体" w:hint="default"/>
                <w:sz w:val="22"/>
                <w:szCs w:val="22"/>
              </w:rPr>
              <w:t>非流动资产处置利得（注</w:t>
            </w:r>
            <w:r>
              <w:rPr>
                <w:rFonts w:ascii="宋体" w:hAnsi="宋体" w:cs="宋体" w:eastAsia="宋体" w:hint="default"/>
                <w:spacing w:val="-56"/>
                <w:sz w:val="22"/>
                <w:szCs w:val="22"/>
              </w:rPr>
              <w:t> </w:t>
            </w:r>
            <w:r>
              <w:rPr>
                <w:rFonts w:ascii="Arial" w:hAnsi="Arial" w:cs="Arial" w:eastAsia="Arial" w:hint="default"/>
                <w:sz w:val="22"/>
                <w:szCs w:val="22"/>
              </w:rPr>
              <w:t>1</w:t>
            </w:r>
            <w:r>
              <w:rPr>
                <w:rFonts w:ascii="宋体" w:hAnsi="宋体" w:cs="宋体" w:eastAsia="宋体" w:hint="default"/>
                <w:sz w:val="22"/>
                <w:szCs w:val="22"/>
              </w:rPr>
              <w:t>）</w:t>
            </w:r>
          </w:p>
        </w:tc>
        <w:tc>
          <w:tcPr>
            <w:tcW w:w="1800"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Arial" w:hAnsi="Arial" w:cs="Arial" w:eastAsia="Arial" w:hint="default"/>
                <w:sz w:val="22"/>
                <w:szCs w:val="22"/>
              </w:rPr>
            </w:pPr>
            <w:r>
              <w:rPr>
                <w:rFonts w:ascii="Arial"/>
                <w:spacing w:val="-1"/>
                <w:sz w:val="22"/>
              </w:rPr>
              <w:t>406,134,169</w:t>
            </w:r>
          </w:p>
        </w:tc>
        <w:tc>
          <w:tcPr>
            <w:tcW w:w="1935"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89" w:right="0"/>
              <w:jc w:val="left"/>
              <w:rPr>
                <w:rFonts w:ascii="Arial" w:hAnsi="Arial" w:cs="Arial" w:eastAsia="Arial" w:hint="default"/>
                <w:sz w:val="22"/>
                <w:szCs w:val="22"/>
              </w:rPr>
            </w:pPr>
            <w:r>
              <w:rPr>
                <w:rFonts w:ascii="Arial"/>
                <w:sz w:val="22"/>
              </w:rPr>
              <w:t>626,078,732</w:t>
            </w:r>
          </w:p>
        </w:tc>
        <w:tc>
          <w:tcPr>
            <w:tcW w:w="2271"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6"/>
              <w:jc w:val="right"/>
              <w:rPr>
                <w:rFonts w:ascii="Arial" w:hAnsi="Arial" w:cs="Arial" w:eastAsia="Arial" w:hint="default"/>
                <w:sz w:val="22"/>
                <w:szCs w:val="22"/>
              </w:rPr>
            </w:pPr>
            <w:r>
              <w:rPr>
                <w:rFonts w:ascii="Arial"/>
                <w:spacing w:val="-1"/>
                <w:sz w:val="22"/>
              </w:rPr>
              <w:t>406,134,169</w:t>
            </w:r>
          </w:p>
        </w:tc>
      </w:tr>
      <w:tr>
        <w:trPr>
          <w:trHeight w:val="304" w:hRule="exact"/>
        </w:trPr>
        <w:tc>
          <w:tcPr>
            <w:tcW w:w="2890" w:type="dxa"/>
            <w:tcBorders>
              <w:top w:val="single" w:sz="6" w:space="0" w:color="000000"/>
              <w:left w:val="single" w:sz="6" w:space="0" w:color="000000"/>
              <w:bottom w:val="nil" w:sz="6" w:space="0" w:color="auto"/>
              <w:right w:val="nil" w:sz="6" w:space="0" w:color="auto"/>
            </w:tcBorders>
          </w:tcPr>
          <w:p>
            <w:pPr>
              <w:pStyle w:val="TableParagraph"/>
              <w:spacing w:line="249" w:lineRule="exact"/>
              <w:ind w:left="48" w:right="0"/>
              <w:jc w:val="left"/>
              <w:rPr>
                <w:rFonts w:ascii="宋体" w:hAnsi="宋体" w:cs="宋体" w:eastAsia="宋体" w:hint="default"/>
                <w:sz w:val="22"/>
                <w:szCs w:val="22"/>
              </w:rPr>
            </w:pPr>
            <w:r>
              <w:rPr>
                <w:rFonts w:ascii="宋体" w:hAnsi="宋体" w:cs="宋体" w:eastAsia="宋体" w:hint="default"/>
                <w:sz w:val="22"/>
                <w:szCs w:val="22"/>
              </w:rPr>
              <w:t>其中：固定资产处置利得</w:t>
            </w:r>
          </w:p>
        </w:tc>
        <w:tc>
          <w:tcPr>
            <w:tcW w:w="1800" w:type="dxa"/>
            <w:tcBorders>
              <w:top w:val="single" w:sz="6" w:space="0" w:color="000000"/>
              <w:left w:val="nil" w:sz="6" w:space="0" w:color="auto"/>
              <w:bottom w:val="nil" w:sz="6" w:space="0" w:color="auto"/>
              <w:right w:val="nil" w:sz="6" w:space="0" w:color="auto"/>
            </w:tcBorders>
          </w:tcPr>
          <w:p>
            <w:pPr>
              <w:pStyle w:val="TableParagraph"/>
              <w:spacing w:line="240" w:lineRule="auto" w:before="31"/>
              <w:ind w:right="100"/>
              <w:jc w:val="right"/>
              <w:rPr>
                <w:rFonts w:ascii="Arial" w:hAnsi="Arial" w:cs="Arial" w:eastAsia="Arial" w:hint="default"/>
                <w:sz w:val="22"/>
                <w:szCs w:val="22"/>
              </w:rPr>
            </w:pPr>
            <w:r>
              <w:rPr>
                <w:rFonts w:ascii="Arial"/>
                <w:spacing w:val="-1"/>
                <w:sz w:val="22"/>
              </w:rPr>
              <w:t>406,134,169</w:t>
            </w:r>
          </w:p>
        </w:tc>
        <w:tc>
          <w:tcPr>
            <w:tcW w:w="1935" w:type="dxa"/>
            <w:tcBorders>
              <w:top w:val="single" w:sz="6" w:space="0" w:color="000000"/>
              <w:left w:val="nil" w:sz="6" w:space="0" w:color="auto"/>
              <w:bottom w:val="nil" w:sz="6" w:space="0" w:color="auto"/>
              <w:right w:val="nil" w:sz="6" w:space="0" w:color="auto"/>
            </w:tcBorders>
          </w:tcPr>
          <w:p>
            <w:pPr>
              <w:pStyle w:val="TableParagraph"/>
              <w:spacing w:line="240" w:lineRule="auto" w:before="31"/>
              <w:ind w:left="389" w:right="0"/>
              <w:jc w:val="left"/>
              <w:rPr>
                <w:rFonts w:ascii="Arial" w:hAnsi="Arial" w:cs="Arial" w:eastAsia="Arial" w:hint="default"/>
                <w:sz w:val="22"/>
                <w:szCs w:val="22"/>
              </w:rPr>
            </w:pPr>
            <w:r>
              <w:rPr>
                <w:rFonts w:ascii="Arial"/>
                <w:sz w:val="22"/>
              </w:rPr>
              <w:t>625,667,648</w:t>
            </w:r>
          </w:p>
        </w:tc>
        <w:tc>
          <w:tcPr>
            <w:tcW w:w="2271" w:type="dxa"/>
            <w:tcBorders>
              <w:top w:val="single" w:sz="6" w:space="0" w:color="000000"/>
              <w:left w:val="nil" w:sz="6" w:space="0" w:color="auto"/>
              <w:bottom w:val="nil" w:sz="6" w:space="0" w:color="auto"/>
              <w:right w:val="single" w:sz="6" w:space="0" w:color="000000"/>
            </w:tcBorders>
          </w:tcPr>
          <w:p>
            <w:pPr>
              <w:pStyle w:val="TableParagraph"/>
              <w:spacing w:line="240" w:lineRule="auto" w:before="31"/>
              <w:ind w:right="79"/>
              <w:jc w:val="right"/>
              <w:rPr>
                <w:rFonts w:ascii="Arial" w:hAnsi="Arial" w:cs="Arial" w:eastAsia="Arial" w:hint="default"/>
                <w:sz w:val="22"/>
                <w:szCs w:val="22"/>
              </w:rPr>
            </w:pPr>
            <w:r>
              <w:rPr>
                <w:rFonts w:ascii="Arial"/>
                <w:spacing w:val="-1"/>
                <w:sz w:val="22"/>
              </w:rPr>
              <w:t>406,134,169</w:t>
            </w:r>
          </w:p>
        </w:tc>
      </w:tr>
      <w:tr>
        <w:trPr>
          <w:trHeight w:val="282" w:hRule="exact"/>
        </w:trPr>
        <w:tc>
          <w:tcPr>
            <w:tcW w:w="2890" w:type="dxa"/>
            <w:tcBorders>
              <w:top w:val="nil" w:sz="6" w:space="0" w:color="auto"/>
              <w:left w:val="single" w:sz="6" w:space="0" w:color="000000"/>
              <w:bottom w:val="single" w:sz="6" w:space="0" w:color="000000"/>
              <w:right w:val="nil" w:sz="6" w:space="0" w:color="auto"/>
            </w:tcBorders>
          </w:tcPr>
          <w:p>
            <w:pPr>
              <w:pStyle w:val="TableParagraph"/>
              <w:spacing w:line="238" w:lineRule="exact"/>
              <w:ind w:left="722" w:right="0"/>
              <w:jc w:val="left"/>
              <w:rPr>
                <w:rFonts w:ascii="宋体" w:hAnsi="宋体" w:cs="宋体" w:eastAsia="宋体" w:hint="default"/>
                <w:sz w:val="22"/>
                <w:szCs w:val="22"/>
              </w:rPr>
            </w:pPr>
            <w:r>
              <w:rPr>
                <w:rFonts w:ascii="宋体" w:hAnsi="宋体" w:cs="宋体" w:eastAsia="宋体" w:hint="default"/>
                <w:sz w:val="22"/>
                <w:szCs w:val="22"/>
              </w:rPr>
              <w:t>无形资产处置利得</w:t>
            </w:r>
          </w:p>
        </w:tc>
        <w:tc>
          <w:tcPr>
            <w:tcW w:w="1800" w:type="dxa"/>
            <w:tcBorders>
              <w:top w:val="nil" w:sz="6" w:space="0" w:color="auto"/>
              <w:left w:val="nil" w:sz="6" w:space="0" w:color="auto"/>
              <w:bottom w:val="single" w:sz="6" w:space="0" w:color="000000"/>
              <w:right w:val="nil" w:sz="6" w:space="0" w:color="auto"/>
            </w:tcBorders>
          </w:tcPr>
          <w:p>
            <w:pPr>
              <w:pStyle w:val="TableParagraph"/>
              <w:spacing w:line="240" w:lineRule="auto" w:before="20"/>
              <w:ind w:right="104"/>
              <w:jc w:val="right"/>
              <w:rPr>
                <w:rFonts w:ascii="Arial" w:hAnsi="Arial" w:cs="Arial" w:eastAsia="Arial" w:hint="default"/>
                <w:sz w:val="22"/>
                <w:szCs w:val="22"/>
              </w:rPr>
            </w:pPr>
            <w:r>
              <w:rPr>
                <w:rFonts w:ascii="Arial"/>
                <w:w w:val="100"/>
                <w:sz w:val="22"/>
              </w:rPr>
              <w:t>-</w:t>
            </w:r>
          </w:p>
        </w:tc>
        <w:tc>
          <w:tcPr>
            <w:tcW w:w="1935" w:type="dxa"/>
            <w:tcBorders>
              <w:top w:val="nil" w:sz="6" w:space="0" w:color="auto"/>
              <w:left w:val="nil" w:sz="6" w:space="0" w:color="auto"/>
              <w:bottom w:val="single" w:sz="6" w:space="0" w:color="000000"/>
              <w:right w:val="nil" w:sz="6" w:space="0" w:color="auto"/>
            </w:tcBorders>
          </w:tcPr>
          <w:p>
            <w:pPr>
              <w:pStyle w:val="TableParagraph"/>
              <w:spacing w:line="240" w:lineRule="auto" w:before="20"/>
              <w:ind w:left="818" w:right="0"/>
              <w:jc w:val="left"/>
              <w:rPr>
                <w:rFonts w:ascii="Arial" w:hAnsi="Arial" w:cs="Arial" w:eastAsia="Arial" w:hint="default"/>
                <w:sz w:val="22"/>
                <w:szCs w:val="22"/>
              </w:rPr>
            </w:pPr>
            <w:r>
              <w:rPr>
                <w:rFonts w:ascii="Arial"/>
                <w:sz w:val="22"/>
              </w:rPr>
              <w:t>411,084</w:t>
            </w:r>
          </w:p>
        </w:tc>
        <w:tc>
          <w:tcPr>
            <w:tcW w:w="2271" w:type="dxa"/>
            <w:tcBorders>
              <w:top w:val="nil" w:sz="6" w:space="0" w:color="auto"/>
              <w:left w:val="nil" w:sz="6" w:space="0" w:color="auto"/>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22"/>
                <w:szCs w:val="22"/>
              </w:rPr>
            </w:pPr>
            <w:r>
              <w:rPr>
                <w:rFonts w:ascii="Arial"/>
                <w:w w:val="100"/>
                <w:sz w:val="22"/>
              </w:rPr>
              <w:t>-</w:t>
            </w:r>
          </w:p>
        </w:tc>
      </w:tr>
      <w:tr>
        <w:trPr>
          <w:trHeight w:val="304" w:hRule="exact"/>
        </w:trPr>
        <w:tc>
          <w:tcPr>
            <w:tcW w:w="2890" w:type="dxa"/>
            <w:tcBorders>
              <w:top w:val="single" w:sz="6" w:space="0" w:color="000000"/>
              <w:left w:val="nil" w:sz="6" w:space="0" w:color="auto"/>
              <w:bottom w:val="nil" w:sz="6" w:space="0" w:color="auto"/>
              <w:right w:val="nil" w:sz="6" w:space="0" w:color="auto"/>
            </w:tcBorders>
          </w:tcPr>
          <w:p>
            <w:pPr>
              <w:pStyle w:val="TableParagraph"/>
              <w:spacing w:line="249" w:lineRule="exact"/>
              <w:ind w:left="48" w:right="0"/>
              <w:jc w:val="left"/>
              <w:rPr>
                <w:rFonts w:ascii="宋体" w:hAnsi="宋体" w:cs="宋体" w:eastAsia="宋体" w:hint="default"/>
                <w:sz w:val="22"/>
                <w:szCs w:val="22"/>
              </w:rPr>
            </w:pPr>
            <w:r>
              <w:rPr>
                <w:rFonts w:ascii="宋体" w:hAnsi="宋体" w:cs="宋体" w:eastAsia="宋体" w:hint="default"/>
                <w:sz w:val="22"/>
                <w:szCs w:val="22"/>
              </w:rPr>
              <w:t>违约赔款收入</w:t>
            </w:r>
          </w:p>
        </w:tc>
        <w:tc>
          <w:tcPr>
            <w:tcW w:w="1800" w:type="dxa"/>
            <w:tcBorders>
              <w:top w:val="single" w:sz="6" w:space="0" w:color="000000"/>
              <w:left w:val="nil" w:sz="6" w:space="0" w:color="auto"/>
              <w:bottom w:val="nil" w:sz="6" w:space="0" w:color="auto"/>
              <w:right w:val="nil" w:sz="6" w:space="0" w:color="auto"/>
            </w:tcBorders>
          </w:tcPr>
          <w:p>
            <w:pPr>
              <w:pStyle w:val="TableParagraph"/>
              <w:spacing w:line="240" w:lineRule="auto" w:before="31"/>
              <w:ind w:right="101"/>
              <w:jc w:val="right"/>
              <w:rPr>
                <w:rFonts w:ascii="Arial" w:hAnsi="Arial" w:cs="Arial" w:eastAsia="Arial" w:hint="default"/>
                <w:sz w:val="22"/>
                <w:szCs w:val="22"/>
              </w:rPr>
            </w:pPr>
            <w:r>
              <w:rPr>
                <w:rFonts w:ascii="Arial"/>
                <w:spacing w:val="-1"/>
                <w:sz w:val="22"/>
              </w:rPr>
              <w:t>370,611,396</w:t>
            </w:r>
            <w:r>
              <w:rPr>
                <w:rFonts w:ascii="Arial"/>
                <w:sz w:val="22"/>
              </w:rPr>
            </w:r>
          </w:p>
        </w:tc>
        <w:tc>
          <w:tcPr>
            <w:tcW w:w="1935" w:type="dxa"/>
            <w:tcBorders>
              <w:top w:val="single" w:sz="6" w:space="0" w:color="000000"/>
              <w:left w:val="nil" w:sz="6" w:space="0" w:color="auto"/>
              <w:bottom w:val="nil" w:sz="6" w:space="0" w:color="auto"/>
              <w:right w:val="nil" w:sz="6" w:space="0" w:color="auto"/>
            </w:tcBorders>
          </w:tcPr>
          <w:p>
            <w:pPr>
              <w:pStyle w:val="TableParagraph"/>
              <w:spacing w:line="240" w:lineRule="auto" w:before="31"/>
              <w:ind w:left="511" w:right="0"/>
              <w:jc w:val="left"/>
              <w:rPr>
                <w:rFonts w:ascii="Arial" w:hAnsi="Arial" w:cs="Arial" w:eastAsia="Arial" w:hint="default"/>
                <w:sz w:val="22"/>
                <w:szCs w:val="22"/>
              </w:rPr>
            </w:pPr>
            <w:r>
              <w:rPr>
                <w:rFonts w:ascii="Arial"/>
                <w:sz w:val="22"/>
              </w:rPr>
              <w:t>99,511,975</w:t>
            </w:r>
          </w:p>
        </w:tc>
        <w:tc>
          <w:tcPr>
            <w:tcW w:w="2271" w:type="dxa"/>
            <w:tcBorders>
              <w:top w:val="single" w:sz="6" w:space="0" w:color="000000"/>
              <w:left w:val="nil" w:sz="6" w:space="0" w:color="auto"/>
              <w:bottom w:val="nil" w:sz="6" w:space="0" w:color="auto"/>
              <w:right w:val="nil" w:sz="6" w:space="0" w:color="auto"/>
            </w:tcBorders>
          </w:tcPr>
          <w:p>
            <w:pPr>
              <w:pStyle w:val="TableParagraph"/>
              <w:spacing w:line="240" w:lineRule="auto" w:before="31"/>
              <w:ind w:right="86"/>
              <w:jc w:val="right"/>
              <w:rPr>
                <w:rFonts w:ascii="Arial" w:hAnsi="Arial" w:cs="Arial" w:eastAsia="Arial" w:hint="default"/>
                <w:sz w:val="22"/>
                <w:szCs w:val="22"/>
              </w:rPr>
            </w:pPr>
            <w:r>
              <w:rPr>
                <w:rFonts w:ascii="Arial"/>
                <w:spacing w:val="-1"/>
                <w:sz w:val="22"/>
              </w:rPr>
              <w:t>370,611,396</w:t>
            </w:r>
          </w:p>
        </w:tc>
      </w:tr>
      <w:tr>
        <w:trPr>
          <w:trHeight w:val="286"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54" w:lineRule="exact"/>
              <w:ind w:left="48" w:right="0"/>
              <w:jc w:val="left"/>
              <w:rPr>
                <w:rFonts w:ascii="宋体" w:hAnsi="宋体" w:cs="宋体" w:eastAsia="宋体" w:hint="default"/>
                <w:sz w:val="22"/>
                <w:szCs w:val="22"/>
              </w:rPr>
            </w:pPr>
            <w:r>
              <w:rPr>
                <w:rFonts w:ascii="宋体" w:hAnsi="宋体" w:cs="宋体" w:eastAsia="宋体" w:hint="default"/>
                <w:sz w:val="22"/>
                <w:szCs w:val="22"/>
              </w:rPr>
              <w:t>无法支付的应付账款（注</w:t>
            </w:r>
            <w:r>
              <w:rPr>
                <w:rFonts w:ascii="宋体" w:hAnsi="宋体" w:cs="宋体" w:eastAsia="宋体" w:hint="default"/>
                <w:spacing w:val="-55"/>
                <w:sz w:val="22"/>
                <w:szCs w:val="22"/>
              </w:rPr>
              <w:t> </w:t>
            </w:r>
            <w:r>
              <w:rPr>
                <w:rFonts w:ascii="Arial" w:hAnsi="Arial" w:cs="Arial" w:eastAsia="Arial" w:hint="default"/>
                <w:sz w:val="22"/>
                <w:szCs w:val="22"/>
              </w:rPr>
              <w:t>2</w:t>
            </w:r>
            <w:r>
              <w:rPr>
                <w:rFonts w:ascii="宋体" w:hAnsi="宋体" w:cs="宋体" w:eastAsia="宋体" w:hint="default"/>
                <w:sz w:val="22"/>
                <w:szCs w:val="22"/>
              </w:rPr>
              <w:t>）</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0"/>
              <w:jc w:val="right"/>
              <w:rPr>
                <w:rFonts w:ascii="Arial" w:hAnsi="Arial" w:cs="Arial" w:eastAsia="Arial" w:hint="default"/>
                <w:sz w:val="22"/>
                <w:szCs w:val="22"/>
              </w:rPr>
            </w:pPr>
            <w:r>
              <w:rPr>
                <w:rFonts w:ascii="Arial"/>
                <w:spacing w:val="-1"/>
                <w:sz w:val="22"/>
              </w:rPr>
              <w:t>217,695,674</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89" w:right="0"/>
              <w:jc w:val="left"/>
              <w:rPr>
                <w:rFonts w:ascii="Arial" w:hAnsi="Arial" w:cs="Arial" w:eastAsia="Arial" w:hint="default"/>
                <w:sz w:val="22"/>
                <w:szCs w:val="22"/>
              </w:rPr>
            </w:pPr>
            <w:r>
              <w:rPr>
                <w:rFonts w:ascii="Arial"/>
                <w:sz w:val="22"/>
              </w:rPr>
              <w:t>215,782,380</w:t>
            </w:r>
          </w:p>
        </w:tc>
        <w:tc>
          <w:tcPr>
            <w:tcW w:w="22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6"/>
              <w:jc w:val="right"/>
              <w:rPr>
                <w:rFonts w:ascii="Arial" w:hAnsi="Arial" w:cs="Arial" w:eastAsia="Arial" w:hint="default"/>
                <w:sz w:val="22"/>
                <w:szCs w:val="22"/>
              </w:rPr>
            </w:pPr>
            <w:r>
              <w:rPr>
                <w:rFonts w:ascii="Arial"/>
                <w:spacing w:val="-1"/>
                <w:sz w:val="22"/>
              </w:rPr>
              <w:t>217,695,674</w:t>
            </w:r>
          </w:p>
        </w:tc>
      </w:tr>
      <w:tr>
        <w:trPr>
          <w:trHeight w:val="286"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54" w:lineRule="exact"/>
              <w:ind w:left="48" w:right="0"/>
              <w:jc w:val="left"/>
              <w:rPr>
                <w:rFonts w:ascii="宋体" w:hAnsi="宋体" w:cs="宋体" w:eastAsia="宋体" w:hint="default"/>
                <w:sz w:val="22"/>
                <w:szCs w:val="22"/>
              </w:rPr>
            </w:pPr>
            <w:r>
              <w:rPr>
                <w:rFonts w:ascii="宋体" w:hAnsi="宋体" w:cs="宋体" w:eastAsia="宋体" w:hint="default"/>
                <w:sz w:val="22"/>
                <w:szCs w:val="22"/>
              </w:rPr>
              <w:t>政府补助（注</w:t>
            </w:r>
            <w:r>
              <w:rPr>
                <w:rFonts w:ascii="宋体" w:hAnsi="宋体" w:cs="宋体" w:eastAsia="宋体" w:hint="default"/>
                <w:spacing w:val="-53"/>
                <w:sz w:val="22"/>
                <w:szCs w:val="22"/>
              </w:rPr>
              <w:t> </w:t>
            </w:r>
            <w:r>
              <w:rPr>
                <w:rFonts w:ascii="Arial" w:hAnsi="Arial" w:cs="Arial" w:eastAsia="Arial" w:hint="default"/>
                <w:sz w:val="22"/>
                <w:szCs w:val="22"/>
              </w:rPr>
              <w:t>3</w:t>
            </w:r>
            <w:r>
              <w:rPr>
                <w:rFonts w:ascii="宋体" w:hAnsi="宋体" w:cs="宋体" w:eastAsia="宋体" w:hint="default"/>
                <w:sz w:val="22"/>
                <w:szCs w:val="22"/>
              </w:rPr>
              <w:t>）</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0"/>
              <w:jc w:val="right"/>
              <w:rPr>
                <w:rFonts w:ascii="Arial" w:hAnsi="Arial" w:cs="Arial" w:eastAsia="Arial" w:hint="default"/>
                <w:sz w:val="22"/>
                <w:szCs w:val="22"/>
              </w:rPr>
            </w:pPr>
            <w:r>
              <w:rPr>
                <w:rFonts w:ascii="Arial"/>
                <w:spacing w:val="-1"/>
                <w:sz w:val="22"/>
              </w:rPr>
              <w:t>271,297,564</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89" w:right="0"/>
              <w:jc w:val="left"/>
              <w:rPr>
                <w:rFonts w:ascii="Arial" w:hAnsi="Arial" w:cs="Arial" w:eastAsia="Arial" w:hint="default"/>
                <w:sz w:val="22"/>
                <w:szCs w:val="22"/>
              </w:rPr>
            </w:pPr>
            <w:r>
              <w:rPr>
                <w:rFonts w:ascii="Arial"/>
                <w:sz w:val="22"/>
              </w:rPr>
              <w:t>239,299,441</w:t>
            </w:r>
          </w:p>
        </w:tc>
        <w:tc>
          <w:tcPr>
            <w:tcW w:w="22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6"/>
              <w:jc w:val="right"/>
              <w:rPr>
                <w:rFonts w:ascii="Arial" w:hAnsi="Arial" w:cs="Arial" w:eastAsia="Arial" w:hint="default"/>
                <w:sz w:val="22"/>
                <w:szCs w:val="22"/>
              </w:rPr>
            </w:pPr>
            <w:r>
              <w:rPr>
                <w:rFonts w:ascii="Arial"/>
                <w:spacing w:val="-1"/>
                <w:sz w:val="22"/>
              </w:rPr>
              <w:t>271,297,564</w:t>
            </w:r>
          </w:p>
        </w:tc>
      </w:tr>
      <w:tr>
        <w:trPr>
          <w:trHeight w:val="420"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38" w:lineRule="exact"/>
              <w:ind w:left="48"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800" w:type="dxa"/>
            <w:tcBorders>
              <w:top w:val="nil" w:sz="6" w:space="0" w:color="auto"/>
              <w:left w:val="nil" w:sz="6" w:space="0" w:color="auto"/>
              <w:bottom w:val="nil" w:sz="6" w:space="0" w:color="auto"/>
              <w:right w:val="nil" w:sz="6" w:space="0" w:color="auto"/>
            </w:tcBorders>
          </w:tcPr>
          <w:p>
            <w:pPr>
              <w:pStyle w:val="TableParagraph"/>
              <w:tabs>
                <w:tab w:pos="470" w:val="left" w:leader="none"/>
                <w:tab w:pos="1799"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263,506,257</w:t>
              <w:tab/>
            </w:r>
            <w:r>
              <w:rPr>
                <w:rFonts w:ascii="Arial"/>
                <w:spacing w:val="-1"/>
                <w:sz w:val="22"/>
              </w:rPr>
            </w:r>
          </w:p>
        </w:tc>
        <w:tc>
          <w:tcPr>
            <w:tcW w:w="1935" w:type="dxa"/>
            <w:tcBorders>
              <w:top w:val="nil" w:sz="6" w:space="0" w:color="auto"/>
              <w:left w:val="nil" w:sz="6" w:space="0" w:color="auto"/>
              <w:bottom w:val="nil" w:sz="6" w:space="0" w:color="auto"/>
              <w:right w:val="nil" w:sz="6" w:space="0" w:color="auto"/>
            </w:tcBorders>
          </w:tcPr>
          <w:p>
            <w:pPr>
              <w:pStyle w:val="TableParagraph"/>
              <w:tabs>
                <w:tab w:pos="389" w:val="left" w:leader="none"/>
                <w:tab w:pos="2890" w:val="left" w:leader="none"/>
              </w:tabs>
              <w:spacing w:line="240" w:lineRule="auto" w:before="20"/>
              <w:ind w:left="81" w:right="-956"/>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258,709,620</w:t>
            </w:r>
            <w:r>
              <w:rPr>
                <w:rFonts w:ascii="Arial"/>
                <w:spacing w:val="24"/>
                <w:sz w:val="22"/>
                <w:u w:val="single" w:color="000000"/>
              </w:rPr>
              <w:t> </w:t>
            </w:r>
            <w:r>
              <w:rPr>
                <w:rFonts w:ascii="Arial"/>
                <w:spacing w:val="24"/>
                <w:sz w:val="22"/>
              </w:rPr>
            </w:r>
            <w:r>
              <w:rPr>
                <w:rFonts w:ascii="Arial"/>
                <w:spacing w:val="10"/>
                <w:sz w:val="22"/>
              </w:rPr>
              <w:t> </w:t>
            </w:r>
            <w:r>
              <w:rPr>
                <w:rFonts w:ascii="Arial"/>
                <w:spacing w:val="10"/>
                <w:w w:val="100"/>
                <w:sz w:val="22"/>
              </w:rPr>
            </w:r>
            <w:r>
              <w:rPr>
                <w:rFonts w:ascii="Arial"/>
                <w:w w:val="100"/>
                <w:sz w:val="22"/>
                <w:u w:val="single" w:color="000000"/>
              </w:rPr>
              <w:t> </w:t>
            </w:r>
            <w:r>
              <w:rPr>
                <w:rFonts w:ascii="Arial"/>
                <w:sz w:val="22"/>
                <w:u w:val="single" w:color="000000"/>
              </w:rPr>
              <w:tab/>
            </w:r>
            <w:r>
              <w:rPr>
                <w:rFonts w:ascii="Arial"/>
                <w:sz w:val="22"/>
              </w:rPr>
            </w:r>
          </w:p>
        </w:tc>
        <w:tc>
          <w:tcPr>
            <w:tcW w:w="2271" w:type="dxa"/>
            <w:tcBorders>
              <w:top w:val="nil" w:sz="6" w:space="0" w:color="auto"/>
              <w:left w:val="nil" w:sz="6" w:space="0" w:color="auto"/>
              <w:bottom w:val="nil" w:sz="6" w:space="0" w:color="auto"/>
              <w:right w:val="nil" w:sz="6" w:space="0" w:color="auto"/>
            </w:tcBorders>
          </w:tcPr>
          <w:p>
            <w:pPr>
              <w:pStyle w:val="TableParagraph"/>
              <w:tabs>
                <w:tab w:pos="1314"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spacing w:val="-1"/>
                <w:sz w:val="22"/>
                <w:u w:val="single" w:color="000000"/>
              </w:rPr>
              <w:t>263,506,257</w:t>
              <w:tab/>
            </w:r>
            <w:r>
              <w:rPr>
                <w:rFonts w:ascii="Arial"/>
                <w:spacing w:val="-1"/>
                <w:sz w:val="22"/>
              </w:rPr>
            </w:r>
          </w:p>
        </w:tc>
      </w:tr>
      <w:tr>
        <w:trPr>
          <w:trHeight w:val="430"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8"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800"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100"/>
              <w:jc w:val="right"/>
              <w:rPr>
                <w:rFonts w:ascii="Arial" w:hAnsi="Arial" w:cs="Arial" w:eastAsia="Arial" w:hint="default"/>
                <w:sz w:val="22"/>
                <w:szCs w:val="22"/>
              </w:rPr>
            </w:pPr>
            <w:r>
              <w:rPr>
                <w:rFonts w:ascii="Arial"/>
                <w:spacing w:val="-1"/>
                <w:sz w:val="22"/>
              </w:rPr>
              <w:t>1,529,245,060</w:t>
            </w:r>
          </w:p>
        </w:tc>
        <w:tc>
          <w:tcPr>
            <w:tcW w:w="1935"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left="204" w:right="0"/>
              <w:jc w:val="left"/>
              <w:rPr>
                <w:rFonts w:ascii="Arial" w:hAnsi="Arial" w:cs="Arial" w:eastAsia="Arial" w:hint="default"/>
                <w:sz w:val="22"/>
                <w:szCs w:val="22"/>
              </w:rPr>
            </w:pPr>
            <w:r>
              <w:rPr>
                <w:rFonts w:ascii="Arial"/>
                <w:sz w:val="22"/>
              </w:rPr>
              <w:t>1,439,382,148</w:t>
            </w:r>
          </w:p>
        </w:tc>
        <w:tc>
          <w:tcPr>
            <w:tcW w:w="2271"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87"/>
              <w:jc w:val="right"/>
              <w:rPr>
                <w:rFonts w:ascii="Arial" w:hAnsi="Arial" w:cs="Arial" w:eastAsia="Arial" w:hint="default"/>
                <w:sz w:val="22"/>
                <w:szCs w:val="22"/>
              </w:rPr>
            </w:pPr>
            <w:r>
              <w:rPr>
                <w:rFonts w:ascii="Arial"/>
                <w:spacing w:val="-1"/>
                <w:sz w:val="22"/>
              </w:rPr>
              <w:t>1,529,245,060</w:t>
            </w:r>
          </w:p>
        </w:tc>
      </w:tr>
    </w:tbl>
    <w:p>
      <w:pPr>
        <w:spacing w:line="240" w:lineRule="auto" w:before="5"/>
        <w:rPr>
          <w:rFonts w:ascii="宋体" w:hAnsi="宋体" w:cs="宋体" w:eastAsia="宋体" w:hint="default"/>
          <w:sz w:val="10"/>
          <w:szCs w:val="10"/>
        </w:rPr>
      </w:pPr>
    </w:p>
    <w:p>
      <w:pPr>
        <w:pStyle w:val="BodyText"/>
        <w:spacing w:line="286" w:lineRule="exact" w:before="61"/>
        <w:ind w:left="1235" w:right="101" w:hanging="644"/>
        <w:jc w:val="left"/>
      </w:pPr>
      <w:r>
        <w:rPr/>
        <w:t>注</w:t>
      </w:r>
      <w:r>
        <w:rPr>
          <w:spacing w:val="-35"/>
        </w:rPr>
        <w:t> </w:t>
      </w:r>
      <w:r>
        <w:rPr>
          <w:rFonts w:ascii="Arial" w:hAnsi="Arial" w:cs="Arial" w:eastAsia="Arial" w:hint="default"/>
        </w:rPr>
        <w:t>1</w:t>
      </w:r>
      <w:r>
        <w:rPr/>
        <w:t>：于</w:t>
      </w:r>
      <w:r>
        <w:rPr>
          <w:spacing w:val="-35"/>
        </w:rPr>
        <w:t> </w:t>
      </w:r>
      <w:r>
        <w:rPr>
          <w:rFonts w:ascii="Arial" w:hAnsi="Arial" w:cs="Arial" w:eastAsia="Arial" w:hint="default"/>
        </w:rPr>
        <w:t>2014</w:t>
      </w:r>
      <w:r>
        <w:rPr>
          <w:rFonts w:ascii="Arial" w:hAnsi="Arial" w:cs="Arial" w:eastAsia="Arial" w:hint="default"/>
          <w:spacing w:val="13"/>
        </w:rPr>
        <w:t> </w:t>
      </w:r>
      <w:r>
        <w:rPr/>
        <w:t>年，本集团对已达到使用期限或无使用价值的固定资产等非流动资产进行了处</w:t>
      </w:r>
      <w:r>
        <w:rPr>
          <w:w w:val="100"/>
        </w:rPr>
        <w:t> </w:t>
      </w:r>
      <w:r>
        <w:rPr/>
        <w:t>置。</w:t>
      </w:r>
    </w:p>
    <w:p>
      <w:pPr>
        <w:spacing w:line="240" w:lineRule="auto" w:before="7"/>
        <w:rPr>
          <w:rFonts w:ascii="宋体" w:hAnsi="宋体" w:cs="宋体" w:eastAsia="宋体" w:hint="default"/>
          <w:sz w:val="19"/>
          <w:szCs w:val="19"/>
        </w:rPr>
      </w:pPr>
    </w:p>
    <w:p>
      <w:pPr>
        <w:pStyle w:val="BodyText"/>
        <w:spacing w:line="284" w:lineRule="exact"/>
        <w:ind w:left="1235" w:right="101" w:hanging="644"/>
        <w:jc w:val="left"/>
      </w:pPr>
      <w:r>
        <w:rPr/>
        <w:t>注</w:t>
      </w:r>
      <w:r>
        <w:rPr>
          <w:spacing w:val="-35"/>
        </w:rPr>
        <w:t> </w:t>
      </w:r>
      <w:r>
        <w:rPr>
          <w:rFonts w:ascii="Arial" w:hAnsi="Arial" w:cs="Arial" w:eastAsia="Arial" w:hint="default"/>
        </w:rPr>
        <w:t>2</w:t>
      </w:r>
      <w:r>
        <w:rPr/>
        <w:t>：于</w:t>
      </w:r>
      <w:r>
        <w:rPr>
          <w:spacing w:val="-35"/>
        </w:rPr>
        <w:t> </w:t>
      </w:r>
      <w:r>
        <w:rPr>
          <w:rFonts w:ascii="Arial" w:hAnsi="Arial" w:cs="Arial" w:eastAsia="Arial" w:hint="default"/>
        </w:rPr>
        <w:t>2014</w:t>
      </w:r>
      <w:r>
        <w:rPr>
          <w:rFonts w:ascii="Arial" w:hAnsi="Arial" w:cs="Arial" w:eastAsia="Arial" w:hint="default"/>
          <w:spacing w:val="13"/>
        </w:rPr>
        <w:t> </w:t>
      </w:r>
      <w:r>
        <w:rPr/>
        <w:t>年，本集团对账龄较长且已无法支付的应付款项进行清理后转入营业外收入约</w:t>
      </w:r>
      <w:r>
        <w:rPr>
          <w:w w:val="100"/>
        </w:rPr>
        <w:t> 人民币</w:t>
      </w:r>
      <w:r>
        <w:rPr>
          <w:spacing w:val="-55"/>
          <w:w w:val="100"/>
        </w:rPr>
        <w:t> </w:t>
      </w:r>
      <w:r>
        <w:rPr>
          <w:rFonts w:ascii="Arial" w:hAnsi="Arial" w:cs="Arial" w:eastAsia="Arial" w:hint="default"/>
          <w:spacing w:val="-1"/>
          <w:w w:val="100"/>
        </w:rPr>
        <w:t>2.18</w:t>
      </w:r>
      <w:r>
        <w:rPr>
          <w:rFonts w:ascii="Arial" w:hAnsi="Arial" w:cs="Arial" w:eastAsia="Arial" w:hint="default"/>
          <w:spacing w:val="-6"/>
          <w:w w:val="100"/>
        </w:rPr>
        <w:t> </w:t>
      </w:r>
      <w:r>
        <w:rPr>
          <w:spacing w:val="-1"/>
          <w:w w:val="100"/>
        </w:rPr>
        <w:t>亿元（</w:t>
      </w:r>
      <w:r>
        <w:rPr>
          <w:rFonts w:ascii="Arial" w:hAnsi="Arial" w:cs="Arial" w:eastAsia="Arial" w:hint="default"/>
          <w:spacing w:val="-1"/>
          <w:w w:val="100"/>
        </w:rPr>
        <w:t>2013</w:t>
      </w:r>
      <w:r>
        <w:rPr>
          <w:rFonts w:ascii="Arial" w:hAnsi="Arial" w:cs="Arial" w:eastAsia="Arial" w:hint="default"/>
          <w:spacing w:val="-9"/>
          <w:w w:val="100"/>
        </w:rPr>
        <w:t> </w:t>
      </w:r>
      <w:r>
        <w:rPr>
          <w:spacing w:val="-1"/>
          <w:w w:val="100"/>
        </w:rPr>
        <w:t>年：约人民币</w:t>
      </w:r>
      <w:r>
        <w:rPr>
          <w:spacing w:val="-55"/>
          <w:w w:val="100"/>
        </w:rPr>
        <w:t> </w:t>
      </w:r>
      <w:r>
        <w:rPr>
          <w:rFonts w:ascii="Arial" w:hAnsi="Arial" w:cs="Arial" w:eastAsia="Arial" w:hint="default"/>
          <w:spacing w:val="-1"/>
          <w:w w:val="100"/>
        </w:rPr>
        <w:t>2.16</w:t>
      </w:r>
      <w:r>
        <w:rPr>
          <w:rFonts w:ascii="Arial" w:hAnsi="Arial" w:cs="Arial" w:eastAsia="Arial" w:hint="default"/>
          <w:spacing w:val="-5"/>
          <w:w w:val="100"/>
        </w:rPr>
        <w:t> </w:t>
      </w:r>
      <w:r>
        <w:rPr>
          <w:spacing w:val="-29"/>
          <w:w w:val="100"/>
        </w:rPr>
        <w:t>亿元）。</w:t>
      </w:r>
    </w:p>
    <w:p>
      <w:pPr>
        <w:spacing w:after="0" w:line="284" w:lineRule="exact"/>
        <w:jc w:val="left"/>
        <w:sectPr>
          <w:headerReference w:type="default" r:id="rId113"/>
          <w:pgSz w:w="11910" w:h="16840"/>
          <w:pgMar w:header="1185" w:footer="635" w:top="3600" w:bottom="820" w:left="1280" w:right="940"/>
        </w:sectPr>
      </w:pPr>
    </w:p>
    <w:p>
      <w:pPr>
        <w:spacing w:line="240" w:lineRule="auto" w:before="10"/>
        <w:rPr>
          <w:rFonts w:ascii="宋体" w:hAnsi="宋体" w:cs="宋体" w:eastAsia="宋体" w:hint="default"/>
          <w:sz w:val="16"/>
          <w:szCs w:val="16"/>
        </w:rPr>
      </w:pPr>
    </w:p>
    <w:p>
      <w:pPr>
        <w:pStyle w:val="BodyText"/>
        <w:spacing w:line="240" w:lineRule="auto" w:before="32"/>
        <w:ind w:left="102" w:right="0"/>
        <w:jc w:val="left"/>
      </w:pPr>
      <w:r>
        <w:rPr>
          <w:rFonts w:ascii="Arial" w:hAnsi="Arial" w:cs="Arial" w:eastAsia="Arial" w:hint="default"/>
        </w:rPr>
        <w:t>43</w:t>
      </w:r>
      <w:r>
        <w:rPr/>
        <w:t>、营业外收入（续）</w:t>
      </w:r>
    </w:p>
    <w:p>
      <w:pPr>
        <w:spacing w:before="196"/>
        <w:ind w:left="59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3</w:t>
      </w:r>
      <w:r>
        <w:rPr>
          <w:rFonts w:ascii="宋体" w:hAnsi="宋体" w:cs="宋体" w:eastAsia="宋体" w:hint="default"/>
          <w:sz w:val="18"/>
          <w:szCs w:val="18"/>
        </w:rPr>
        <w:t>：政府补助明细</w:t>
      </w:r>
    </w:p>
    <w:p>
      <w:pPr>
        <w:spacing w:line="240" w:lineRule="auto" w:before="11"/>
        <w:rPr>
          <w:rFonts w:ascii="宋体" w:hAnsi="宋体" w:cs="宋体" w:eastAsia="宋体" w:hint="default"/>
          <w:sz w:val="18"/>
          <w:szCs w:val="18"/>
        </w:rPr>
      </w:pPr>
    </w:p>
    <w:tbl>
      <w:tblPr>
        <w:tblW w:w="0" w:type="auto"/>
        <w:jc w:val="left"/>
        <w:tblInd w:w="397" w:type="dxa"/>
        <w:tblLayout w:type="fixed"/>
        <w:tblCellMar>
          <w:top w:w="0" w:type="dxa"/>
          <w:left w:w="0" w:type="dxa"/>
          <w:bottom w:w="0" w:type="dxa"/>
          <w:right w:w="0" w:type="dxa"/>
        </w:tblCellMar>
        <w:tblLook w:val="01E0"/>
      </w:tblPr>
      <w:tblGrid>
        <w:gridCol w:w="2127"/>
        <w:gridCol w:w="1219"/>
        <w:gridCol w:w="1120"/>
        <w:gridCol w:w="122"/>
        <w:gridCol w:w="3908"/>
        <w:gridCol w:w="142"/>
        <w:gridCol w:w="994"/>
      </w:tblGrid>
      <w:tr>
        <w:trPr>
          <w:trHeight w:val="450" w:hRule="exact"/>
        </w:trPr>
        <w:tc>
          <w:tcPr>
            <w:tcW w:w="2127"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120"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22" w:type="dxa"/>
            <w:tcBorders>
              <w:top w:val="nil" w:sz="6" w:space="0" w:color="auto"/>
              <w:left w:val="nil" w:sz="6" w:space="0" w:color="auto"/>
              <w:bottom w:val="nil" w:sz="6" w:space="0" w:color="auto"/>
              <w:right w:val="nil" w:sz="6" w:space="0" w:color="auto"/>
            </w:tcBorders>
          </w:tcPr>
          <w:p>
            <w:pPr/>
          </w:p>
        </w:tc>
        <w:tc>
          <w:tcPr>
            <w:tcW w:w="3908"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说明</w:t>
            </w: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single" w:sz="6" w:space="0" w:color="000000"/>
              <w:right w:val="nil" w:sz="6" w:space="0" w:color="auto"/>
            </w:tcBorders>
          </w:tcPr>
          <w:p>
            <w:pPr>
              <w:pStyle w:val="TableParagraph"/>
              <w:spacing w:line="187" w:lineRule="exact"/>
              <w:ind w:left="45" w:right="0" w:hanging="27"/>
              <w:jc w:val="left"/>
              <w:rPr>
                <w:rFonts w:ascii="Arial" w:hAnsi="Arial" w:cs="Arial" w:eastAsia="Arial" w:hint="default"/>
                <w:sz w:val="18"/>
                <w:szCs w:val="18"/>
              </w:rPr>
            </w:pPr>
            <w:r>
              <w:rPr>
                <w:rFonts w:ascii="宋体" w:hAnsi="宋体" w:cs="宋体" w:eastAsia="宋体" w:hint="default"/>
                <w:sz w:val="18"/>
                <w:szCs w:val="18"/>
              </w:rPr>
              <w:t>与资产相关</w:t>
            </w:r>
            <w:r>
              <w:rPr>
                <w:rFonts w:ascii="Arial" w:hAnsi="Arial" w:cs="Arial" w:eastAsia="Arial" w:hint="default"/>
                <w:sz w:val="18"/>
                <w:szCs w:val="18"/>
              </w:rPr>
              <w:t>/</w:t>
            </w:r>
          </w:p>
          <w:p>
            <w:pPr>
              <w:pStyle w:val="TableParagraph"/>
              <w:spacing w:line="229" w:lineRule="exact"/>
              <w:ind w:left="45"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45"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电信服务补贴</w:t>
            </w:r>
          </w:p>
        </w:tc>
        <w:tc>
          <w:tcPr>
            <w:tcW w:w="1219"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3"/>
              <w:jc w:val="right"/>
              <w:rPr>
                <w:rFonts w:ascii="Arial" w:hAnsi="Arial" w:cs="Arial" w:eastAsia="Arial" w:hint="default"/>
                <w:sz w:val="18"/>
                <w:szCs w:val="18"/>
              </w:rPr>
            </w:pPr>
            <w:r>
              <w:rPr>
                <w:rFonts w:ascii="Arial"/>
                <w:spacing w:val="-1"/>
                <w:sz w:val="18"/>
              </w:rPr>
              <w:t>42,000,000</w:t>
            </w:r>
          </w:p>
        </w:tc>
        <w:tc>
          <w:tcPr>
            <w:tcW w:w="1120"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spacing w:val="-1"/>
                <w:sz w:val="18"/>
              </w:rPr>
              <w:t>40,000,000</w:t>
            </w:r>
          </w:p>
        </w:tc>
        <w:tc>
          <w:tcPr>
            <w:tcW w:w="122" w:type="dxa"/>
            <w:tcBorders>
              <w:top w:val="nil" w:sz="6" w:space="0" w:color="auto"/>
              <w:left w:val="nil" w:sz="6" w:space="0" w:color="auto"/>
              <w:bottom w:val="nil" w:sz="6" w:space="0" w:color="auto"/>
              <w:right w:val="nil" w:sz="6" w:space="0" w:color="auto"/>
            </w:tcBorders>
          </w:tcPr>
          <w:p>
            <w:pPr/>
          </w:p>
        </w:tc>
        <w:tc>
          <w:tcPr>
            <w:tcW w:w="3908"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村村通电信服务补贴</w:t>
            </w: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34"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09" w:lineRule="exact"/>
              <w:ind w:left="200" w:right="0"/>
              <w:jc w:val="left"/>
              <w:rPr>
                <w:rFonts w:ascii="宋体" w:hAnsi="宋体" w:cs="宋体" w:eastAsia="宋体" w:hint="default"/>
                <w:sz w:val="18"/>
                <w:szCs w:val="18"/>
              </w:rPr>
            </w:pPr>
            <w:r>
              <w:rPr>
                <w:rFonts w:ascii="宋体" w:hAnsi="宋体" w:cs="宋体" w:eastAsia="宋体" w:hint="default"/>
                <w:sz w:val="18"/>
                <w:szCs w:val="18"/>
              </w:rPr>
              <w:t>战备应急补贴</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3"/>
              <w:jc w:val="right"/>
              <w:rPr>
                <w:rFonts w:ascii="Arial" w:hAnsi="Arial" w:cs="Arial" w:eastAsia="Arial" w:hint="default"/>
                <w:sz w:val="18"/>
                <w:szCs w:val="18"/>
              </w:rPr>
            </w:pPr>
            <w:r>
              <w:rPr>
                <w:rFonts w:ascii="Arial"/>
                <w:spacing w:val="-1"/>
                <w:sz w:val="18"/>
              </w:rPr>
              <w:t>37,660,000</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
              <w:jc w:val="right"/>
              <w:rPr>
                <w:rFonts w:ascii="Arial" w:hAnsi="Arial" w:cs="Arial" w:eastAsia="Arial" w:hint="default"/>
                <w:sz w:val="18"/>
                <w:szCs w:val="18"/>
              </w:rPr>
            </w:pPr>
            <w:r>
              <w:rPr>
                <w:rFonts w:ascii="Arial"/>
                <w:w w:val="99"/>
                <w:sz w:val="18"/>
              </w:rPr>
              <w:t>-</w:t>
            </w:r>
            <w:r>
              <w:rPr>
                <w:rFonts w:ascii="Arial"/>
                <w:sz w:val="18"/>
              </w:rPr>
            </w:r>
          </w:p>
        </w:tc>
        <w:tc>
          <w:tcPr>
            <w:tcW w:w="122" w:type="dxa"/>
            <w:tcBorders>
              <w:top w:val="nil" w:sz="6" w:space="0" w:color="auto"/>
              <w:left w:val="nil" w:sz="6" w:space="0" w:color="auto"/>
              <w:bottom w:val="nil" w:sz="6" w:space="0" w:color="auto"/>
              <w:right w:val="nil" w:sz="6" w:space="0" w:color="auto"/>
            </w:tcBorders>
          </w:tcPr>
          <w:p>
            <w:pPr/>
          </w:p>
        </w:tc>
        <w:tc>
          <w:tcPr>
            <w:tcW w:w="3908" w:type="dxa"/>
            <w:tcBorders>
              <w:top w:val="nil" w:sz="6" w:space="0" w:color="auto"/>
              <w:left w:val="nil" w:sz="6" w:space="0" w:color="auto"/>
              <w:bottom w:val="nil" w:sz="6" w:space="0" w:color="auto"/>
              <w:right w:val="nil" w:sz="6" w:space="0" w:color="auto"/>
            </w:tcBorders>
          </w:tcPr>
          <w:p>
            <w:pPr>
              <w:pStyle w:val="TableParagraph"/>
              <w:spacing w:line="209" w:lineRule="exact"/>
              <w:ind w:right="0"/>
              <w:jc w:val="left"/>
              <w:rPr>
                <w:rFonts w:ascii="宋体" w:hAnsi="宋体" w:cs="宋体" w:eastAsia="宋体" w:hint="default"/>
                <w:sz w:val="18"/>
                <w:szCs w:val="18"/>
              </w:rPr>
            </w:pPr>
            <w:r>
              <w:rPr>
                <w:rFonts w:ascii="宋体" w:hAnsi="宋体" w:cs="宋体" w:eastAsia="宋体" w:hint="default"/>
                <w:sz w:val="18"/>
                <w:szCs w:val="18"/>
              </w:rPr>
              <w:t>战备应急通信运营维护专项经费</w:t>
            </w: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09" w:lineRule="exact"/>
              <w:ind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66"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08" w:lineRule="exact"/>
              <w:ind w:left="200" w:right="0"/>
              <w:jc w:val="left"/>
              <w:rPr>
                <w:rFonts w:ascii="宋体" w:hAnsi="宋体" w:cs="宋体" w:eastAsia="宋体" w:hint="default"/>
                <w:sz w:val="18"/>
                <w:szCs w:val="18"/>
              </w:rPr>
            </w:pPr>
            <w:r>
              <w:rPr>
                <w:rFonts w:ascii="宋体" w:hAnsi="宋体" w:cs="宋体" w:eastAsia="宋体" w:hint="default"/>
                <w:sz w:val="18"/>
                <w:szCs w:val="18"/>
              </w:rPr>
              <w:t>产业发展补贴</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3"/>
              <w:jc w:val="right"/>
              <w:rPr>
                <w:rFonts w:ascii="Arial" w:hAnsi="Arial" w:cs="Arial" w:eastAsia="Arial" w:hint="default"/>
                <w:sz w:val="18"/>
                <w:szCs w:val="18"/>
              </w:rPr>
            </w:pPr>
            <w:r>
              <w:rPr>
                <w:rFonts w:ascii="Arial"/>
                <w:spacing w:val="-1"/>
                <w:sz w:val="18"/>
              </w:rPr>
              <w:t>28,932,727</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
              <w:jc w:val="right"/>
              <w:rPr>
                <w:rFonts w:ascii="Arial" w:hAnsi="Arial" w:cs="Arial" w:eastAsia="Arial" w:hint="default"/>
                <w:sz w:val="18"/>
                <w:szCs w:val="18"/>
              </w:rPr>
            </w:pPr>
            <w:r>
              <w:rPr>
                <w:rFonts w:ascii="Arial"/>
                <w:spacing w:val="-1"/>
                <w:sz w:val="18"/>
              </w:rPr>
              <w:t>37,834,000</w:t>
            </w:r>
          </w:p>
        </w:tc>
        <w:tc>
          <w:tcPr>
            <w:tcW w:w="122" w:type="dxa"/>
            <w:tcBorders>
              <w:top w:val="nil" w:sz="6" w:space="0" w:color="auto"/>
              <w:left w:val="nil" w:sz="6" w:space="0" w:color="auto"/>
              <w:bottom w:val="nil" w:sz="6" w:space="0" w:color="auto"/>
              <w:right w:val="nil" w:sz="6" w:space="0" w:color="auto"/>
            </w:tcBorders>
          </w:tcPr>
          <w:p>
            <w:pPr/>
          </w:p>
        </w:tc>
        <w:tc>
          <w:tcPr>
            <w:tcW w:w="3908" w:type="dxa"/>
            <w:tcBorders>
              <w:top w:val="nil" w:sz="6" w:space="0" w:color="auto"/>
              <w:left w:val="nil" w:sz="6" w:space="0" w:color="auto"/>
              <w:bottom w:val="nil" w:sz="6" w:space="0" w:color="auto"/>
              <w:right w:val="nil" w:sz="6" w:space="0" w:color="auto"/>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pacing w:val="-3"/>
                <w:sz w:val="18"/>
                <w:szCs w:val="18"/>
              </w:rPr>
              <w:t>生产基地项目专项扶持资金、现代服务业发展扶持</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34"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08" w:lineRule="exact"/>
              <w:ind w:left="200" w:right="0"/>
              <w:jc w:val="left"/>
              <w:rPr>
                <w:rFonts w:ascii="宋体" w:hAnsi="宋体" w:cs="宋体" w:eastAsia="宋体" w:hint="default"/>
                <w:sz w:val="18"/>
                <w:szCs w:val="18"/>
              </w:rPr>
            </w:pPr>
            <w:r>
              <w:rPr>
                <w:rFonts w:ascii="宋体" w:hAnsi="宋体" w:cs="宋体" w:eastAsia="宋体" w:hint="default"/>
                <w:sz w:val="18"/>
                <w:szCs w:val="18"/>
              </w:rPr>
              <w:t>批发企业业务发展补助</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3"/>
              <w:jc w:val="right"/>
              <w:rPr>
                <w:rFonts w:ascii="Arial" w:hAnsi="Arial" w:cs="Arial" w:eastAsia="Arial" w:hint="default"/>
                <w:sz w:val="18"/>
                <w:szCs w:val="18"/>
              </w:rPr>
            </w:pPr>
            <w:r>
              <w:rPr>
                <w:rFonts w:ascii="Arial"/>
                <w:spacing w:val="-1"/>
                <w:sz w:val="18"/>
              </w:rPr>
              <w:t>13,788,654</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
              <w:jc w:val="right"/>
              <w:rPr>
                <w:rFonts w:ascii="Arial" w:hAnsi="Arial" w:cs="Arial" w:eastAsia="Arial" w:hint="default"/>
                <w:sz w:val="18"/>
                <w:szCs w:val="18"/>
              </w:rPr>
            </w:pPr>
            <w:r>
              <w:rPr>
                <w:rFonts w:ascii="Arial"/>
                <w:w w:val="99"/>
                <w:sz w:val="18"/>
              </w:rPr>
              <w:t>-</w:t>
            </w:r>
            <w:r>
              <w:rPr>
                <w:rFonts w:ascii="Arial"/>
                <w:sz w:val="18"/>
              </w:rPr>
            </w:r>
          </w:p>
        </w:tc>
        <w:tc>
          <w:tcPr>
            <w:tcW w:w="122" w:type="dxa"/>
            <w:tcBorders>
              <w:top w:val="nil" w:sz="6" w:space="0" w:color="auto"/>
              <w:left w:val="nil" w:sz="6" w:space="0" w:color="auto"/>
              <w:bottom w:val="nil" w:sz="6" w:space="0" w:color="auto"/>
              <w:right w:val="nil" w:sz="6" w:space="0" w:color="auto"/>
            </w:tcBorders>
          </w:tcPr>
          <w:p>
            <w:pPr/>
          </w:p>
        </w:tc>
        <w:tc>
          <w:tcPr>
            <w:tcW w:w="3908" w:type="dxa"/>
            <w:tcBorders>
              <w:top w:val="nil" w:sz="6" w:space="0" w:color="auto"/>
              <w:left w:val="nil" w:sz="6" w:space="0" w:color="auto"/>
              <w:bottom w:val="nil" w:sz="6" w:space="0" w:color="auto"/>
              <w:right w:val="nil" w:sz="6" w:space="0" w:color="auto"/>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北京市批发企业业务发展奖励资金</w:t>
            </w: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34"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09" w:lineRule="exact"/>
              <w:ind w:left="200" w:right="0"/>
              <w:jc w:val="left"/>
              <w:rPr>
                <w:rFonts w:ascii="宋体" w:hAnsi="宋体" w:cs="宋体" w:eastAsia="宋体" w:hint="default"/>
                <w:sz w:val="18"/>
                <w:szCs w:val="18"/>
              </w:rPr>
            </w:pPr>
            <w:r>
              <w:rPr>
                <w:rFonts w:ascii="宋体" w:hAnsi="宋体" w:cs="宋体" w:eastAsia="宋体" w:hint="default"/>
                <w:sz w:val="18"/>
                <w:szCs w:val="18"/>
              </w:rPr>
              <w:t>国家科技专项补助</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3"/>
              <w:jc w:val="right"/>
              <w:rPr>
                <w:rFonts w:ascii="Arial" w:hAnsi="Arial" w:cs="Arial" w:eastAsia="Arial" w:hint="default"/>
                <w:sz w:val="18"/>
                <w:szCs w:val="18"/>
              </w:rPr>
            </w:pPr>
            <w:r>
              <w:rPr>
                <w:rFonts w:ascii="Arial"/>
                <w:spacing w:val="-1"/>
                <w:sz w:val="18"/>
              </w:rPr>
              <w:t>10,732,524</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
              <w:jc w:val="right"/>
              <w:rPr>
                <w:rFonts w:ascii="Arial" w:hAnsi="Arial" w:cs="Arial" w:eastAsia="Arial" w:hint="default"/>
                <w:sz w:val="18"/>
                <w:szCs w:val="18"/>
              </w:rPr>
            </w:pPr>
            <w:r>
              <w:rPr>
                <w:rFonts w:ascii="Arial"/>
                <w:spacing w:val="-1"/>
                <w:sz w:val="18"/>
              </w:rPr>
              <w:t>9,756,400</w:t>
            </w:r>
          </w:p>
        </w:tc>
        <w:tc>
          <w:tcPr>
            <w:tcW w:w="122" w:type="dxa"/>
            <w:tcBorders>
              <w:top w:val="nil" w:sz="6" w:space="0" w:color="auto"/>
              <w:left w:val="nil" w:sz="6" w:space="0" w:color="auto"/>
              <w:bottom w:val="nil" w:sz="6" w:space="0" w:color="auto"/>
              <w:right w:val="nil" w:sz="6" w:space="0" w:color="auto"/>
            </w:tcBorders>
          </w:tcPr>
          <w:p>
            <w:pPr/>
          </w:p>
        </w:tc>
        <w:tc>
          <w:tcPr>
            <w:tcW w:w="3908" w:type="dxa"/>
            <w:tcBorders>
              <w:top w:val="nil" w:sz="6" w:space="0" w:color="auto"/>
              <w:left w:val="nil" w:sz="6" w:space="0" w:color="auto"/>
              <w:bottom w:val="nil" w:sz="6" w:space="0" w:color="auto"/>
              <w:right w:val="nil" w:sz="6" w:space="0" w:color="auto"/>
            </w:tcBorders>
          </w:tcPr>
          <w:p>
            <w:pPr>
              <w:pStyle w:val="TableParagraph"/>
              <w:spacing w:line="209" w:lineRule="exact"/>
              <w:ind w:right="0"/>
              <w:jc w:val="left"/>
              <w:rPr>
                <w:rFonts w:ascii="宋体" w:hAnsi="宋体" w:cs="宋体" w:eastAsia="宋体" w:hint="default"/>
                <w:sz w:val="18"/>
                <w:szCs w:val="18"/>
              </w:rPr>
            </w:pPr>
            <w:r>
              <w:rPr>
                <w:rFonts w:ascii="宋体" w:hAnsi="宋体" w:cs="宋体" w:eastAsia="宋体" w:hint="default"/>
                <w:sz w:val="18"/>
                <w:szCs w:val="18"/>
              </w:rPr>
              <w:t>广西沃易购基地运营资金支持</w:t>
            </w: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09" w:lineRule="exact"/>
              <w:ind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33"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08" w:lineRule="exact"/>
              <w:ind w:left="200" w:right="0"/>
              <w:jc w:val="left"/>
              <w:rPr>
                <w:rFonts w:ascii="宋体" w:hAnsi="宋体" w:cs="宋体" w:eastAsia="宋体" w:hint="default"/>
                <w:sz w:val="18"/>
                <w:szCs w:val="18"/>
              </w:rPr>
            </w:pPr>
            <w:r>
              <w:rPr>
                <w:rFonts w:ascii="宋体" w:hAnsi="宋体" w:cs="宋体" w:eastAsia="宋体" w:hint="default"/>
                <w:sz w:val="18"/>
                <w:szCs w:val="18"/>
              </w:rPr>
              <w:t>网络建设优化专项补助</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5"/>
              <w:jc w:val="right"/>
              <w:rPr>
                <w:rFonts w:ascii="Arial" w:hAnsi="Arial" w:cs="Arial" w:eastAsia="Arial" w:hint="default"/>
                <w:sz w:val="18"/>
                <w:szCs w:val="18"/>
              </w:rPr>
            </w:pPr>
            <w:r>
              <w:rPr>
                <w:rFonts w:ascii="Arial"/>
                <w:spacing w:val="-1"/>
                <w:sz w:val="18"/>
              </w:rPr>
              <w:t>21,273,030</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
              <w:jc w:val="right"/>
              <w:rPr>
                <w:rFonts w:ascii="Arial" w:hAnsi="Arial" w:cs="Arial" w:eastAsia="Arial" w:hint="default"/>
                <w:sz w:val="18"/>
                <w:szCs w:val="18"/>
              </w:rPr>
            </w:pPr>
            <w:r>
              <w:rPr>
                <w:rFonts w:ascii="Arial"/>
                <w:w w:val="99"/>
                <w:sz w:val="18"/>
              </w:rPr>
              <w:t>-</w:t>
            </w:r>
            <w:r>
              <w:rPr>
                <w:rFonts w:ascii="Arial"/>
                <w:sz w:val="18"/>
              </w:rPr>
            </w:r>
          </w:p>
        </w:tc>
        <w:tc>
          <w:tcPr>
            <w:tcW w:w="122" w:type="dxa"/>
            <w:tcBorders>
              <w:top w:val="nil" w:sz="6" w:space="0" w:color="auto"/>
              <w:left w:val="nil" w:sz="6" w:space="0" w:color="auto"/>
              <w:bottom w:val="nil" w:sz="6" w:space="0" w:color="auto"/>
              <w:right w:val="nil" w:sz="6" w:space="0" w:color="auto"/>
            </w:tcBorders>
          </w:tcPr>
          <w:p>
            <w:pPr/>
          </w:p>
        </w:tc>
        <w:tc>
          <w:tcPr>
            <w:tcW w:w="3908" w:type="dxa"/>
            <w:tcBorders>
              <w:top w:val="nil" w:sz="6" w:space="0" w:color="auto"/>
              <w:left w:val="nil" w:sz="6" w:space="0" w:color="auto"/>
              <w:bottom w:val="nil" w:sz="6" w:space="0" w:color="auto"/>
              <w:right w:val="nil" w:sz="6" w:space="0" w:color="auto"/>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工信部宽带网络优化奖励，互联网建设奖励补助</w:t>
            </w: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33"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08" w:lineRule="exact"/>
              <w:ind w:left="200" w:right="0"/>
              <w:jc w:val="left"/>
              <w:rPr>
                <w:rFonts w:ascii="宋体" w:hAnsi="宋体" w:cs="宋体" w:eastAsia="宋体" w:hint="default"/>
                <w:sz w:val="18"/>
                <w:szCs w:val="18"/>
              </w:rPr>
            </w:pPr>
            <w:r>
              <w:rPr>
                <w:rFonts w:ascii="宋体" w:hAnsi="宋体" w:cs="宋体" w:eastAsia="宋体" w:hint="default"/>
                <w:sz w:val="18"/>
                <w:szCs w:val="18"/>
              </w:rPr>
              <w:t>地方政府补助</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2"/>
              <w:jc w:val="right"/>
              <w:rPr>
                <w:rFonts w:ascii="Arial" w:hAnsi="Arial" w:cs="Arial" w:eastAsia="Arial" w:hint="default"/>
                <w:sz w:val="18"/>
                <w:szCs w:val="18"/>
              </w:rPr>
            </w:pPr>
            <w:r>
              <w:rPr>
                <w:rFonts w:ascii="Arial"/>
                <w:spacing w:val="-1"/>
                <w:sz w:val="18"/>
              </w:rPr>
              <w:t>7,795,000</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
              <w:jc w:val="right"/>
              <w:rPr>
                <w:rFonts w:ascii="Arial" w:hAnsi="Arial" w:cs="Arial" w:eastAsia="Arial" w:hint="default"/>
                <w:sz w:val="18"/>
                <w:szCs w:val="18"/>
              </w:rPr>
            </w:pPr>
            <w:r>
              <w:rPr>
                <w:rFonts w:ascii="Arial"/>
                <w:w w:val="99"/>
                <w:sz w:val="18"/>
              </w:rPr>
              <w:t>-</w:t>
            </w:r>
            <w:r>
              <w:rPr>
                <w:rFonts w:ascii="Arial"/>
                <w:sz w:val="18"/>
              </w:rPr>
            </w:r>
          </w:p>
        </w:tc>
        <w:tc>
          <w:tcPr>
            <w:tcW w:w="122" w:type="dxa"/>
            <w:tcBorders>
              <w:top w:val="nil" w:sz="6" w:space="0" w:color="auto"/>
              <w:left w:val="nil" w:sz="6" w:space="0" w:color="auto"/>
              <w:bottom w:val="nil" w:sz="6" w:space="0" w:color="auto"/>
              <w:right w:val="nil" w:sz="6" w:space="0" w:color="auto"/>
            </w:tcBorders>
          </w:tcPr>
          <w:p>
            <w:pPr/>
          </w:p>
        </w:tc>
        <w:tc>
          <w:tcPr>
            <w:tcW w:w="3908" w:type="dxa"/>
            <w:tcBorders>
              <w:top w:val="nil" w:sz="6" w:space="0" w:color="auto"/>
              <w:left w:val="nil" w:sz="6" w:space="0" w:color="auto"/>
              <w:bottom w:val="nil" w:sz="6" w:space="0" w:color="auto"/>
              <w:right w:val="nil" w:sz="6" w:space="0" w:color="auto"/>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浙江省地方政府补助</w:t>
            </w: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34"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08" w:lineRule="exact"/>
              <w:ind w:left="200" w:right="0"/>
              <w:jc w:val="left"/>
              <w:rPr>
                <w:rFonts w:ascii="宋体" w:hAnsi="宋体" w:cs="宋体" w:eastAsia="宋体" w:hint="default"/>
                <w:sz w:val="18"/>
                <w:szCs w:val="18"/>
              </w:rPr>
            </w:pPr>
            <w:r>
              <w:rPr>
                <w:rFonts w:ascii="宋体" w:hAnsi="宋体" w:cs="宋体" w:eastAsia="宋体" w:hint="default"/>
                <w:sz w:val="18"/>
                <w:szCs w:val="18"/>
              </w:rPr>
              <w:t>拆迁改造补助</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2"/>
              <w:jc w:val="right"/>
              <w:rPr>
                <w:rFonts w:ascii="Arial" w:hAnsi="Arial" w:cs="Arial" w:eastAsia="Arial" w:hint="default"/>
                <w:sz w:val="18"/>
                <w:szCs w:val="18"/>
              </w:rPr>
            </w:pPr>
            <w:r>
              <w:rPr>
                <w:rFonts w:ascii="Arial"/>
                <w:spacing w:val="-1"/>
                <w:sz w:val="18"/>
              </w:rPr>
              <w:t>2,180,000</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
              <w:jc w:val="right"/>
              <w:rPr>
                <w:rFonts w:ascii="Arial" w:hAnsi="Arial" w:cs="Arial" w:eastAsia="Arial" w:hint="default"/>
                <w:sz w:val="18"/>
                <w:szCs w:val="18"/>
              </w:rPr>
            </w:pPr>
            <w:r>
              <w:rPr>
                <w:rFonts w:ascii="Arial"/>
                <w:spacing w:val="-1"/>
                <w:sz w:val="18"/>
              </w:rPr>
              <w:t>8,964,673</w:t>
            </w:r>
          </w:p>
        </w:tc>
        <w:tc>
          <w:tcPr>
            <w:tcW w:w="122" w:type="dxa"/>
            <w:tcBorders>
              <w:top w:val="nil" w:sz="6" w:space="0" w:color="auto"/>
              <w:left w:val="nil" w:sz="6" w:space="0" w:color="auto"/>
              <w:bottom w:val="nil" w:sz="6" w:space="0" w:color="auto"/>
              <w:right w:val="nil" w:sz="6" w:space="0" w:color="auto"/>
            </w:tcBorders>
          </w:tcPr>
          <w:p>
            <w:pPr/>
          </w:p>
        </w:tc>
        <w:tc>
          <w:tcPr>
            <w:tcW w:w="3908" w:type="dxa"/>
            <w:tcBorders>
              <w:top w:val="nil" w:sz="6" w:space="0" w:color="auto"/>
              <w:left w:val="nil" w:sz="6" w:space="0" w:color="auto"/>
              <w:bottom w:val="nil" w:sz="6" w:space="0" w:color="auto"/>
              <w:right w:val="nil" w:sz="6" w:space="0" w:color="auto"/>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湖北省庙山邬树村基站拆迁赔补款</w:t>
            </w: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34"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09" w:lineRule="exact"/>
              <w:ind w:left="200" w:right="0"/>
              <w:jc w:val="left"/>
              <w:rPr>
                <w:rFonts w:ascii="宋体" w:hAnsi="宋体" w:cs="宋体" w:eastAsia="宋体" w:hint="default"/>
                <w:sz w:val="18"/>
                <w:szCs w:val="18"/>
              </w:rPr>
            </w:pPr>
            <w:r>
              <w:rPr>
                <w:rFonts w:ascii="宋体" w:hAnsi="宋体" w:cs="宋体" w:eastAsia="宋体" w:hint="default"/>
                <w:sz w:val="18"/>
                <w:szCs w:val="18"/>
              </w:rPr>
              <w:t>高新技术补助</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2"/>
              <w:jc w:val="right"/>
              <w:rPr>
                <w:rFonts w:ascii="Arial" w:hAnsi="Arial" w:cs="Arial" w:eastAsia="Arial" w:hint="default"/>
                <w:sz w:val="18"/>
                <w:szCs w:val="18"/>
              </w:rPr>
            </w:pPr>
            <w:r>
              <w:rPr>
                <w:rFonts w:ascii="Arial"/>
                <w:spacing w:val="-1"/>
                <w:sz w:val="18"/>
              </w:rPr>
              <w:t>2,321,900</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
              <w:jc w:val="right"/>
              <w:rPr>
                <w:rFonts w:ascii="Arial" w:hAnsi="Arial" w:cs="Arial" w:eastAsia="Arial" w:hint="default"/>
                <w:sz w:val="18"/>
                <w:szCs w:val="18"/>
              </w:rPr>
            </w:pPr>
            <w:r>
              <w:rPr>
                <w:rFonts w:ascii="Arial"/>
                <w:spacing w:val="-1"/>
                <w:sz w:val="18"/>
              </w:rPr>
              <w:t>8,220,000</w:t>
            </w:r>
          </w:p>
        </w:tc>
        <w:tc>
          <w:tcPr>
            <w:tcW w:w="122" w:type="dxa"/>
            <w:tcBorders>
              <w:top w:val="nil" w:sz="6" w:space="0" w:color="auto"/>
              <w:left w:val="nil" w:sz="6" w:space="0" w:color="auto"/>
              <w:bottom w:val="nil" w:sz="6" w:space="0" w:color="auto"/>
              <w:right w:val="nil" w:sz="6" w:space="0" w:color="auto"/>
            </w:tcBorders>
          </w:tcPr>
          <w:p>
            <w:pPr/>
          </w:p>
        </w:tc>
        <w:tc>
          <w:tcPr>
            <w:tcW w:w="3908" w:type="dxa"/>
            <w:tcBorders>
              <w:top w:val="nil" w:sz="6" w:space="0" w:color="auto"/>
              <w:left w:val="nil" w:sz="6" w:space="0" w:color="auto"/>
              <w:bottom w:val="nil" w:sz="6" w:space="0" w:color="auto"/>
              <w:right w:val="nil" w:sz="6" w:space="0" w:color="auto"/>
            </w:tcBorders>
          </w:tcPr>
          <w:p>
            <w:pPr>
              <w:pStyle w:val="TableParagraph"/>
              <w:spacing w:line="209" w:lineRule="exact"/>
              <w:ind w:right="0"/>
              <w:jc w:val="left"/>
              <w:rPr>
                <w:rFonts w:ascii="宋体" w:hAnsi="宋体" w:cs="宋体" w:eastAsia="宋体" w:hint="default"/>
                <w:sz w:val="18"/>
                <w:szCs w:val="18"/>
              </w:rPr>
            </w:pPr>
            <w:r>
              <w:rPr>
                <w:rFonts w:ascii="宋体" w:hAnsi="宋体" w:cs="宋体" w:eastAsia="宋体" w:hint="default"/>
                <w:sz w:val="18"/>
                <w:szCs w:val="18"/>
              </w:rPr>
              <w:t>企业扶持资金</w:t>
            </w: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09" w:lineRule="exact"/>
              <w:ind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33"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08" w:lineRule="exact"/>
              <w:ind w:left="200" w:right="0"/>
              <w:jc w:val="left"/>
              <w:rPr>
                <w:rFonts w:ascii="宋体" w:hAnsi="宋体" w:cs="宋体" w:eastAsia="宋体" w:hint="default"/>
                <w:sz w:val="18"/>
                <w:szCs w:val="18"/>
              </w:rPr>
            </w:pPr>
            <w:r>
              <w:rPr>
                <w:rFonts w:ascii="宋体" w:hAnsi="宋体" w:cs="宋体" w:eastAsia="宋体" w:hint="default"/>
                <w:sz w:val="18"/>
                <w:szCs w:val="18"/>
              </w:rPr>
              <w:t>政府配套设施奖励款</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3"/>
              <w:jc w:val="right"/>
              <w:rPr>
                <w:rFonts w:ascii="Arial" w:hAnsi="Arial" w:cs="Arial" w:eastAsia="Arial" w:hint="default"/>
                <w:sz w:val="18"/>
                <w:szCs w:val="18"/>
              </w:rPr>
            </w:pPr>
            <w:r>
              <w:rPr>
                <w:rFonts w:ascii="Arial"/>
                <w:w w:val="99"/>
                <w:sz w:val="18"/>
              </w:rPr>
              <w:t>-</w:t>
            </w:r>
            <w:r>
              <w:rPr>
                <w:rFonts w:ascii="Arial"/>
                <w:sz w:val="18"/>
              </w:rPr>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
              <w:jc w:val="right"/>
              <w:rPr>
                <w:rFonts w:ascii="Arial" w:hAnsi="Arial" w:cs="Arial" w:eastAsia="Arial" w:hint="default"/>
                <w:sz w:val="18"/>
                <w:szCs w:val="18"/>
              </w:rPr>
            </w:pPr>
            <w:r>
              <w:rPr>
                <w:rFonts w:ascii="Arial"/>
                <w:spacing w:val="-1"/>
                <w:sz w:val="18"/>
              </w:rPr>
              <w:t>5,704,781</w:t>
            </w:r>
          </w:p>
        </w:tc>
        <w:tc>
          <w:tcPr>
            <w:tcW w:w="122" w:type="dxa"/>
            <w:tcBorders>
              <w:top w:val="nil" w:sz="6" w:space="0" w:color="auto"/>
              <w:left w:val="nil" w:sz="6" w:space="0" w:color="auto"/>
              <w:bottom w:val="nil" w:sz="6" w:space="0" w:color="auto"/>
              <w:right w:val="nil" w:sz="6" w:space="0" w:color="auto"/>
            </w:tcBorders>
          </w:tcPr>
          <w:p>
            <w:pPr/>
          </w:p>
        </w:tc>
        <w:tc>
          <w:tcPr>
            <w:tcW w:w="3908" w:type="dxa"/>
            <w:tcBorders>
              <w:top w:val="nil" w:sz="6" w:space="0" w:color="auto"/>
              <w:left w:val="nil" w:sz="6" w:space="0" w:color="auto"/>
              <w:bottom w:val="nil" w:sz="6" w:space="0" w:color="auto"/>
              <w:right w:val="nil" w:sz="6" w:space="0" w:color="auto"/>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湖北省荆门市政府配套设施奖励款</w:t>
            </w: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34"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08" w:lineRule="exact"/>
              <w:ind w:left="200" w:right="0"/>
              <w:jc w:val="left"/>
              <w:rPr>
                <w:rFonts w:ascii="宋体" w:hAnsi="宋体" w:cs="宋体" w:eastAsia="宋体" w:hint="default"/>
                <w:sz w:val="18"/>
                <w:szCs w:val="18"/>
              </w:rPr>
            </w:pPr>
            <w:r>
              <w:rPr>
                <w:rFonts w:ascii="宋体" w:hAnsi="宋体" w:cs="宋体" w:eastAsia="宋体" w:hint="default"/>
                <w:sz w:val="18"/>
                <w:szCs w:val="18"/>
              </w:rPr>
              <w:t>骨干网络专项补助</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3"/>
              <w:jc w:val="right"/>
              <w:rPr>
                <w:rFonts w:ascii="Arial" w:hAnsi="Arial" w:cs="Arial" w:eastAsia="Arial" w:hint="default"/>
                <w:sz w:val="18"/>
                <w:szCs w:val="18"/>
              </w:rPr>
            </w:pPr>
            <w:r>
              <w:rPr>
                <w:rFonts w:ascii="Arial"/>
                <w:spacing w:val="-1"/>
                <w:sz w:val="18"/>
              </w:rPr>
              <w:t>14,500,000</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
              <w:jc w:val="right"/>
              <w:rPr>
                <w:rFonts w:ascii="Arial" w:hAnsi="Arial" w:cs="Arial" w:eastAsia="Arial" w:hint="default"/>
                <w:sz w:val="18"/>
                <w:szCs w:val="18"/>
              </w:rPr>
            </w:pPr>
            <w:r>
              <w:rPr>
                <w:rFonts w:ascii="Arial"/>
                <w:w w:val="99"/>
                <w:sz w:val="18"/>
              </w:rPr>
              <w:t>-</w:t>
            </w:r>
            <w:r>
              <w:rPr>
                <w:rFonts w:ascii="Arial"/>
                <w:sz w:val="18"/>
              </w:rPr>
            </w:r>
          </w:p>
        </w:tc>
        <w:tc>
          <w:tcPr>
            <w:tcW w:w="122" w:type="dxa"/>
            <w:tcBorders>
              <w:top w:val="nil" w:sz="6" w:space="0" w:color="auto"/>
              <w:left w:val="nil" w:sz="6" w:space="0" w:color="auto"/>
              <w:bottom w:val="nil" w:sz="6" w:space="0" w:color="auto"/>
              <w:right w:val="nil" w:sz="6" w:space="0" w:color="auto"/>
            </w:tcBorders>
          </w:tcPr>
          <w:p>
            <w:pPr/>
          </w:p>
        </w:tc>
        <w:tc>
          <w:tcPr>
            <w:tcW w:w="3908" w:type="dxa"/>
            <w:tcBorders>
              <w:top w:val="nil" w:sz="6" w:space="0" w:color="auto"/>
              <w:left w:val="nil" w:sz="6" w:space="0" w:color="auto"/>
              <w:bottom w:val="nil" w:sz="6" w:space="0" w:color="auto"/>
              <w:right w:val="nil" w:sz="6" w:space="0" w:color="auto"/>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江苏省南京市骨干直联点专项资金补助</w:t>
            </w: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67"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宋体" w:hAnsi="宋体" w:cs="宋体" w:eastAsia="宋体" w:hint="default"/>
                <w:sz w:val="18"/>
                <w:szCs w:val="18"/>
              </w:rPr>
            </w:pPr>
            <w:r>
              <w:rPr>
                <w:rFonts w:ascii="宋体" w:hAnsi="宋体" w:cs="宋体" w:eastAsia="宋体" w:hint="default"/>
                <w:sz w:val="18"/>
                <w:szCs w:val="18"/>
              </w:rPr>
              <w:t>税收减免</w:t>
            </w:r>
            <w:r>
              <w:rPr>
                <w:rFonts w:ascii="Arial" w:hAnsi="Arial" w:cs="Arial" w:eastAsia="Arial" w:hint="default"/>
                <w:sz w:val="18"/>
                <w:szCs w:val="18"/>
              </w:rPr>
              <w:t>/</w:t>
            </w:r>
            <w:r>
              <w:rPr>
                <w:rFonts w:ascii="宋体" w:hAnsi="宋体" w:cs="宋体" w:eastAsia="宋体" w:hint="default"/>
                <w:sz w:val="18"/>
                <w:szCs w:val="18"/>
              </w:rPr>
              <w:t>返还</w:t>
            </w:r>
            <w:r>
              <w:rPr>
                <w:rFonts w:ascii="Arial" w:hAnsi="Arial" w:cs="Arial" w:eastAsia="Arial" w:hint="default"/>
                <w:sz w:val="18"/>
                <w:szCs w:val="18"/>
              </w:rPr>
              <w:t>/</w:t>
            </w:r>
            <w:r>
              <w:rPr>
                <w:rFonts w:ascii="宋体" w:hAnsi="宋体" w:cs="宋体" w:eastAsia="宋体" w:hint="default"/>
                <w:sz w:val="18"/>
                <w:szCs w:val="18"/>
              </w:rPr>
              <w:t>退税</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3"/>
              <w:jc w:val="right"/>
              <w:rPr>
                <w:rFonts w:ascii="Arial" w:hAnsi="Arial" w:cs="Arial" w:eastAsia="Arial" w:hint="default"/>
                <w:sz w:val="18"/>
                <w:szCs w:val="18"/>
              </w:rPr>
            </w:pPr>
            <w:r>
              <w:rPr>
                <w:rFonts w:ascii="Arial"/>
                <w:spacing w:val="-1"/>
                <w:sz w:val="18"/>
              </w:rPr>
              <w:t>14,844,650</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
              <w:jc w:val="right"/>
              <w:rPr>
                <w:rFonts w:ascii="Arial" w:hAnsi="Arial" w:cs="Arial" w:eastAsia="Arial" w:hint="default"/>
                <w:sz w:val="18"/>
                <w:szCs w:val="18"/>
              </w:rPr>
            </w:pPr>
            <w:r>
              <w:rPr>
                <w:rFonts w:ascii="Arial"/>
                <w:spacing w:val="-1"/>
                <w:sz w:val="18"/>
              </w:rPr>
              <w:t>91,271,182</w:t>
            </w:r>
          </w:p>
        </w:tc>
        <w:tc>
          <w:tcPr>
            <w:tcW w:w="122" w:type="dxa"/>
            <w:tcBorders>
              <w:top w:val="nil" w:sz="6" w:space="0" w:color="auto"/>
              <w:left w:val="nil" w:sz="6" w:space="0" w:color="auto"/>
              <w:bottom w:val="nil" w:sz="6" w:space="0" w:color="auto"/>
              <w:right w:val="nil" w:sz="6" w:space="0" w:color="auto"/>
            </w:tcBorders>
          </w:tcPr>
          <w:p>
            <w:pPr/>
          </w:p>
        </w:tc>
        <w:tc>
          <w:tcPr>
            <w:tcW w:w="3908" w:type="dxa"/>
            <w:tcBorders>
              <w:top w:val="nil" w:sz="6" w:space="0" w:color="auto"/>
              <w:left w:val="nil" w:sz="6" w:space="0" w:color="auto"/>
              <w:bottom w:val="nil" w:sz="6" w:space="0" w:color="auto"/>
              <w:right w:val="nil" w:sz="6" w:space="0" w:color="auto"/>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房产税、土地税、增值税税收减免，</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增值税即征即退，营业税退税</w:t>
            </w: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09" w:lineRule="exact"/>
              <w:ind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37"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营改增</w:t>
            </w:r>
            <w:r>
              <w:rPr>
                <w:rFonts w:ascii="Arial" w:hAnsi="Arial" w:cs="Arial" w:eastAsia="Arial" w:hint="default"/>
                <w:sz w:val="18"/>
                <w:szCs w:val="18"/>
              </w:rPr>
              <w:t>”</w:t>
            </w:r>
            <w:r>
              <w:rPr>
                <w:rFonts w:ascii="宋体" w:hAnsi="宋体" w:cs="宋体" w:eastAsia="宋体" w:hint="default"/>
                <w:sz w:val="18"/>
                <w:szCs w:val="18"/>
              </w:rPr>
              <w:t>政府扶持</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3"/>
              <w:jc w:val="right"/>
              <w:rPr>
                <w:rFonts w:ascii="Arial" w:hAnsi="Arial" w:cs="Arial" w:eastAsia="Arial" w:hint="default"/>
                <w:sz w:val="18"/>
                <w:szCs w:val="18"/>
              </w:rPr>
            </w:pPr>
            <w:r>
              <w:rPr>
                <w:rFonts w:ascii="Arial"/>
                <w:spacing w:val="-1"/>
                <w:sz w:val="18"/>
              </w:rPr>
              <w:t>34,548,504</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
              <w:jc w:val="right"/>
              <w:rPr>
                <w:rFonts w:ascii="Arial" w:hAnsi="Arial" w:cs="Arial" w:eastAsia="Arial" w:hint="default"/>
                <w:sz w:val="18"/>
                <w:szCs w:val="18"/>
              </w:rPr>
            </w:pPr>
            <w:r>
              <w:rPr>
                <w:rFonts w:ascii="Arial"/>
                <w:w w:val="99"/>
                <w:sz w:val="18"/>
              </w:rPr>
              <w:t>-</w:t>
            </w:r>
            <w:r>
              <w:rPr>
                <w:rFonts w:ascii="Arial"/>
                <w:sz w:val="18"/>
              </w:rPr>
            </w:r>
          </w:p>
        </w:tc>
        <w:tc>
          <w:tcPr>
            <w:tcW w:w="122" w:type="dxa"/>
            <w:tcBorders>
              <w:top w:val="nil" w:sz="6" w:space="0" w:color="auto"/>
              <w:left w:val="nil" w:sz="6" w:space="0" w:color="auto"/>
              <w:bottom w:val="nil" w:sz="6" w:space="0" w:color="auto"/>
              <w:right w:val="nil" w:sz="6" w:space="0" w:color="auto"/>
            </w:tcBorders>
          </w:tcPr>
          <w:p>
            <w:pPr/>
          </w:p>
        </w:tc>
        <w:tc>
          <w:tcPr>
            <w:tcW w:w="3908" w:type="dxa"/>
            <w:tcBorders>
              <w:top w:val="nil" w:sz="6" w:space="0" w:color="auto"/>
              <w:left w:val="nil" w:sz="6" w:space="0" w:color="auto"/>
              <w:bottom w:val="nil" w:sz="6" w:space="0" w:color="auto"/>
              <w:right w:val="nil" w:sz="6" w:space="0" w:color="auto"/>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营业税改征增值税试点过渡期财政扶持资金</w:t>
            </w: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1"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04" w:lineRule="exact"/>
              <w:ind w:left="2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19" w:type="dxa"/>
            <w:tcBorders>
              <w:top w:val="nil" w:sz="6" w:space="0" w:color="auto"/>
              <w:left w:val="nil" w:sz="6" w:space="0" w:color="auto"/>
              <w:bottom w:val="single" w:sz="6" w:space="0" w:color="000000"/>
              <w:right w:val="nil" w:sz="6" w:space="0" w:color="auto"/>
            </w:tcBorders>
          </w:tcPr>
          <w:p>
            <w:pPr>
              <w:pStyle w:val="TableParagraph"/>
              <w:spacing w:line="204" w:lineRule="exact"/>
              <w:ind w:right="133"/>
              <w:jc w:val="right"/>
              <w:rPr>
                <w:rFonts w:ascii="Arial" w:hAnsi="Arial" w:cs="Arial" w:eastAsia="Arial" w:hint="default"/>
                <w:sz w:val="18"/>
                <w:szCs w:val="18"/>
              </w:rPr>
            </w:pPr>
            <w:r>
              <w:rPr>
                <w:rFonts w:ascii="Arial"/>
                <w:spacing w:val="-1"/>
                <w:sz w:val="18"/>
              </w:rPr>
              <w:t>40,720,575</w:t>
            </w:r>
          </w:p>
        </w:tc>
        <w:tc>
          <w:tcPr>
            <w:tcW w:w="1120" w:type="dxa"/>
            <w:tcBorders>
              <w:top w:val="nil" w:sz="6" w:space="0" w:color="auto"/>
              <w:left w:val="nil" w:sz="6" w:space="0" w:color="auto"/>
              <w:bottom w:val="single" w:sz="6" w:space="0" w:color="000000"/>
              <w:right w:val="nil" w:sz="6" w:space="0" w:color="auto"/>
            </w:tcBorders>
          </w:tcPr>
          <w:p>
            <w:pPr>
              <w:pStyle w:val="TableParagraph"/>
              <w:spacing w:line="204" w:lineRule="exact"/>
              <w:ind w:right="16"/>
              <w:jc w:val="right"/>
              <w:rPr>
                <w:rFonts w:ascii="Arial" w:hAnsi="Arial" w:cs="Arial" w:eastAsia="Arial" w:hint="default"/>
                <w:sz w:val="18"/>
                <w:szCs w:val="18"/>
              </w:rPr>
            </w:pPr>
            <w:r>
              <w:rPr>
                <w:rFonts w:ascii="Arial"/>
                <w:spacing w:val="-1"/>
                <w:sz w:val="18"/>
              </w:rPr>
              <w:t>37,548,405</w:t>
            </w:r>
          </w:p>
        </w:tc>
        <w:tc>
          <w:tcPr>
            <w:tcW w:w="122" w:type="dxa"/>
            <w:tcBorders>
              <w:top w:val="nil" w:sz="6" w:space="0" w:color="auto"/>
              <w:left w:val="nil" w:sz="6" w:space="0" w:color="auto"/>
              <w:bottom w:val="nil" w:sz="6" w:space="0" w:color="auto"/>
              <w:right w:val="nil" w:sz="6" w:space="0" w:color="auto"/>
            </w:tcBorders>
          </w:tcPr>
          <w:p>
            <w:pPr/>
          </w:p>
        </w:tc>
        <w:tc>
          <w:tcPr>
            <w:tcW w:w="3908" w:type="dxa"/>
            <w:tcBorders>
              <w:top w:val="nil" w:sz="6" w:space="0" w:color="auto"/>
              <w:left w:val="nil" w:sz="6" w:space="0" w:color="auto"/>
              <w:bottom w:val="nil" w:sz="6" w:space="0" w:color="auto"/>
              <w:right w:val="nil" w:sz="6" w:space="0" w:color="auto"/>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04" w:lineRule="exact"/>
              <w:ind w:right="0"/>
              <w:jc w:val="left"/>
              <w:rPr>
                <w:rFonts w:ascii="Arial" w:hAnsi="Arial" w:cs="Arial" w:eastAsia="Arial" w:hint="default"/>
                <w:sz w:val="18"/>
                <w:szCs w:val="18"/>
              </w:rPr>
            </w:pPr>
            <w:r>
              <w:rPr>
                <w:rFonts w:ascii="Arial"/>
                <w:w w:val="99"/>
                <w:sz w:val="18"/>
              </w:rPr>
              <w:t>-</w:t>
            </w:r>
            <w:r>
              <w:rPr>
                <w:rFonts w:ascii="Arial"/>
                <w:sz w:val="18"/>
              </w:rPr>
            </w:r>
          </w:p>
        </w:tc>
      </w:tr>
      <w:tr>
        <w:trPr>
          <w:trHeight w:val="514"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9" w:type="dxa"/>
            <w:tcBorders>
              <w:top w:val="single" w:sz="6" w:space="0" w:color="000000"/>
              <w:left w:val="nil" w:sz="6" w:space="0" w:color="auto"/>
              <w:bottom w:val="single" w:sz="17"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33"/>
              <w:jc w:val="right"/>
              <w:rPr>
                <w:rFonts w:ascii="Arial" w:hAnsi="Arial" w:cs="Arial" w:eastAsia="Arial" w:hint="default"/>
                <w:sz w:val="18"/>
                <w:szCs w:val="18"/>
              </w:rPr>
            </w:pPr>
            <w:r>
              <w:rPr>
                <w:rFonts w:ascii="Arial"/>
                <w:spacing w:val="-1"/>
                <w:sz w:val="18"/>
              </w:rPr>
              <w:t>271,297,564</w:t>
            </w:r>
          </w:p>
        </w:tc>
        <w:tc>
          <w:tcPr>
            <w:tcW w:w="1120" w:type="dxa"/>
            <w:tcBorders>
              <w:top w:val="single" w:sz="6" w:space="0" w:color="000000"/>
              <w:left w:val="nil" w:sz="6" w:space="0" w:color="auto"/>
              <w:bottom w:val="single" w:sz="17"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4"/>
              <w:jc w:val="right"/>
              <w:rPr>
                <w:rFonts w:ascii="Arial" w:hAnsi="Arial" w:cs="Arial" w:eastAsia="Arial" w:hint="default"/>
                <w:sz w:val="18"/>
                <w:szCs w:val="18"/>
              </w:rPr>
            </w:pPr>
            <w:r>
              <w:rPr>
                <w:rFonts w:ascii="Arial"/>
                <w:spacing w:val="-1"/>
                <w:sz w:val="18"/>
              </w:rPr>
              <w:t>239,299,441</w:t>
            </w:r>
          </w:p>
        </w:tc>
        <w:tc>
          <w:tcPr>
            <w:tcW w:w="122" w:type="dxa"/>
            <w:tcBorders>
              <w:top w:val="nil" w:sz="6" w:space="0" w:color="auto"/>
              <w:left w:val="nil" w:sz="6" w:space="0" w:color="auto"/>
              <w:bottom w:val="nil" w:sz="6" w:space="0" w:color="auto"/>
              <w:right w:val="nil" w:sz="6" w:space="0" w:color="auto"/>
            </w:tcBorders>
          </w:tcPr>
          <w:p>
            <w:pPr/>
          </w:p>
        </w:tc>
        <w:tc>
          <w:tcPr>
            <w:tcW w:w="39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114"/>
          <w:pgSz w:w="11910" w:h="16840"/>
          <w:pgMar w:header="1185" w:footer="635" w:top="3040" w:bottom="820" w:left="1280" w:right="500"/>
        </w:sectPr>
      </w:pPr>
    </w:p>
    <w:p>
      <w:pPr>
        <w:spacing w:line="240" w:lineRule="auto" w:before="10"/>
        <w:rPr>
          <w:rFonts w:ascii="宋体" w:hAnsi="宋体" w:cs="宋体" w:eastAsia="宋体" w:hint="default"/>
          <w:sz w:val="16"/>
          <w:szCs w:val="16"/>
        </w:rPr>
      </w:pPr>
    </w:p>
    <w:p>
      <w:pPr>
        <w:pStyle w:val="BodyText"/>
        <w:spacing w:line="240" w:lineRule="auto" w:before="32"/>
        <w:ind w:left="102" w:right="113"/>
        <w:jc w:val="left"/>
      </w:pPr>
      <w:r>
        <w:rPr>
          <w:rFonts w:ascii="Arial" w:hAnsi="Arial" w:cs="Arial" w:eastAsia="Arial" w:hint="default"/>
        </w:rPr>
        <w:t>44</w:t>
      </w:r>
      <w:r>
        <w:rPr/>
        <w:t>、营业外支出</w:t>
      </w:r>
    </w:p>
    <w:p>
      <w:pPr>
        <w:spacing w:line="240" w:lineRule="auto" w:before="10"/>
        <w:rPr>
          <w:rFonts w:ascii="宋体" w:hAnsi="宋体" w:cs="宋体" w:eastAsia="宋体" w:hint="default"/>
          <w:sz w:val="3"/>
          <w:szCs w:val="3"/>
        </w:rPr>
      </w:pPr>
    </w:p>
    <w:tbl>
      <w:tblPr>
        <w:tblW w:w="0" w:type="auto"/>
        <w:jc w:val="left"/>
        <w:tblInd w:w="522" w:type="dxa"/>
        <w:tblLayout w:type="fixed"/>
        <w:tblCellMar>
          <w:top w:w="0" w:type="dxa"/>
          <w:left w:w="0" w:type="dxa"/>
          <w:bottom w:w="0" w:type="dxa"/>
          <w:right w:w="0" w:type="dxa"/>
        </w:tblCellMar>
        <w:tblLook w:val="01E0"/>
      </w:tblPr>
      <w:tblGrid>
        <w:gridCol w:w="3025"/>
        <w:gridCol w:w="1666"/>
        <w:gridCol w:w="108"/>
        <w:gridCol w:w="1620"/>
        <w:gridCol w:w="2477"/>
      </w:tblGrid>
      <w:tr>
        <w:trPr>
          <w:trHeight w:val="547" w:hRule="exact"/>
        </w:trPr>
        <w:tc>
          <w:tcPr>
            <w:tcW w:w="302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9"/>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08"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6"/>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477" w:type="dxa"/>
            <w:tcBorders>
              <w:top w:val="nil" w:sz="6" w:space="0" w:color="auto"/>
              <w:left w:val="nil" w:sz="6" w:space="0" w:color="auto"/>
              <w:bottom w:val="single" w:sz="6" w:space="0" w:color="000000"/>
              <w:right w:val="nil" w:sz="6" w:space="0" w:color="auto"/>
            </w:tcBorders>
          </w:tcPr>
          <w:p>
            <w:pPr>
              <w:pStyle w:val="TableParagraph"/>
              <w:spacing w:line="226" w:lineRule="exact"/>
              <w:ind w:left="487" w:right="0" w:firstLine="761"/>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6"/>
                <w:sz w:val="22"/>
                <w:szCs w:val="22"/>
              </w:rPr>
              <w:t> </w:t>
            </w:r>
            <w:r>
              <w:rPr>
                <w:rFonts w:ascii="宋体" w:hAnsi="宋体" w:cs="宋体" w:eastAsia="宋体" w:hint="default"/>
                <w:sz w:val="22"/>
                <w:szCs w:val="22"/>
              </w:rPr>
              <w:t>年计入</w:t>
            </w:r>
          </w:p>
          <w:p>
            <w:pPr>
              <w:pStyle w:val="TableParagraph"/>
              <w:spacing w:line="278" w:lineRule="exact"/>
              <w:ind w:left="487" w:right="0"/>
              <w:jc w:val="left"/>
              <w:rPr>
                <w:rFonts w:ascii="宋体" w:hAnsi="宋体" w:cs="宋体" w:eastAsia="宋体" w:hint="default"/>
                <w:sz w:val="22"/>
                <w:szCs w:val="22"/>
              </w:rPr>
            </w:pPr>
            <w:r>
              <w:rPr>
                <w:rFonts w:ascii="宋体" w:hAnsi="宋体" w:cs="宋体" w:eastAsia="宋体" w:hint="default"/>
                <w:sz w:val="22"/>
                <w:szCs w:val="22"/>
              </w:rPr>
              <w:t>非经常性损益的金额</w:t>
            </w:r>
          </w:p>
        </w:tc>
      </w:tr>
      <w:tr>
        <w:trPr>
          <w:trHeight w:val="555" w:hRule="exact"/>
        </w:trPr>
        <w:tc>
          <w:tcPr>
            <w:tcW w:w="3025"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2"/>
                <w:szCs w:val="22"/>
              </w:rPr>
            </w:pPr>
            <w:r>
              <w:rPr>
                <w:rFonts w:ascii="宋体" w:hAnsi="宋体" w:cs="宋体" w:eastAsia="宋体" w:hint="default"/>
                <w:sz w:val="22"/>
                <w:szCs w:val="22"/>
              </w:rPr>
              <w:t>非流动资产处置损失</w:t>
            </w:r>
          </w:p>
        </w:tc>
        <w:tc>
          <w:tcPr>
            <w:tcW w:w="1666"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3" w:right="0"/>
              <w:jc w:val="left"/>
              <w:rPr>
                <w:rFonts w:ascii="Arial" w:hAnsi="Arial" w:cs="Arial" w:eastAsia="Arial" w:hint="default"/>
                <w:sz w:val="22"/>
                <w:szCs w:val="22"/>
              </w:rPr>
            </w:pPr>
            <w:r>
              <w:rPr>
                <w:rFonts w:ascii="Arial"/>
                <w:sz w:val="22"/>
              </w:rPr>
              <w:t>1,454,264,890</w:t>
            </w:r>
          </w:p>
        </w:tc>
        <w:tc>
          <w:tcPr>
            <w:tcW w:w="108" w:type="dxa"/>
            <w:tcBorders>
              <w:top w:val="nil" w:sz="6" w:space="0" w:color="auto"/>
              <w:left w:val="nil" w:sz="6" w:space="0" w:color="auto"/>
              <w:bottom w:val="single" w:sz="6" w:space="0" w:color="000000"/>
              <w:right w:val="nil" w:sz="6" w:space="0" w:color="auto"/>
            </w:tcBorders>
          </w:tcPr>
          <w:p>
            <w:pPr/>
          </w:p>
        </w:tc>
        <w:tc>
          <w:tcPr>
            <w:tcW w:w="1620"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07" w:right="0"/>
              <w:jc w:val="left"/>
              <w:rPr>
                <w:rFonts w:ascii="Arial" w:hAnsi="Arial" w:cs="Arial" w:eastAsia="Arial" w:hint="default"/>
                <w:sz w:val="22"/>
                <w:szCs w:val="22"/>
              </w:rPr>
            </w:pPr>
            <w:r>
              <w:rPr>
                <w:rFonts w:ascii="Arial"/>
                <w:sz w:val="22"/>
              </w:rPr>
              <w:t>550,808,556</w:t>
            </w:r>
          </w:p>
        </w:tc>
        <w:tc>
          <w:tcPr>
            <w:tcW w:w="2477"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87"/>
              <w:jc w:val="right"/>
              <w:rPr>
                <w:rFonts w:ascii="Arial" w:hAnsi="Arial" w:cs="Arial" w:eastAsia="Arial" w:hint="default"/>
                <w:sz w:val="22"/>
                <w:szCs w:val="22"/>
              </w:rPr>
            </w:pPr>
            <w:r>
              <w:rPr>
                <w:rFonts w:ascii="Arial"/>
                <w:spacing w:val="-1"/>
                <w:sz w:val="22"/>
              </w:rPr>
              <w:t>1,454,264,890</w:t>
            </w:r>
          </w:p>
        </w:tc>
      </w:tr>
      <w:tr>
        <w:trPr>
          <w:trHeight w:val="304" w:hRule="exact"/>
        </w:trPr>
        <w:tc>
          <w:tcPr>
            <w:tcW w:w="3025" w:type="dxa"/>
            <w:tcBorders>
              <w:top w:val="single" w:sz="6" w:space="0" w:color="000000"/>
              <w:left w:val="single" w:sz="6" w:space="0" w:color="000000"/>
              <w:bottom w:val="nil" w:sz="6" w:space="0" w:color="auto"/>
              <w:right w:val="nil" w:sz="6" w:space="0" w:color="auto"/>
            </w:tcBorders>
          </w:tcPr>
          <w:p>
            <w:pPr>
              <w:pStyle w:val="TableParagraph"/>
              <w:spacing w:line="249" w:lineRule="exact"/>
              <w:ind w:left="47" w:right="0"/>
              <w:jc w:val="left"/>
              <w:rPr>
                <w:rFonts w:ascii="宋体" w:hAnsi="宋体" w:cs="宋体" w:eastAsia="宋体" w:hint="default"/>
                <w:sz w:val="22"/>
                <w:szCs w:val="22"/>
              </w:rPr>
            </w:pPr>
            <w:r>
              <w:rPr>
                <w:rFonts w:ascii="宋体" w:hAnsi="宋体" w:cs="宋体" w:eastAsia="宋体" w:hint="default"/>
                <w:sz w:val="22"/>
                <w:szCs w:val="22"/>
              </w:rPr>
              <w:t>其中：固定资产处置损失</w:t>
            </w:r>
          </w:p>
        </w:tc>
        <w:tc>
          <w:tcPr>
            <w:tcW w:w="1666" w:type="dxa"/>
            <w:tcBorders>
              <w:top w:val="single" w:sz="6" w:space="0" w:color="000000"/>
              <w:left w:val="nil" w:sz="6" w:space="0" w:color="auto"/>
              <w:bottom w:val="nil" w:sz="6" w:space="0" w:color="auto"/>
              <w:right w:val="nil" w:sz="6" w:space="0" w:color="auto"/>
            </w:tcBorders>
          </w:tcPr>
          <w:p>
            <w:pPr>
              <w:pStyle w:val="TableParagraph"/>
              <w:spacing w:line="240" w:lineRule="auto" w:before="31"/>
              <w:ind w:left="151" w:right="0"/>
              <w:jc w:val="left"/>
              <w:rPr>
                <w:rFonts w:ascii="Arial" w:hAnsi="Arial" w:cs="Arial" w:eastAsia="Arial" w:hint="default"/>
                <w:sz w:val="22"/>
                <w:szCs w:val="22"/>
              </w:rPr>
            </w:pPr>
            <w:r>
              <w:rPr>
                <w:rFonts w:ascii="Arial"/>
                <w:sz w:val="22"/>
              </w:rPr>
              <w:t>1,451,141,325</w:t>
            </w:r>
          </w:p>
        </w:tc>
        <w:tc>
          <w:tcPr>
            <w:tcW w:w="108" w:type="dxa"/>
            <w:tcBorders>
              <w:top w:val="single" w:sz="6" w:space="0" w:color="000000"/>
              <w:left w:val="nil" w:sz="6" w:space="0" w:color="auto"/>
              <w:bottom w:val="nil" w:sz="6" w:space="0" w:color="auto"/>
              <w:right w:val="nil" w:sz="6" w:space="0" w:color="auto"/>
            </w:tcBorders>
          </w:tcPr>
          <w:p>
            <w:pPr/>
          </w:p>
        </w:tc>
        <w:tc>
          <w:tcPr>
            <w:tcW w:w="1620" w:type="dxa"/>
            <w:tcBorders>
              <w:top w:val="single" w:sz="6" w:space="0" w:color="000000"/>
              <w:left w:val="nil" w:sz="6" w:space="0" w:color="auto"/>
              <w:bottom w:val="nil" w:sz="6" w:space="0" w:color="auto"/>
              <w:right w:val="nil" w:sz="6" w:space="0" w:color="auto"/>
            </w:tcBorders>
          </w:tcPr>
          <w:p>
            <w:pPr>
              <w:pStyle w:val="TableParagraph"/>
              <w:spacing w:line="240" w:lineRule="auto" w:before="31"/>
              <w:ind w:left="281" w:right="0"/>
              <w:jc w:val="left"/>
              <w:rPr>
                <w:rFonts w:ascii="Arial" w:hAnsi="Arial" w:cs="Arial" w:eastAsia="Arial" w:hint="default"/>
                <w:sz w:val="22"/>
                <w:szCs w:val="22"/>
              </w:rPr>
            </w:pPr>
            <w:r>
              <w:rPr>
                <w:rFonts w:ascii="Arial"/>
                <w:sz w:val="22"/>
              </w:rPr>
              <w:t>510,209,026</w:t>
            </w:r>
          </w:p>
        </w:tc>
        <w:tc>
          <w:tcPr>
            <w:tcW w:w="2477" w:type="dxa"/>
            <w:tcBorders>
              <w:top w:val="single" w:sz="6" w:space="0" w:color="000000"/>
              <w:left w:val="nil" w:sz="6" w:space="0" w:color="auto"/>
              <w:bottom w:val="nil" w:sz="6" w:space="0" w:color="auto"/>
              <w:right w:val="single" w:sz="6" w:space="0" w:color="000000"/>
            </w:tcBorders>
          </w:tcPr>
          <w:p>
            <w:pPr>
              <w:pStyle w:val="TableParagraph"/>
              <w:spacing w:line="240" w:lineRule="auto" w:before="31"/>
              <w:ind w:right="79"/>
              <w:jc w:val="right"/>
              <w:rPr>
                <w:rFonts w:ascii="Arial" w:hAnsi="Arial" w:cs="Arial" w:eastAsia="Arial" w:hint="default"/>
                <w:sz w:val="22"/>
                <w:szCs w:val="22"/>
              </w:rPr>
            </w:pPr>
            <w:r>
              <w:rPr>
                <w:rFonts w:ascii="Arial"/>
                <w:spacing w:val="-1"/>
                <w:sz w:val="22"/>
              </w:rPr>
              <w:t>1,451,141,325</w:t>
            </w:r>
          </w:p>
        </w:tc>
      </w:tr>
      <w:tr>
        <w:trPr>
          <w:trHeight w:val="282" w:hRule="exact"/>
        </w:trPr>
        <w:tc>
          <w:tcPr>
            <w:tcW w:w="3025" w:type="dxa"/>
            <w:tcBorders>
              <w:top w:val="nil" w:sz="6" w:space="0" w:color="auto"/>
              <w:left w:val="single" w:sz="6" w:space="0" w:color="000000"/>
              <w:bottom w:val="single" w:sz="6" w:space="0" w:color="000000"/>
              <w:right w:val="nil" w:sz="6" w:space="0" w:color="auto"/>
            </w:tcBorders>
          </w:tcPr>
          <w:p>
            <w:pPr>
              <w:pStyle w:val="TableParagraph"/>
              <w:spacing w:line="238" w:lineRule="exact"/>
              <w:ind w:left="722" w:right="0"/>
              <w:jc w:val="left"/>
              <w:rPr>
                <w:rFonts w:ascii="宋体" w:hAnsi="宋体" w:cs="宋体" w:eastAsia="宋体" w:hint="default"/>
                <w:sz w:val="22"/>
                <w:szCs w:val="22"/>
              </w:rPr>
            </w:pPr>
            <w:r>
              <w:rPr>
                <w:rFonts w:ascii="宋体" w:hAnsi="宋体" w:cs="宋体" w:eastAsia="宋体" w:hint="default"/>
                <w:sz w:val="22"/>
                <w:szCs w:val="22"/>
              </w:rPr>
              <w:t>无形资产处置损失</w:t>
            </w:r>
          </w:p>
        </w:tc>
        <w:tc>
          <w:tcPr>
            <w:tcW w:w="1666" w:type="dxa"/>
            <w:tcBorders>
              <w:top w:val="nil" w:sz="6" w:space="0" w:color="auto"/>
              <w:left w:val="nil" w:sz="6" w:space="0" w:color="auto"/>
              <w:bottom w:val="single" w:sz="6" w:space="0" w:color="000000"/>
              <w:right w:val="nil" w:sz="6" w:space="0" w:color="auto"/>
            </w:tcBorders>
          </w:tcPr>
          <w:p>
            <w:pPr>
              <w:pStyle w:val="TableParagraph"/>
              <w:spacing w:line="240" w:lineRule="auto" w:before="17"/>
              <w:ind w:right="103"/>
              <w:jc w:val="right"/>
              <w:rPr>
                <w:rFonts w:ascii="Arial" w:hAnsi="Arial" w:cs="Arial" w:eastAsia="Arial" w:hint="default"/>
                <w:sz w:val="22"/>
                <w:szCs w:val="22"/>
              </w:rPr>
            </w:pPr>
            <w:r>
              <w:rPr>
                <w:rFonts w:ascii="Arial"/>
                <w:sz w:val="22"/>
              </w:rPr>
              <w:t>3,123,565</w:t>
            </w:r>
          </w:p>
        </w:tc>
        <w:tc>
          <w:tcPr>
            <w:tcW w:w="108" w:type="dxa"/>
            <w:tcBorders>
              <w:top w:val="nil" w:sz="6" w:space="0" w:color="auto"/>
              <w:left w:val="nil" w:sz="6" w:space="0" w:color="auto"/>
              <w:bottom w:val="single" w:sz="6" w:space="0" w:color="000000"/>
              <w:right w:val="nil" w:sz="6" w:space="0" w:color="auto"/>
            </w:tcBorders>
          </w:tcPr>
          <w:p>
            <w:pPr/>
          </w:p>
        </w:tc>
        <w:tc>
          <w:tcPr>
            <w:tcW w:w="1620" w:type="dxa"/>
            <w:tcBorders>
              <w:top w:val="nil" w:sz="6" w:space="0" w:color="auto"/>
              <w:left w:val="nil" w:sz="6" w:space="0" w:color="auto"/>
              <w:bottom w:val="single" w:sz="6" w:space="0" w:color="000000"/>
              <w:right w:val="nil" w:sz="6" w:space="0" w:color="auto"/>
            </w:tcBorders>
          </w:tcPr>
          <w:p>
            <w:pPr>
              <w:pStyle w:val="TableParagraph"/>
              <w:spacing w:line="240" w:lineRule="auto" w:before="17"/>
              <w:ind w:left="403" w:right="0"/>
              <w:jc w:val="left"/>
              <w:rPr>
                <w:rFonts w:ascii="Arial" w:hAnsi="Arial" w:cs="Arial" w:eastAsia="Arial" w:hint="default"/>
                <w:sz w:val="22"/>
                <w:szCs w:val="22"/>
              </w:rPr>
            </w:pPr>
            <w:r>
              <w:rPr>
                <w:rFonts w:ascii="Arial"/>
                <w:sz w:val="22"/>
              </w:rPr>
              <w:t>40,599,530</w:t>
            </w:r>
          </w:p>
        </w:tc>
        <w:tc>
          <w:tcPr>
            <w:tcW w:w="2477" w:type="dxa"/>
            <w:tcBorders>
              <w:top w:val="nil" w:sz="6" w:space="0" w:color="auto"/>
              <w:left w:val="nil" w:sz="6" w:space="0" w:color="auto"/>
              <w:bottom w:val="single" w:sz="6" w:space="0" w:color="000000"/>
              <w:right w:val="single" w:sz="6" w:space="0" w:color="000000"/>
            </w:tcBorders>
          </w:tcPr>
          <w:p>
            <w:pPr>
              <w:pStyle w:val="TableParagraph"/>
              <w:spacing w:line="240" w:lineRule="auto" w:before="17"/>
              <w:ind w:right="79"/>
              <w:jc w:val="right"/>
              <w:rPr>
                <w:rFonts w:ascii="Arial" w:hAnsi="Arial" w:cs="Arial" w:eastAsia="Arial" w:hint="default"/>
                <w:sz w:val="22"/>
                <w:szCs w:val="22"/>
              </w:rPr>
            </w:pPr>
            <w:r>
              <w:rPr>
                <w:rFonts w:ascii="Arial"/>
                <w:sz w:val="22"/>
              </w:rPr>
              <w:t>3,123,565</w:t>
            </w:r>
          </w:p>
        </w:tc>
      </w:tr>
      <w:tr>
        <w:trPr>
          <w:trHeight w:val="304" w:hRule="exact"/>
        </w:trPr>
        <w:tc>
          <w:tcPr>
            <w:tcW w:w="3025" w:type="dxa"/>
            <w:tcBorders>
              <w:top w:val="single" w:sz="6" w:space="0" w:color="000000"/>
              <w:left w:val="nil" w:sz="6" w:space="0" w:color="auto"/>
              <w:bottom w:val="nil" w:sz="6" w:space="0" w:color="auto"/>
              <w:right w:val="nil" w:sz="6" w:space="0" w:color="auto"/>
            </w:tcBorders>
          </w:tcPr>
          <w:p>
            <w:pPr>
              <w:pStyle w:val="TableParagraph"/>
              <w:spacing w:line="249" w:lineRule="exact"/>
              <w:ind w:left="23" w:right="0"/>
              <w:jc w:val="left"/>
              <w:rPr>
                <w:rFonts w:ascii="宋体" w:hAnsi="宋体" w:cs="宋体" w:eastAsia="宋体" w:hint="default"/>
                <w:sz w:val="22"/>
                <w:szCs w:val="22"/>
              </w:rPr>
            </w:pPr>
            <w:r>
              <w:rPr>
                <w:rFonts w:ascii="宋体" w:hAnsi="宋体" w:cs="宋体" w:eastAsia="宋体" w:hint="default"/>
                <w:sz w:val="22"/>
                <w:szCs w:val="22"/>
              </w:rPr>
              <w:t>违约赔偿支出</w:t>
            </w:r>
          </w:p>
        </w:tc>
        <w:tc>
          <w:tcPr>
            <w:tcW w:w="1666" w:type="dxa"/>
            <w:tcBorders>
              <w:top w:val="single" w:sz="6" w:space="0" w:color="000000"/>
              <w:left w:val="nil" w:sz="6" w:space="0" w:color="auto"/>
              <w:bottom w:val="nil" w:sz="6" w:space="0" w:color="auto"/>
              <w:right w:val="nil" w:sz="6" w:space="0" w:color="auto"/>
            </w:tcBorders>
          </w:tcPr>
          <w:p>
            <w:pPr>
              <w:pStyle w:val="TableParagraph"/>
              <w:spacing w:line="240" w:lineRule="auto" w:before="31"/>
              <w:ind w:right="91"/>
              <w:jc w:val="right"/>
              <w:rPr>
                <w:rFonts w:ascii="Arial" w:hAnsi="Arial" w:cs="Arial" w:eastAsia="Arial" w:hint="default"/>
                <w:sz w:val="22"/>
                <w:szCs w:val="22"/>
              </w:rPr>
            </w:pPr>
            <w:r>
              <w:rPr>
                <w:rFonts w:ascii="Arial"/>
                <w:spacing w:val="-1"/>
                <w:sz w:val="22"/>
              </w:rPr>
              <w:t>25,227,827</w:t>
            </w:r>
          </w:p>
        </w:tc>
        <w:tc>
          <w:tcPr>
            <w:tcW w:w="108" w:type="dxa"/>
            <w:tcBorders>
              <w:top w:val="single" w:sz="6" w:space="0" w:color="000000"/>
              <w:left w:val="nil" w:sz="6" w:space="0" w:color="auto"/>
              <w:bottom w:val="nil" w:sz="6" w:space="0" w:color="auto"/>
              <w:right w:val="nil" w:sz="6" w:space="0" w:color="auto"/>
            </w:tcBorders>
          </w:tcPr>
          <w:p>
            <w:pPr/>
          </w:p>
        </w:tc>
        <w:tc>
          <w:tcPr>
            <w:tcW w:w="1620" w:type="dxa"/>
            <w:tcBorders>
              <w:top w:val="single" w:sz="6" w:space="0" w:color="000000"/>
              <w:left w:val="nil" w:sz="6" w:space="0" w:color="auto"/>
              <w:bottom w:val="nil" w:sz="6" w:space="0" w:color="auto"/>
              <w:right w:val="nil" w:sz="6" w:space="0" w:color="auto"/>
            </w:tcBorders>
          </w:tcPr>
          <w:p>
            <w:pPr>
              <w:pStyle w:val="TableParagraph"/>
              <w:spacing w:line="240" w:lineRule="auto" w:before="31"/>
              <w:ind w:left="430" w:right="0"/>
              <w:jc w:val="left"/>
              <w:rPr>
                <w:rFonts w:ascii="Arial" w:hAnsi="Arial" w:cs="Arial" w:eastAsia="Arial" w:hint="default"/>
                <w:sz w:val="22"/>
                <w:szCs w:val="22"/>
              </w:rPr>
            </w:pPr>
            <w:r>
              <w:rPr>
                <w:rFonts w:ascii="Arial"/>
                <w:sz w:val="22"/>
              </w:rPr>
              <w:t>39,342,198</w:t>
            </w:r>
          </w:p>
        </w:tc>
        <w:tc>
          <w:tcPr>
            <w:tcW w:w="2477" w:type="dxa"/>
            <w:tcBorders>
              <w:top w:val="single" w:sz="6" w:space="0" w:color="000000"/>
              <w:left w:val="nil" w:sz="6" w:space="0" w:color="auto"/>
              <w:bottom w:val="nil" w:sz="6" w:space="0" w:color="auto"/>
              <w:right w:val="nil" w:sz="6" w:space="0" w:color="auto"/>
            </w:tcBorders>
          </w:tcPr>
          <w:p>
            <w:pPr>
              <w:pStyle w:val="TableParagraph"/>
              <w:spacing w:line="240" w:lineRule="auto" w:before="31"/>
              <w:ind w:right="86"/>
              <w:jc w:val="right"/>
              <w:rPr>
                <w:rFonts w:ascii="Arial" w:hAnsi="Arial" w:cs="Arial" w:eastAsia="Arial" w:hint="default"/>
                <w:sz w:val="22"/>
                <w:szCs w:val="22"/>
              </w:rPr>
            </w:pPr>
            <w:r>
              <w:rPr>
                <w:rFonts w:ascii="Arial"/>
                <w:spacing w:val="-1"/>
                <w:sz w:val="22"/>
              </w:rPr>
              <w:t>25,227,827</w:t>
            </w:r>
          </w:p>
        </w:tc>
      </w:tr>
      <w:tr>
        <w:trPr>
          <w:trHeight w:val="286" w:hRule="exact"/>
        </w:trPr>
        <w:tc>
          <w:tcPr>
            <w:tcW w:w="3025" w:type="dxa"/>
            <w:tcBorders>
              <w:top w:val="nil" w:sz="6" w:space="0" w:color="auto"/>
              <w:left w:val="nil" w:sz="6" w:space="0" w:color="auto"/>
              <w:bottom w:val="nil" w:sz="6" w:space="0" w:color="auto"/>
              <w:right w:val="nil" w:sz="6" w:space="0" w:color="auto"/>
            </w:tcBorders>
          </w:tcPr>
          <w:p>
            <w:pPr>
              <w:pStyle w:val="TableParagraph"/>
              <w:spacing w:line="238" w:lineRule="exact"/>
              <w:ind w:left="23" w:right="0"/>
              <w:jc w:val="left"/>
              <w:rPr>
                <w:rFonts w:ascii="宋体" w:hAnsi="宋体" w:cs="宋体" w:eastAsia="宋体" w:hint="default"/>
                <w:sz w:val="22"/>
                <w:szCs w:val="22"/>
              </w:rPr>
            </w:pPr>
            <w:r>
              <w:rPr>
                <w:rFonts w:ascii="宋体" w:hAnsi="宋体" w:cs="宋体" w:eastAsia="宋体" w:hint="default"/>
                <w:sz w:val="22"/>
                <w:szCs w:val="22"/>
              </w:rPr>
              <w:t>捐赠支出</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1"/>
              <w:jc w:val="right"/>
              <w:rPr>
                <w:rFonts w:ascii="Arial" w:hAnsi="Arial" w:cs="Arial" w:eastAsia="Arial" w:hint="default"/>
                <w:sz w:val="22"/>
                <w:szCs w:val="22"/>
              </w:rPr>
            </w:pPr>
            <w:r>
              <w:rPr>
                <w:rFonts w:ascii="Arial"/>
                <w:spacing w:val="-1"/>
                <w:sz w:val="22"/>
              </w:rPr>
              <w:t>15,536,455</w:t>
            </w:r>
          </w:p>
        </w:tc>
        <w:tc>
          <w:tcPr>
            <w:tcW w:w="108"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3"/>
              <w:jc w:val="right"/>
              <w:rPr>
                <w:rFonts w:ascii="Arial" w:hAnsi="Arial" w:cs="Arial" w:eastAsia="Arial" w:hint="default"/>
                <w:sz w:val="22"/>
                <w:szCs w:val="22"/>
              </w:rPr>
            </w:pPr>
            <w:r>
              <w:rPr>
                <w:rFonts w:ascii="Arial"/>
                <w:sz w:val="22"/>
              </w:rPr>
              <w:t>5,924,975</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6"/>
              <w:jc w:val="right"/>
              <w:rPr>
                <w:rFonts w:ascii="Arial" w:hAnsi="Arial" w:cs="Arial" w:eastAsia="Arial" w:hint="default"/>
                <w:sz w:val="22"/>
                <w:szCs w:val="22"/>
              </w:rPr>
            </w:pPr>
            <w:r>
              <w:rPr>
                <w:rFonts w:ascii="Arial"/>
                <w:spacing w:val="-1"/>
                <w:sz w:val="22"/>
              </w:rPr>
              <w:t>15,536,455</w:t>
            </w:r>
          </w:p>
        </w:tc>
      </w:tr>
      <w:tr>
        <w:trPr>
          <w:trHeight w:val="418" w:hRule="exact"/>
        </w:trPr>
        <w:tc>
          <w:tcPr>
            <w:tcW w:w="3025" w:type="dxa"/>
            <w:tcBorders>
              <w:top w:val="nil" w:sz="6" w:space="0" w:color="auto"/>
              <w:left w:val="nil" w:sz="6" w:space="0" w:color="auto"/>
              <w:bottom w:val="nil" w:sz="6" w:space="0" w:color="auto"/>
              <w:right w:val="nil" w:sz="6" w:space="0" w:color="auto"/>
            </w:tcBorders>
          </w:tcPr>
          <w:p>
            <w:pPr>
              <w:pStyle w:val="TableParagraph"/>
              <w:spacing w:line="238" w:lineRule="exact"/>
              <w:ind w:left="23"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666" w:type="dxa"/>
            <w:tcBorders>
              <w:top w:val="nil" w:sz="6" w:space="0" w:color="auto"/>
              <w:left w:val="nil" w:sz="6" w:space="0" w:color="auto"/>
              <w:bottom w:val="nil" w:sz="6" w:space="0" w:color="auto"/>
              <w:right w:val="nil" w:sz="6" w:space="0" w:color="auto"/>
            </w:tcBorders>
          </w:tcPr>
          <w:p>
            <w:pPr>
              <w:pStyle w:val="TableParagraph"/>
              <w:tabs>
                <w:tab w:pos="467" w:val="left" w:leader="none"/>
                <w:tab w:pos="1665" w:val="left" w:leader="none"/>
              </w:tabs>
              <w:spacing w:line="240" w:lineRule="auto" w:before="17"/>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91,123,915</w:t>
              <w:tab/>
            </w:r>
            <w:r>
              <w:rPr>
                <w:rFonts w:ascii="Arial"/>
                <w:spacing w:val="-1"/>
                <w:sz w:val="22"/>
              </w:rPr>
            </w:r>
          </w:p>
        </w:tc>
        <w:tc>
          <w:tcPr>
            <w:tcW w:w="108"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tabs>
                <w:tab w:pos="429" w:val="left" w:leader="none"/>
                <w:tab w:pos="1620" w:val="left" w:leader="none"/>
              </w:tabs>
              <w:spacing w:line="240" w:lineRule="auto" w:before="17"/>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84,067,104</w:t>
              <w:tab/>
            </w:r>
            <w:r>
              <w:rPr>
                <w:rFonts w:ascii="Arial"/>
                <w:spacing w:val="-1"/>
                <w:sz w:val="22"/>
              </w:rPr>
            </w:r>
          </w:p>
        </w:tc>
        <w:tc>
          <w:tcPr>
            <w:tcW w:w="2477" w:type="dxa"/>
            <w:tcBorders>
              <w:top w:val="nil" w:sz="6" w:space="0" w:color="auto"/>
              <w:left w:val="nil" w:sz="6" w:space="0" w:color="auto"/>
              <w:bottom w:val="nil" w:sz="6" w:space="0" w:color="auto"/>
              <w:right w:val="nil" w:sz="6" w:space="0" w:color="auto"/>
            </w:tcBorders>
          </w:tcPr>
          <w:p>
            <w:pPr>
              <w:pStyle w:val="TableParagraph"/>
              <w:tabs>
                <w:tab w:pos="1193" w:val="left" w:leader="none"/>
                <w:tab w:pos="2405" w:val="left" w:leader="none"/>
              </w:tabs>
              <w:spacing w:line="240" w:lineRule="auto" w:before="17"/>
              <w:ind w:right="-2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91,123,915</w:t>
              <w:tab/>
            </w:r>
            <w:r>
              <w:rPr>
                <w:rFonts w:ascii="Arial"/>
                <w:spacing w:val="-1"/>
                <w:sz w:val="22"/>
              </w:rPr>
            </w:r>
          </w:p>
        </w:tc>
      </w:tr>
      <w:tr>
        <w:trPr>
          <w:trHeight w:val="433" w:hRule="exact"/>
        </w:trPr>
        <w:tc>
          <w:tcPr>
            <w:tcW w:w="302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666"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left="163" w:right="0"/>
              <w:jc w:val="left"/>
              <w:rPr>
                <w:rFonts w:ascii="Arial" w:hAnsi="Arial" w:cs="Arial" w:eastAsia="Arial" w:hint="default"/>
                <w:sz w:val="22"/>
                <w:szCs w:val="22"/>
              </w:rPr>
            </w:pPr>
            <w:r>
              <w:rPr>
                <w:rFonts w:ascii="Arial"/>
                <w:sz w:val="22"/>
              </w:rPr>
              <w:t>1,586,153,087</w:t>
            </w:r>
          </w:p>
        </w:tc>
        <w:tc>
          <w:tcPr>
            <w:tcW w:w="108"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left="307" w:right="0"/>
              <w:jc w:val="left"/>
              <w:rPr>
                <w:rFonts w:ascii="Arial" w:hAnsi="Arial" w:cs="Arial" w:eastAsia="Arial" w:hint="default"/>
                <w:sz w:val="22"/>
                <w:szCs w:val="22"/>
              </w:rPr>
            </w:pPr>
            <w:r>
              <w:rPr>
                <w:rFonts w:ascii="Arial"/>
                <w:sz w:val="22"/>
              </w:rPr>
              <w:t>680,142,833</w:t>
            </w:r>
          </w:p>
        </w:tc>
        <w:tc>
          <w:tcPr>
            <w:tcW w:w="2477"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87"/>
              <w:jc w:val="right"/>
              <w:rPr>
                <w:rFonts w:ascii="Arial" w:hAnsi="Arial" w:cs="Arial" w:eastAsia="Arial" w:hint="default"/>
                <w:sz w:val="22"/>
                <w:szCs w:val="22"/>
              </w:rPr>
            </w:pPr>
            <w:r>
              <w:rPr>
                <w:rFonts w:ascii="Arial"/>
                <w:spacing w:val="-1"/>
                <w:sz w:val="22"/>
              </w:rPr>
              <w:t>1,586,153,087</w:t>
            </w:r>
          </w:p>
        </w:tc>
      </w:tr>
    </w:tbl>
    <w:p>
      <w:pPr>
        <w:spacing w:line="240" w:lineRule="auto" w:before="2"/>
        <w:rPr>
          <w:rFonts w:ascii="宋体" w:hAnsi="宋体" w:cs="宋体" w:eastAsia="宋体" w:hint="default"/>
          <w:sz w:val="12"/>
          <w:szCs w:val="12"/>
        </w:rPr>
      </w:pPr>
    </w:p>
    <w:p>
      <w:pPr>
        <w:pStyle w:val="BodyText"/>
        <w:spacing w:line="240" w:lineRule="auto" w:before="32"/>
        <w:ind w:left="102" w:right="113"/>
        <w:jc w:val="left"/>
      </w:pPr>
      <w:r>
        <w:rPr>
          <w:rFonts w:ascii="Arial" w:hAnsi="Arial" w:cs="Arial" w:eastAsia="Arial" w:hint="default"/>
        </w:rPr>
        <w:t>45</w:t>
      </w:r>
      <w:r>
        <w:rPr/>
        <w:t>、所得税</w:t>
      </w:r>
    </w:p>
    <w:p>
      <w:pPr>
        <w:spacing w:line="240" w:lineRule="auto" w:before="1"/>
        <w:rPr>
          <w:rFonts w:ascii="宋体" w:hAnsi="宋体" w:cs="宋体" w:eastAsia="宋体" w:hint="default"/>
          <w:sz w:val="23"/>
          <w:szCs w:val="23"/>
        </w:rPr>
      </w:pPr>
    </w:p>
    <w:tbl>
      <w:tblPr>
        <w:tblW w:w="0" w:type="auto"/>
        <w:jc w:val="left"/>
        <w:tblInd w:w="351" w:type="dxa"/>
        <w:tblLayout w:type="fixed"/>
        <w:tblCellMar>
          <w:top w:w="0" w:type="dxa"/>
          <w:left w:w="0" w:type="dxa"/>
          <w:bottom w:w="0" w:type="dxa"/>
          <w:right w:w="0" w:type="dxa"/>
        </w:tblCellMar>
        <w:tblLook w:val="01E0"/>
      </w:tblPr>
      <w:tblGrid>
        <w:gridCol w:w="5495"/>
        <w:gridCol w:w="1843"/>
        <w:gridCol w:w="1928"/>
      </w:tblGrid>
      <w:tr>
        <w:trPr>
          <w:trHeight w:val="264" w:hRule="exact"/>
        </w:trPr>
        <w:tc>
          <w:tcPr>
            <w:tcW w:w="5495"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single" w:sz="6" w:space="0" w:color="000000"/>
              <w:right w:val="nil" w:sz="6" w:space="0" w:color="auto"/>
            </w:tcBorders>
          </w:tcPr>
          <w:p>
            <w:pPr>
              <w:pStyle w:val="TableParagraph"/>
              <w:spacing w:line="236" w:lineRule="exact"/>
              <w:ind w:right="38"/>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928" w:type="dxa"/>
            <w:tcBorders>
              <w:top w:val="nil" w:sz="6" w:space="0" w:color="auto"/>
              <w:left w:val="nil" w:sz="6" w:space="0" w:color="auto"/>
              <w:bottom w:val="single" w:sz="6" w:space="0" w:color="000000"/>
              <w:right w:val="nil" w:sz="6" w:space="0" w:color="auto"/>
            </w:tcBorders>
          </w:tcPr>
          <w:p>
            <w:pPr>
              <w:pStyle w:val="TableParagraph"/>
              <w:spacing w:line="236" w:lineRule="exact"/>
              <w:ind w:right="67"/>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57" w:hRule="exact"/>
        </w:trPr>
        <w:tc>
          <w:tcPr>
            <w:tcW w:w="54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当期所得税</w:t>
            </w:r>
          </w:p>
        </w:tc>
        <w:tc>
          <w:tcPr>
            <w:tcW w:w="1843"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62"/>
              <w:jc w:val="right"/>
              <w:rPr>
                <w:rFonts w:ascii="Arial" w:hAnsi="Arial" w:cs="Arial" w:eastAsia="Arial" w:hint="default"/>
                <w:sz w:val="22"/>
                <w:szCs w:val="22"/>
              </w:rPr>
            </w:pPr>
            <w:r>
              <w:rPr>
                <w:rFonts w:ascii="Arial"/>
                <w:spacing w:val="-1"/>
                <w:sz w:val="22"/>
              </w:rPr>
              <w:t>3,213,379,003</w:t>
            </w:r>
          </w:p>
        </w:tc>
        <w:tc>
          <w:tcPr>
            <w:tcW w:w="1928"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6"/>
              <w:jc w:val="right"/>
              <w:rPr>
                <w:rFonts w:ascii="Arial" w:hAnsi="Arial" w:cs="Arial" w:eastAsia="Arial" w:hint="default"/>
                <w:sz w:val="22"/>
                <w:szCs w:val="22"/>
              </w:rPr>
            </w:pPr>
            <w:r>
              <w:rPr>
                <w:rFonts w:ascii="Arial"/>
                <w:spacing w:val="-1"/>
                <w:sz w:val="22"/>
              </w:rPr>
              <w:t>3,738,738,340</w:t>
            </w:r>
          </w:p>
        </w:tc>
      </w:tr>
      <w:tr>
        <w:trPr>
          <w:trHeight w:val="419" w:hRule="exact"/>
        </w:trPr>
        <w:tc>
          <w:tcPr>
            <w:tcW w:w="5495"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加：递延所得税</w:t>
            </w:r>
          </w:p>
        </w:tc>
        <w:tc>
          <w:tcPr>
            <w:tcW w:w="1843" w:type="dxa"/>
            <w:tcBorders>
              <w:top w:val="nil" w:sz="6" w:space="0" w:color="auto"/>
              <w:left w:val="nil" w:sz="6" w:space="0" w:color="auto"/>
              <w:bottom w:val="nil" w:sz="6" w:space="0" w:color="auto"/>
              <w:right w:val="nil" w:sz="6" w:space="0" w:color="auto"/>
            </w:tcBorders>
          </w:tcPr>
          <w:p>
            <w:pPr>
              <w:pStyle w:val="TableParagraph"/>
              <w:tabs>
                <w:tab w:pos="551" w:val="left" w:leader="none"/>
                <w:tab w:pos="1843"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655,227,054</w:t>
              <w:tab/>
            </w:r>
            <w:r>
              <w:rPr>
                <w:rFonts w:ascii="Arial"/>
                <w:spacing w:val="-1"/>
                <w:sz w:val="22"/>
              </w:rPr>
            </w:r>
          </w:p>
        </w:tc>
        <w:tc>
          <w:tcPr>
            <w:tcW w:w="1928" w:type="dxa"/>
            <w:tcBorders>
              <w:top w:val="nil" w:sz="6" w:space="0" w:color="auto"/>
              <w:left w:val="nil" w:sz="6" w:space="0" w:color="auto"/>
              <w:bottom w:val="nil" w:sz="6" w:space="0" w:color="auto"/>
              <w:right w:val="nil" w:sz="6" w:space="0" w:color="auto"/>
            </w:tcBorders>
          </w:tcPr>
          <w:p>
            <w:pPr>
              <w:pStyle w:val="TableParagraph"/>
              <w:tabs>
                <w:tab w:pos="473"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(354,516,078)</w:t>
            </w:r>
            <w:r>
              <w:rPr>
                <w:rFonts w:ascii="Arial"/>
                <w:spacing w:val="-1"/>
                <w:sz w:val="22"/>
              </w:rPr>
            </w:r>
          </w:p>
        </w:tc>
      </w:tr>
      <w:tr>
        <w:trPr>
          <w:trHeight w:val="433" w:hRule="exact"/>
        </w:trPr>
        <w:tc>
          <w:tcPr>
            <w:tcW w:w="549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843"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62"/>
              <w:jc w:val="right"/>
              <w:rPr>
                <w:rFonts w:ascii="Arial" w:hAnsi="Arial" w:cs="Arial" w:eastAsia="Arial" w:hint="default"/>
                <w:sz w:val="22"/>
                <w:szCs w:val="22"/>
              </w:rPr>
            </w:pPr>
            <w:r>
              <w:rPr>
                <w:rFonts w:ascii="Arial"/>
                <w:spacing w:val="-1"/>
                <w:sz w:val="22"/>
              </w:rPr>
              <w:t>3,868,606,057</w:t>
            </w:r>
          </w:p>
        </w:tc>
        <w:tc>
          <w:tcPr>
            <w:tcW w:w="1928"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76"/>
              <w:jc w:val="right"/>
              <w:rPr>
                <w:rFonts w:ascii="Arial" w:hAnsi="Arial" w:cs="Arial" w:eastAsia="Arial" w:hint="default"/>
                <w:sz w:val="22"/>
                <w:szCs w:val="22"/>
              </w:rPr>
            </w:pPr>
            <w:r>
              <w:rPr>
                <w:rFonts w:ascii="Arial"/>
                <w:spacing w:val="-1"/>
                <w:sz w:val="22"/>
              </w:rPr>
              <w:t>3,384,222,262</w:t>
            </w:r>
          </w:p>
        </w:tc>
      </w:tr>
    </w:tbl>
    <w:p>
      <w:pPr>
        <w:spacing w:line="240" w:lineRule="auto" w:before="11"/>
        <w:rPr>
          <w:rFonts w:ascii="宋体" w:hAnsi="宋体" w:cs="宋体" w:eastAsia="宋体" w:hint="default"/>
          <w:sz w:val="13"/>
          <w:szCs w:val="13"/>
        </w:rPr>
      </w:pPr>
    </w:p>
    <w:p>
      <w:pPr>
        <w:pStyle w:val="BodyText"/>
        <w:spacing w:line="240" w:lineRule="auto" w:before="32"/>
        <w:ind w:left="102" w:right="113"/>
        <w:jc w:val="left"/>
      </w:pPr>
      <w:r>
        <w:rPr>
          <w:rFonts w:ascii="Arial" w:hAnsi="Arial" w:cs="Arial" w:eastAsia="Arial" w:hint="default"/>
        </w:rPr>
        <w:t>(a) </w:t>
      </w:r>
      <w:r>
        <w:rPr>
          <w:rFonts w:ascii="Arial" w:hAnsi="Arial" w:cs="Arial" w:eastAsia="Arial" w:hint="default"/>
          <w:spacing w:val="23"/>
        </w:rPr>
        <w:t> </w:t>
      </w:r>
      <w:r>
        <w:rPr/>
        <w:t>按法定税率计算之所得税与实际所得税费用调整如下：</w:t>
      </w:r>
    </w:p>
    <w:p>
      <w:pPr>
        <w:spacing w:line="240" w:lineRule="auto" w:before="11"/>
        <w:rPr>
          <w:rFonts w:ascii="宋体" w:hAnsi="宋体" w:cs="宋体" w:eastAsia="宋体" w:hint="default"/>
          <w:sz w:val="26"/>
          <w:szCs w:val="26"/>
        </w:rPr>
      </w:pPr>
    </w:p>
    <w:tbl>
      <w:tblPr>
        <w:tblW w:w="0" w:type="auto"/>
        <w:jc w:val="left"/>
        <w:tblInd w:w="561" w:type="dxa"/>
        <w:tblLayout w:type="fixed"/>
        <w:tblCellMar>
          <w:top w:w="0" w:type="dxa"/>
          <w:left w:w="0" w:type="dxa"/>
          <w:bottom w:w="0" w:type="dxa"/>
          <w:right w:w="0" w:type="dxa"/>
        </w:tblCellMar>
        <w:tblLook w:val="01E0"/>
      </w:tblPr>
      <w:tblGrid>
        <w:gridCol w:w="4700"/>
        <w:gridCol w:w="834"/>
        <w:gridCol w:w="1677"/>
        <w:gridCol w:w="1846"/>
      </w:tblGrid>
      <w:tr>
        <w:trPr>
          <w:trHeight w:val="264" w:hRule="exact"/>
        </w:trPr>
        <w:tc>
          <w:tcPr>
            <w:tcW w:w="4700" w:type="dxa"/>
            <w:tcBorders>
              <w:top w:val="nil" w:sz="6" w:space="0" w:color="auto"/>
              <w:left w:val="nil" w:sz="6" w:space="0" w:color="auto"/>
              <w:bottom w:val="nil" w:sz="6" w:space="0" w:color="auto"/>
              <w:right w:val="nil" w:sz="6" w:space="0" w:color="auto"/>
            </w:tcBorders>
          </w:tcPr>
          <w:p>
            <w:pPr/>
          </w:p>
        </w:tc>
        <w:tc>
          <w:tcPr>
            <w:tcW w:w="834" w:type="dxa"/>
            <w:tcBorders>
              <w:top w:val="nil" w:sz="6" w:space="0" w:color="auto"/>
              <w:left w:val="nil" w:sz="6" w:space="0" w:color="auto"/>
              <w:bottom w:val="single" w:sz="6" w:space="0" w:color="000000"/>
              <w:right w:val="nil" w:sz="6" w:space="0" w:color="auto"/>
            </w:tcBorders>
          </w:tcPr>
          <w:p>
            <w:pPr>
              <w:pStyle w:val="TableParagraph"/>
              <w:spacing w:line="221" w:lineRule="exact"/>
              <w:ind w:left="43" w:right="0"/>
              <w:jc w:val="left"/>
              <w:rPr>
                <w:rFonts w:ascii="宋体" w:hAnsi="宋体" w:cs="宋体" w:eastAsia="宋体" w:hint="default"/>
                <w:sz w:val="22"/>
                <w:szCs w:val="22"/>
              </w:rPr>
            </w:pPr>
            <w:r>
              <w:rPr>
                <w:rFonts w:ascii="宋体" w:hAnsi="宋体" w:cs="宋体" w:eastAsia="宋体" w:hint="default"/>
                <w:sz w:val="22"/>
                <w:szCs w:val="22"/>
              </w:rPr>
              <w:t>注释</w:t>
            </w:r>
          </w:p>
        </w:tc>
        <w:tc>
          <w:tcPr>
            <w:tcW w:w="1677" w:type="dxa"/>
            <w:tcBorders>
              <w:top w:val="nil" w:sz="6" w:space="0" w:color="auto"/>
              <w:left w:val="nil" w:sz="6" w:space="0" w:color="auto"/>
              <w:bottom w:val="single" w:sz="6" w:space="0" w:color="000000"/>
              <w:right w:val="nil" w:sz="6" w:space="0" w:color="auto"/>
            </w:tcBorders>
          </w:tcPr>
          <w:p>
            <w:pPr>
              <w:pStyle w:val="TableParagraph"/>
              <w:spacing w:line="236" w:lineRule="exact"/>
              <w:ind w:right="120"/>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846" w:type="dxa"/>
            <w:tcBorders>
              <w:top w:val="nil" w:sz="6" w:space="0" w:color="auto"/>
              <w:left w:val="nil" w:sz="6" w:space="0" w:color="auto"/>
              <w:bottom w:val="single" w:sz="6" w:space="0" w:color="000000"/>
              <w:right w:val="nil" w:sz="6" w:space="0" w:color="auto"/>
            </w:tcBorders>
          </w:tcPr>
          <w:p>
            <w:pPr>
              <w:pStyle w:val="TableParagraph"/>
              <w:spacing w:line="236" w:lineRule="exact"/>
              <w:ind w:right="67"/>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57" w:hRule="exact"/>
        </w:trPr>
        <w:tc>
          <w:tcPr>
            <w:tcW w:w="47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22"/>
                <w:szCs w:val="22"/>
              </w:rPr>
            </w:pPr>
            <w:r>
              <w:rPr>
                <w:rFonts w:ascii="宋体" w:hAnsi="宋体" w:cs="宋体" w:eastAsia="宋体" w:hint="default"/>
                <w:sz w:val="22"/>
                <w:szCs w:val="22"/>
              </w:rPr>
              <w:t>利润总额</w:t>
            </w:r>
          </w:p>
        </w:tc>
        <w:tc>
          <w:tcPr>
            <w:tcW w:w="834" w:type="dxa"/>
            <w:tcBorders>
              <w:top w:val="single" w:sz="6" w:space="0" w:color="000000"/>
              <w:left w:val="nil" w:sz="6" w:space="0" w:color="auto"/>
              <w:bottom w:val="nil" w:sz="6" w:space="0" w:color="auto"/>
              <w:right w:val="nil" w:sz="6" w:space="0" w:color="auto"/>
            </w:tcBorders>
          </w:tcPr>
          <w:p>
            <w:pPr/>
          </w:p>
        </w:tc>
        <w:tc>
          <w:tcPr>
            <w:tcW w:w="1677"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left"/>
              <w:rPr>
                <w:rFonts w:ascii="Arial" w:hAnsi="Arial" w:cs="Arial" w:eastAsia="Arial" w:hint="default"/>
                <w:sz w:val="22"/>
                <w:szCs w:val="22"/>
              </w:rPr>
            </w:pPr>
            <w:r>
              <w:rPr>
                <w:rFonts w:ascii="Arial"/>
                <w:sz w:val="22"/>
              </w:rPr>
              <w:t>15,836,495,667</w:t>
            </w:r>
          </w:p>
        </w:tc>
        <w:tc>
          <w:tcPr>
            <w:tcW w:w="1846"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1"/>
              <w:jc w:val="right"/>
              <w:rPr>
                <w:rFonts w:ascii="Arial" w:hAnsi="Arial" w:cs="Arial" w:eastAsia="Arial" w:hint="default"/>
                <w:sz w:val="22"/>
                <w:szCs w:val="22"/>
              </w:rPr>
            </w:pPr>
            <w:r>
              <w:rPr>
                <w:rFonts w:ascii="Arial"/>
                <w:spacing w:val="-1"/>
                <w:sz w:val="22"/>
              </w:rPr>
              <w:t>13,676,658,541</w:t>
            </w:r>
          </w:p>
        </w:tc>
      </w:tr>
      <w:tr>
        <w:trPr>
          <w:trHeight w:val="358" w:hRule="exact"/>
        </w:trPr>
        <w:tc>
          <w:tcPr>
            <w:tcW w:w="4700" w:type="dxa"/>
            <w:tcBorders>
              <w:top w:val="nil" w:sz="6" w:space="0" w:color="auto"/>
              <w:left w:val="nil" w:sz="6" w:space="0" w:color="auto"/>
              <w:bottom w:val="nil" w:sz="6" w:space="0" w:color="auto"/>
              <w:right w:val="nil" w:sz="6" w:space="0" w:color="auto"/>
            </w:tcBorders>
          </w:tcPr>
          <w:p>
            <w:pPr>
              <w:pStyle w:val="TableParagraph"/>
              <w:spacing w:line="254" w:lineRule="exact"/>
              <w:ind w:right="0"/>
              <w:jc w:val="left"/>
              <w:rPr>
                <w:rFonts w:ascii="宋体" w:hAnsi="宋体" w:cs="宋体" w:eastAsia="宋体" w:hint="default"/>
                <w:sz w:val="22"/>
                <w:szCs w:val="22"/>
              </w:rPr>
            </w:pPr>
            <w:r>
              <w:rPr>
                <w:rFonts w:ascii="宋体" w:hAnsi="宋体" w:cs="宋体" w:eastAsia="宋体" w:hint="default"/>
                <w:sz w:val="22"/>
                <w:szCs w:val="22"/>
              </w:rPr>
              <w:t>按</w:t>
            </w:r>
            <w:r>
              <w:rPr>
                <w:rFonts w:ascii="宋体" w:hAnsi="宋体" w:cs="宋体" w:eastAsia="宋体" w:hint="default"/>
                <w:spacing w:val="-58"/>
                <w:sz w:val="22"/>
                <w:szCs w:val="22"/>
              </w:rPr>
              <w:t> </w:t>
            </w:r>
            <w:r>
              <w:rPr>
                <w:rFonts w:ascii="Arial" w:hAnsi="Arial" w:cs="Arial" w:eastAsia="Arial" w:hint="default"/>
                <w:sz w:val="22"/>
                <w:szCs w:val="22"/>
              </w:rPr>
              <w:t>25%</w:t>
            </w:r>
            <w:r>
              <w:rPr>
                <w:rFonts w:ascii="宋体" w:hAnsi="宋体" w:cs="宋体" w:eastAsia="宋体" w:hint="default"/>
                <w:sz w:val="22"/>
                <w:szCs w:val="22"/>
              </w:rPr>
              <w:t>计算的预期所得税</w:t>
            </w:r>
          </w:p>
        </w:tc>
        <w:tc>
          <w:tcPr>
            <w:tcW w:w="834" w:type="dxa"/>
            <w:tcBorders>
              <w:top w:val="nil" w:sz="6" w:space="0" w:color="auto"/>
              <w:left w:val="nil" w:sz="6" w:space="0" w:color="auto"/>
              <w:bottom w:val="nil" w:sz="6" w:space="0" w:color="auto"/>
              <w:right w:val="nil" w:sz="6" w:space="0" w:color="auto"/>
            </w:tcBorders>
          </w:tcPr>
          <w:p>
            <w:pP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1" w:right="0"/>
              <w:jc w:val="left"/>
              <w:rPr>
                <w:rFonts w:ascii="Arial" w:hAnsi="Arial" w:cs="Arial" w:eastAsia="Arial" w:hint="default"/>
                <w:sz w:val="22"/>
                <w:szCs w:val="22"/>
              </w:rPr>
            </w:pPr>
            <w:r>
              <w:rPr>
                <w:rFonts w:ascii="Arial"/>
                <w:sz w:val="22"/>
              </w:rPr>
              <w:t>3,959,123,917</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1"/>
              <w:jc w:val="right"/>
              <w:rPr>
                <w:rFonts w:ascii="Arial" w:hAnsi="Arial" w:cs="Arial" w:eastAsia="Arial" w:hint="default"/>
                <w:sz w:val="22"/>
                <w:szCs w:val="22"/>
              </w:rPr>
            </w:pPr>
            <w:r>
              <w:rPr>
                <w:rFonts w:ascii="Arial"/>
                <w:spacing w:val="-1"/>
                <w:sz w:val="22"/>
              </w:rPr>
              <w:t>3,419,164,635</w:t>
            </w:r>
          </w:p>
        </w:tc>
      </w:tr>
      <w:tr>
        <w:trPr>
          <w:trHeight w:val="415" w:hRule="exact"/>
        </w:trPr>
        <w:tc>
          <w:tcPr>
            <w:tcW w:w="470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left"/>
              <w:rPr>
                <w:rFonts w:ascii="宋体" w:hAnsi="宋体" w:cs="宋体" w:eastAsia="宋体" w:hint="default"/>
                <w:sz w:val="22"/>
                <w:szCs w:val="22"/>
              </w:rPr>
            </w:pPr>
            <w:r>
              <w:rPr>
                <w:rFonts w:ascii="宋体" w:hAnsi="宋体" w:cs="宋体" w:eastAsia="宋体" w:hint="default"/>
                <w:sz w:val="22"/>
                <w:szCs w:val="22"/>
              </w:rPr>
              <w:t>所得税影响调整：</w:t>
            </w:r>
          </w:p>
        </w:tc>
        <w:tc>
          <w:tcPr>
            <w:tcW w:w="834" w:type="dxa"/>
            <w:tcBorders>
              <w:top w:val="nil" w:sz="6" w:space="0" w:color="auto"/>
              <w:left w:val="nil" w:sz="6" w:space="0" w:color="auto"/>
              <w:bottom w:val="nil" w:sz="6" w:space="0" w:color="auto"/>
              <w:right w:val="nil" w:sz="6" w:space="0" w:color="auto"/>
            </w:tcBorders>
          </w:tcPr>
          <w:p>
            <w:pPr/>
          </w:p>
        </w:tc>
        <w:tc>
          <w:tcPr>
            <w:tcW w:w="1677"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
        </w:tc>
      </w:tr>
      <w:tr>
        <w:trPr>
          <w:trHeight w:val="371" w:hRule="exact"/>
        </w:trPr>
        <w:tc>
          <w:tcPr>
            <w:tcW w:w="470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left"/>
              <w:rPr>
                <w:rFonts w:ascii="宋体" w:hAnsi="宋体" w:cs="宋体" w:eastAsia="宋体" w:hint="default"/>
                <w:sz w:val="22"/>
                <w:szCs w:val="22"/>
              </w:rPr>
            </w:pPr>
            <w:r>
              <w:rPr>
                <w:rFonts w:ascii="宋体" w:hAnsi="宋体" w:cs="宋体" w:eastAsia="宋体" w:hint="default"/>
                <w:sz w:val="22"/>
                <w:szCs w:val="22"/>
              </w:rPr>
              <w:t>加：</w:t>
            </w:r>
            <w:r>
              <w:rPr>
                <w:rFonts w:ascii="Arial" w:hAnsi="Arial" w:cs="Arial" w:eastAsia="Arial" w:hint="default"/>
                <w:sz w:val="22"/>
                <w:szCs w:val="22"/>
              </w:rPr>
              <w:t>-</w:t>
            </w:r>
            <w:r>
              <w:rPr>
                <w:rFonts w:ascii="Arial" w:hAnsi="Arial" w:cs="Arial" w:eastAsia="Arial" w:hint="default"/>
                <w:spacing w:val="46"/>
                <w:sz w:val="22"/>
                <w:szCs w:val="22"/>
              </w:rPr>
              <w:t> </w:t>
            </w:r>
            <w:r>
              <w:rPr>
                <w:rFonts w:ascii="宋体" w:hAnsi="宋体" w:cs="宋体" w:eastAsia="宋体" w:hint="default"/>
                <w:sz w:val="22"/>
                <w:szCs w:val="22"/>
              </w:rPr>
              <w:t>不得扣除的成本、费用和损失</w:t>
            </w:r>
          </w:p>
        </w:tc>
        <w:tc>
          <w:tcPr>
            <w:tcW w:w="834" w:type="dxa"/>
            <w:tcBorders>
              <w:top w:val="nil" w:sz="6" w:space="0" w:color="auto"/>
              <w:left w:val="nil" w:sz="6" w:space="0" w:color="auto"/>
              <w:bottom w:val="nil" w:sz="6" w:space="0" w:color="auto"/>
              <w:right w:val="nil" w:sz="6" w:space="0" w:color="auto"/>
            </w:tcBorders>
          </w:tcPr>
          <w:p>
            <w:pP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3"/>
              <w:jc w:val="right"/>
              <w:rPr>
                <w:rFonts w:ascii="Arial" w:hAnsi="Arial" w:cs="Arial" w:eastAsia="Arial" w:hint="default"/>
                <w:sz w:val="22"/>
                <w:szCs w:val="22"/>
              </w:rPr>
            </w:pPr>
            <w:r>
              <w:rPr>
                <w:rFonts w:ascii="Arial"/>
                <w:spacing w:val="-1"/>
                <w:sz w:val="22"/>
              </w:rPr>
              <w:t>17,710,942</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1"/>
              <w:jc w:val="right"/>
              <w:rPr>
                <w:rFonts w:ascii="Arial" w:hAnsi="Arial" w:cs="Arial" w:eastAsia="Arial" w:hint="default"/>
                <w:sz w:val="22"/>
                <w:szCs w:val="22"/>
              </w:rPr>
            </w:pPr>
            <w:r>
              <w:rPr>
                <w:rFonts w:ascii="Arial"/>
                <w:spacing w:val="-1"/>
                <w:sz w:val="22"/>
              </w:rPr>
              <w:t>31,747,637</w:t>
            </w:r>
          </w:p>
        </w:tc>
      </w:tr>
      <w:tr>
        <w:trPr>
          <w:trHeight w:val="286" w:hRule="exact"/>
        </w:trPr>
        <w:tc>
          <w:tcPr>
            <w:tcW w:w="4700" w:type="dxa"/>
            <w:tcBorders>
              <w:top w:val="nil" w:sz="6" w:space="0" w:color="auto"/>
              <w:left w:val="nil" w:sz="6" w:space="0" w:color="auto"/>
              <w:bottom w:val="nil" w:sz="6" w:space="0" w:color="auto"/>
              <w:right w:val="nil" w:sz="6" w:space="0" w:color="auto"/>
            </w:tcBorders>
          </w:tcPr>
          <w:p>
            <w:pPr>
              <w:pStyle w:val="TableParagraph"/>
              <w:spacing w:line="255" w:lineRule="exact"/>
              <w:ind w:left="441" w:right="0"/>
              <w:jc w:val="left"/>
              <w:rPr>
                <w:rFonts w:ascii="宋体" w:hAnsi="宋体" w:cs="宋体" w:eastAsia="宋体" w:hint="default"/>
                <w:sz w:val="22"/>
                <w:szCs w:val="22"/>
              </w:rPr>
            </w:pPr>
            <w:r>
              <w:rPr>
                <w:rFonts w:ascii="Arial" w:hAnsi="Arial" w:cs="Arial" w:eastAsia="Arial" w:hint="default"/>
                <w:sz w:val="22"/>
                <w:szCs w:val="22"/>
              </w:rPr>
              <w:t>-</w:t>
            </w:r>
            <w:r>
              <w:rPr>
                <w:rFonts w:ascii="Arial" w:hAnsi="Arial" w:cs="Arial" w:eastAsia="Arial" w:hint="default"/>
                <w:spacing w:val="47"/>
                <w:sz w:val="22"/>
                <w:szCs w:val="22"/>
              </w:rPr>
              <w:t> </w:t>
            </w:r>
            <w:r>
              <w:rPr>
                <w:rFonts w:ascii="宋体" w:hAnsi="宋体" w:cs="宋体" w:eastAsia="宋体" w:hint="default"/>
                <w:sz w:val="22"/>
                <w:szCs w:val="22"/>
              </w:rPr>
              <w:t>当期汇算清缴差异</w:t>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9" w:right="0"/>
              <w:jc w:val="left"/>
              <w:rPr>
                <w:rFonts w:ascii="Arial" w:hAnsi="Arial" w:cs="Arial" w:eastAsia="Arial" w:hint="default"/>
                <w:sz w:val="22"/>
                <w:szCs w:val="22"/>
              </w:rPr>
            </w:pPr>
            <w:r>
              <w:rPr>
                <w:rFonts w:ascii="Arial"/>
                <w:sz w:val="22"/>
              </w:rPr>
              <w:t>(1)</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5"/>
              <w:jc w:val="right"/>
              <w:rPr>
                <w:rFonts w:ascii="Arial" w:hAnsi="Arial" w:cs="Arial" w:eastAsia="Arial" w:hint="default"/>
                <w:sz w:val="22"/>
                <w:szCs w:val="22"/>
              </w:rPr>
            </w:pPr>
            <w:r>
              <w:rPr>
                <w:rFonts w:ascii="Arial"/>
                <w:spacing w:val="-1"/>
                <w:sz w:val="22"/>
              </w:rPr>
              <w:t>(19,050,939)</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Arial" w:hAnsi="Arial" w:cs="Arial" w:eastAsia="Arial" w:hint="default"/>
                <w:sz w:val="22"/>
                <w:szCs w:val="22"/>
              </w:rPr>
            </w:pPr>
            <w:r>
              <w:rPr>
                <w:rFonts w:ascii="Arial"/>
                <w:spacing w:val="-1"/>
                <w:sz w:val="22"/>
              </w:rPr>
              <w:t>(20,413,299)</w:t>
            </w:r>
          </w:p>
        </w:tc>
      </w:tr>
      <w:tr>
        <w:trPr>
          <w:trHeight w:val="286" w:hRule="exact"/>
        </w:trPr>
        <w:tc>
          <w:tcPr>
            <w:tcW w:w="4700" w:type="dxa"/>
            <w:tcBorders>
              <w:top w:val="nil" w:sz="6" w:space="0" w:color="auto"/>
              <w:left w:val="nil" w:sz="6" w:space="0" w:color="auto"/>
              <w:bottom w:val="nil" w:sz="6" w:space="0" w:color="auto"/>
              <w:right w:val="nil" w:sz="6" w:space="0" w:color="auto"/>
            </w:tcBorders>
          </w:tcPr>
          <w:p>
            <w:pPr>
              <w:pStyle w:val="TableParagraph"/>
              <w:spacing w:line="255" w:lineRule="exact"/>
              <w:ind w:left="441" w:right="0"/>
              <w:jc w:val="left"/>
              <w:rPr>
                <w:rFonts w:ascii="宋体" w:hAnsi="宋体" w:cs="宋体" w:eastAsia="宋体" w:hint="default"/>
                <w:sz w:val="22"/>
                <w:szCs w:val="22"/>
              </w:rPr>
            </w:pPr>
            <w:r>
              <w:rPr>
                <w:rFonts w:ascii="Arial" w:hAnsi="Arial" w:cs="Arial" w:eastAsia="Arial" w:hint="default"/>
                <w:sz w:val="22"/>
                <w:szCs w:val="22"/>
              </w:rPr>
              <w:t>-</w:t>
            </w:r>
            <w:r>
              <w:rPr>
                <w:rFonts w:ascii="Arial" w:hAnsi="Arial" w:cs="Arial" w:eastAsia="Arial" w:hint="default"/>
                <w:spacing w:val="49"/>
                <w:sz w:val="22"/>
                <w:szCs w:val="22"/>
              </w:rPr>
              <w:t> </w:t>
            </w:r>
            <w:r>
              <w:rPr>
                <w:rFonts w:ascii="宋体" w:hAnsi="宋体" w:cs="宋体" w:eastAsia="宋体" w:hint="default"/>
                <w:sz w:val="22"/>
                <w:szCs w:val="22"/>
              </w:rPr>
              <w:t>税务检查（退还）</w:t>
            </w:r>
            <w:r>
              <w:rPr>
                <w:rFonts w:ascii="Arial" w:hAnsi="Arial" w:cs="Arial" w:eastAsia="Arial" w:hint="default"/>
                <w:sz w:val="22"/>
                <w:szCs w:val="22"/>
              </w:rPr>
              <w:t>/</w:t>
            </w:r>
            <w:r>
              <w:rPr>
                <w:rFonts w:ascii="宋体" w:hAnsi="宋体" w:cs="宋体" w:eastAsia="宋体" w:hint="default"/>
                <w:sz w:val="22"/>
                <w:szCs w:val="22"/>
              </w:rPr>
              <w:t>补缴税款</w:t>
            </w:r>
          </w:p>
        </w:tc>
        <w:tc>
          <w:tcPr>
            <w:tcW w:w="834" w:type="dxa"/>
            <w:tcBorders>
              <w:top w:val="nil" w:sz="6" w:space="0" w:color="auto"/>
              <w:left w:val="nil" w:sz="6" w:space="0" w:color="auto"/>
              <w:bottom w:val="nil" w:sz="6" w:space="0" w:color="auto"/>
              <w:right w:val="nil" w:sz="6" w:space="0" w:color="auto"/>
            </w:tcBorders>
          </w:tcPr>
          <w:p>
            <w:pP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5"/>
              <w:jc w:val="right"/>
              <w:rPr>
                <w:rFonts w:ascii="Arial" w:hAnsi="Arial" w:cs="Arial" w:eastAsia="Arial" w:hint="default"/>
                <w:sz w:val="22"/>
                <w:szCs w:val="22"/>
              </w:rPr>
            </w:pPr>
            <w:r>
              <w:rPr>
                <w:rFonts w:ascii="Arial"/>
                <w:spacing w:val="-1"/>
                <w:sz w:val="22"/>
              </w:rPr>
              <w:t>(47,040,154)</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0"/>
              <w:jc w:val="right"/>
              <w:rPr>
                <w:rFonts w:ascii="Arial" w:hAnsi="Arial" w:cs="Arial" w:eastAsia="Arial" w:hint="default"/>
                <w:sz w:val="22"/>
                <w:szCs w:val="22"/>
              </w:rPr>
            </w:pPr>
            <w:r>
              <w:rPr>
                <w:rFonts w:ascii="Arial"/>
                <w:sz w:val="22"/>
              </w:rPr>
              <w:t>1,268,404</w:t>
            </w:r>
          </w:p>
        </w:tc>
      </w:tr>
      <w:tr>
        <w:trPr>
          <w:trHeight w:val="284" w:hRule="exact"/>
        </w:trPr>
        <w:tc>
          <w:tcPr>
            <w:tcW w:w="4700" w:type="dxa"/>
            <w:tcBorders>
              <w:top w:val="nil" w:sz="6" w:space="0" w:color="auto"/>
              <w:left w:val="nil" w:sz="6" w:space="0" w:color="auto"/>
              <w:bottom w:val="nil" w:sz="6" w:space="0" w:color="auto"/>
              <w:right w:val="nil" w:sz="6" w:space="0" w:color="auto"/>
            </w:tcBorders>
          </w:tcPr>
          <w:p>
            <w:pPr>
              <w:pStyle w:val="TableParagraph"/>
              <w:spacing w:line="255" w:lineRule="exact"/>
              <w:ind w:left="441" w:right="0"/>
              <w:jc w:val="left"/>
              <w:rPr>
                <w:rFonts w:ascii="宋体" w:hAnsi="宋体" w:cs="宋体" w:eastAsia="宋体" w:hint="default"/>
                <w:sz w:val="22"/>
                <w:szCs w:val="22"/>
              </w:rPr>
            </w:pPr>
            <w:r>
              <w:rPr>
                <w:rFonts w:ascii="Arial" w:hAnsi="Arial" w:cs="Arial" w:eastAsia="Arial" w:hint="default"/>
                <w:sz w:val="22"/>
                <w:szCs w:val="22"/>
              </w:rPr>
              <w:t>-</w:t>
            </w:r>
            <w:r>
              <w:rPr>
                <w:rFonts w:ascii="Arial" w:hAnsi="Arial" w:cs="Arial" w:eastAsia="Arial" w:hint="default"/>
                <w:spacing w:val="46"/>
                <w:sz w:val="22"/>
                <w:szCs w:val="22"/>
              </w:rPr>
              <w:t> </w:t>
            </w:r>
            <w:r>
              <w:rPr>
                <w:rFonts w:ascii="宋体" w:hAnsi="宋体" w:cs="宋体" w:eastAsia="宋体" w:hint="default"/>
                <w:sz w:val="22"/>
                <w:szCs w:val="22"/>
              </w:rPr>
              <w:t>境外子公司利息收入被代扣代缴的所得税</w:t>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9" w:right="0"/>
              <w:jc w:val="left"/>
              <w:rPr>
                <w:rFonts w:ascii="Arial" w:hAnsi="Arial" w:cs="Arial" w:eastAsia="Arial" w:hint="default"/>
                <w:sz w:val="22"/>
                <w:szCs w:val="22"/>
              </w:rPr>
            </w:pPr>
            <w:r>
              <w:rPr>
                <w:rFonts w:ascii="Arial"/>
                <w:sz w:val="22"/>
              </w:rPr>
              <w:t>(2)</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3"/>
              <w:jc w:val="right"/>
              <w:rPr>
                <w:rFonts w:ascii="Arial" w:hAnsi="Arial" w:cs="Arial" w:eastAsia="Arial" w:hint="default"/>
                <w:sz w:val="22"/>
                <w:szCs w:val="22"/>
              </w:rPr>
            </w:pPr>
            <w:r>
              <w:rPr>
                <w:rFonts w:ascii="Arial"/>
                <w:spacing w:val="-1"/>
                <w:sz w:val="22"/>
              </w:rPr>
              <w:t>29,011,298</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1"/>
              <w:jc w:val="right"/>
              <w:rPr>
                <w:rFonts w:ascii="Arial" w:hAnsi="Arial" w:cs="Arial" w:eastAsia="Arial" w:hint="default"/>
                <w:sz w:val="22"/>
                <w:szCs w:val="22"/>
              </w:rPr>
            </w:pPr>
            <w:r>
              <w:rPr>
                <w:rFonts w:ascii="Arial"/>
                <w:spacing w:val="-1"/>
                <w:sz w:val="22"/>
              </w:rPr>
              <w:t>29,220,433</w:t>
            </w:r>
          </w:p>
        </w:tc>
      </w:tr>
      <w:tr>
        <w:trPr>
          <w:trHeight w:val="413" w:hRule="exact"/>
        </w:trPr>
        <w:tc>
          <w:tcPr>
            <w:tcW w:w="4700" w:type="dxa"/>
            <w:tcBorders>
              <w:top w:val="nil" w:sz="6" w:space="0" w:color="auto"/>
              <w:left w:val="nil" w:sz="6" w:space="0" w:color="auto"/>
              <w:bottom w:val="nil" w:sz="6" w:space="0" w:color="auto"/>
              <w:right w:val="nil" w:sz="6" w:space="0" w:color="auto"/>
            </w:tcBorders>
          </w:tcPr>
          <w:p>
            <w:pPr>
              <w:pStyle w:val="TableParagraph"/>
              <w:spacing w:line="254" w:lineRule="exact"/>
              <w:ind w:left="441" w:right="0"/>
              <w:jc w:val="left"/>
              <w:rPr>
                <w:rFonts w:ascii="宋体" w:hAnsi="宋体" w:cs="宋体" w:eastAsia="宋体" w:hint="default"/>
                <w:sz w:val="22"/>
                <w:szCs w:val="22"/>
              </w:rPr>
            </w:pPr>
            <w:r>
              <w:rPr>
                <w:rFonts w:ascii="Arial" w:hAnsi="Arial" w:cs="Arial" w:eastAsia="Arial" w:hint="default"/>
                <w:sz w:val="22"/>
                <w:szCs w:val="22"/>
              </w:rPr>
              <w:t>-</w:t>
            </w:r>
            <w:r>
              <w:rPr>
                <w:rFonts w:ascii="Arial" w:hAnsi="Arial" w:cs="Arial" w:eastAsia="Arial" w:hint="default"/>
                <w:spacing w:val="49"/>
                <w:sz w:val="22"/>
                <w:szCs w:val="22"/>
              </w:rPr>
              <w:t> </w:t>
            </w:r>
            <w:r>
              <w:rPr>
                <w:rFonts w:ascii="宋体" w:hAnsi="宋体" w:cs="宋体" w:eastAsia="宋体" w:hint="default"/>
                <w:sz w:val="22"/>
                <w:szCs w:val="22"/>
              </w:rPr>
              <w:t>其他</w:t>
            </w:r>
          </w:p>
        </w:tc>
        <w:tc>
          <w:tcPr>
            <w:tcW w:w="834" w:type="dxa"/>
            <w:tcBorders>
              <w:top w:val="nil" w:sz="6" w:space="0" w:color="auto"/>
              <w:left w:val="nil" w:sz="6" w:space="0" w:color="auto"/>
              <w:bottom w:val="nil" w:sz="6" w:space="0" w:color="auto"/>
              <w:right w:val="nil" w:sz="6" w:space="0" w:color="auto"/>
            </w:tcBorders>
          </w:tcPr>
          <w:p>
            <w:pP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3"/>
              <w:jc w:val="right"/>
              <w:rPr>
                <w:rFonts w:ascii="Arial" w:hAnsi="Arial" w:cs="Arial" w:eastAsia="Arial" w:hint="default"/>
                <w:sz w:val="22"/>
                <w:szCs w:val="22"/>
              </w:rPr>
            </w:pPr>
            <w:r>
              <w:rPr>
                <w:rFonts w:ascii="Arial"/>
                <w:spacing w:val="-1"/>
                <w:sz w:val="22"/>
              </w:rPr>
              <w:t>19,917,339</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1"/>
              <w:jc w:val="right"/>
              <w:rPr>
                <w:rFonts w:ascii="Arial" w:hAnsi="Arial" w:cs="Arial" w:eastAsia="Arial" w:hint="default"/>
                <w:sz w:val="22"/>
                <w:szCs w:val="22"/>
              </w:rPr>
            </w:pPr>
            <w:r>
              <w:rPr>
                <w:rFonts w:ascii="Arial"/>
                <w:spacing w:val="-1"/>
                <w:sz w:val="22"/>
              </w:rPr>
              <w:t>18,798,041</w:t>
            </w:r>
          </w:p>
        </w:tc>
      </w:tr>
      <w:tr>
        <w:trPr>
          <w:trHeight w:val="545" w:hRule="exact"/>
        </w:trPr>
        <w:tc>
          <w:tcPr>
            <w:tcW w:w="470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22"/>
                <w:szCs w:val="22"/>
              </w:rPr>
            </w:pPr>
            <w:r>
              <w:rPr>
                <w:rFonts w:ascii="宋体" w:hAnsi="宋体" w:cs="宋体" w:eastAsia="宋体" w:hint="default"/>
                <w:sz w:val="22"/>
                <w:szCs w:val="22"/>
              </w:rPr>
              <w:t>减：</w:t>
            </w:r>
            <w:r>
              <w:rPr>
                <w:rFonts w:ascii="Arial" w:hAnsi="Arial" w:cs="Arial" w:eastAsia="Arial" w:hint="default"/>
                <w:sz w:val="22"/>
                <w:szCs w:val="22"/>
              </w:rPr>
              <w:t>-</w:t>
            </w:r>
            <w:r>
              <w:rPr>
                <w:rFonts w:ascii="Arial" w:hAnsi="Arial" w:cs="Arial" w:eastAsia="Arial" w:hint="default"/>
                <w:spacing w:val="48"/>
                <w:sz w:val="22"/>
                <w:szCs w:val="22"/>
              </w:rPr>
              <w:t> </w:t>
            </w:r>
            <w:r>
              <w:rPr>
                <w:rFonts w:ascii="宋体" w:hAnsi="宋体" w:cs="宋体" w:eastAsia="宋体" w:hint="default"/>
                <w:sz w:val="22"/>
                <w:szCs w:val="22"/>
              </w:rPr>
              <w:t>子公司适用不同税率的影响</w:t>
            </w:r>
          </w:p>
        </w:tc>
        <w:tc>
          <w:tcPr>
            <w:tcW w:w="834" w:type="dxa"/>
            <w:tcBorders>
              <w:top w:val="nil" w:sz="6" w:space="0" w:color="auto"/>
              <w:left w:val="nil" w:sz="6" w:space="0" w:color="auto"/>
              <w:bottom w:val="nil" w:sz="6" w:space="0" w:color="auto"/>
              <w:right w:val="nil" w:sz="6" w:space="0" w:color="auto"/>
            </w:tcBorders>
          </w:tcPr>
          <w:p>
            <w:pPr>
              <w:pStyle w:val="TableParagraph"/>
              <w:tabs>
                <w:tab w:pos="1183" w:val="left" w:leader="none"/>
              </w:tabs>
              <w:spacing w:line="240" w:lineRule="auto" w:before="144"/>
              <w:ind w:left="129" w:right="-350"/>
              <w:jc w:val="left"/>
              <w:rPr>
                <w:rFonts w:ascii="Arial" w:hAnsi="Arial" w:cs="Arial" w:eastAsia="Arial" w:hint="default"/>
                <w:sz w:val="22"/>
                <w:szCs w:val="22"/>
              </w:rPr>
            </w:pPr>
            <w:r>
              <w:rPr>
                <w:rFonts w:ascii="Arial"/>
                <w:sz w:val="22"/>
              </w:rPr>
              <w:t>(3)  </w:t>
            </w:r>
            <w:r>
              <w:rPr>
                <w:rFonts w:ascii="Arial"/>
                <w:spacing w:val="2"/>
                <w:sz w:val="22"/>
              </w:rPr>
              <w:t> </w:t>
            </w:r>
            <w:r>
              <w:rPr>
                <w:rFonts w:ascii="Arial"/>
                <w:spacing w:val="2"/>
                <w:w w:val="100"/>
                <w:sz w:val="22"/>
              </w:rPr>
            </w:r>
            <w:r>
              <w:rPr>
                <w:rFonts w:ascii="Arial"/>
                <w:w w:val="100"/>
                <w:sz w:val="22"/>
                <w:u w:val="single" w:color="000000"/>
              </w:rPr>
              <w:t> </w:t>
            </w:r>
            <w:r>
              <w:rPr>
                <w:rFonts w:ascii="Arial"/>
                <w:sz w:val="22"/>
                <w:u w:val="single" w:color="000000"/>
              </w:rPr>
              <w:tab/>
            </w:r>
            <w:r>
              <w:rPr>
                <w:rFonts w:ascii="Arial"/>
                <w:sz w:val="22"/>
              </w:rPr>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75"/>
              <w:jc w:val="right"/>
              <w:rPr>
                <w:rFonts w:ascii="Arial" w:hAnsi="Arial" w:cs="Arial" w:eastAsia="Arial" w:hint="default"/>
                <w:sz w:val="22"/>
                <w:szCs w:val="22"/>
              </w:rPr>
            </w:pPr>
            <w:r>
              <w:rPr>
                <w:rFonts w:ascii="Arial"/>
                <w:w w:val="100"/>
                <w:sz w:val="22"/>
              </w:rPr>
            </w:r>
            <w:r>
              <w:rPr>
                <w:rFonts w:ascii="Arial"/>
                <w:spacing w:val="-1"/>
                <w:sz w:val="22"/>
                <w:u w:val="single" w:color="000000"/>
              </w:rPr>
              <w:t>(91,066,346)</w:t>
            </w:r>
            <w:r>
              <w:rPr>
                <w:rFonts w:ascii="Arial"/>
                <w:spacing w:val="-1"/>
                <w:sz w:val="22"/>
              </w:rPr>
            </w:r>
          </w:p>
        </w:tc>
        <w:tc>
          <w:tcPr>
            <w:tcW w:w="1846" w:type="dxa"/>
            <w:tcBorders>
              <w:top w:val="nil" w:sz="6" w:space="0" w:color="auto"/>
              <w:left w:val="nil" w:sz="6" w:space="0" w:color="auto"/>
              <w:bottom w:val="nil" w:sz="6" w:space="0" w:color="auto"/>
              <w:right w:val="nil" w:sz="6" w:space="0" w:color="auto"/>
            </w:tcBorders>
          </w:tcPr>
          <w:p>
            <w:pPr>
              <w:pStyle w:val="TableParagraph"/>
              <w:tabs>
                <w:tab w:pos="559" w:val="left" w:leader="none"/>
              </w:tabs>
              <w:spacing w:line="240" w:lineRule="auto" w:before="144"/>
              <w:ind w:right="34"/>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(95,563,589)</w:t>
            </w:r>
            <w:r>
              <w:rPr>
                <w:rFonts w:ascii="Arial"/>
                <w:spacing w:val="-1"/>
                <w:sz w:val="22"/>
              </w:rPr>
            </w:r>
          </w:p>
        </w:tc>
      </w:tr>
      <w:tr>
        <w:trPr>
          <w:trHeight w:val="410" w:hRule="exact"/>
        </w:trPr>
        <w:tc>
          <w:tcPr>
            <w:tcW w:w="4700" w:type="dxa"/>
            <w:tcBorders>
              <w:top w:val="nil" w:sz="6" w:space="0" w:color="auto"/>
              <w:left w:val="nil" w:sz="6" w:space="0" w:color="auto"/>
              <w:bottom w:val="single" w:sz="1" w:space="0" w:color="FFFF99"/>
              <w:right w:val="nil" w:sz="6" w:space="0" w:color="auto"/>
            </w:tcBorders>
          </w:tcPr>
          <w:p>
            <w:pPr>
              <w:pStyle w:val="TableParagraph"/>
              <w:spacing w:line="240" w:lineRule="auto" w:before="84"/>
              <w:ind w:right="0"/>
              <w:jc w:val="left"/>
              <w:rPr>
                <w:rFonts w:ascii="宋体" w:hAnsi="宋体" w:cs="宋体" w:eastAsia="宋体" w:hint="default"/>
                <w:sz w:val="22"/>
                <w:szCs w:val="22"/>
              </w:rPr>
            </w:pPr>
            <w:r>
              <w:rPr>
                <w:rFonts w:ascii="宋体" w:hAnsi="宋体" w:cs="宋体" w:eastAsia="宋体" w:hint="default"/>
                <w:sz w:val="22"/>
                <w:szCs w:val="22"/>
              </w:rPr>
              <w:t>所得税费用</w:t>
            </w:r>
          </w:p>
        </w:tc>
        <w:tc>
          <w:tcPr>
            <w:tcW w:w="834" w:type="dxa"/>
            <w:tcBorders>
              <w:top w:val="nil" w:sz="6" w:space="0" w:color="auto"/>
              <w:left w:val="nil" w:sz="6" w:space="0" w:color="auto"/>
              <w:bottom w:val="single" w:sz="4" w:space="0" w:color="000000"/>
              <w:right w:val="nil" w:sz="6" w:space="0" w:color="auto"/>
            </w:tcBorders>
          </w:tcPr>
          <w:p>
            <w:pPr/>
          </w:p>
        </w:tc>
        <w:tc>
          <w:tcPr>
            <w:tcW w:w="1677" w:type="dxa"/>
            <w:tcBorders>
              <w:top w:val="nil" w:sz="6" w:space="0" w:color="auto"/>
              <w:left w:val="nil" w:sz="6" w:space="0" w:color="auto"/>
              <w:bottom w:val="single" w:sz="4" w:space="0" w:color="000000"/>
              <w:right w:val="nil" w:sz="6" w:space="0" w:color="auto"/>
            </w:tcBorders>
          </w:tcPr>
          <w:p>
            <w:pPr>
              <w:pStyle w:val="TableParagraph"/>
              <w:spacing w:line="240" w:lineRule="auto" w:before="152"/>
              <w:ind w:left="121" w:right="0"/>
              <w:jc w:val="left"/>
              <w:rPr>
                <w:rFonts w:ascii="Arial" w:hAnsi="Arial" w:cs="Arial" w:eastAsia="Arial" w:hint="default"/>
                <w:sz w:val="22"/>
                <w:szCs w:val="22"/>
              </w:rPr>
            </w:pPr>
            <w:r>
              <w:rPr>
                <w:rFonts w:ascii="Arial"/>
                <w:sz w:val="22"/>
              </w:rPr>
              <w:t>3,868,606,057</w:t>
            </w:r>
          </w:p>
        </w:tc>
        <w:tc>
          <w:tcPr>
            <w:tcW w:w="1846" w:type="dxa"/>
            <w:tcBorders>
              <w:top w:val="nil" w:sz="6" w:space="0" w:color="auto"/>
              <w:left w:val="nil" w:sz="6" w:space="0" w:color="auto"/>
              <w:bottom w:val="single" w:sz="4" w:space="0" w:color="000000"/>
              <w:right w:val="nil" w:sz="6" w:space="0" w:color="auto"/>
            </w:tcBorders>
          </w:tcPr>
          <w:p>
            <w:pPr>
              <w:pStyle w:val="TableParagraph"/>
              <w:spacing w:line="240" w:lineRule="auto" w:before="154"/>
              <w:ind w:right="88"/>
              <w:jc w:val="right"/>
              <w:rPr>
                <w:rFonts w:ascii="Arial" w:hAnsi="Arial" w:cs="Arial" w:eastAsia="Arial" w:hint="default"/>
                <w:sz w:val="22"/>
                <w:szCs w:val="22"/>
              </w:rPr>
            </w:pPr>
            <w:r>
              <w:rPr>
                <w:rFonts w:ascii="Arial"/>
                <w:spacing w:val="-1"/>
                <w:sz w:val="22"/>
              </w:rPr>
              <w:t>3,384,222,262</w:t>
            </w:r>
          </w:p>
        </w:tc>
      </w:tr>
    </w:tbl>
    <w:p>
      <w:pPr>
        <w:spacing w:after="0" w:line="240" w:lineRule="auto"/>
        <w:jc w:val="right"/>
        <w:rPr>
          <w:rFonts w:ascii="Arial" w:hAnsi="Arial" w:cs="Arial" w:eastAsia="Arial" w:hint="default"/>
          <w:sz w:val="22"/>
          <w:szCs w:val="22"/>
        </w:rPr>
        <w:sectPr>
          <w:headerReference w:type="default" r:id="rId115"/>
          <w:pgSz w:w="11910" w:h="16840"/>
          <w:pgMar w:header="1185" w:footer="635" w:top="3040" w:bottom="820" w:left="1280" w:right="900"/>
        </w:sectPr>
      </w:pPr>
    </w:p>
    <w:p>
      <w:pPr>
        <w:spacing w:line="240" w:lineRule="auto" w:before="10"/>
        <w:rPr>
          <w:rFonts w:ascii="宋体" w:hAnsi="宋体" w:cs="宋体" w:eastAsia="宋体" w:hint="default"/>
          <w:sz w:val="16"/>
          <w:szCs w:val="16"/>
        </w:rPr>
      </w:pPr>
    </w:p>
    <w:p>
      <w:pPr>
        <w:pStyle w:val="BodyText"/>
        <w:spacing w:line="240" w:lineRule="auto" w:before="32"/>
        <w:ind w:left="102" w:right="106"/>
        <w:jc w:val="left"/>
      </w:pPr>
      <w:r>
        <w:rPr>
          <w:rFonts w:ascii="Arial" w:hAnsi="Arial" w:cs="Arial" w:eastAsia="Arial" w:hint="default"/>
        </w:rPr>
        <w:t>45</w:t>
      </w:r>
      <w:r>
        <w:rPr/>
        <w:t>、所得税（续）</w:t>
      </w:r>
    </w:p>
    <w:p>
      <w:pPr>
        <w:spacing w:line="240" w:lineRule="auto" w:before="0"/>
        <w:rPr>
          <w:rFonts w:ascii="宋体" w:hAnsi="宋体" w:cs="宋体" w:eastAsia="宋体" w:hint="default"/>
          <w:sz w:val="20"/>
          <w:szCs w:val="20"/>
        </w:rPr>
      </w:pPr>
    </w:p>
    <w:p>
      <w:pPr>
        <w:pStyle w:val="BodyText"/>
        <w:spacing w:line="286" w:lineRule="exact"/>
        <w:ind w:left="522" w:right="145" w:hanging="420"/>
        <w:jc w:val="both"/>
      </w:pPr>
      <w:r>
        <w:rPr>
          <w:rFonts w:ascii="Arial" w:hAnsi="Arial" w:cs="Arial" w:eastAsia="Arial" w:hint="default"/>
        </w:rPr>
        <w:t>(1)</w:t>
      </w:r>
      <w:r>
        <w:rPr>
          <w:rFonts w:ascii="Arial" w:hAnsi="Arial" w:cs="Arial" w:eastAsia="Arial" w:hint="default"/>
          <w:spacing w:val="19"/>
        </w:rPr>
        <w:t> </w:t>
      </w:r>
      <w:r>
        <w:rPr/>
        <w:t>本集团在年度企业所得税汇算清缴时，因前期与税务机关就部分税前可抵扣项目的认定存在差</w:t>
      </w:r>
      <w:r>
        <w:rPr>
          <w:w w:val="100"/>
        </w:rPr>
        <w:t> </w:t>
      </w:r>
      <w:r>
        <w:rPr/>
        <w:t>异，经与主管税务机关确认后退回</w:t>
      </w:r>
      <w:r>
        <w:rPr>
          <w:rFonts w:ascii="Arial" w:hAnsi="Arial" w:cs="Arial" w:eastAsia="Arial" w:hint="default"/>
        </w:rPr>
        <w:t>/</w:t>
      </w:r>
      <w:r>
        <w:rPr/>
        <w:t>补缴企业所得税。</w:t>
      </w:r>
    </w:p>
    <w:p>
      <w:pPr>
        <w:spacing w:line="240" w:lineRule="auto" w:before="4"/>
        <w:rPr>
          <w:rFonts w:ascii="宋体" w:hAnsi="宋体" w:cs="宋体" w:eastAsia="宋体" w:hint="default"/>
          <w:sz w:val="19"/>
          <w:szCs w:val="19"/>
        </w:rPr>
      </w:pPr>
    </w:p>
    <w:p>
      <w:pPr>
        <w:pStyle w:val="BodyText"/>
        <w:spacing w:line="286" w:lineRule="exact"/>
        <w:ind w:left="522" w:right="145" w:hanging="420"/>
        <w:jc w:val="both"/>
      </w:pPr>
      <w:r>
        <w:rPr>
          <w:rFonts w:ascii="Arial" w:hAnsi="Arial" w:cs="Arial" w:eastAsia="Arial" w:hint="default"/>
        </w:rPr>
        <w:t>(2)</w:t>
      </w:r>
      <w:r>
        <w:rPr>
          <w:rFonts w:ascii="Arial" w:hAnsi="Arial" w:cs="Arial" w:eastAsia="Arial" w:hint="default"/>
          <w:spacing w:val="18"/>
        </w:rPr>
        <w:t> </w:t>
      </w:r>
      <w:r>
        <w:rPr/>
        <w:t>亿讯公司为联通红筹公司在境外注册的全资子公司，因联通红筹公司被认定为中国居民企业，</w:t>
      </w:r>
      <w:r>
        <w:rPr>
          <w:w w:val="100"/>
        </w:rPr>
        <w:t> </w:t>
      </w:r>
      <w:r>
        <w:rPr>
          <w:spacing w:val="-2"/>
        </w:rPr>
        <w:t>亿讯公司就收到的来源于联通红筹公司利息收入，需按照中国企业所得税法规定，由联通红筹</w:t>
      </w:r>
      <w:r>
        <w:rPr>
          <w:w w:val="100"/>
        </w:rPr>
        <w:t> </w:t>
      </w:r>
      <w:r>
        <w:rPr/>
        <w:t>公司代扣代缴所得税，并记录为亿讯公司所得税费用。</w:t>
      </w:r>
    </w:p>
    <w:p>
      <w:pPr>
        <w:spacing w:line="240" w:lineRule="auto" w:before="3"/>
        <w:rPr>
          <w:rFonts w:ascii="宋体" w:hAnsi="宋体" w:cs="宋体" w:eastAsia="宋体" w:hint="default"/>
          <w:sz w:val="19"/>
          <w:szCs w:val="19"/>
        </w:rPr>
      </w:pPr>
    </w:p>
    <w:p>
      <w:pPr>
        <w:pStyle w:val="BodyText"/>
        <w:spacing w:line="286" w:lineRule="exact"/>
        <w:ind w:left="522" w:right="135" w:hanging="420"/>
        <w:jc w:val="both"/>
      </w:pPr>
      <w:r>
        <w:rPr>
          <w:rFonts w:ascii="Arial" w:hAnsi="Arial" w:cs="Arial" w:eastAsia="Arial" w:hint="default"/>
        </w:rPr>
        <w:t>(3)</w:t>
      </w:r>
      <w:r>
        <w:rPr>
          <w:rFonts w:ascii="Arial" w:hAnsi="Arial" w:cs="Arial" w:eastAsia="Arial" w:hint="default"/>
          <w:spacing w:val="30"/>
        </w:rPr>
        <w:t> </w:t>
      </w:r>
      <w:r>
        <w:rPr/>
        <w:t>子公司适用不同税率的影响包括本集团中的若干子公司及分公司享受的优惠税率及境外子公司</w:t>
      </w:r>
      <w:r>
        <w:rPr>
          <w:w w:val="100"/>
        </w:rPr>
        <w:t> </w:t>
      </w:r>
      <w:r>
        <w:rPr/>
        <w:t>不同税率的影响，参见附注四</w:t>
      </w:r>
      <w:r>
        <w:rPr>
          <w:rFonts w:ascii="Arial" w:hAnsi="Arial" w:cs="Arial" w:eastAsia="Arial" w:hint="default"/>
        </w:rPr>
        <w:t>(3)(b)</w:t>
      </w:r>
      <w:r>
        <w:rPr/>
        <w:t>、附注四</w:t>
      </w:r>
      <w:r>
        <w:rPr>
          <w:rFonts w:ascii="Arial" w:hAnsi="Arial" w:cs="Arial" w:eastAsia="Arial" w:hint="default"/>
        </w:rPr>
        <w:t>(3)(c)</w:t>
      </w:r>
      <w:r>
        <w:rPr>
          <w:rFonts w:ascii="Arial" w:hAnsi="Arial" w:cs="Arial" w:eastAsia="Arial" w:hint="default"/>
          <w:spacing w:val="38"/>
        </w:rPr>
        <w:t> </w:t>
      </w:r>
      <w:r>
        <w:rPr/>
        <w:t>及附注四</w:t>
      </w:r>
      <w:r>
        <w:rPr>
          <w:rFonts w:ascii="Arial" w:hAnsi="Arial" w:cs="Arial" w:eastAsia="Arial" w:hint="default"/>
        </w:rPr>
        <w:t>(3)(d)</w:t>
      </w:r>
      <w:r>
        <w:rPr/>
        <w:t>。</w:t>
      </w:r>
    </w:p>
    <w:p>
      <w:pPr>
        <w:spacing w:line="240" w:lineRule="auto" w:before="1"/>
        <w:rPr>
          <w:rFonts w:ascii="宋体" w:hAnsi="宋体" w:cs="宋体" w:eastAsia="宋体" w:hint="default"/>
          <w:sz w:val="17"/>
          <w:szCs w:val="17"/>
        </w:rPr>
      </w:pPr>
    </w:p>
    <w:p>
      <w:pPr>
        <w:pStyle w:val="BodyText"/>
        <w:spacing w:line="240" w:lineRule="auto"/>
        <w:ind w:left="102" w:right="106"/>
        <w:jc w:val="left"/>
      </w:pPr>
      <w:r>
        <w:rPr>
          <w:rFonts w:ascii="Arial" w:hAnsi="Arial" w:cs="Arial" w:eastAsia="Arial" w:hint="default"/>
        </w:rPr>
        <w:t>(b) </w:t>
      </w:r>
      <w:r>
        <w:rPr>
          <w:rFonts w:ascii="Arial" w:hAnsi="Arial" w:cs="Arial" w:eastAsia="Arial" w:hint="default"/>
          <w:spacing w:val="25"/>
        </w:rPr>
        <w:t> </w:t>
      </w:r>
      <w:r>
        <w:rPr/>
        <w:t>递延所得税资产及负债的变动如下：</w:t>
      </w:r>
    </w:p>
    <w:p>
      <w:pPr>
        <w:spacing w:line="240" w:lineRule="auto" w:before="3"/>
        <w:rPr>
          <w:rFonts w:ascii="宋体" w:hAnsi="宋体" w:cs="宋体" w:eastAsia="宋体" w:hint="default"/>
          <w:sz w:val="23"/>
          <w:szCs w:val="23"/>
        </w:rPr>
      </w:pPr>
    </w:p>
    <w:tbl>
      <w:tblPr>
        <w:tblW w:w="0" w:type="auto"/>
        <w:jc w:val="left"/>
        <w:tblInd w:w="351" w:type="dxa"/>
        <w:tblLayout w:type="fixed"/>
        <w:tblCellMar>
          <w:top w:w="0" w:type="dxa"/>
          <w:left w:w="0" w:type="dxa"/>
          <w:bottom w:w="0" w:type="dxa"/>
          <w:right w:w="0" w:type="dxa"/>
        </w:tblCellMar>
        <w:tblLook w:val="01E0"/>
      </w:tblPr>
      <w:tblGrid>
        <w:gridCol w:w="5332"/>
        <w:gridCol w:w="1980"/>
        <w:gridCol w:w="1908"/>
      </w:tblGrid>
      <w:tr>
        <w:trPr>
          <w:trHeight w:val="264" w:hRule="exact"/>
        </w:trPr>
        <w:tc>
          <w:tcPr>
            <w:tcW w:w="5332"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single" w:sz="6" w:space="0" w:color="000000"/>
              <w:right w:val="nil" w:sz="6" w:space="0" w:color="auto"/>
            </w:tcBorders>
          </w:tcPr>
          <w:p>
            <w:pPr>
              <w:pStyle w:val="TableParagraph"/>
              <w:spacing w:line="236" w:lineRule="exact"/>
              <w:ind w:right="139"/>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908" w:type="dxa"/>
            <w:tcBorders>
              <w:top w:val="nil" w:sz="6" w:space="0" w:color="auto"/>
              <w:left w:val="nil" w:sz="6" w:space="0" w:color="auto"/>
              <w:bottom w:val="single" w:sz="6" w:space="0" w:color="000000"/>
              <w:right w:val="nil" w:sz="6" w:space="0" w:color="auto"/>
            </w:tcBorders>
          </w:tcPr>
          <w:p>
            <w:pPr>
              <w:pStyle w:val="TableParagraph"/>
              <w:spacing w:line="236" w:lineRule="exact"/>
              <w:ind w:right="67"/>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289" w:hRule="exact"/>
        </w:trPr>
        <w:tc>
          <w:tcPr>
            <w:tcW w:w="5332" w:type="dxa"/>
            <w:tcBorders>
              <w:top w:val="nil" w:sz="6" w:space="0" w:color="auto"/>
              <w:left w:val="nil" w:sz="6" w:space="0" w:color="auto"/>
              <w:bottom w:val="nil" w:sz="6" w:space="0" w:color="auto"/>
              <w:right w:val="nil" w:sz="6" w:space="0" w:color="auto"/>
            </w:tcBorders>
          </w:tcPr>
          <w:p>
            <w:pPr>
              <w:pStyle w:val="TableParagraph"/>
              <w:spacing w:line="257" w:lineRule="exact"/>
              <w:ind w:left="200" w:right="0"/>
              <w:jc w:val="left"/>
              <w:rPr>
                <w:rFonts w:ascii="宋体" w:hAnsi="宋体" w:cs="宋体" w:eastAsia="宋体" w:hint="default"/>
                <w:sz w:val="22"/>
                <w:szCs w:val="22"/>
              </w:rPr>
            </w:pPr>
            <w:r>
              <w:rPr>
                <w:rFonts w:ascii="宋体" w:hAnsi="宋体" w:cs="宋体" w:eastAsia="宋体" w:hint="default"/>
                <w:sz w:val="22"/>
                <w:szCs w:val="22"/>
              </w:rPr>
              <w:t>递延所得税资产：</w:t>
            </w:r>
          </w:p>
        </w:tc>
        <w:tc>
          <w:tcPr>
            <w:tcW w:w="1980" w:type="dxa"/>
            <w:tcBorders>
              <w:top w:val="single" w:sz="6" w:space="0" w:color="000000"/>
              <w:left w:val="nil" w:sz="6" w:space="0" w:color="auto"/>
              <w:bottom w:val="nil" w:sz="6" w:space="0" w:color="auto"/>
              <w:right w:val="nil" w:sz="6" w:space="0" w:color="auto"/>
            </w:tcBorders>
          </w:tcPr>
          <w:p>
            <w:pPr/>
          </w:p>
        </w:tc>
        <w:tc>
          <w:tcPr>
            <w:tcW w:w="1908" w:type="dxa"/>
            <w:tcBorders>
              <w:top w:val="single" w:sz="6" w:space="0" w:color="000000"/>
              <w:left w:val="nil" w:sz="6" w:space="0" w:color="auto"/>
              <w:bottom w:val="nil" w:sz="6" w:space="0" w:color="auto"/>
              <w:right w:val="nil" w:sz="6" w:space="0" w:color="auto"/>
            </w:tcBorders>
          </w:tcPr>
          <w:p>
            <w:pPr/>
          </w:p>
        </w:tc>
      </w:tr>
      <w:tr>
        <w:trPr>
          <w:trHeight w:val="300" w:hRule="exact"/>
        </w:trPr>
        <w:tc>
          <w:tcPr>
            <w:tcW w:w="5332" w:type="dxa"/>
            <w:tcBorders>
              <w:top w:val="nil" w:sz="6" w:space="0" w:color="auto"/>
              <w:left w:val="nil" w:sz="6" w:space="0" w:color="auto"/>
              <w:bottom w:val="nil" w:sz="6" w:space="0" w:color="auto"/>
              <w:right w:val="nil" w:sz="6" w:space="0" w:color="auto"/>
            </w:tcBorders>
          </w:tcPr>
          <w:p>
            <w:pPr>
              <w:pStyle w:val="TableParagraph"/>
              <w:spacing w:line="253" w:lineRule="exact"/>
              <w:ind w:left="442" w:right="0"/>
              <w:jc w:val="left"/>
              <w:rPr>
                <w:rFonts w:ascii="宋体" w:hAnsi="宋体" w:cs="宋体" w:eastAsia="宋体" w:hint="default"/>
                <w:sz w:val="22"/>
                <w:szCs w:val="22"/>
              </w:rPr>
            </w:pPr>
            <w:r>
              <w:rPr>
                <w:rFonts w:ascii="宋体" w:hAnsi="宋体" w:cs="宋体" w:eastAsia="宋体" w:hint="default"/>
                <w:sz w:val="22"/>
                <w:szCs w:val="22"/>
              </w:rPr>
              <w:t>期初余额</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63"/>
              <w:jc w:val="right"/>
              <w:rPr>
                <w:rFonts w:ascii="Arial" w:hAnsi="Arial" w:cs="Arial" w:eastAsia="Arial" w:hint="default"/>
                <w:sz w:val="22"/>
                <w:szCs w:val="22"/>
              </w:rPr>
            </w:pPr>
            <w:r>
              <w:rPr>
                <w:rFonts w:ascii="Arial"/>
                <w:spacing w:val="-1"/>
                <w:sz w:val="22"/>
              </w:rPr>
              <w:t>5,180,414,136</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71"/>
              <w:jc w:val="right"/>
              <w:rPr>
                <w:rFonts w:ascii="Arial" w:hAnsi="Arial" w:cs="Arial" w:eastAsia="Arial" w:hint="default"/>
                <w:sz w:val="22"/>
                <w:szCs w:val="22"/>
              </w:rPr>
            </w:pPr>
            <w:r>
              <w:rPr>
                <w:rFonts w:ascii="Arial"/>
                <w:spacing w:val="-1"/>
                <w:sz w:val="22"/>
              </w:rPr>
              <w:t>5,058,391,277</w:t>
            </w:r>
          </w:p>
        </w:tc>
      </w:tr>
      <w:tr>
        <w:trPr>
          <w:trHeight w:val="284" w:hRule="exact"/>
        </w:trPr>
        <w:tc>
          <w:tcPr>
            <w:tcW w:w="5332" w:type="dxa"/>
            <w:tcBorders>
              <w:top w:val="nil" w:sz="6" w:space="0" w:color="auto"/>
              <w:left w:val="nil" w:sz="6" w:space="0" w:color="auto"/>
              <w:bottom w:val="nil" w:sz="6" w:space="0" w:color="auto"/>
              <w:right w:val="nil" w:sz="6" w:space="0" w:color="auto"/>
            </w:tcBorders>
          </w:tcPr>
          <w:p>
            <w:pPr>
              <w:pStyle w:val="TableParagraph"/>
              <w:spacing w:line="239" w:lineRule="exact"/>
              <w:ind w:left="442" w:right="0"/>
              <w:jc w:val="left"/>
              <w:rPr>
                <w:rFonts w:ascii="宋体" w:hAnsi="宋体" w:cs="宋体" w:eastAsia="宋体" w:hint="default"/>
                <w:sz w:val="22"/>
                <w:szCs w:val="22"/>
              </w:rPr>
            </w:pPr>
            <w:r>
              <w:rPr>
                <w:rFonts w:ascii="宋体" w:hAnsi="宋体" w:cs="宋体" w:eastAsia="宋体" w:hint="default"/>
                <w:sz w:val="22"/>
                <w:szCs w:val="22"/>
              </w:rPr>
              <w:t>计入利润表的递延所得税</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4"/>
              <w:jc w:val="right"/>
              <w:rPr>
                <w:rFonts w:ascii="Arial" w:hAnsi="Arial" w:cs="Arial" w:eastAsia="Arial" w:hint="default"/>
                <w:sz w:val="22"/>
                <w:szCs w:val="22"/>
              </w:rPr>
            </w:pPr>
            <w:r>
              <w:rPr>
                <w:rFonts w:ascii="Arial"/>
                <w:spacing w:val="-1"/>
                <w:sz w:val="22"/>
              </w:rPr>
              <w:t>(673,526,519)</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1"/>
              <w:jc w:val="right"/>
              <w:rPr>
                <w:rFonts w:ascii="Arial" w:hAnsi="Arial" w:cs="Arial" w:eastAsia="Arial" w:hint="default"/>
                <w:sz w:val="22"/>
                <w:szCs w:val="22"/>
              </w:rPr>
            </w:pPr>
            <w:r>
              <w:rPr>
                <w:rFonts w:ascii="Arial"/>
                <w:spacing w:val="-1"/>
                <w:sz w:val="22"/>
              </w:rPr>
              <w:t>360,727,011</w:t>
            </w:r>
          </w:p>
        </w:tc>
      </w:tr>
      <w:tr>
        <w:trPr>
          <w:trHeight w:val="286" w:hRule="exact"/>
        </w:trPr>
        <w:tc>
          <w:tcPr>
            <w:tcW w:w="5332" w:type="dxa"/>
            <w:tcBorders>
              <w:top w:val="nil" w:sz="6" w:space="0" w:color="auto"/>
              <w:left w:val="nil" w:sz="6" w:space="0" w:color="auto"/>
              <w:bottom w:val="nil" w:sz="6" w:space="0" w:color="auto"/>
              <w:right w:val="nil" w:sz="6" w:space="0" w:color="auto"/>
            </w:tcBorders>
          </w:tcPr>
          <w:p>
            <w:pPr>
              <w:pStyle w:val="TableParagraph"/>
              <w:spacing w:line="238" w:lineRule="exact"/>
              <w:ind w:left="442" w:right="0"/>
              <w:jc w:val="left"/>
              <w:rPr>
                <w:rFonts w:ascii="宋体" w:hAnsi="宋体" w:cs="宋体" w:eastAsia="宋体" w:hint="default"/>
                <w:sz w:val="22"/>
                <w:szCs w:val="22"/>
              </w:rPr>
            </w:pPr>
            <w:r>
              <w:rPr>
                <w:rFonts w:ascii="宋体" w:hAnsi="宋体" w:cs="宋体" w:eastAsia="宋体" w:hint="default"/>
                <w:sz w:val="22"/>
                <w:szCs w:val="22"/>
              </w:rPr>
              <w:t>可供出售金融资产公允价值变动对应的递延所得税</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3"/>
              <w:jc w:val="right"/>
              <w:rPr>
                <w:rFonts w:ascii="Arial" w:hAnsi="Arial" w:cs="Arial" w:eastAsia="Arial" w:hint="default"/>
                <w:sz w:val="22"/>
                <w:szCs w:val="22"/>
              </w:rPr>
            </w:pPr>
            <w:r>
              <w:rPr>
                <w:rFonts w:ascii="Arial"/>
                <w:spacing w:val="-1"/>
                <w:sz w:val="22"/>
              </w:rPr>
              <w:t>173,434,819</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Arial" w:hAnsi="Arial" w:cs="Arial" w:eastAsia="Arial" w:hint="default"/>
                <w:sz w:val="22"/>
                <w:szCs w:val="22"/>
              </w:rPr>
            </w:pPr>
            <w:r>
              <w:rPr>
                <w:rFonts w:ascii="Arial"/>
                <w:spacing w:val="-1"/>
                <w:sz w:val="22"/>
              </w:rPr>
              <w:t>(239,477,527)</w:t>
            </w:r>
          </w:p>
        </w:tc>
      </w:tr>
      <w:tr>
        <w:trPr>
          <w:trHeight w:val="420" w:hRule="exact"/>
        </w:trPr>
        <w:tc>
          <w:tcPr>
            <w:tcW w:w="5332" w:type="dxa"/>
            <w:tcBorders>
              <w:top w:val="nil" w:sz="6" w:space="0" w:color="auto"/>
              <w:left w:val="nil" w:sz="6" w:space="0" w:color="auto"/>
              <w:bottom w:val="nil" w:sz="6" w:space="0" w:color="auto"/>
              <w:right w:val="nil" w:sz="6" w:space="0" w:color="auto"/>
            </w:tcBorders>
          </w:tcPr>
          <w:p>
            <w:pPr>
              <w:pStyle w:val="TableParagraph"/>
              <w:spacing w:line="238" w:lineRule="exact"/>
              <w:ind w:left="442" w:right="0"/>
              <w:jc w:val="left"/>
              <w:rPr>
                <w:rFonts w:ascii="宋体" w:hAnsi="宋体" w:cs="宋体" w:eastAsia="宋体" w:hint="default"/>
                <w:sz w:val="22"/>
                <w:szCs w:val="22"/>
              </w:rPr>
            </w:pPr>
            <w:r>
              <w:rPr>
                <w:rFonts w:ascii="宋体" w:hAnsi="宋体" w:cs="宋体" w:eastAsia="宋体" w:hint="default"/>
                <w:sz w:val="22"/>
                <w:szCs w:val="22"/>
              </w:rPr>
              <w:t>重新计量设定受益计划净负债对应的递延所得税</w:t>
            </w:r>
          </w:p>
        </w:tc>
        <w:tc>
          <w:tcPr>
            <w:tcW w:w="1980" w:type="dxa"/>
            <w:tcBorders>
              <w:top w:val="nil" w:sz="6" w:space="0" w:color="auto"/>
              <w:left w:val="nil" w:sz="6" w:space="0" w:color="auto"/>
              <w:bottom w:val="nil" w:sz="6" w:space="0" w:color="auto"/>
              <w:right w:val="nil" w:sz="6" w:space="0" w:color="auto"/>
            </w:tcBorders>
          </w:tcPr>
          <w:p>
            <w:pPr>
              <w:pStyle w:val="TableParagraph"/>
              <w:tabs>
                <w:tab w:pos="755" w:val="left" w:leader="none"/>
              </w:tabs>
              <w:spacing w:line="240" w:lineRule="auto" w:before="20"/>
              <w:ind w:right="94"/>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(1,057,895)</w:t>
            </w:r>
            <w:r>
              <w:rPr>
                <w:rFonts w:ascii="Arial"/>
                <w:spacing w:val="-1"/>
                <w:sz w:val="22"/>
              </w:rPr>
            </w:r>
          </w:p>
        </w:tc>
        <w:tc>
          <w:tcPr>
            <w:tcW w:w="1908" w:type="dxa"/>
            <w:tcBorders>
              <w:top w:val="nil" w:sz="6" w:space="0" w:color="auto"/>
              <w:left w:val="nil" w:sz="6" w:space="0" w:color="auto"/>
              <w:bottom w:val="nil" w:sz="6" w:space="0" w:color="auto"/>
              <w:right w:val="nil" w:sz="6" w:space="0" w:color="auto"/>
            </w:tcBorders>
          </w:tcPr>
          <w:p>
            <w:pPr>
              <w:pStyle w:val="TableParagraph"/>
              <w:tabs>
                <w:tab w:pos="1039" w:val="left" w:leader="none"/>
                <w:tab w:pos="1908"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773,375</w:t>
              <w:tab/>
            </w:r>
            <w:r>
              <w:rPr>
                <w:rFonts w:ascii="Arial"/>
                <w:spacing w:val="-1"/>
                <w:sz w:val="22"/>
              </w:rPr>
            </w:r>
          </w:p>
        </w:tc>
      </w:tr>
      <w:tr>
        <w:trPr>
          <w:trHeight w:val="430" w:hRule="exact"/>
        </w:trPr>
        <w:tc>
          <w:tcPr>
            <w:tcW w:w="533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42" w:right="0"/>
              <w:jc w:val="left"/>
              <w:rPr>
                <w:rFonts w:ascii="宋体" w:hAnsi="宋体" w:cs="宋体" w:eastAsia="宋体" w:hint="default"/>
                <w:sz w:val="22"/>
                <w:szCs w:val="22"/>
              </w:rPr>
            </w:pPr>
            <w:r>
              <w:rPr>
                <w:rFonts w:ascii="宋体" w:hAnsi="宋体" w:cs="宋体" w:eastAsia="宋体" w:hint="default"/>
                <w:sz w:val="22"/>
                <w:szCs w:val="22"/>
              </w:rPr>
              <w:t>期末余额</w:t>
            </w:r>
          </w:p>
        </w:tc>
        <w:tc>
          <w:tcPr>
            <w:tcW w:w="1980"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163"/>
              <w:jc w:val="right"/>
              <w:rPr>
                <w:rFonts w:ascii="Arial" w:hAnsi="Arial" w:cs="Arial" w:eastAsia="Arial" w:hint="default"/>
                <w:sz w:val="22"/>
                <w:szCs w:val="22"/>
              </w:rPr>
            </w:pPr>
            <w:r>
              <w:rPr>
                <w:rFonts w:ascii="Arial"/>
                <w:spacing w:val="-1"/>
                <w:sz w:val="22"/>
              </w:rPr>
              <w:t>4,679,264,541</w:t>
            </w:r>
          </w:p>
        </w:tc>
        <w:tc>
          <w:tcPr>
            <w:tcW w:w="1908"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71"/>
              <w:jc w:val="right"/>
              <w:rPr>
                <w:rFonts w:ascii="Arial" w:hAnsi="Arial" w:cs="Arial" w:eastAsia="Arial" w:hint="default"/>
                <w:sz w:val="22"/>
                <w:szCs w:val="22"/>
              </w:rPr>
            </w:pPr>
            <w:r>
              <w:rPr>
                <w:rFonts w:ascii="Arial"/>
                <w:spacing w:val="-1"/>
                <w:sz w:val="22"/>
              </w:rPr>
              <w:t>5,180,414,136</w:t>
            </w:r>
          </w:p>
        </w:tc>
      </w:tr>
    </w:tbl>
    <w:p>
      <w:pPr>
        <w:spacing w:line="240" w:lineRule="auto" w:before="8"/>
        <w:rPr>
          <w:rFonts w:ascii="宋体" w:hAnsi="宋体" w:cs="宋体" w:eastAsia="宋体" w:hint="default"/>
          <w:sz w:val="21"/>
          <w:szCs w:val="21"/>
        </w:rPr>
      </w:pPr>
    </w:p>
    <w:tbl>
      <w:tblPr>
        <w:tblW w:w="0" w:type="auto"/>
        <w:jc w:val="left"/>
        <w:tblInd w:w="351" w:type="dxa"/>
        <w:tblLayout w:type="fixed"/>
        <w:tblCellMar>
          <w:top w:w="0" w:type="dxa"/>
          <w:left w:w="0" w:type="dxa"/>
          <w:bottom w:w="0" w:type="dxa"/>
          <w:right w:w="0" w:type="dxa"/>
        </w:tblCellMar>
        <w:tblLook w:val="01E0"/>
      </w:tblPr>
      <w:tblGrid>
        <w:gridCol w:w="5332"/>
        <w:gridCol w:w="1980"/>
        <w:gridCol w:w="1908"/>
      </w:tblGrid>
      <w:tr>
        <w:trPr>
          <w:trHeight w:val="264" w:hRule="exact"/>
        </w:trPr>
        <w:tc>
          <w:tcPr>
            <w:tcW w:w="5332"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single" w:sz="6" w:space="0" w:color="000000"/>
              <w:right w:val="nil" w:sz="6" w:space="0" w:color="auto"/>
            </w:tcBorders>
          </w:tcPr>
          <w:p>
            <w:pPr>
              <w:pStyle w:val="TableParagraph"/>
              <w:spacing w:line="236" w:lineRule="exact"/>
              <w:ind w:right="139"/>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908" w:type="dxa"/>
            <w:tcBorders>
              <w:top w:val="nil" w:sz="6" w:space="0" w:color="auto"/>
              <w:left w:val="nil" w:sz="6" w:space="0" w:color="auto"/>
              <w:bottom w:val="single" w:sz="6" w:space="0" w:color="000000"/>
              <w:right w:val="nil" w:sz="6" w:space="0" w:color="auto"/>
            </w:tcBorders>
          </w:tcPr>
          <w:p>
            <w:pPr>
              <w:pStyle w:val="TableParagraph"/>
              <w:spacing w:line="236" w:lineRule="exact"/>
              <w:ind w:right="67"/>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289" w:hRule="exact"/>
        </w:trPr>
        <w:tc>
          <w:tcPr>
            <w:tcW w:w="5332" w:type="dxa"/>
            <w:tcBorders>
              <w:top w:val="nil" w:sz="6" w:space="0" w:color="auto"/>
              <w:left w:val="nil" w:sz="6" w:space="0" w:color="auto"/>
              <w:bottom w:val="nil" w:sz="6" w:space="0" w:color="auto"/>
              <w:right w:val="nil" w:sz="6" w:space="0" w:color="auto"/>
            </w:tcBorders>
          </w:tcPr>
          <w:p>
            <w:pPr>
              <w:pStyle w:val="TableParagraph"/>
              <w:spacing w:line="257" w:lineRule="exact"/>
              <w:ind w:left="200" w:right="0"/>
              <w:jc w:val="left"/>
              <w:rPr>
                <w:rFonts w:ascii="宋体" w:hAnsi="宋体" w:cs="宋体" w:eastAsia="宋体" w:hint="default"/>
                <w:sz w:val="22"/>
                <w:szCs w:val="22"/>
              </w:rPr>
            </w:pPr>
            <w:r>
              <w:rPr>
                <w:rFonts w:ascii="宋体" w:hAnsi="宋体" w:cs="宋体" w:eastAsia="宋体" w:hint="default"/>
                <w:sz w:val="22"/>
                <w:szCs w:val="22"/>
              </w:rPr>
              <w:t>递延所得税负债：</w:t>
            </w:r>
          </w:p>
        </w:tc>
        <w:tc>
          <w:tcPr>
            <w:tcW w:w="1980" w:type="dxa"/>
            <w:tcBorders>
              <w:top w:val="single" w:sz="6" w:space="0" w:color="000000"/>
              <w:left w:val="nil" w:sz="6" w:space="0" w:color="auto"/>
              <w:bottom w:val="nil" w:sz="6" w:space="0" w:color="auto"/>
              <w:right w:val="nil" w:sz="6" w:space="0" w:color="auto"/>
            </w:tcBorders>
          </w:tcPr>
          <w:p>
            <w:pPr/>
          </w:p>
        </w:tc>
        <w:tc>
          <w:tcPr>
            <w:tcW w:w="1908" w:type="dxa"/>
            <w:tcBorders>
              <w:top w:val="single" w:sz="6" w:space="0" w:color="000000"/>
              <w:left w:val="nil" w:sz="6" w:space="0" w:color="auto"/>
              <w:bottom w:val="nil" w:sz="6" w:space="0" w:color="auto"/>
              <w:right w:val="nil" w:sz="6" w:space="0" w:color="auto"/>
            </w:tcBorders>
          </w:tcPr>
          <w:p>
            <w:pPr/>
          </w:p>
        </w:tc>
      </w:tr>
      <w:tr>
        <w:trPr>
          <w:trHeight w:val="300" w:hRule="exact"/>
        </w:trPr>
        <w:tc>
          <w:tcPr>
            <w:tcW w:w="5332" w:type="dxa"/>
            <w:tcBorders>
              <w:top w:val="nil" w:sz="6" w:space="0" w:color="auto"/>
              <w:left w:val="nil" w:sz="6" w:space="0" w:color="auto"/>
              <w:bottom w:val="nil" w:sz="6" w:space="0" w:color="auto"/>
              <w:right w:val="nil" w:sz="6" w:space="0" w:color="auto"/>
            </w:tcBorders>
          </w:tcPr>
          <w:p>
            <w:pPr>
              <w:pStyle w:val="TableParagraph"/>
              <w:spacing w:line="253" w:lineRule="exact"/>
              <w:ind w:left="442" w:right="0"/>
              <w:jc w:val="left"/>
              <w:rPr>
                <w:rFonts w:ascii="宋体" w:hAnsi="宋体" w:cs="宋体" w:eastAsia="宋体" w:hint="default"/>
                <w:sz w:val="22"/>
                <w:szCs w:val="22"/>
              </w:rPr>
            </w:pPr>
            <w:r>
              <w:rPr>
                <w:rFonts w:ascii="宋体" w:hAnsi="宋体" w:cs="宋体" w:eastAsia="宋体" w:hint="default"/>
                <w:sz w:val="22"/>
                <w:szCs w:val="22"/>
              </w:rPr>
              <w:t>期初余额</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4"/>
              <w:jc w:val="right"/>
              <w:rPr>
                <w:rFonts w:ascii="Arial" w:hAnsi="Arial" w:cs="Arial" w:eastAsia="Arial" w:hint="default"/>
                <w:sz w:val="22"/>
                <w:szCs w:val="22"/>
              </w:rPr>
            </w:pPr>
            <w:r>
              <w:rPr>
                <w:rFonts w:ascii="Arial"/>
                <w:spacing w:val="-1"/>
                <w:sz w:val="22"/>
              </w:rPr>
              <w:t>(38,885,611)</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6"/>
              <w:jc w:val="right"/>
              <w:rPr>
                <w:rFonts w:ascii="Arial" w:hAnsi="Arial" w:cs="Arial" w:eastAsia="Arial" w:hint="default"/>
                <w:sz w:val="22"/>
                <w:szCs w:val="22"/>
              </w:rPr>
            </w:pPr>
            <w:r>
              <w:rPr>
                <w:rFonts w:ascii="Arial"/>
                <w:spacing w:val="-1"/>
                <w:sz w:val="22"/>
              </w:rPr>
              <w:t>(32,133,209)</w:t>
            </w:r>
          </w:p>
        </w:tc>
      </w:tr>
      <w:tr>
        <w:trPr>
          <w:trHeight w:val="286" w:hRule="exact"/>
        </w:trPr>
        <w:tc>
          <w:tcPr>
            <w:tcW w:w="5332" w:type="dxa"/>
            <w:tcBorders>
              <w:top w:val="nil" w:sz="6" w:space="0" w:color="auto"/>
              <w:left w:val="nil" w:sz="6" w:space="0" w:color="auto"/>
              <w:bottom w:val="nil" w:sz="6" w:space="0" w:color="auto"/>
              <w:right w:val="nil" w:sz="6" w:space="0" w:color="auto"/>
            </w:tcBorders>
          </w:tcPr>
          <w:p>
            <w:pPr>
              <w:pStyle w:val="TableParagraph"/>
              <w:spacing w:line="240" w:lineRule="exact"/>
              <w:ind w:left="442" w:right="0"/>
              <w:jc w:val="left"/>
              <w:rPr>
                <w:rFonts w:ascii="宋体" w:hAnsi="宋体" w:cs="宋体" w:eastAsia="宋体" w:hint="default"/>
                <w:sz w:val="22"/>
                <w:szCs w:val="22"/>
              </w:rPr>
            </w:pPr>
            <w:r>
              <w:rPr>
                <w:rFonts w:ascii="宋体" w:hAnsi="宋体" w:cs="宋体" w:eastAsia="宋体" w:hint="default"/>
                <w:sz w:val="22"/>
                <w:szCs w:val="22"/>
              </w:rPr>
              <w:t>计入利润表的递延所得税</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63"/>
              <w:jc w:val="right"/>
              <w:rPr>
                <w:rFonts w:ascii="Arial" w:hAnsi="Arial" w:cs="Arial" w:eastAsia="Arial" w:hint="default"/>
                <w:sz w:val="22"/>
                <w:szCs w:val="22"/>
              </w:rPr>
            </w:pPr>
            <w:r>
              <w:rPr>
                <w:rFonts w:ascii="Arial"/>
                <w:spacing w:val="-1"/>
                <w:sz w:val="22"/>
              </w:rPr>
              <w:t>18,299,465</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8"/>
              <w:jc w:val="right"/>
              <w:rPr>
                <w:rFonts w:ascii="Arial" w:hAnsi="Arial" w:cs="Arial" w:eastAsia="Arial" w:hint="default"/>
                <w:sz w:val="22"/>
                <w:szCs w:val="22"/>
              </w:rPr>
            </w:pPr>
            <w:r>
              <w:rPr>
                <w:rFonts w:ascii="Arial"/>
                <w:spacing w:val="-1"/>
                <w:sz w:val="22"/>
              </w:rPr>
              <w:t>(6,210,933)</w:t>
            </w:r>
          </w:p>
        </w:tc>
      </w:tr>
      <w:tr>
        <w:trPr>
          <w:trHeight w:val="419" w:hRule="exact"/>
        </w:trPr>
        <w:tc>
          <w:tcPr>
            <w:tcW w:w="5332" w:type="dxa"/>
            <w:tcBorders>
              <w:top w:val="nil" w:sz="6" w:space="0" w:color="auto"/>
              <w:left w:val="nil" w:sz="6" w:space="0" w:color="auto"/>
              <w:bottom w:val="nil" w:sz="6" w:space="0" w:color="auto"/>
              <w:right w:val="nil" w:sz="6" w:space="0" w:color="auto"/>
            </w:tcBorders>
          </w:tcPr>
          <w:p>
            <w:pPr>
              <w:pStyle w:val="TableParagraph"/>
              <w:spacing w:line="239" w:lineRule="exact"/>
              <w:ind w:left="437" w:right="0"/>
              <w:jc w:val="left"/>
              <w:rPr>
                <w:rFonts w:ascii="宋体" w:hAnsi="宋体" w:cs="宋体" w:eastAsia="宋体" w:hint="default"/>
                <w:sz w:val="22"/>
                <w:szCs w:val="22"/>
              </w:rPr>
            </w:pPr>
            <w:r>
              <w:rPr>
                <w:rFonts w:ascii="宋体" w:hAnsi="宋体" w:cs="宋体" w:eastAsia="宋体" w:hint="default"/>
                <w:sz w:val="22"/>
                <w:szCs w:val="22"/>
              </w:rPr>
              <w:t>可供出售金融资产公允价值变动对应的递延所得税</w:t>
            </w:r>
          </w:p>
        </w:tc>
        <w:tc>
          <w:tcPr>
            <w:tcW w:w="1980"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0" w:lineRule="auto" w:before="18"/>
              <w:ind w:right="94"/>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(18,784,405)</w:t>
            </w:r>
            <w:r>
              <w:rPr>
                <w:rFonts w:ascii="Arial"/>
                <w:spacing w:val="-1"/>
                <w:sz w:val="22"/>
              </w:rPr>
            </w:r>
          </w:p>
        </w:tc>
        <w:tc>
          <w:tcPr>
            <w:tcW w:w="1908" w:type="dxa"/>
            <w:tcBorders>
              <w:top w:val="nil" w:sz="6" w:space="0" w:color="auto"/>
              <w:left w:val="nil" w:sz="6" w:space="0" w:color="auto"/>
              <w:bottom w:val="nil" w:sz="6" w:space="0" w:color="auto"/>
              <w:right w:val="nil" w:sz="6" w:space="0" w:color="auto"/>
            </w:tcBorders>
          </w:tcPr>
          <w:p>
            <w:pPr>
              <w:pStyle w:val="TableParagraph"/>
              <w:tabs>
                <w:tab w:pos="893" w:val="left" w:leader="none"/>
                <w:tab w:pos="1908"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(541,469)</w:t>
              <w:tab/>
            </w:r>
            <w:r>
              <w:rPr>
                <w:rFonts w:ascii="Arial"/>
                <w:spacing w:val="-1"/>
                <w:sz w:val="22"/>
              </w:rPr>
            </w:r>
          </w:p>
        </w:tc>
      </w:tr>
      <w:tr>
        <w:trPr>
          <w:trHeight w:val="433" w:hRule="exact"/>
        </w:trPr>
        <w:tc>
          <w:tcPr>
            <w:tcW w:w="533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42" w:right="0"/>
              <w:jc w:val="left"/>
              <w:rPr>
                <w:rFonts w:ascii="宋体" w:hAnsi="宋体" w:cs="宋体" w:eastAsia="宋体" w:hint="default"/>
                <w:sz w:val="22"/>
                <w:szCs w:val="22"/>
              </w:rPr>
            </w:pPr>
            <w:r>
              <w:rPr>
                <w:rFonts w:ascii="宋体" w:hAnsi="宋体" w:cs="宋体" w:eastAsia="宋体" w:hint="default"/>
                <w:sz w:val="22"/>
                <w:szCs w:val="22"/>
              </w:rPr>
              <w:t>期末余额</w:t>
            </w:r>
          </w:p>
        </w:tc>
        <w:tc>
          <w:tcPr>
            <w:tcW w:w="1980"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94"/>
              <w:jc w:val="right"/>
              <w:rPr>
                <w:rFonts w:ascii="Arial" w:hAnsi="Arial" w:cs="Arial" w:eastAsia="Arial" w:hint="default"/>
                <w:sz w:val="22"/>
                <w:szCs w:val="22"/>
              </w:rPr>
            </w:pPr>
            <w:r>
              <w:rPr>
                <w:rFonts w:ascii="Arial"/>
                <w:spacing w:val="-1"/>
                <w:sz w:val="22"/>
              </w:rPr>
              <w:t>(39,370,551)</w:t>
            </w:r>
          </w:p>
        </w:tc>
        <w:tc>
          <w:tcPr>
            <w:tcW w:w="1908"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73"/>
              <w:jc w:val="right"/>
              <w:rPr>
                <w:rFonts w:ascii="Arial" w:hAnsi="Arial" w:cs="Arial" w:eastAsia="Arial" w:hint="default"/>
                <w:sz w:val="22"/>
                <w:szCs w:val="22"/>
              </w:rPr>
            </w:pPr>
            <w:r>
              <w:rPr>
                <w:rFonts w:ascii="Arial"/>
                <w:spacing w:val="-1"/>
                <w:sz w:val="22"/>
              </w:rPr>
              <w:t>(38,885,611)</w:t>
            </w:r>
          </w:p>
        </w:tc>
      </w:tr>
    </w:tbl>
    <w:p>
      <w:pPr>
        <w:spacing w:after="0" w:line="240" w:lineRule="auto"/>
        <w:jc w:val="right"/>
        <w:rPr>
          <w:rFonts w:ascii="Arial" w:hAnsi="Arial" w:cs="Arial" w:eastAsia="Arial" w:hint="default"/>
          <w:sz w:val="22"/>
          <w:szCs w:val="22"/>
        </w:rPr>
        <w:sectPr>
          <w:headerReference w:type="default" r:id="rId116"/>
          <w:pgSz w:w="11910" w:h="16840"/>
          <w:pgMar w:header="1185" w:footer="635" w:top="3040" w:bottom="820" w:left="1280" w:right="940"/>
        </w:sectPr>
      </w:pPr>
    </w:p>
    <w:p>
      <w:pPr>
        <w:spacing w:line="240" w:lineRule="auto" w:before="10"/>
        <w:rPr>
          <w:rFonts w:ascii="宋体" w:hAnsi="宋体" w:cs="宋体" w:eastAsia="宋体" w:hint="default"/>
          <w:sz w:val="16"/>
          <w:szCs w:val="16"/>
        </w:rPr>
      </w:pPr>
    </w:p>
    <w:p>
      <w:pPr>
        <w:pStyle w:val="BodyText"/>
        <w:spacing w:line="240" w:lineRule="auto" w:before="32"/>
        <w:ind w:left="102" w:right="0"/>
        <w:jc w:val="left"/>
      </w:pPr>
      <w:r>
        <w:rPr>
          <w:rFonts w:ascii="Arial" w:hAnsi="Arial" w:cs="Arial" w:eastAsia="Arial" w:hint="default"/>
        </w:rPr>
        <w:t>45</w:t>
      </w:r>
      <w:r>
        <w:rPr/>
        <w:t>、所得税（续）</w:t>
      </w:r>
    </w:p>
    <w:p>
      <w:pPr>
        <w:pStyle w:val="BodyText"/>
        <w:spacing w:line="240" w:lineRule="auto" w:before="164"/>
        <w:ind w:left="102" w:right="0"/>
        <w:jc w:val="left"/>
      </w:pPr>
      <w:r>
        <w:rPr>
          <w:rFonts w:ascii="Arial" w:hAnsi="Arial" w:cs="Arial" w:eastAsia="Arial" w:hint="default"/>
        </w:rPr>
        <w:t>(c) </w:t>
      </w:r>
      <w:r>
        <w:rPr>
          <w:rFonts w:ascii="Arial" w:hAnsi="Arial" w:cs="Arial" w:eastAsia="Arial" w:hint="default"/>
          <w:spacing w:val="35"/>
        </w:rPr>
        <w:t> </w:t>
      </w:r>
      <w:r>
        <w:rPr/>
        <w:t>递延所得税资产及负债包括以下暂时性差异对所得税的影响：</w:t>
      </w:r>
    </w:p>
    <w:p>
      <w:pPr>
        <w:pStyle w:val="BodyText"/>
        <w:tabs>
          <w:tab w:pos="522" w:val="left" w:leader="none"/>
        </w:tabs>
        <w:spacing w:line="240" w:lineRule="auto" w:before="162"/>
        <w:ind w:left="102" w:right="0"/>
        <w:jc w:val="left"/>
      </w:pPr>
      <w:r>
        <w:rPr>
          <w:rFonts w:ascii="Arial" w:hAnsi="Arial" w:cs="Arial" w:eastAsia="Arial" w:hint="default"/>
          <w:spacing w:val="-1"/>
        </w:rPr>
        <w:t>(i)</w:t>
        <w:tab/>
      </w:r>
      <w:r>
        <w:rPr>
          <w:spacing w:val="-1"/>
        </w:rPr>
        <w:t>递延所得税资产：</w:t>
      </w:r>
    </w:p>
    <w:p>
      <w:pPr>
        <w:spacing w:line="240" w:lineRule="auto" w:before="9"/>
        <w:rPr>
          <w:rFonts w:ascii="宋体" w:hAnsi="宋体" w:cs="宋体" w:eastAsia="宋体" w:hint="default"/>
          <w:sz w:val="17"/>
          <w:szCs w:val="17"/>
        </w:rPr>
      </w:pPr>
    </w:p>
    <w:tbl>
      <w:tblPr>
        <w:tblW w:w="0" w:type="auto"/>
        <w:jc w:val="left"/>
        <w:tblInd w:w="561" w:type="dxa"/>
        <w:tblLayout w:type="fixed"/>
        <w:tblCellMar>
          <w:top w:w="0" w:type="dxa"/>
          <w:left w:w="0" w:type="dxa"/>
          <w:bottom w:w="0" w:type="dxa"/>
          <w:right w:w="0" w:type="dxa"/>
        </w:tblCellMar>
        <w:tblLook w:val="01E0"/>
      </w:tblPr>
      <w:tblGrid>
        <w:gridCol w:w="3097"/>
        <w:gridCol w:w="562"/>
        <w:gridCol w:w="1501"/>
        <w:gridCol w:w="1342"/>
        <w:gridCol w:w="1506"/>
        <w:gridCol w:w="1382"/>
      </w:tblGrid>
      <w:tr>
        <w:trPr>
          <w:trHeight w:val="215" w:hRule="exact"/>
        </w:trPr>
        <w:tc>
          <w:tcPr>
            <w:tcW w:w="3097"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single" w:sz="6" w:space="0" w:color="000000"/>
              <w:right w:val="nil" w:sz="6" w:space="0" w:color="auto"/>
            </w:tcBorders>
          </w:tcPr>
          <w:p>
            <w:pPr>
              <w:pStyle w:val="TableParagraph"/>
              <w:spacing w:line="180" w:lineRule="exact"/>
              <w:ind w:left="72" w:right="0"/>
              <w:jc w:val="left"/>
              <w:rPr>
                <w:rFonts w:ascii="宋体" w:hAnsi="宋体" w:cs="宋体" w:eastAsia="宋体" w:hint="default"/>
                <w:sz w:val="18"/>
                <w:szCs w:val="18"/>
              </w:rPr>
            </w:pPr>
            <w:r>
              <w:rPr>
                <w:rFonts w:ascii="宋体" w:hAnsi="宋体" w:cs="宋体" w:eastAsia="宋体" w:hint="default"/>
                <w:sz w:val="18"/>
                <w:szCs w:val="18"/>
              </w:rPr>
              <w:t>注释</w:t>
            </w:r>
          </w:p>
        </w:tc>
        <w:tc>
          <w:tcPr>
            <w:tcW w:w="2843" w:type="dxa"/>
            <w:gridSpan w:val="2"/>
            <w:tcBorders>
              <w:top w:val="nil" w:sz="6" w:space="0" w:color="auto"/>
              <w:left w:val="nil" w:sz="6" w:space="0" w:color="auto"/>
              <w:bottom w:val="single" w:sz="6" w:space="0" w:color="000000"/>
              <w:right w:val="nil" w:sz="6" w:space="0" w:color="auto"/>
            </w:tcBorders>
          </w:tcPr>
          <w:p>
            <w:pPr>
              <w:pStyle w:val="TableParagraph"/>
              <w:spacing w:line="193" w:lineRule="exact"/>
              <w:ind w:left="556"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888" w:type="dxa"/>
            <w:gridSpan w:val="2"/>
            <w:tcBorders>
              <w:top w:val="nil" w:sz="6" w:space="0" w:color="auto"/>
              <w:left w:val="nil" w:sz="6" w:space="0" w:color="auto"/>
              <w:bottom w:val="single" w:sz="6" w:space="0" w:color="000000"/>
              <w:right w:val="nil" w:sz="6" w:space="0" w:color="auto"/>
            </w:tcBorders>
          </w:tcPr>
          <w:p>
            <w:pPr>
              <w:pStyle w:val="TableParagraph"/>
              <w:spacing w:line="193" w:lineRule="exact"/>
              <w:ind w:left="589"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247" w:hRule="exact"/>
        </w:trPr>
        <w:tc>
          <w:tcPr>
            <w:tcW w:w="3097" w:type="dxa"/>
            <w:tcBorders>
              <w:top w:val="nil" w:sz="6" w:space="0" w:color="auto"/>
              <w:left w:val="nil" w:sz="6" w:space="0" w:color="auto"/>
              <w:bottom w:val="nil" w:sz="6" w:space="0" w:color="auto"/>
              <w:right w:val="nil" w:sz="6" w:space="0" w:color="auto"/>
            </w:tcBorders>
          </w:tcPr>
          <w:p>
            <w:pPr/>
          </w:p>
        </w:tc>
        <w:tc>
          <w:tcPr>
            <w:tcW w:w="562" w:type="dxa"/>
            <w:tcBorders>
              <w:top w:val="single" w:sz="6" w:space="0" w:color="000000"/>
              <w:left w:val="nil" w:sz="6" w:space="0" w:color="auto"/>
              <w:bottom w:val="nil" w:sz="6" w:space="0" w:color="auto"/>
              <w:right w:val="nil" w:sz="6" w:space="0" w:color="auto"/>
            </w:tcBorders>
          </w:tcPr>
          <w:p>
            <w:pPr/>
          </w:p>
        </w:tc>
        <w:tc>
          <w:tcPr>
            <w:tcW w:w="1501"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342"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06" w:type="dxa"/>
            <w:tcBorders>
              <w:top w:val="single" w:sz="6" w:space="0" w:color="000000"/>
              <w:left w:val="nil" w:sz="6" w:space="0" w:color="auto"/>
              <w:bottom w:val="single" w:sz="6" w:space="0" w:color="000000"/>
              <w:right w:val="nil" w:sz="6" w:space="0" w:color="auto"/>
            </w:tcBorders>
          </w:tcPr>
          <w:p>
            <w:pPr>
              <w:pStyle w:val="TableParagraph"/>
              <w:spacing w:line="205" w:lineRule="exact"/>
              <w:ind w:right="33"/>
              <w:jc w:val="righ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382"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6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56" w:hRule="exact"/>
        </w:trPr>
        <w:tc>
          <w:tcPr>
            <w:tcW w:w="3097" w:type="dxa"/>
            <w:tcBorders>
              <w:top w:val="nil" w:sz="6" w:space="0" w:color="auto"/>
              <w:left w:val="nil" w:sz="6" w:space="0" w:color="auto"/>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同一纳税实体递延所得税资产：</w:t>
            </w:r>
          </w:p>
        </w:tc>
        <w:tc>
          <w:tcPr>
            <w:tcW w:w="562" w:type="dxa"/>
            <w:tcBorders>
              <w:top w:val="nil" w:sz="6" w:space="0" w:color="auto"/>
              <w:left w:val="nil" w:sz="6" w:space="0" w:color="auto"/>
              <w:bottom w:val="nil" w:sz="6" w:space="0" w:color="auto"/>
              <w:right w:val="nil" w:sz="6" w:space="0" w:color="auto"/>
            </w:tcBorders>
          </w:tcPr>
          <w:p>
            <w:pPr/>
          </w:p>
        </w:tc>
        <w:tc>
          <w:tcPr>
            <w:tcW w:w="1501" w:type="dxa"/>
            <w:tcBorders>
              <w:top w:val="single" w:sz="6" w:space="0" w:color="000000"/>
              <w:left w:val="nil" w:sz="6" w:space="0" w:color="auto"/>
              <w:bottom w:val="nil" w:sz="6" w:space="0" w:color="auto"/>
              <w:right w:val="nil" w:sz="6" w:space="0" w:color="auto"/>
            </w:tcBorders>
          </w:tcPr>
          <w:p>
            <w:pPr/>
          </w:p>
        </w:tc>
        <w:tc>
          <w:tcPr>
            <w:tcW w:w="1342" w:type="dxa"/>
            <w:tcBorders>
              <w:top w:val="single" w:sz="6" w:space="0" w:color="000000"/>
              <w:left w:val="nil" w:sz="6" w:space="0" w:color="auto"/>
              <w:bottom w:val="nil" w:sz="6" w:space="0" w:color="auto"/>
              <w:right w:val="nil" w:sz="6" w:space="0" w:color="auto"/>
            </w:tcBorders>
          </w:tcPr>
          <w:p>
            <w:pPr/>
          </w:p>
        </w:tc>
        <w:tc>
          <w:tcPr>
            <w:tcW w:w="1506" w:type="dxa"/>
            <w:tcBorders>
              <w:top w:val="single" w:sz="6" w:space="0" w:color="000000"/>
              <w:left w:val="nil" w:sz="6" w:space="0" w:color="auto"/>
              <w:bottom w:val="nil" w:sz="6" w:space="0" w:color="auto"/>
              <w:right w:val="nil" w:sz="6" w:space="0" w:color="auto"/>
            </w:tcBorders>
          </w:tcPr>
          <w:p>
            <w:pPr/>
          </w:p>
        </w:tc>
        <w:tc>
          <w:tcPr>
            <w:tcW w:w="1382" w:type="dxa"/>
            <w:tcBorders>
              <w:top w:val="single" w:sz="6" w:space="0" w:color="000000"/>
              <w:left w:val="nil" w:sz="6" w:space="0" w:color="auto"/>
              <w:bottom w:val="nil" w:sz="6" w:space="0" w:color="auto"/>
              <w:right w:val="nil" w:sz="6" w:space="0" w:color="auto"/>
            </w:tcBorders>
          </w:tcPr>
          <w:p>
            <w:pPr/>
          </w:p>
        </w:tc>
      </w:tr>
      <w:tr>
        <w:trPr>
          <w:trHeight w:val="252" w:hRule="exact"/>
        </w:trPr>
        <w:tc>
          <w:tcPr>
            <w:tcW w:w="3097" w:type="dxa"/>
            <w:tcBorders>
              <w:top w:val="single" w:sz="6" w:space="0" w:color="000000"/>
              <w:left w:val="nil" w:sz="6" w:space="0" w:color="auto"/>
              <w:bottom w:val="nil" w:sz="6" w:space="0" w:color="auto"/>
              <w:right w:val="nil" w:sz="6" w:space="0" w:color="auto"/>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固定资产及在建工程减值准备</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60" w:right="0"/>
              <w:jc w:val="left"/>
              <w:rPr>
                <w:rFonts w:ascii="Arial" w:hAnsi="Arial" w:cs="Arial" w:eastAsia="Arial" w:hint="default"/>
                <w:sz w:val="18"/>
                <w:szCs w:val="18"/>
              </w:rPr>
            </w:pPr>
            <w:r>
              <w:rPr>
                <w:rFonts w:ascii="Arial"/>
                <w:sz w:val="18"/>
              </w:rPr>
              <w:t>(2)</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513" w:right="0"/>
              <w:jc w:val="left"/>
              <w:rPr>
                <w:rFonts w:ascii="Arial" w:hAnsi="Arial" w:cs="Arial" w:eastAsia="Arial" w:hint="default"/>
                <w:sz w:val="18"/>
                <w:szCs w:val="18"/>
              </w:rPr>
            </w:pPr>
            <w:r>
              <w:rPr>
                <w:rFonts w:ascii="Arial"/>
                <w:sz w:val="18"/>
              </w:rPr>
              <w:t>96,030,334</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7" w:right="0"/>
              <w:jc w:val="left"/>
              <w:rPr>
                <w:rFonts w:ascii="Arial" w:hAnsi="Arial" w:cs="Arial" w:eastAsia="Arial" w:hint="default"/>
                <w:sz w:val="18"/>
                <w:szCs w:val="18"/>
              </w:rPr>
            </w:pPr>
            <w:r>
              <w:rPr>
                <w:rFonts w:ascii="Arial"/>
                <w:sz w:val="18"/>
              </w:rPr>
              <w:t>23,687,674</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2"/>
              <w:jc w:val="right"/>
              <w:rPr>
                <w:rFonts w:ascii="Arial" w:hAnsi="Arial" w:cs="Arial" w:eastAsia="Arial" w:hint="default"/>
                <w:sz w:val="18"/>
                <w:szCs w:val="18"/>
              </w:rPr>
            </w:pPr>
            <w:r>
              <w:rPr>
                <w:rFonts w:ascii="Arial"/>
                <w:spacing w:val="-1"/>
                <w:sz w:val="18"/>
              </w:rPr>
              <w:t>142,146,690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72"/>
              <w:jc w:val="right"/>
              <w:rPr>
                <w:rFonts w:ascii="Arial" w:hAnsi="Arial" w:cs="Arial" w:eastAsia="Arial" w:hint="default"/>
                <w:sz w:val="18"/>
                <w:szCs w:val="18"/>
              </w:rPr>
            </w:pPr>
            <w:r>
              <w:rPr>
                <w:rFonts w:ascii="Arial"/>
                <w:spacing w:val="-1"/>
                <w:sz w:val="18"/>
              </w:rPr>
              <w:t>35,147,026</w:t>
            </w:r>
          </w:p>
        </w:tc>
      </w:tr>
      <w:tr>
        <w:trPr>
          <w:trHeight w:val="234"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196" w:lineRule="exact"/>
              <w:ind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562"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12" w:right="0"/>
              <w:jc w:val="left"/>
              <w:rPr>
                <w:rFonts w:ascii="Arial" w:hAnsi="Arial" w:cs="Arial" w:eastAsia="Arial" w:hint="default"/>
                <w:sz w:val="18"/>
                <w:szCs w:val="18"/>
              </w:rPr>
            </w:pPr>
            <w:r>
              <w:rPr>
                <w:rFonts w:ascii="Arial"/>
                <w:sz w:val="18"/>
              </w:rPr>
              <w:t>234,747,235</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7" w:right="0"/>
              <w:jc w:val="left"/>
              <w:rPr>
                <w:rFonts w:ascii="Arial" w:hAnsi="Arial" w:cs="Arial" w:eastAsia="Arial" w:hint="default"/>
                <w:sz w:val="18"/>
                <w:szCs w:val="18"/>
              </w:rPr>
            </w:pPr>
            <w:r>
              <w:rPr>
                <w:rFonts w:ascii="Arial"/>
                <w:sz w:val="18"/>
              </w:rPr>
              <w:t>58,248,803</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4"/>
              <w:jc w:val="right"/>
              <w:rPr>
                <w:rFonts w:ascii="Arial" w:hAnsi="Arial" w:cs="Arial" w:eastAsia="Arial" w:hint="default"/>
                <w:sz w:val="18"/>
                <w:szCs w:val="18"/>
              </w:rPr>
            </w:pPr>
            <w:r>
              <w:rPr>
                <w:rFonts w:ascii="Arial"/>
                <w:spacing w:val="-1"/>
                <w:sz w:val="18"/>
              </w:rPr>
              <w:t>357,817,622</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2"/>
              <w:jc w:val="right"/>
              <w:rPr>
                <w:rFonts w:ascii="Arial" w:hAnsi="Arial" w:cs="Arial" w:eastAsia="Arial" w:hint="default"/>
                <w:sz w:val="18"/>
                <w:szCs w:val="18"/>
              </w:rPr>
            </w:pPr>
            <w:r>
              <w:rPr>
                <w:rFonts w:ascii="Arial"/>
                <w:spacing w:val="-1"/>
                <w:sz w:val="18"/>
              </w:rPr>
              <w:t>89,411,245</w:t>
            </w:r>
          </w:p>
        </w:tc>
      </w:tr>
      <w:tr>
        <w:trPr>
          <w:trHeight w:val="233"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left"/>
              <w:rPr>
                <w:rFonts w:ascii="宋体" w:hAnsi="宋体" w:cs="宋体" w:eastAsia="宋体" w:hint="default"/>
                <w:sz w:val="18"/>
                <w:szCs w:val="18"/>
              </w:rPr>
            </w:pPr>
            <w:r>
              <w:rPr>
                <w:rFonts w:ascii="宋体" w:hAnsi="宋体" w:cs="宋体" w:eastAsia="宋体" w:hint="default"/>
                <w:sz w:val="18"/>
                <w:szCs w:val="18"/>
              </w:rPr>
              <w:t>应收款项坏账准备</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60" w:right="0"/>
              <w:jc w:val="left"/>
              <w:rPr>
                <w:rFonts w:ascii="Arial" w:hAnsi="Arial" w:cs="Arial" w:eastAsia="Arial" w:hint="default"/>
                <w:sz w:val="18"/>
                <w:szCs w:val="18"/>
              </w:rPr>
            </w:pPr>
            <w:r>
              <w:rPr>
                <w:rFonts w:ascii="Arial"/>
                <w:sz w:val="18"/>
              </w:rPr>
              <w:t>(3)</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61" w:right="0"/>
              <w:jc w:val="left"/>
              <w:rPr>
                <w:rFonts w:ascii="Arial" w:hAnsi="Arial" w:cs="Arial" w:eastAsia="Arial" w:hint="default"/>
                <w:sz w:val="18"/>
                <w:szCs w:val="18"/>
              </w:rPr>
            </w:pPr>
            <w:r>
              <w:rPr>
                <w:rFonts w:ascii="Arial"/>
                <w:sz w:val="18"/>
              </w:rPr>
              <w:t>5,181,898,755</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5" w:right="0"/>
              <w:jc w:val="left"/>
              <w:rPr>
                <w:rFonts w:ascii="Arial" w:hAnsi="Arial" w:cs="Arial" w:eastAsia="Arial" w:hint="default"/>
                <w:sz w:val="18"/>
                <w:szCs w:val="18"/>
              </w:rPr>
            </w:pPr>
            <w:r>
              <w:rPr>
                <w:rFonts w:ascii="Arial"/>
                <w:sz w:val="18"/>
              </w:rPr>
              <w:t>1,289,346,554</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49" w:right="0"/>
              <w:jc w:val="left"/>
              <w:rPr>
                <w:rFonts w:ascii="Arial" w:hAnsi="Arial" w:cs="Arial" w:eastAsia="Arial" w:hint="default"/>
                <w:sz w:val="18"/>
                <w:szCs w:val="18"/>
              </w:rPr>
            </w:pPr>
            <w:r>
              <w:rPr>
                <w:rFonts w:ascii="Arial"/>
                <w:sz w:val="18"/>
              </w:rPr>
              <w:t>4,663,806,710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57" w:right="0"/>
              <w:jc w:val="left"/>
              <w:rPr>
                <w:rFonts w:ascii="Arial" w:hAnsi="Arial" w:cs="Arial" w:eastAsia="Arial" w:hint="default"/>
                <w:sz w:val="18"/>
                <w:szCs w:val="18"/>
              </w:rPr>
            </w:pPr>
            <w:r>
              <w:rPr>
                <w:rFonts w:ascii="Arial"/>
                <w:sz w:val="18"/>
              </w:rPr>
              <w:t>1,160,654,050</w:t>
            </w:r>
          </w:p>
        </w:tc>
      </w:tr>
      <w:tr>
        <w:trPr>
          <w:trHeight w:val="234"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left"/>
              <w:rPr>
                <w:rFonts w:ascii="宋体" w:hAnsi="宋体" w:cs="宋体" w:eastAsia="宋体" w:hint="default"/>
                <w:sz w:val="18"/>
                <w:szCs w:val="18"/>
              </w:rPr>
            </w:pPr>
            <w:r>
              <w:rPr>
                <w:rFonts w:ascii="宋体" w:hAnsi="宋体" w:cs="宋体" w:eastAsia="宋体" w:hint="default"/>
                <w:sz w:val="18"/>
                <w:szCs w:val="18"/>
              </w:rPr>
              <w:t>尚未支付的预提费用</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60" w:right="0"/>
              <w:jc w:val="left"/>
              <w:rPr>
                <w:rFonts w:ascii="Arial" w:hAnsi="Arial" w:cs="Arial" w:eastAsia="Arial" w:hint="default"/>
                <w:sz w:val="18"/>
                <w:szCs w:val="18"/>
              </w:rPr>
            </w:pPr>
            <w:r>
              <w:rPr>
                <w:rFonts w:ascii="Arial"/>
                <w:sz w:val="18"/>
              </w:rPr>
              <w:t>(4)</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61" w:right="0"/>
              <w:jc w:val="left"/>
              <w:rPr>
                <w:rFonts w:ascii="Arial" w:hAnsi="Arial" w:cs="Arial" w:eastAsia="Arial" w:hint="default"/>
                <w:sz w:val="18"/>
                <w:szCs w:val="18"/>
              </w:rPr>
            </w:pPr>
            <w:r>
              <w:rPr>
                <w:rFonts w:ascii="Arial"/>
                <w:sz w:val="18"/>
              </w:rPr>
              <w:t>3,335,080,490</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56" w:right="0"/>
              <w:jc w:val="left"/>
              <w:rPr>
                <w:rFonts w:ascii="Arial" w:hAnsi="Arial" w:cs="Arial" w:eastAsia="Arial" w:hint="default"/>
                <w:sz w:val="18"/>
                <w:szCs w:val="18"/>
              </w:rPr>
            </w:pPr>
            <w:r>
              <w:rPr>
                <w:rFonts w:ascii="Arial"/>
                <w:sz w:val="18"/>
              </w:rPr>
              <w:t>833,143,548</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49" w:right="0"/>
              <w:jc w:val="left"/>
              <w:rPr>
                <w:rFonts w:ascii="Arial" w:hAnsi="Arial" w:cs="Arial" w:eastAsia="Arial" w:hint="default"/>
                <w:sz w:val="18"/>
                <w:szCs w:val="18"/>
              </w:rPr>
            </w:pPr>
            <w:r>
              <w:rPr>
                <w:rFonts w:ascii="Arial"/>
                <w:sz w:val="18"/>
              </w:rPr>
              <w:t>4,364,399,751</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57" w:right="0"/>
              <w:jc w:val="left"/>
              <w:rPr>
                <w:rFonts w:ascii="Arial" w:hAnsi="Arial" w:cs="Arial" w:eastAsia="Arial" w:hint="default"/>
                <w:sz w:val="18"/>
                <w:szCs w:val="18"/>
              </w:rPr>
            </w:pPr>
            <w:r>
              <w:rPr>
                <w:rFonts w:ascii="Arial"/>
                <w:sz w:val="18"/>
              </w:rPr>
              <w:t>1,087,078,525</w:t>
            </w:r>
          </w:p>
        </w:tc>
      </w:tr>
      <w:tr>
        <w:trPr>
          <w:trHeight w:val="234"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196" w:lineRule="exact"/>
              <w:ind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60" w:right="0"/>
              <w:jc w:val="left"/>
              <w:rPr>
                <w:rFonts w:ascii="Arial" w:hAnsi="Arial" w:cs="Arial" w:eastAsia="Arial" w:hint="default"/>
                <w:sz w:val="18"/>
                <w:szCs w:val="18"/>
              </w:rPr>
            </w:pPr>
            <w:r>
              <w:rPr>
                <w:rFonts w:ascii="Arial"/>
                <w:sz w:val="18"/>
              </w:rPr>
              <w:t>(5)</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12" w:right="0"/>
              <w:jc w:val="left"/>
              <w:rPr>
                <w:rFonts w:ascii="Arial" w:hAnsi="Arial" w:cs="Arial" w:eastAsia="Arial" w:hint="default"/>
                <w:sz w:val="18"/>
                <w:szCs w:val="18"/>
              </w:rPr>
            </w:pPr>
            <w:r>
              <w:rPr>
                <w:rFonts w:ascii="Arial"/>
                <w:sz w:val="18"/>
              </w:rPr>
              <w:t>606,166,323</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56" w:right="0"/>
              <w:jc w:val="left"/>
              <w:rPr>
                <w:rFonts w:ascii="Arial" w:hAnsi="Arial" w:cs="Arial" w:eastAsia="Arial" w:hint="default"/>
                <w:sz w:val="18"/>
                <w:szCs w:val="18"/>
              </w:rPr>
            </w:pPr>
            <w:r>
              <w:rPr>
                <w:rFonts w:ascii="Arial"/>
                <w:sz w:val="18"/>
              </w:rPr>
              <w:t>151,541,581</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4"/>
              <w:jc w:val="right"/>
              <w:rPr>
                <w:rFonts w:ascii="Arial" w:hAnsi="Arial" w:cs="Arial" w:eastAsia="Arial" w:hint="default"/>
                <w:sz w:val="18"/>
                <w:szCs w:val="18"/>
              </w:rPr>
            </w:pPr>
            <w:r>
              <w:rPr>
                <w:rFonts w:ascii="Arial"/>
                <w:spacing w:val="-1"/>
                <w:sz w:val="18"/>
              </w:rPr>
              <w:t>521,390,594</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5" w:right="0"/>
              <w:jc w:val="left"/>
              <w:rPr>
                <w:rFonts w:ascii="Arial" w:hAnsi="Arial" w:cs="Arial" w:eastAsia="Arial" w:hint="default"/>
                <w:sz w:val="18"/>
                <w:szCs w:val="18"/>
              </w:rPr>
            </w:pPr>
            <w:r>
              <w:rPr>
                <w:rFonts w:ascii="Arial"/>
                <w:sz w:val="18"/>
              </w:rPr>
              <w:t>130,347,648</w:t>
            </w:r>
          </w:p>
        </w:tc>
      </w:tr>
      <w:tr>
        <w:trPr>
          <w:trHeight w:val="233"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left"/>
              <w:rPr>
                <w:rFonts w:ascii="宋体" w:hAnsi="宋体" w:cs="宋体" w:eastAsia="宋体" w:hint="default"/>
                <w:sz w:val="18"/>
                <w:szCs w:val="18"/>
              </w:rPr>
            </w:pPr>
            <w:r>
              <w:rPr>
                <w:rFonts w:ascii="宋体" w:hAnsi="宋体" w:cs="宋体" w:eastAsia="宋体" w:hint="default"/>
                <w:sz w:val="18"/>
                <w:szCs w:val="18"/>
              </w:rPr>
              <w:t>已计提尚未发放的职工薪酬</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60" w:right="0"/>
              <w:jc w:val="left"/>
              <w:rPr>
                <w:rFonts w:ascii="Arial" w:hAnsi="Arial" w:cs="Arial" w:eastAsia="Arial" w:hint="default"/>
                <w:sz w:val="18"/>
                <w:szCs w:val="18"/>
              </w:rPr>
            </w:pPr>
            <w:r>
              <w:rPr>
                <w:rFonts w:ascii="Arial"/>
                <w:sz w:val="18"/>
              </w:rPr>
              <w:t>(6)</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61" w:right="0"/>
              <w:jc w:val="left"/>
              <w:rPr>
                <w:rFonts w:ascii="Arial" w:hAnsi="Arial" w:cs="Arial" w:eastAsia="Arial" w:hint="default"/>
                <w:sz w:val="18"/>
                <w:szCs w:val="18"/>
              </w:rPr>
            </w:pPr>
            <w:r>
              <w:rPr>
                <w:rFonts w:ascii="Arial"/>
                <w:sz w:val="18"/>
              </w:rPr>
              <w:t>3,546,231,640</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54" w:right="0"/>
              <w:jc w:val="left"/>
              <w:rPr>
                <w:rFonts w:ascii="Arial" w:hAnsi="Arial" w:cs="Arial" w:eastAsia="Arial" w:hint="default"/>
                <w:sz w:val="18"/>
                <w:szCs w:val="18"/>
              </w:rPr>
            </w:pPr>
            <w:r>
              <w:rPr>
                <w:rFonts w:ascii="Arial"/>
                <w:sz w:val="18"/>
              </w:rPr>
              <w:t>879,743,911</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49" w:right="0"/>
              <w:jc w:val="left"/>
              <w:rPr>
                <w:rFonts w:ascii="Arial" w:hAnsi="Arial" w:cs="Arial" w:eastAsia="Arial" w:hint="default"/>
                <w:sz w:val="18"/>
                <w:szCs w:val="18"/>
              </w:rPr>
            </w:pPr>
            <w:r>
              <w:rPr>
                <w:rFonts w:ascii="Arial"/>
                <w:sz w:val="18"/>
              </w:rPr>
              <w:t>1,741,932,435</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08" w:right="0"/>
              <w:jc w:val="left"/>
              <w:rPr>
                <w:rFonts w:ascii="Arial" w:hAnsi="Arial" w:cs="Arial" w:eastAsia="Arial" w:hint="default"/>
                <w:sz w:val="18"/>
                <w:szCs w:val="18"/>
              </w:rPr>
            </w:pPr>
            <w:r>
              <w:rPr>
                <w:rFonts w:ascii="Arial"/>
                <w:sz w:val="18"/>
              </w:rPr>
              <w:t>432,137,448</w:t>
            </w:r>
          </w:p>
        </w:tc>
      </w:tr>
      <w:tr>
        <w:trPr>
          <w:trHeight w:val="233"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left"/>
              <w:rPr>
                <w:rFonts w:ascii="宋体" w:hAnsi="宋体" w:cs="宋体" w:eastAsia="宋体" w:hint="default"/>
                <w:sz w:val="18"/>
                <w:szCs w:val="18"/>
              </w:rPr>
            </w:pPr>
            <w:r>
              <w:rPr>
                <w:rFonts w:ascii="宋体" w:hAnsi="宋体" w:cs="宋体" w:eastAsia="宋体" w:hint="default"/>
                <w:sz w:val="18"/>
                <w:szCs w:val="18"/>
              </w:rPr>
              <w:t>集团内部购销业务未实现净利润</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60" w:right="0"/>
              <w:jc w:val="left"/>
              <w:rPr>
                <w:rFonts w:ascii="Arial" w:hAnsi="Arial" w:cs="Arial" w:eastAsia="Arial" w:hint="default"/>
                <w:sz w:val="18"/>
                <w:szCs w:val="18"/>
              </w:rPr>
            </w:pPr>
            <w:r>
              <w:rPr>
                <w:rFonts w:ascii="Arial"/>
                <w:sz w:val="18"/>
              </w:rPr>
              <w:t>(7)</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61" w:right="0"/>
              <w:jc w:val="left"/>
              <w:rPr>
                <w:rFonts w:ascii="Arial" w:hAnsi="Arial" w:cs="Arial" w:eastAsia="Arial" w:hint="default"/>
                <w:sz w:val="18"/>
                <w:szCs w:val="18"/>
              </w:rPr>
            </w:pPr>
            <w:r>
              <w:rPr>
                <w:rFonts w:ascii="Arial"/>
                <w:sz w:val="18"/>
              </w:rPr>
              <w:t>1,171,685,093</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56" w:right="0"/>
              <w:jc w:val="left"/>
              <w:rPr>
                <w:rFonts w:ascii="Arial" w:hAnsi="Arial" w:cs="Arial" w:eastAsia="Arial" w:hint="default"/>
                <w:sz w:val="18"/>
                <w:szCs w:val="18"/>
              </w:rPr>
            </w:pPr>
            <w:r>
              <w:rPr>
                <w:rFonts w:ascii="Arial"/>
                <w:sz w:val="18"/>
              </w:rPr>
              <w:t>292,921,273</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49" w:right="0"/>
              <w:jc w:val="left"/>
              <w:rPr>
                <w:rFonts w:ascii="Arial" w:hAnsi="Arial" w:cs="Arial" w:eastAsia="Arial" w:hint="default"/>
                <w:sz w:val="18"/>
                <w:szCs w:val="18"/>
              </w:rPr>
            </w:pPr>
            <w:r>
              <w:rPr>
                <w:rFonts w:ascii="Arial"/>
                <w:sz w:val="18"/>
              </w:rPr>
              <w:t>1,188,735,085</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05" w:right="0"/>
              <w:jc w:val="left"/>
              <w:rPr>
                <w:rFonts w:ascii="Arial" w:hAnsi="Arial" w:cs="Arial" w:eastAsia="Arial" w:hint="default"/>
                <w:sz w:val="18"/>
                <w:szCs w:val="18"/>
              </w:rPr>
            </w:pPr>
            <w:r>
              <w:rPr>
                <w:rFonts w:ascii="Arial"/>
                <w:sz w:val="18"/>
              </w:rPr>
              <w:t>297,183,771</w:t>
            </w:r>
          </w:p>
        </w:tc>
      </w:tr>
      <w:tr>
        <w:trPr>
          <w:trHeight w:val="234"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left"/>
              <w:rPr>
                <w:rFonts w:ascii="宋体" w:hAnsi="宋体" w:cs="宋体" w:eastAsia="宋体" w:hint="default"/>
                <w:sz w:val="18"/>
                <w:szCs w:val="18"/>
              </w:rPr>
            </w:pPr>
            <w:r>
              <w:rPr>
                <w:rFonts w:ascii="宋体" w:hAnsi="宋体" w:cs="宋体" w:eastAsia="宋体" w:hint="default"/>
                <w:sz w:val="18"/>
                <w:szCs w:val="18"/>
              </w:rPr>
              <w:t>对西班牙电信投资公允价值变动</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0" w:right="0"/>
              <w:jc w:val="left"/>
              <w:rPr>
                <w:rFonts w:ascii="Arial" w:hAnsi="Arial" w:cs="Arial" w:eastAsia="Arial" w:hint="default"/>
                <w:sz w:val="18"/>
                <w:szCs w:val="18"/>
              </w:rPr>
            </w:pPr>
            <w:r>
              <w:rPr>
                <w:rFonts w:ascii="Arial"/>
                <w:sz w:val="18"/>
              </w:rPr>
              <w:t>(10)</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61" w:right="0"/>
              <w:jc w:val="left"/>
              <w:rPr>
                <w:rFonts w:ascii="Arial" w:hAnsi="Arial" w:cs="Arial" w:eastAsia="Arial" w:hint="default"/>
                <w:sz w:val="18"/>
                <w:szCs w:val="18"/>
              </w:rPr>
            </w:pPr>
            <w:r>
              <w:rPr>
                <w:rFonts w:ascii="Arial"/>
                <w:sz w:val="18"/>
              </w:rPr>
              <w:t>5,758,821,431</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5" w:right="0"/>
              <w:jc w:val="left"/>
              <w:rPr>
                <w:rFonts w:ascii="Arial" w:hAnsi="Arial" w:cs="Arial" w:eastAsia="Arial" w:hint="default"/>
                <w:sz w:val="18"/>
                <w:szCs w:val="18"/>
              </w:rPr>
            </w:pPr>
            <w:r>
              <w:rPr>
                <w:rFonts w:ascii="Arial"/>
                <w:sz w:val="18"/>
              </w:rPr>
              <w:t>1,439,705,358</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49" w:right="0"/>
              <w:jc w:val="left"/>
              <w:rPr>
                <w:rFonts w:ascii="Arial" w:hAnsi="Arial" w:cs="Arial" w:eastAsia="Arial" w:hint="default"/>
                <w:sz w:val="18"/>
                <w:szCs w:val="18"/>
              </w:rPr>
            </w:pPr>
            <w:r>
              <w:rPr>
                <w:rFonts w:ascii="Arial"/>
                <w:sz w:val="18"/>
              </w:rPr>
              <w:t>5,065,082,157</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57" w:right="0"/>
              <w:jc w:val="left"/>
              <w:rPr>
                <w:rFonts w:ascii="Arial" w:hAnsi="Arial" w:cs="Arial" w:eastAsia="Arial" w:hint="default"/>
                <w:sz w:val="18"/>
                <w:szCs w:val="18"/>
              </w:rPr>
            </w:pPr>
            <w:r>
              <w:rPr>
                <w:rFonts w:ascii="Arial"/>
                <w:sz w:val="18"/>
              </w:rPr>
              <w:t>1,266,270,539</w:t>
            </w:r>
          </w:p>
        </w:tc>
      </w:tr>
      <w:tr>
        <w:trPr>
          <w:trHeight w:val="234"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196" w:lineRule="exact"/>
              <w:ind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0" w:right="0"/>
              <w:jc w:val="left"/>
              <w:rPr>
                <w:rFonts w:ascii="Arial" w:hAnsi="Arial" w:cs="Arial" w:eastAsia="Arial" w:hint="default"/>
                <w:sz w:val="18"/>
                <w:szCs w:val="18"/>
              </w:rPr>
            </w:pPr>
            <w:r>
              <w:rPr>
                <w:rFonts w:ascii="Arial"/>
                <w:sz w:val="18"/>
              </w:rPr>
              <w:t>(11)</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12" w:right="0"/>
              <w:jc w:val="left"/>
              <w:rPr>
                <w:rFonts w:ascii="Arial" w:hAnsi="Arial" w:cs="Arial" w:eastAsia="Arial" w:hint="default"/>
                <w:sz w:val="18"/>
                <w:szCs w:val="18"/>
              </w:rPr>
            </w:pPr>
            <w:r>
              <w:rPr>
                <w:rFonts w:ascii="Arial"/>
                <w:sz w:val="18"/>
              </w:rPr>
              <w:t>965,987,565</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56" w:right="0"/>
              <w:jc w:val="left"/>
              <w:rPr>
                <w:rFonts w:ascii="Arial" w:hAnsi="Arial" w:cs="Arial" w:eastAsia="Arial" w:hint="default"/>
                <w:sz w:val="18"/>
                <w:szCs w:val="18"/>
              </w:rPr>
            </w:pPr>
            <w:r>
              <w:rPr>
                <w:rFonts w:ascii="Arial"/>
                <w:sz w:val="18"/>
              </w:rPr>
              <w:t>241,496,891</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49" w:right="0"/>
              <w:jc w:val="left"/>
              <w:rPr>
                <w:rFonts w:ascii="Arial" w:hAnsi="Arial" w:cs="Arial" w:eastAsia="Arial" w:hint="default"/>
                <w:sz w:val="18"/>
                <w:szCs w:val="18"/>
              </w:rPr>
            </w:pPr>
            <w:r>
              <w:rPr>
                <w:rFonts w:ascii="Arial"/>
                <w:sz w:val="18"/>
              </w:rPr>
              <w:t>2,458,576,532</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5" w:right="0"/>
              <w:jc w:val="left"/>
              <w:rPr>
                <w:rFonts w:ascii="Arial" w:hAnsi="Arial" w:cs="Arial" w:eastAsia="Arial" w:hint="default"/>
                <w:sz w:val="18"/>
                <w:szCs w:val="18"/>
              </w:rPr>
            </w:pPr>
            <w:r>
              <w:rPr>
                <w:rFonts w:ascii="Arial"/>
                <w:sz w:val="18"/>
              </w:rPr>
              <w:t>614,644,133</w:t>
            </w:r>
          </w:p>
        </w:tc>
      </w:tr>
      <w:tr>
        <w:trPr>
          <w:trHeight w:val="240"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62" w:type="dxa"/>
            <w:gridSpan w:val="2"/>
            <w:tcBorders>
              <w:top w:val="nil" w:sz="6" w:space="0" w:color="auto"/>
              <w:left w:val="nil" w:sz="6" w:space="0" w:color="auto"/>
              <w:bottom w:val="nil" w:sz="6" w:space="0" w:color="auto"/>
              <w:right w:val="nil" w:sz="6" w:space="0" w:color="auto"/>
            </w:tcBorders>
          </w:tcPr>
          <w:p>
            <w:pPr>
              <w:pStyle w:val="TableParagraph"/>
              <w:tabs>
                <w:tab w:pos="823" w:val="left" w:leader="none"/>
                <w:tab w:pos="2316" w:val="left" w:leader="none"/>
              </w:tabs>
              <w:spacing w:line="240" w:lineRule="auto" w:before="15"/>
              <w:ind w:left="561" w:right="-255"/>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1,919,151,515</w:t>
              <w:tab/>
            </w:r>
            <w:r>
              <w:rPr>
                <w:rFonts w:ascii="Arial"/>
                <w:sz w:val="18"/>
              </w:rPr>
            </w:r>
          </w:p>
        </w:tc>
        <w:tc>
          <w:tcPr>
            <w:tcW w:w="1342" w:type="dxa"/>
            <w:tcBorders>
              <w:top w:val="nil" w:sz="6" w:space="0" w:color="auto"/>
              <w:left w:val="nil" w:sz="6" w:space="0" w:color="auto"/>
              <w:bottom w:val="nil" w:sz="6" w:space="0" w:color="auto"/>
              <w:right w:val="nil" w:sz="6" w:space="0" w:color="auto"/>
            </w:tcBorders>
          </w:tcPr>
          <w:p>
            <w:pPr>
              <w:pStyle w:val="TableParagraph"/>
              <w:tabs>
                <w:tab w:pos="1590" w:val="left" w:leader="none"/>
              </w:tabs>
              <w:spacing w:line="240" w:lineRule="auto" w:before="15"/>
              <w:ind w:left="254" w:right="-250"/>
              <w:jc w:val="left"/>
              <w:rPr>
                <w:rFonts w:ascii="Arial" w:hAnsi="Arial" w:cs="Arial" w:eastAsia="Arial" w:hint="default"/>
                <w:sz w:val="18"/>
                <w:szCs w:val="18"/>
              </w:rPr>
            </w:pPr>
            <w:r>
              <w:rPr>
                <w:rFonts w:ascii="Arial"/>
                <w:w w:val="99"/>
                <w:sz w:val="18"/>
              </w:rPr>
            </w:r>
            <w:r>
              <w:rPr>
                <w:rFonts w:ascii="Arial"/>
                <w:sz w:val="18"/>
                <w:u w:val="single" w:color="000000"/>
              </w:rPr>
              <w:t>474,829,169</w:t>
              <w:tab/>
            </w:r>
            <w:r>
              <w:rPr>
                <w:rFonts w:ascii="Arial"/>
                <w:sz w:val="18"/>
              </w:rPr>
            </w:r>
          </w:p>
        </w:tc>
        <w:tc>
          <w:tcPr>
            <w:tcW w:w="1506" w:type="dxa"/>
            <w:tcBorders>
              <w:top w:val="nil" w:sz="6" w:space="0" w:color="auto"/>
              <w:left w:val="nil" w:sz="6" w:space="0" w:color="auto"/>
              <w:bottom w:val="nil" w:sz="6" w:space="0" w:color="auto"/>
              <w:right w:val="nil" w:sz="6" w:space="0" w:color="auto"/>
            </w:tcBorders>
          </w:tcPr>
          <w:p>
            <w:pPr>
              <w:pStyle w:val="TableParagraph"/>
              <w:tabs>
                <w:tab w:pos="1219" w:val="left" w:leader="none"/>
              </w:tabs>
              <w:spacing w:line="240" w:lineRule="auto" w:before="15"/>
              <w:ind w:right="35"/>
              <w:jc w:val="right"/>
              <w:rPr>
                <w:rFonts w:ascii="Arial" w:hAnsi="Arial" w:cs="Arial" w:eastAsia="Arial" w:hint="default"/>
                <w:sz w:val="18"/>
                <w:szCs w:val="18"/>
              </w:rPr>
            </w:pPr>
            <w:r>
              <w:rPr>
                <w:rFonts w:ascii="Arial"/>
                <w:w w:val="99"/>
                <w:sz w:val="18"/>
              </w:rPr>
            </w:r>
            <w:r>
              <w:rPr>
                <w:rFonts w:ascii="Arial"/>
                <w:spacing w:val="-1"/>
                <w:sz w:val="18"/>
                <w:u w:val="single" w:color="000000"/>
              </w:rPr>
              <w:t>1,527,371,954</w:t>
              <w:tab/>
            </w:r>
            <w:r>
              <w:rPr>
                <w:rFonts w:ascii="Arial"/>
                <w:spacing w:val="-1"/>
                <w:sz w:val="18"/>
              </w:rPr>
            </w:r>
          </w:p>
        </w:tc>
        <w:tc>
          <w:tcPr>
            <w:tcW w:w="1382" w:type="dxa"/>
            <w:tcBorders>
              <w:top w:val="nil" w:sz="6" w:space="0" w:color="auto"/>
              <w:left w:val="nil" w:sz="6" w:space="0" w:color="auto"/>
              <w:bottom w:val="nil" w:sz="6" w:space="0" w:color="auto"/>
              <w:right w:val="nil" w:sz="6" w:space="0" w:color="auto"/>
            </w:tcBorders>
          </w:tcPr>
          <w:p>
            <w:pPr>
              <w:pStyle w:val="TableParagraph"/>
              <w:tabs>
                <w:tab w:pos="308" w:val="left" w:leader="none"/>
                <w:tab w:pos="1376" w:val="left" w:leader="none"/>
              </w:tabs>
              <w:spacing w:line="240" w:lineRule="auto" w:before="15"/>
              <w:ind w:left="20"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377,321,057</w:t>
              <w:tab/>
            </w:r>
            <w:r>
              <w:rPr>
                <w:rFonts w:ascii="Arial"/>
                <w:sz w:val="18"/>
              </w:rPr>
            </w:r>
          </w:p>
        </w:tc>
      </w:tr>
      <w:tr>
        <w:trPr>
          <w:trHeight w:val="437"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02" w:lineRule="exact"/>
              <w:ind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0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2"/>
              <w:ind w:left="722" w:right="0"/>
              <w:jc w:val="left"/>
              <w:rPr>
                <w:rFonts w:ascii="Arial" w:hAnsi="Arial" w:cs="Arial" w:eastAsia="Arial" w:hint="default"/>
                <w:sz w:val="18"/>
                <w:szCs w:val="18"/>
              </w:rPr>
            </w:pPr>
            <w:r>
              <w:rPr>
                <w:rFonts w:ascii="Arial"/>
                <w:sz w:val="18"/>
              </w:rPr>
              <w:t>22,815,800,381</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5" w:right="0"/>
              <w:jc w:val="left"/>
              <w:rPr>
                <w:rFonts w:ascii="Arial" w:hAnsi="Arial" w:cs="Arial" w:eastAsia="Arial" w:hint="default"/>
                <w:sz w:val="18"/>
                <w:szCs w:val="18"/>
              </w:rPr>
            </w:pPr>
            <w:r>
              <w:rPr>
                <w:rFonts w:ascii="Arial"/>
                <w:sz w:val="18"/>
              </w:rPr>
              <w:t>5,684,664,762</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50" w:right="0"/>
              <w:jc w:val="left"/>
              <w:rPr>
                <w:rFonts w:ascii="Arial" w:hAnsi="Arial" w:cs="Arial" w:eastAsia="Arial" w:hint="default"/>
                <w:sz w:val="18"/>
                <w:szCs w:val="18"/>
              </w:rPr>
            </w:pPr>
            <w:r>
              <w:rPr>
                <w:rFonts w:ascii="Arial"/>
                <w:sz w:val="18"/>
              </w:rPr>
              <w:t>22,031,259,530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57" w:right="0"/>
              <w:jc w:val="left"/>
              <w:rPr>
                <w:rFonts w:ascii="Arial" w:hAnsi="Arial" w:cs="Arial" w:eastAsia="Arial" w:hint="default"/>
                <w:sz w:val="18"/>
                <w:szCs w:val="18"/>
              </w:rPr>
            </w:pPr>
            <w:r>
              <w:rPr>
                <w:rFonts w:ascii="Arial"/>
                <w:sz w:val="18"/>
              </w:rPr>
              <w:t>5,490,195,442</w:t>
            </w:r>
          </w:p>
        </w:tc>
      </w:tr>
      <w:tr>
        <w:trPr>
          <w:trHeight w:val="426" w:hRule="exact"/>
        </w:trPr>
        <w:tc>
          <w:tcPr>
            <w:tcW w:w="3097" w:type="dxa"/>
            <w:tcBorders>
              <w:top w:val="nil" w:sz="6" w:space="0" w:color="auto"/>
              <w:left w:val="nil" w:sz="6" w:space="0" w:color="auto"/>
              <w:bottom w:val="single" w:sz="6" w:space="0" w:color="000000"/>
              <w:right w:val="nil" w:sz="6" w:space="0" w:color="auto"/>
            </w:tcBorders>
          </w:tcPr>
          <w:p>
            <w:pPr>
              <w:pStyle w:val="TableParagraph"/>
              <w:spacing w:line="240" w:lineRule="auto" w:before="156"/>
              <w:ind w:right="0"/>
              <w:jc w:val="left"/>
              <w:rPr>
                <w:rFonts w:ascii="宋体" w:hAnsi="宋体" w:cs="宋体" w:eastAsia="宋体" w:hint="default"/>
                <w:sz w:val="18"/>
                <w:szCs w:val="18"/>
              </w:rPr>
            </w:pPr>
            <w:r>
              <w:rPr>
                <w:rFonts w:ascii="宋体" w:hAnsi="宋体" w:cs="宋体" w:eastAsia="宋体" w:hint="default"/>
                <w:sz w:val="18"/>
                <w:szCs w:val="18"/>
              </w:rPr>
              <w:t>同一纳税实体递延所得税负债：</w:t>
            </w:r>
          </w:p>
        </w:tc>
        <w:tc>
          <w:tcPr>
            <w:tcW w:w="562"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single" w:sz="6" w:space="0" w:color="000000"/>
              <w:right w:val="nil" w:sz="6" w:space="0" w:color="auto"/>
            </w:tcBorders>
          </w:tcPr>
          <w:p>
            <w:pPr>
              <w:pStyle w:val="TableParagraph"/>
              <w:spacing w:line="240" w:lineRule="auto" w:before="156"/>
              <w:ind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342" w:type="dxa"/>
            <w:tcBorders>
              <w:top w:val="nil" w:sz="6" w:space="0" w:color="auto"/>
              <w:left w:val="nil" w:sz="6" w:space="0" w:color="auto"/>
              <w:bottom w:val="single" w:sz="6" w:space="0" w:color="000000"/>
              <w:right w:val="nil" w:sz="6" w:space="0" w:color="auto"/>
            </w:tcBorders>
          </w:tcPr>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506" w:type="dxa"/>
            <w:tcBorders>
              <w:top w:val="nil" w:sz="6" w:space="0" w:color="auto"/>
              <w:left w:val="nil" w:sz="6" w:space="0" w:color="auto"/>
              <w:bottom w:val="single" w:sz="6" w:space="0" w:color="000000"/>
              <w:right w:val="nil" w:sz="6" w:space="0" w:color="auto"/>
            </w:tcBorders>
          </w:tcPr>
          <w:p>
            <w:pPr>
              <w:pStyle w:val="TableParagraph"/>
              <w:spacing w:line="240" w:lineRule="auto" w:before="156"/>
              <w:ind w:right="35"/>
              <w:jc w:val="righ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382" w:type="dxa"/>
            <w:tcBorders>
              <w:top w:val="nil" w:sz="6" w:space="0" w:color="auto"/>
              <w:left w:val="nil" w:sz="6" w:space="0" w:color="auto"/>
              <w:bottom w:val="single" w:sz="6" w:space="0" w:color="000000"/>
              <w:right w:val="nil" w:sz="6" w:space="0" w:color="auto"/>
            </w:tcBorders>
          </w:tcPr>
          <w:p>
            <w:pPr>
              <w:pStyle w:val="TableParagraph"/>
              <w:spacing w:line="240" w:lineRule="auto" w:before="156"/>
              <w:ind w:left="3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692" w:hRule="exact"/>
        </w:trPr>
        <w:tc>
          <w:tcPr>
            <w:tcW w:w="3097"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84" w:right="34" w:hanging="185"/>
              <w:jc w:val="left"/>
              <w:rPr>
                <w:rFonts w:ascii="宋体" w:hAnsi="宋体" w:cs="宋体" w:eastAsia="宋体" w:hint="default"/>
                <w:sz w:val="18"/>
                <w:szCs w:val="18"/>
              </w:rPr>
            </w:pPr>
            <w:r>
              <w:rPr>
                <w:rFonts w:ascii="宋体" w:hAnsi="宋体" w:cs="宋体" w:eastAsia="宋体" w:hint="default"/>
                <w:sz w:val="18"/>
                <w:szCs w:val="18"/>
              </w:rPr>
              <w:t>对西班牙电信投资合约衍生工具的公允 价值变动</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Arial" w:hAnsi="Arial" w:cs="Arial" w:eastAsia="Arial" w:hint="default"/>
                <w:sz w:val="18"/>
                <w:szCs w:val="18"/>
              </w:rPr>
            </w:pPr>
            <w:r>
              <w:rPr>
                <w:rFonts w:ascii="Arial"/>
                <w:sz w:val="18"/>
              </w:rPr>
              <w:t>(10)</w:t>
            </w:r>
          </w:p>
        </w:tc>
        <w:tc>
          <w:tcPr>
            <w:tcW w:w="1501"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01" w:right="0"/>
              <w:jc w:val="left"/>
              <w:rPr>
                <w:rFonts w:ascii="Arial" w:hAnsi="Arial" w:cs="Arial" w:eastAsia="Arial" w:hint="default"/>
                <w:sz w:val="18"/>
                <w:szCs w:val="18"/>
              </w:rPr>
            </w:pPr>
            <w:r>
              <w:rPr>
                <w:rFonts w:ascii="Arial"/>
                <w:sz w:val="18"/>
              </w:rPr>
              <w:t>(1,239,125,224)</w:t>
            </w:r>
          </w:p>
        </w:tc>
        <w:tc>
          <w:tcPr>
            <w:tcW w:w="1342"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91" w:right="0"/>
              <w:jc w:val="left"/>
              <w:rPr>
                <w:rFonts w:ascii="Arial" w:hAnsi="Arial" w:cs="Arial" w:eastAsia="Arial" w:hint="default"/>
                <w:sz w:val="18"/>
                <w:szCs w:val="18"/>
              </w:rPr>
            </w:pPr>
            <w:r>
              <w:rPr>
                <w:rFonts w:ascii="Arial"/>
                <w:sz w:val="18"/>
              </w:rPr>
              <w:t>(309,781,306)</w:t>
            </w:r>
          </w:p>
        </w:tc>
        <w:tc>
          <w:tcPr>
            <w:tcW w:w="150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2"/>
              <w:jc w:val="right"/>
              <w:rPr>
                <w:rFonts w:ascii="Arial" w:hAnsi="Arial" w:cs="Arial" w:eastAsia="Arial" w:hint="default"/>
                <w:sz w:val="18"/>
                <w:szCs w:val="18"/>
              </w:rPr>
            </w:pPr>
            <w:r>
              <w:rPr>
                <w:rFonts w:ascii="Arial"/>
                <w:spacing w:val="-1"/>
                <w:sz w:val="18"/>
              </w:rPr>
              <w:t>(1,239,125,224)</w:t>
            </w:r>
          </w:p>
        </w:tc>
        <w:tc>
          <w:tcPr>
            <w:tcW w:w="1382"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right"/>
              <w:rPr>
                <w:rFonts w:ascii="Arial" w:hAnsi="Arial" w:cs="Arial" w:eastAsia="Arial" w:hint="default"/>
                <w:sz w:val="18"/>
                <w:szCs w:val="18"/>
              </w:rPr>
            </w:pPr>
            <w:r>
              <w:rPr>
                <w:rFonts w:ascii="Arial"/>
                <w:spacing w:val="-1"/>
                <w:sz w:val="18"/>
              </w:rPr>
              <w:t>(309,781,306)</w:t>
            </w:r>
          </w:p>
        </w:tc>
      </w:tr>
      <w:tr>
        <w:trPr>
          <w:trHeight w:val="238"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left"/>
              <w:rPr>
                <w:rFonts w:ascii="宋体" w:hAnsi="宋体" w:cs="宋体" w:eastAsia="宋体" w:hint="default"/>
                <w:sz w:val="18"/>
                <w:szCs w:val="18"/>
              </w:rPr>
            </w:pPr>
            <w:r>
              <w:rPr>
                <w:rFonts w:ascii="宋体" w:hAnsi="宋体" w:cs="宋体" w:eastAsia="宋体" w:hint="default"/>
                <w:sz w:val="18"/>
                <w:szCs w:val="18"/>
              </w:rPr>
              <w:t>固定资产加速折旧</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0" w:right="0"/>
              <w:jc w:val="left"/>
              <w:rPr>
                <w:rFonts w:ascii="Arial" w:hAnsi="Arial" w:cs="Arial" w:eastAsia="Arial" w:hint="default"/>
                <w:sz w:val="18"/>
                <w:szCs w:val="18"/>
              </w:rPr>
            </w:pPr>
            <w:r>
              <w:rPr>
                <w:rFonts w:ascii="Arial"/>
                <w:sz w:val="18"/>
              </w:rPr>
              <w:t>(12)</w:t>
            </w:r>
          </w:p>
        </w:tc>
        <w:tc>
          <w:tcPr>
            <w:tcW w:w="1501" w:type="dxa"/>
            <w:tcBorders>
              <w:top w:val="nil" w:sz="6" w:space="0" w:color="auto"/>
              <w:left w:val="nil" w:sz="6" w:space="0" w:color="auto"/>
              <w:bottom w:val="nil" w:sz="6" w:space="0" w:color="auto"/>
              <w:right w:val="nil" w:sz="6" w:space="0" w:color="auto"/>
            </w:tcBorders>
          </w:tcPr>
          <w:p>
            <w:pPr>
              <w:pStyle w:val="TableParagraph"/>
              <w:tabs>
                <w:tab w:pos="1692" w:val="left" w:leader="none"/>
              </w:tabs>
              <w:spacing w:line="240" w:lineRule="auto" w:before="15"/>
              <w:ind w:right="-192"/>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
                <w:sz w:val="18"/>
                <w:u w:val="single" w:color="000000"/>
              </w:rPr>
              <w:t> </w:t>
            </w:r>
            <w:r>
              <w:rPr>
                <w:rFonts w:ascii="Arial"/>
                <w:sz w:val="18"/>
                <w:u w:val="single" w:color="000000"/>
              </w:rPr>
              <w:t>(2,783,639,416)</w:t>
              <w:tab/>
            </w:r>
            <w:r>
              <w:rPr>
                <w:rFonts w:ascii="Arial"/>
                <w:sz w:val="18"/>
              </w:rPr>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91" w:right="0"/>
              <w:jc w:val="left"/>
              <w:rPr>
                <w:rFonts w:ascii="Arial" w:hAnsi="Arial" w:cs="Arial" w:eastAsia="Arial" w:hint="default"/>
                <w:sz w:val="18"/>
                <w:szCs w:val="18"/>
              </w:rPr>
            </w:pPr>
            <w:r>
              <w:rPr>
                <w:rFonts w:ascii="Arial"/>
                <w:w w:val="99"/>
                <w:sz w:val="18"/>
              </w:rPr>
            </w:r>
            <w:r>
              <w:rPr>
                <w:rFonts w:ascii="Arial"/>
                <w:sz w:val="18"/>
                <w:u w:val="single" w:color="000000"/>
              </w:rPr>
              <w:t>(695,618,915)</w:t>
            </w:r>
            <w:r>
              <w:rPr>
                <w:rFonts w:ascii="Arial"/>
                <w:sz w:val="18"/>
              </w:rPr>
            </w:r>
          </w:p>
        </w:tc>
        <w:tc>
          <w:tcPr>
            <w:tcW w:w="1506" w:type="dxa"/>
            <w:tcBorders>
              <w:top w:val="nil" w:sz="6" w:space="0" w:color="auto"/>
              <w:left w:val="nil" w:sz="6" w:space="0" w:color="auto"/>
              <w:bottom w:val="nil" w:sz="6" w:space="0" w:color="auto"/>
              <w:right w:val="nil" w:sz="6" w:space="0" w:color="auto"/>
            </w:tcBorders>
          </w:tcPr>
          <w:p>
            <w:pPr>
              <w:pStyle w:val="TableParagraph"/>
              <w:tabs>
                <w:tab w:pos="1327" w:val="left" w:leader="none"/>
                <w:tab w:pos="1454" w:val="left" w:leader="none"/>
              </w:tabs>
              <w:spacing w:line="240" w:lineRule="auto" w:before="15"/>
              <w:ind w:right="3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382" w:type="dxa"/>
            <w:tcBorders>
              <w:top w:val="nil" w:sz="6" w:space="0" w:color="auto"/>
              <w:left w:val="nil" w:sz="6" w:space="0" w:color="auto"/>
              <w:bottom w:val="nil" w:sz="6" w:space="0" w:color="auto"/>
              <w:right w:val="nil" w:sz="6" w:space="0" w:color="auto"/>
            </w:tcBorders>
          </w:tcPr>
          <w:p>
            <w:pPr>
              <w:pStyle w:val="TableParagraph"/>
              <w:tabs>
                <w:tab w:pos="1249" w:val="left" w:leader="none"/>
              </w:tabs>
              <w:spacing w:line="240" w:lineRule="auto" w:before="15"/>
              <w:ind w:left="20"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r>
      <w:tr>
        <w:trPr>
          <w:trHeight w:val="441"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00" w:lineRule="exact"/>
              <w:ind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62"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201" w:right="0"/>
              <w:jc w:val="left"/>
              <w:rPr>
                <w:rFonts w:ascii="Arial" w:hAnsi="Arial" w:cs="Arial" w:eastAsia="Arial" w:hint="default"/>
                <w:sz w:val="18"/>
                <w:szCs w:val="18"/>
              </w:rPr>
            </w:pPr>
            <w:r>
              <w:rPr>
                <w:rFonts w:ascii="Arial"/>
                <w:sz w:val="18"/>
              </w:rPr>
              <w:t>(4,022,764,640)</w:t>
            </w:r>
          </w:p>
        </w:tc>
        <w:tc>
          <w:tcPr>
            <w:tcW w:w="1342"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40" w:right="0"/>
              <w:jc w:val="left"/>
              <w:rPr>
                <w:rFonts w:ascii="Arial" w:hAnsi="Arial" w:cs="Arial" w:eastAsia="Arial" w:hint="default"/>
                <w:sz w:val="18"/>
                <w:szCs w:val="18"/>
              </w:rPr>
            </w:pPr>
            <w:r>
              <w:rPr>
                <w:rFonts w:ascii="Arial"/>
                <w:sz w:val="18"/>
              </w:rPr>
              <w:t>(1,005,400,221)</w:t>
            </w:r>
          </w:p>
        </w:tc>
        <w:tc>
          <w:tcPr>
            <w:tcW w:w="1506"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32"/>
              <w:jc w:val="right"/>
              <w:rPr>
                <w:rFonts w:ascii="Arial" w:hAnsi="Arial" w:cs="Arial" w:eastAsia="Arial" w:hint="default"/>
                <w:sz w:val="18"/>
                <w:szCs w:val="18"/>
              </w:rPr>
            </w:pPr>
            <w:r>
              <w:rPr>
                <w:rFonts w:ascii="Arial"/>
                <w:spacing w:val="-1"/>
                <w:sz w:val="18"/>
              </w:rPr>
              <w:t>(1,239,125,224)</w:t>
            </w:r>
          </w:p>
        </w:tc>
        <w:tc>
          <w:tcPr>
            <w:tcW w:w="1382"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1"/>
              <w:jc w:val="right"/>
              <w:rPr>
                <w:rFonts w:ascii="Arial" w:hAnsi="Arial" w:cs="Arial" w:eastAsia="Arial" w:hint="default"/>
                <w:sz w:val="18"/>
                <w:szCs w:val="18"/>
              </w:rPr>
            </w:pPr>
            <w:r>
              <w:rPr>
                <w:rFonts w:ascii="Arial"/>
                <w:spacing w:val="-1"/>
                <w:sz w:val="18"/>
              </w:rPr>
              <w:t>(309,781,306)</w:t>
            </w:r>
          </w:p>
        </w:tc>
      </w:tr>
      <w:tr>
        <w:trPr>
          <w:trHeight w:val="468"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净值</w:t>
            </w:r>
          </w:p>
        </w:tc>
        <w:tc>
          <w:tcPr>
            <w:tcW w:w="562" w:type="dxa"/>
            <w:tcBorders>
              <w:top w:val="nil" w:sz="6" w:space="0" w:color="auto"/>
              <w:left w:val="nil" w:sz="6" w:space="0" w:color="auto"/>
              <w:bottom w:val="nil" w:sz="6" w:space="0" w:color="auto"/>
              <w:right w:val="nil" w:sz="6" w:space="0" w:color="auto"/>
            </w:tcBorders>
          </w:tcPr>
          <w:p>
            <w:pPr/>
          </w:p>
        </w:tc>
        <w:tc>
          <w:tcPr>
            <w:tcW w:w="1501" w:type="dxa"/>
            <w:tcBorders>
              <w:top w:val="single" w:sz="4"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63" w:right="0"/>
              <w:jc w:val="left"/>
              <w:rPr>
                <w:rFonts w:ascii="Arial" w:hAnsi="Arial" w:cs="Arial" w:eastAsia="Arial" w:hint="default"/>
                <w:sz w:val="18"/>
                <w:szCs w:val="18"/>
              </w:rPr>
            </w:pPr>
            <w:r>
              <w:rPr>
                <w:rFonts w:ascii="Arial"/>
                <w:sz w:val="18"/>
              </w:rPr>
              <w:t>18,793,035,741</w:t>
            </w:r>
          </w:p>
        </w:tc>
        <w:tc>
          <w:tcPr>
            <w:tcW w:w="1342" w:type="dxa"/>
            <w:tcBorders>
              <w:top w:val="single" w:sz="4"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5" w:right="0"/>
              <w:jc w:val="left"/>
              <w:rPr>
                <w:rFonts w:ascii="Arial" w:hAnsi="Arial" w:cs="Arial" w:eastAsia="Arial" w:hint="default"/>
                <w:sz w:val="18"/>
                <w:szCs w:val="18"/>
              </w:rPr>
            </w:pPr>
            <w:r>
              <w:rPr>
                <w:rFonts w:ascii="Arial"/>
                <w:sz w:val="18"/>
              </w:rPr>
              <w:t>4,679,264,541</w:t>
            </w:r>
          </w:p>
        </w:tc>
        <w:tc>
          <w:tcPr>
            <w:tcW w:w="1506" w:type="dxa"/>
            <w:tcBorders>
              <w:top w:val="single" w:sz="4"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48" w:right="0"/>
              <w:jc w:val="left"/>
              <w:rPr>
                <w:rFonts w:ascii="Arial" w:hAnsi="Arial" w:cs="Arial" w:eastAsia="Arial" w:hint="default"/>
                <w:sz w:val="18"/>
                <w:szCs w:val="18"/>
              </w:rPr>
            </w:pPr>
            <w:r>
              <w:rPr>
                <w:rFonts w:ascii="Arial"/>
                <w:sz w:val="18"/>
              </w:rPr>
              <w:t>20,792,134,306</w:t>
            </w:r>
          </w:p>
        </w:tc>
        <w:tc>
          <w:tcPr>
            <w:tcW w:w="1382" w:type="dxa"/>
            <w:tcBorders>
              <w:top w:val="single" w:sz="4"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57" w:right="0"/>
              <w:jc w:val="left"/>
              <w:rPr>
                <w:rFonts w:ascii="Arial" w:hAnsi="Arial" w:cs="Arial" w:eastAsia="Arial" w:hint="default"/>
                <w:sz w:val="18"/>
                <w:szCs w:val="18"/>
              </w:rPr>
            </w:pPr>
            <w:r>
              <w:rPr>
                <w:rFonts w:ascii="Arial"/>
                <w:sz w:val="18"/>
              </w:rPr>
              <w:t>5,180,414,136</w:t>
            </w:r>
          </w:p>
        </w:tc>
      </w:tr>
    </w:tbl>
    <w:p>
      <w:pPr>
        <w:spacing w:line="240" w:lineRule="auto" w:before="13"/>
        <w:rPr>
          <w:rFonts w:ascii="宋体" w:hAnsi="宋体" w:cs="宋体" w:eastAsia="宋体" w:hint="default"/>
          <w:sz w:val="9"/>
          <w:szCs w:val="9"/>
        </w:rPr>
      </w:pPr>
    </w:p>
    <w:p>
      <w:pPr>
        <w:pStyle w:val="BodyText"/>
        <w:spacing w:line="240" w:lineRule="auto" w:before="32"/>
        <w:ind w:left="102" w:right="0"/>
        <w:jc w:val="left"/>
      </w:pPr>
      <w:r>
        <w:rPr>
          <w:rFonts w:ascii="Arial" w:hAnsi="Arial" w:cs="Arial" w:eastAsia="Arial" w:hint="default"/>
        </w:rPr>
        <w:t>(ii) </w:t>
      </w:r>
      <w:r>
        <w:rPr>
          <w:rFonts w:ascii="Arial" w:hAnsi="Arial" w:cs="Arial" w:eastAsia="Arial" w:hint="default"/>
          <w:spacing w:val="51"/>
        </w:rPr>
        <w:t> </w:t>
      </w:r>
      <w:r>
        <w:rPr/>
        <w:t>递延所得税负债：</w:t>
      </w:r>
    </w:p>
    <w:p>
      <w:pPr>
        <w:spacing w:line="240" w:lineRule="auto" w:before="10"/>
        <w:rPr>
          <w:rFonts w:ascii="宋体" w:hAnsi="宋体" w:cs="宋体" w:eastAsia="宋体" w:hint="default"/>
          <w:sz w:val="18"/>
          <w:szCs w:val="18"/>
        </w:rPr>
      </w:pPr>
    </w:p>
    <w:tbl>
      <w:tblPr>
        <w:tblW w:w="0" w:type="auto"/>
        <w:jc w:val="left"/>
        <w:tblInd w:w="525" w:type="dxa"/>
        <w:tblLayout w:type="fixed"/>
        <w:tblCellMar>
          <w:top w:w="0" w:type="dxa"/>
          <w:left w:w="0" w:type="dxa"/>
          <w:bottom w:w="0" w:type="dxa"/>
          <w:right w:w="0" w:type="dxa"/>
        </w:tblCellMar>
        <w:tblLook w:val="01E0"/>
      </w:tblPr>
      <w:tblGrid>
        <w:gridCol w:w="3061"/>
        <w:gridCol w:w="612"/>
        <w:gridCol w:w="1527"/>
        <w:gridCol w:w="1362"/>
        <w:gridCol w:w="1555"/>
        <w:gridCol w:w="1323"/>
      </w:tblGrid>
      <w:tr>
        <w:trPr>
          <w:trHeight w:val="215" w:hRule="exact"/>
        </w:trPr>
        <w:tc>
          <w:tcPr>
            <w:tcW w:w="3061"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single" w:sz="6" w:space="0" w:color="000000"/>
              <w:right w:val="nil" w:sz="6" w:space="0" w:color="auto"/>
            </w:tcBorders>
          </w:tcPr>
          <w:p>
            <w:pPr>
              <w:pStyle w:val="TableParagraph"/>
              <w:spacing w:line="180" w:lineRule="exact"/>
              <w:ind w:right="62"/>
              <w:jc w:val="center"/>
              <w:rPr>
                <w:rFonts w:ascii="宋体" w:hAnsi="宋体" w:cs="宋体" w:eastAsia="宋体" w:hint="default"/>
                <w:sz w:val="18"/>
                <w:szCs w:val="18"/>
              </w:rPr>
            </w:pPr>
            <w:r>
              <w:rPr>
                <w:rFonts w:ascii="宋体" w:hAnsi="宋体" w:cs="宋体" w:eastAsia="宋体" w:hint="default"/>
                <w:sz w:val="18"/>
                <w:szCs w:val="18"/>
              </w:rPr>
              <w:t>注释</w:t>
            </w:r>
          </w:p>
        </w:tc>
        <w:tc>
          <w:tcPr>
            <w:tcW w:w="2890" w:type="dxa"/>
            <w:gridSpan w:val="2"/>
            <w:tcBorders>
              <w:top w:val="nil" w:sz="6" w:space="0" w:color="auto"/>
              <w:left w:val="nil" w:sz="6" w:space="0" w:color="auto"/>
              <w:bottom w:val="single" w:sz="6" w:space="0" w:color="000000"/>
              <w:right w:val="nil" w:sz="6" w:space="0" w:color="auto"/>
            </w:tcBorders>
          </w:tcPr>
          <w:p>
            <w:pPr>
              <w:pStyle w:val="TableParagraph"/>
              <w:spacing w:line="193" w:lineRule="exact"/>
              <w:ind w:left="655"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878" w:type="dxa"/>
            <w:gridSpan w:val="2"/>
            <w:tcBorders>
              <w:top w:val="nil" w:sz="6" w:space="0" w:color="auto"/>
              <w:left w:val="nil" w:sz="6" w:space="0" w:color="auto"/>
              <w:bottom w:val="single" w:sz="6" w:space="0" w:color="000000"/>
              <w:right w:val="nil" w:sz="6" w:space="0" w:color="auto"/>
            </w:tcBorders>
          </w:tcPr>
          <w:p>
            <w:pPr>
              <w:pStyle w:val="TableParagraph"/>
              <w:spacing w:line="193" w:lineRule="exact"/>
              <w:ind w:left="658"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250" w:hRule="exact"/>
        </w:trPr>
        <w:tc>
          <w:tcPr>
            <w:tcW w:w="3061" w:type="dxa"/>
            <w:tcBorders>
              <w:top w:val="nil" w:sz="6" w:space="0" w:color="auto"/>
              <w:left w:val="nil" w:sz="6" w:space="0" w:color="auto"/>
              <w:bottom w:val="nil" w:sz="6" w:space="0" w:color="auto"/>
              <w:right w:val="nil" w:sz="6" w:space="0" w:color="auto"/>
            </w:tcBorders>
          </w:tcPr>
          <w:p>
            <w:pPr/>
          </w:p>
        </w:tc>
        <w:tc>
          <w:tcPr>
            <w:tcW w:w="2139" w:type="dxa"/>
            <w:gridSpan w:val="2"/>
            <w:tcBorders>
              <w:top w:val="single" w:sz="6" w:space="0" w:color="000000"/>
              <w:left w:val="nil" w:sz="6" w:space="0" w:color="auto"/>
              <w:bottom w:val="nil" w:sz="6" w:space="0" w:color="auto"/>
              <w:right w:val="nil" w:sz="6" w:space="0" w:color="auto"/>
            </w:tcBorders>
          </w:tcPr>
          <w:p>
            <w:pPr>
              <w:pStyle w:val="TableParagraph"/>
              <w:spacing w:line="205" w:lineRule="exact"/>
              <w:ind w:left="657"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362"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4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555"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36"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323" w:type="dxa"/>
            <w:tcBorders>
              <w:top w:val="single" w:sz="6" w:space="0" w:color="000000"/>
              <w:left w:val="nil" w:sz="6" w:space="0" w:color="auto"/>
              <w:bottom w:val="single" w:sz="6" w:space="0" w:color="000000"/>
              <w:right w:val="nil" w:sz="6" w:space="0" w:color="auto"/>
            </w:tcBorders>
          </w:tcPr>
          <w:p>
            <w:pPr>
              <w:pStyle w:val="TableParagraph"/>
              <w:spacing w:line="205" w:lineRule="exact"/>
              <w:ind w:right="28"/>
              <w:jc w:val="righ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54" w:hRule="exact"/>
        </w:trPr>
        <w:tc>
          <w:tcPr>
            <w:tcW w:w="3061"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同一纳税实体递延所得税负债：</w:t>
            </w:r>
          </w:p>
        </w:tc>
        <w:tc>
          <w:tcPr>
            <w:tcW w:w="612" w:type="dxa"/>
            <w:tcBorders>
              <w:top w:val="nil" w:sz="6" w:space="0" w:color="auto"/>
              <w:left w:val="nil" w:sz="6" w:space="0" w:color="auto"/>
              <w:bottom w:val="nil" w:sz="6" w:space="0" w:color="auto"/>
              <w:right w:val="nil" w:sz="6" w:space="0" w:color="auto"/>
            </w:tcBorders>
          </w:tcPr>
          <w:p>
            <w:pPr/>
          </w:p>
        </w:tc>
        <w:tc>
          <w:tcPr>
            <w:tcW w:w="1527" w:type="dxa"/>
            <w:tcBorders>
              <w:top w:val="single" w:sz="6" w:space="0" w:color="000000"/>
              <w:left w:val="nil" w:sz="6" w:space="0" w:color="auto"/>
              <w:bottom w:val="nil" w:sz="6" w:space="0" w:color="auto"/>
              <w:right w:val="nil" w:sz="6" w:space="0" w:color="auto"/>
            </w:tcBorders>
          </w:tcPr>
          <w:p>
            <w:pPr/>
          </w:p>
        </w:tc>
        <w:tc>
          <w:tcPr>
            <w:tcW w:w="1362" w:type="dxa"/>
            <w:tcBorders>
              <w:top w:val="single" w:sz="6" w:space="0" w:color="000000"/>
              <w:left w:val="nil" w:sz="6" w:space="0" w:color="auto"/>
              <w:bottom w:val="nil" w:sz="6" w:space="0" w:color="auto"/>
              <w:right w:val="nil" w:sz="6" w:space="0" w:color="auto"/>
            </w:tcBorders>
          </w:tcPr>
          <w:p>
            <w:pPr/>
          </w:p>
        </w:tc>
        <w:tc>
          <w:tcPr>
            <w:tcW w:w="1555" w:type="dxa"/>
            <w:tcBorders>
              <w:top w:val="single" w:sz="6" w:space="0" w:color="000000"/>
              <w:left w:val="nil" w:sz="6" w:space="0" w:color="auto"/>
              <w:bottom w:val="nil" w:sz="6" w:space="0" w:color="auto"/>
              <w:right w:val="nil" w:sz="6" w:space="0" w:color="auto"/>
            </w:tcBorders>
          </w:tcPr>
          <w:p>
            <w:pPr/>
          </w:p>
        </w:tc>
        <w:tc>
          <w:tcPr>
            <w:tcW w:w="1323" w:type="dxa"/>
            <w:tcBorders>
              <w:top w:val="single" w:sz="6" w:space="0" w:color="000000"/>
              <w:left w:val="nil" w:sz="6" w:space="0" w:color="auto"/>
              <w:bottom w:val="nil" w:sz="6" w:space="0" w:color="auto"/>
              <w:right w:val="nil" w:sz="6" w:space="0" w:color="auto"/>
            </w:tcBorders>
          </w:tcPr>
          <w:p>
            <w:pPr/>
          </w:p>
        </w:tc>
      </w:tr>
      <w:tr>
        <w:trPr>
          <w:trHeight w:val="253" w:hRule="exact"/>
        </w:trPr>
        <w:tc>
          <w:tcPr>
            <w:tcW w:w="3061" w:type="dxa"/>
            <w:tcBorders>
              <w:top w:val="single" w:sz="6" w:space="0" w:color="000000"/>
              <w:left w:val="nil" w:sz="6" w:space="0" w:color="auto"/>
              <w:bottom w:val="nil" w:sz="6" w:space="0" w:color="auto"/>
              <w:right w:val="nil" w:sz="6" w:space="0" w:color="auto"/>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固定资产计提折旧的核算差异</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3"/>
              <w:jc w:val="center"/>
              <w:rPr>
                <w:rFonts w:ascii="Arial" w:hAnsi="Arial" w:cs="Arial" w:eastAsia="Arial" w:hint="default"/>
                <w:sz w:val="18"/>
                <w:szCs w:val="18"/>
              </w:rPr>
            </w:pPr>
            <w:r>
              <w:rPr>
                <w:rFonts w:ascii="Arial"/>
                <w:sz w:val="18"/>
              </w:rPr>
              <w:t>(8)</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8"/>
              <w:jc w:val="right"/>
              <w:rPr>
                <w:rFonts w:ascii="Arial" w:hAnsi="Arial" w:cs="Arial" w:eastAsia="Arial" w:hint="default"/>
                <w:sz w:val="18"/>
                <w:szCs w:val="18"/>
              </w:rPr>
            </w:pPr>
            <w:r>
              <w:rPr>
                <w:rFonts w:ascii="Arial"/>
                <w:spacing w:val="-1"/>
                <w:sz w:val="18"/>
              </w:rPr>
              <w:t>(66,319,724)</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73" w:right="0"/>
              <w:jc w:val="left"/>
              <w:rPr>
                <w:rFonts w:ascii="Arial" w:hAnsi="Arial" w:cs="Arial" w:eastAsia="Arial" w:hint="default"/>
                <w:sz w:val="18"/>
                <w:szCs w:val="18"/>
              </w:rPr>
            </w:pPr>
            <w:r>
              <w:rPr>
                <w:rFonts w:ascii="Arial"/>
                <w:sz w:val="18"/>
              </w:rPr>
              <w:t>(16,579,931)</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98" w:right="0"/>
              <w:jc w:val="left"/>
              <w:rPr>
                <w:rFonts w:ascii="Arial" w:hAnsi="Arial" w:cs="Arial" w:eastAsia="Arial" w:hint="default"/>
                <w:sz w:val="18"/>
                <w:szCs w:val="18"/>
              </w:rPr>
            </w:pPr>
            <w:r>
              <w:rPr>
                <w:rFonts w:ascii="Arial"/>
                <w:sz w:val="18"/>
              </w:rPr>
              <w:t>(105,646,357)</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right"/>
              <w:rPr>
                <w:rFonts w:ascii="Arial" w:hAnsi="Arial" w:cs="Arial" w:eastAsia="Arial" w:hint="default"/>
                <w:sz w:val="18"/>
                <w:szCs w:val="18"/>
              </w:rPr>
            </w:pPr>
            <w:r>
              <w:rPr>
                <w:rFonts w:ascii="Arial"/>
                <w:spacing w:val="-1"/>
                <w:sz w:val="18"/>
              </w:rPr>
              <w:t>(26,411,589)</w:t>
            </w:r>
          </w:p>
        </w:tc>
      </w:tr>
      <w:tr>
        <w:trPr>
          <w:trHeight w:val="233"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195" w:lineRule="exact"/>
              <w:ind w:left="26" w:right="0"/>
              <w:jc w:val="left"/>
              <w:rPr>
                <w:rFonts w:ascii="宋体" w:hAnsi="宋体" w:cs="宋体" w:eastAsia="宋体" w:hint="default"/>
                <w:sz w:val="18"/>
                <w:szCs w:val="18"/>
              </w:rPr>
            </w:pPr>
            <w:r>
              <w:rPr>
                <w:rFonts w:ascii="宋体" w:hAnsi="宋体" w:cs="宋体" w:eastAsia="宋体" w:hint="default"/>
                <w:sz w:val="18"/>
                <w:szCs w:val="18"/>
              </w:rPr>
              <w:t>改制评估增值</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3"/>
              <w:jc w:val="center"/>
              <w:rPr>
                <w:rFonts w:ascii="Arial" w:hAnsi="Arial" w:cs="Arial" w:eastAsia="Arial" w:hint="default"/>
                <w:sz w:val="18"/>
                <w:szCs w:val="18"/>
              </w:rPr>
            </w:pPr>
            <w:r>
              <w:rPr>
                <w:rFonts w:ascii="Arial"/>
                <w:sz w:val="18"/>
              </w:rPr>
              <w:t>(9)</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8"/>
              <w:jc w:val="right"/>
              <w:rPr>
                <w:rFonts w:ascii="Arial" w:hAnsi="Arial" w:cs="Arial" w:eastAsia="Arial" w:hint="default"/>
                <w:sz w:val="18"/>
                <w:szCs w:val="18"/>
              </w:rPr>
            </w:pPr>
            <w:r>
              <w:rPr>
                <w:rFonts w:ascii="Arial"/>
                <w:spacing w:val="-1"/>
                <w:sz w:val="18"/>
              </w:rPr>
              <w:t>(63,592,656)</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73" w:right="0"/>
              <w:jc w:val="left"/>
              <w:rPr>
                <w:rFonts w:ascii="Arial" w:hAnsi="Arial" w:cs="Arial" w:eastAsia="Arial" w:hint="default"/>
                <w:sz w:val="18"/>
                <w:szCs w:val="18"/>
              </w:rPr>
            </w:pPr>
            <w:r>
              <w:rPr>
                <w:rFonts w:ascii="Arial"/>
                <w:sz w:val="18"/>
              </w:rPr>
              <w:t>(15,898,164)</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99" w:right="0"/>
              <w:jc w:val="left"/>
              <w:rPr>
                <w:rFonts w:ascii="Arial" w:hAnsi="Arial" w:cs="Arial" w:eastAsia="Arial" w:hint="default"/>
                <w:sz w:val="18"/>
                <w:szCs w:val="18"/>
              </w:rPr>
            </w:pPr>
            <w:r>
              <w:rPr>
                <w:rFonts w:ascii="Arial"/>
                <w:sz w:val="18"/>
              </w:rPr>
              <w:t>(97,628,535)</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right"/>
              <w:rPr>
                <w:rFonts w:ascii="Arial" w:hAnsi="Arial" w:cs="Arial" w:eastAsia="Arial" w:hint="default"/>
                <w:sz w:val="18"/>
                <w:szCs w:val="18"/>
              </w:rPr>
            </w:pPr>
            <w:r>
              <w:rPr>
                <w:rFonts w:ascii="Arial"/>
                <w:spacing w:val="-1"/>
                <w:sz w:val="18"/>
              </w:rPr>
              <w:t>(24,407,134)</w:t>
            </w:r>
          </w:p>
        </w:tc>
      </w:tr>
      <w:tr>
        <w:trPr>
          <w:trHeight w:val="474"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193" w:lineRule="exact"/>
              <w:ind w:left="26" w:right="0"/>
              <w:jc w:val="left"/>
              <w:rPr>
                <w:rFonts w:ascii="宋体" w:hAnsi="宋体" w:cs="宋体" w:eastAsia="宋体" w:hint="default"/>
                <w:sz w:val="18"/>
                <w:szCs w:val="18"/>
              </w:rPr>
            </w:pPr>
            <w:r>
              <w:rPr>
                <w:rFonts w:ascii="宋体" w:hAnsi="宋体" w:cs="宋体" w:eastAsia="宋体" w:hint="default"/>
                <w:sz w:val="18"/>
                <w:szCs w:val="18"/>
              </w:rPr>
              <w:t>中讯设计院可供出售金融资产公允价</w:t>
            </w:r>
          </w:p>
          <w:p>
            <w:pPr>
              <w:pStyle w:val="TableParagraph"/>
              <w:spacing w:line="234" w:lineRule="exact"/>
              <w:ind w:left="189"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8"/>
              <w:jc w:val="center"/>
              <w:rPr>
                <w:rFonts w:ascii="Arial" w:hAnsi="Arial" w:cs="Arial" w:eastAsia="Arial" w:hint="default"/>
                <w:sz w:val="18"/>
                <w:szCs w:val="18"/>
              </w:rPr>
            </w:pPr>
            <w:r>
              <w:rPr>
                <w:rFonts w:ascii="Arial"/>
                <w:sz w:val="18"/>
              </w:rPr>
              <w:t>(10)</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tabs>
                <w:tab w:pos="364" w:val="left" w:leader="none"/>
              </w:tabs>
              <w:spacing w:line="240" w:lineRule="auto"/>
              <w:ind w:right="3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(122,436,454)</w:t>
            </w:r>
            <w:r>
              <w:rPr>
                <w:rFonts w:ascii="Arial"/>
                <w:spacing w:val="-1"/>
                <w:sz w:val="18"/>
              </w:rPr>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tabs>
                <w:tab w:pos="273" w:val="left" w:leader="none"/>
                <w:tab w:pos="1861" w:val="left" w:leader="none"/>
              </w:tabs>
              <w:spacing w:line="240" w:lineRule="auto"/>
              <w:ind w:left="6" w:right="-50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(30,609,113)</w:t>
              <w:tab/>
            </w:r>
            <w:r>
              <w:rPr>
                <w:rFonts w:ascii="Arial"/>
                <w:sz w:val="18"/>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tabs>
                <w:tab w:pos="1856" w:val="left" w:leader="none"/>
              </w:tabs>
              <w:spacing w:line="240" w:lineRule="auto"/>
              <w:ind w:left="499" w:right="-302"/>
              <w:jc w:val="left"/>
              <w:rPr>
                <w:rFonts w:ascii="Arial" w:hAnsi="Arial" w:cs="Arial" w:eastAsia="Arial" w:hint="default"/>
                <w:sz w:val="18"/>
                <w:szCs w:val="18"/>
              </w:rPr>
            </w:pPr>
            <w:r>
              <w:rPr>
                <w:rFonts w:ascii="Arial"/>
                <w:w w:val="99"/>
                <w:sz w:val="18"/>
              </w:rPr>
            </w:r>
            <w:r>
              <w:rPr>
                <w:rFonts w:ascii="Arial"/>
                <w:sz w:val="18"/>
                <w:u w:val="single" w:color="000000"/>
              </w:rPr>
              <w:t>(47,298,834)</w:t>
              <w:tab/>
            </w:r>
            <w:r>
              <w:rPr>
                <w:rFonts w:ascii="Arial"/>
                <w:sz w:val="18"/>
              </w:rPr>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Arial" w:hAnsi="Arial" w:cs="Arial" w:eastAsia="Arial" w:hint="default"/>
                <w:sz w:val="18"/>
                <w:szCs w:val="18"/>
              </w:rPr>
            </w:pPr>
            <w:r>
              <w:rPr>
                <w:rFonts w:ascii="Arial"/>
                <w:w w:val="99"/>
                <w:sz w:val="18"/>
              </w:rPr>
            </w:r>
            <w:r>
              <w:rPr>
                <w:rFonts w:ascii="Arial"/>
                <w:spacing w:val="-1"/>
                <w:sz w:val="18"/>
                <w:u w:val="single" w:color="000000"/>
              </w:rPr>
              <w:t>(11,824,708)</w:t>
            </w:r>
            <w:r>
              <w:rPr>
                <w:rFonts w:ascii="Arial"/>
                <w:spacing w:val="-1"/>
                <w:sz w:val="18"/>
              </w:rPr>
            </w:r>
          </w:p>
        </w:tc>
      </w:tr>
      <w:tr>
        <w:trPr>
          <w:trHeight w:val="345"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03" w:lineRule="exact"/>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1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976" w:right="0"/>
              <w:jc w:val="left"/>
              <w:rPr>
                <w:rFonts w:ascii="Arial" w:hAnsi="Arial" w:cs="Arial" w:eastAsia="Arial" w:hint="default"/>
                <w:sz w:val="18"/>
                <w:szCs w:val="18"/>
              </w:rPr>
            </w:pPr>
            <w:r>
              <w:rPr>
                <w:rFonts w:ascii="Arial"/>
                <w:sz w:val="18"/>
              </w:rPr>
              <w:t>(252,348,834)</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58" w:right="0"/>
              <w:jc w:val="left"/>
              <w:rPr>
                <w:rFonts w:ascii="Arial" w:hAnsi="Arial" w:cs="Arial" w:eastAsia="Arial" w:hint="default"/>
                <w:sz w:val="18"/>
                <w:szCs w:val="18"/>
              </w:rPr>
            </w:pPr>
            <w:r>
              <w:rPr>
                <w:rFonts w:ascii="Arial"/>
                <w:sz w:val="18"/>
              </w:rPr>
              <w:t>(63,087,208)</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98" w:right="0"/>
              <w:jc w:val="left"/>
              <w:rPr>
                <w:rFonts w:ascii="Arial" w:hAnsi="Arial" w:cs="Arial" w:eastAsia="Arial" w:hint="default"/>
                <w:sz w:val="18"/>
                <w:szCs w:val="18"/>
              </w:rPr>
            </w:pPr>
            <w:r>
              <w:rPr>
                <w:rFonts w:ascii="Arial"/>
                <w:sz w:val="18"/>
              </w:rPr>
              <w:t>(250,573,726)</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right"/>
              <w:rPr>
                <w:rFonts w:ascii="Arial" w:hAnsi="Arial" w:cs="Arial" w:eastAsia="Arial" w:hint="default"/>
                <w:sz w:val="18"/>
                <w:szCs w:val="18"/>
              </w:rPr>
            </w:pPr>
            <w:r>
              <w:rPr>
                <w:rFonts w:ascii="Arial"/>
                <w:spacing w:val="-1"/>
                <w:sz w:val="18"/>
              </w:rPr>
              <w:t>(62,643,431)</w:t>
            </w:r>
          </w:p>
        </w:tc>
      </w:tr>
      <w:tr>
        <w:trPr>
          <w:trHeight w:val="335" w:hRule="exact"/>
        </w:trPr>
        <w:tc>
          <w:tcPr>
            <w:tcW w:w="3061" w:type="dxa"/>
            <w:tcBorders>
              <w:top w:val="nil" w:sz="6" w:space="0" w:color="auto"/>
              <w:left w:val="nil" w:sz="6" w:space="0" w:color="auto"/>
              <w:bottom w:val="single" w:sz="6" w:space="0" w:color="000000"/>
              <w:right w:val="nil" w:sz="6" w:space="0" w:color="auto"/>
            </w:tcBorders>
          </w:tcPr>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同一纳税实体递延所得税资产：</w:t>
            </w:r>
          </w:p>
        </w:tc>
        <w:tc>
          <w:tcPr>
            <w:tcW w:w="21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657"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362" w:type="dxa"/>
            <w:tcBorders>
              <w:top w:val="nil" w:sz="6" w:space="0" w:color="auto"/>
              <w:left w:val="nil" w:sz="6" w:space="0" w:color="auto"/>
              <w:bottom w:val="single" w:sz="6" w:space="0" w:color="000000"/>
              <w:right w:val="nil" w:sz="6" w:space="0" w:color="auto"/>
            </w:tcBorders>
          </w:tcPr>
          <w:p>
            <w:pPr>
              <w:pStyle w:val="TableParagraph"/>
              <w:spacing w:line="240" w:lineRule="auto" w:before="62"/>
              <w:ind w:left="4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55" w:type="dxa"/>
            <w:tcBorders>
              <w:top w:val="nil" w:sz="6" w:space="0" w:color="auto"/>
              <w:left w:val="nil" w:sz="6" w:space="0" w:color="auto"/>
              <w:bottom w:val="single" w:sz="6" w:space="0" w:color="000000"/>
              <w:right w:val="nil" w:sz="6" w:space="0" w:color="auto"/>
            </w:tcBorders>
          </w:tcPr>
          <w:p>
            <w:pPr>
              <w:pStyle w:val="TableParagraph"/>
              <w:spacing w:line="240" w:lineRule="auto" w:before="62"/>
              <w:ind w:left="8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323" w:type="dxa"/>
            <w:tcBorders>
              <w:top w:val="nil" w:sz="6" w:space="0" w:color="auto"/>
              <w:left w:val="nil" w:sz="6" w:space="0" w:color="auto"/>
              <w:bottom w:val="single" w:sz="6" w:space="0" w:color="000000"/>
              <w:right w:val="nil" w:sz="6" w:space="0" w:color="auto"/>
            </w:tcBorders>
          </w:tcPr>
          <w:p>
            <w:pPr>
              <w:pStyle w:val="TableParagraph"/>
              <w:spacing w:line="240" w:lineRule="auto" w:before="62"/>
              <w:ind w:right="28"/>
              <w:jc w:val="righ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57" w:hRule="exact"/>
        </w:trPr>
        <w:tc>
          <w:tcPr>
            <w:tcW w:w="3061"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已计提尚未发放的职工薪酬</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8"/>
              <w:jc w:val="center"/>
              <w:rPr>
                <w:rFonts w:ascii="Arial" w:hAnsi="Arial" w:cs="Arial" w:eastAsia="Arial" w:hint="default"/>
                <w:sz w:val="18"/>
                <w:szCs w:val="18"/>
              </w:rPr>
            </w:pPr>
            <w:r>
              <w:rPr>
                <w:rFonts w:ascii="Arial"/>
                <w:sz w:val="18"/>
              </w:rPr>
              <w:t>(1)(6)</w:t>
            </w:r>
          </w:p>
        </w:tc>
        <w:tc>
          <w:tcPr>
            <w:tcW w:w="1527"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89"/>
              <w:jc w:val="right"/>
              <w:rPr>
                <w:rFonts w:ascii="Arial" w:hAnsi="Arial" w:cs="Arial" w:eastAsia="Arial" w:hint="default"/>
                <w:sz w:val="18"/>
                <w:szCs w:val="18"/>
              </w:rPr>
            </w:pPr>
            <w:r>
              <w:rPr>
                <w:rFonts w:ascii="Arial"/>
                <w:spacing w:val="-1"/>
                <w:sz w:val="18"/>
              </w:rPr>
              <w:t>42,243,548</w:t>
            </w:r>
          </w:p>
        </w:tc>
        <w:tc>
          <w:tcPr>
            <w:tcW w:w="1362"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66" w:right="0"/>
              <w:jc w:val="left"/>
              <w:rPr>
                <w:rFonts w:ascii="Arial" w:hAnsi="Arial" w:cs="Arial" w:eastAsia="Arial" w:hint="default"/>
                <w:sz w:val="18"/>
                <w:szCs w:val="18"/>
              </w:rPr>
            </w:pPr>
            <w:r>
              <w:rPr>
                <w:rFonts w:ascii="Arial"/>
                <w:sz w:val="18"/>
              </w:rPr>
              <w:t>10,560,886</w:t>
            </w:r>
          </w:p>
        </w:tc>
        <w:tc>
          <w:tcPr>
            <w:tcW w:w="1555"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54" w:right="0"/>
              <w:jc w:val="left"/>
              <w:rPr>
                <w:rFonts w:ascii="Arial" w:hAnsi="Arial" w:cs="Arial" w:eastAsia="Arial" w:hint="default"/>
                <w:sz w:val="18"/>
                <w:szCs w:val="18"/>
              </w:rPr>
            </w:pPr>
            <w:r>
              <w:rPr>
                <w:rFonts w:ascii="Arial"/>
                <w:sz w:val="18"/>
              </w:rPr>
              <w:t>35,687,605</w:t>
            </w:r>
          </w:p>
        </w:tc>
        <w:tc>
          <w:tcPr>
            <w:tcW w:w="1323"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8"/>
              <w:jc w:val="right"/>
              <w:rPr>
                <w:rFonts w:ascii="Arial" w:hAnsi="Arial" w:cs="Arial" w:eastAsia="Arial" w:hint="default"/>
                <w:sz w:val="18"/>
                <w:szCs w:val="18"/>
              </w:rPr>
            </w:pPr>
            <w:r>
              <w:rPr>
                <w:rFonts w:ascii="Arial"/>
                <w:spacing w:val="-1"/>
                <w:sz w:val="18"/>
              </w:rPr>
              <w:t>8,921,900</w:t>
            </w:r>
          </w:p>
        </w:tc>
      </w:tr>
      <w:tr>
        <w:trPr>
          <w:trHeight w:val="234"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195" w:lineRule="exact"/>
              <w:ind w:left="26" w:right="0"/>
              <w:jc w:val="left"/>
              <w:rPr>
                <w:rFonts w:ascii="宋体" w:hAnsi="宋体" w:cs="宋体" w:eastAsia="宋体" w:hint="default"/>
                <w:sz w:val="18"/>
                <w:szCs w:val="18"/>
              </w:rPr>
            </w:pPr>
            <w:r>
              <w:rPr>
                <w:rFonts w:ascii="宋体" w:hAnsi="宋体" w:cs="宋体" w:eastAsia="宋体" w:hint="default"/>
                <w:sz w:val="18"/>
                <w:szCs w:val="18"/>
              </w:rPr>
              <w:t>固定资产计提折旧的核算差异</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8"/>
              <w:jc w:val="center"/>
              <w:rPr>
                <w:rFonts w:ascii="Arial" w:hAnsi="Arial" w:cs="Arial" w:eastAsia="Arial" w:hint="default"/>
                <w:sz w:val="18"/>
                <w:szCs w:val="18"/>
              </w:rPr>
            </w:pPr>
            <w:r>
              <w:rPr>
                <w:rFonts w:ascii="Arial"/>
                <w:sz w:val="18"/>
              </w:rPr>
              <w:t>(1)(8)</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9"/>
              <w:jc w:val="right"/>
              <w:rPr>
                <w:rFonts w:ascii="Arial" w:hAnsi="Arial" w:cs="Arial" w:eastAsia="Arial" w:hint="default"/>
                <w:sz w:val="18"/>
                <w:szCs w:val="18"/>
              </w:rPr>
            </w:pPr>
            <w:r>
              <w:rPr>
                <w:rFonts w:ascii="Arial"/>
                <w:spacing w:val="-1"/>
                <w:sz w:val="18"/>
              </w:rPr>
              <w:t>31,015,642</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65" w:right="0"/>
              <w:jc w:val="left"/>
              <w:rPr>
                <w:rFonts w:ascii="Arial" w:hAnsi="Arial" w:cs="Arial" w:eastAsia="Arial" w:hint="default"/>
                <w:sz w:val="18"/>
                <w:szCs w:val="18"/>
              </w:rPr>
            </w:pPr>
            <w:r>
              <w:rPr>
                <w:rFonts w:ascii="Arial"/>
                <w:sz w:val="18"/>
              </w:rPr>
              <w:t>7,753,910</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54" w:right="0"/>
              <w:jc w:val="left"/>
              <w:rPr>
                <w:rFonts w:ascii="Arial" w:hAnsi="Arial" w:cs="Arial" w:eastAsia="Arial" w:hint="default"/>
                <w:sz w:val="18"/>
                <w:szCs w:val="18"/>
              </w:rPr>
            </w:pPr>
            <w:r>
              <w:rPr>
                <w:rFonts w:ascii="Arial"/>
                <w:sz w:val="18"/>
              </w:rPr>
              <w:t>33,857,654</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8"/>
              <w:jc w:val="right"/>
              <w:rPr>
                <w:rFonts w:ascii="Arial" w:hAnsi="Arial" w:cs="Arial" w:eastAsia="Arial" w:hint="default"/>
                <w:sz w:val="18"/>
                <w:szCs w:val="18"/>
              </w:rPr>
            </w:pPr>
            <w:r>
              <w:rPr>
                <w:rFonts w:ascii="Arial"/>
                <w:spacing w:val="-1"/>
                <w:sz w:val="18"/>
              </w:rPr>
              <w:t>8,464,414</w:t>
            </w:r>
          </w:p>
        </w:tc>
      </w:tr>
      <w:tr>
        <w:trPr>
          <w:trHeight w:val="241"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196" w:lineRule="exact"/>
              <w:ind w:left="26" w:right="0"/>
              <w:jc w:val="left"/>
              <w:rPr>
                <w:rFonts w:ascii="宋体" w:hAnsi="宋体" w:cs="宋体" w:eastAsia="宋体" w:hint="default"/>
                <w:sz w:val="18"/>
                <w:szCs w:val="18"/>
              </w:rPr>
            </w:pPr>
            <w:r>
              <w:rPr>
                <w:rFonts w:ascii="宋体" w:hAnsi="宋体" w:cs="宋体" w:eastAsia="宋体" w:hint="default"/>
                <w:sz w:val="18"/>
                <w:szCs w:val="18"/>
              </w:rPr>
              <w:t>应收款项坏账准备</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8"/>
              <w:jc w:val="center"/>
              <w:rPr>
                <w:rFonts w:ascii="Arial" w:hAnsi="Arial" w:cs="Arial" w:eastAsia="Arial" w:hint="default"/>
                <w:sz w:val="18"/>
                <w:szCs w:val="18"/>
              </w:rPr>
            </w:pPr>
            <w:r>
              <w:rPr>
                <w:rFonts w:ascii="Arial"/>
                <w:sz w:val="18"/>
              </w:rPr>
              <w:t>(1)(3)</w:t>
            </w:r>
          </w:p>
        </w:tc>
        <w:tc>
          <w:tcPr>
            <w:tcW w:w="1527" w:type="dxa"/>
            <w:tcBorders>
              <w:top w:val="nil" w:sz="6" w:space="0" w:color="auto"/>
              <w:left w:val="nil" w:sz="6" w:space="0" w:color="auto"/>
              <w:bottom w:val="nil" w:sz="6" w:space="0" w:color="auto"/>
              <w:right w:val="nil" w:sz="6" w:space="0" w:color="auto"/>
            </w:tcBorders>
          </w:tcPr>
          <w:p>
            <w:pPr>
              <w:pStyle w:val="TableParagraph"/>
              <w:tabs>
                <w:tab w:pos="535" w:val="left" w:leader="none"/>
                <w:tab w:pos="1485" w:val="left" w:leader="none"/>
              </w:tabs>
              <w:spacing w:line="240" w:lineRule="auto" w:before="16"/>
              <w:ind w:right="3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21,607,443</w:t>
              <w:tab/>
            </w:r>
            <w:r>
              <w:rPr>
                <w:rFonts w:ascii="Arial"/>
                <w:spacing w:val="-1"/>
                <w:sz w:val="18"/>
              </w:rPr>
            </w:r>
          </w:p>
        </w:tc>
        <w:tc>
          <w:tcPr>
            <w:tcW w:w="1362" w:type="dxa"/>
            <w:tcBorders>
              <w:top w:val="nil" w:sz="6" w:space="0" w:color="auto"/>
              <w:left w:val="nil" w:sz="6" w:space="0" w:color="auto"/>
              <w:bottom w:val="nil" w:sz="6" w:space="0" w:color="auto"/>
              <w:right w:val="nil" w:sz="6" w:space="0" w:color="auto"/>
            </w:tcBorders>
          </w:tcPr>
          <w:p>
            <w:pPr>
              <w:pStyle w:val="TableParagraph"/>
              <w:tabs>
                <w:tab w:pos="465" w:val="left" w:leader="none"/>
                <w:tab w:pos="1917" w:val="left" w:leader="none"/>
              </w:tabs>
              <w:spacing w:line="240" w:lineRule="auto" w:before="16"/>
              <w:ind w:left="6" w:right="-555"/>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5,401,861</w:t>
              <w:tab/>
            </w:r>
            <w:r>
              <w:rPr>
                <w:rFonts w:ascii="Arial"/>
                <w:sz w:val="18"/>
              </w:rPr>
            </w:r>
          </w:p>
        </w:tc>
        <w:tc>
          <w:tcPr>
            <w:tcW w:w="1555" w:type="dxa"/>
            <w:tcBorders>
              <w:top w:val="nil" w:sz="6" w:space="0" w:color="auto"/>
              <w:left w:val="nil" w:sz="6" w:space="0" w:color="auto"/>
              <w:bottom w:val="nil" w:sz="6" w:space="0" w:color="auto"/>
              <w:right w:val="nil" w:sz="6" w:space="0" w:color="auto"/>
            </w:tcBorders>
          </w:tcPr>
          <w:p>
            <w:pPr>
              <w:pStyle w:val="TableParagraph"/>
              <w:tabs>
                <w:tab w:pos="2014" w:val="left" w:leader="none"/>
              </w:tabs>
              <w:spacing w:line="240" w:lineRule="auto" w:before="16"/>
              <w:ind w:left="554" w:right="-460"/>
              <w:jc w:val="left"/>
              <w:rPr>
                <w:rFonts w:ascii="Arial" w:hAnsi="Arial" w:cs="Arial" w:eastAsia="Arial" w:hint="default"/>
                <w:sz w:val="18"/>
                <w:szCs w:val="18"/>
              </w:rPr>
            </w:pPr>
            <w:r>
              <w:rPr>
                <w:rFonts w:ascii="Arial"/>
                <w:w w:val="99"/>
                <w:sz w:val="18"/>
              </w:rPr>
            </w:r>
            <w:r>
              <w:rPr>
                <w:rFonts w:ascii="Arial"/>
                <w:sz w:val="18"/>
                <w:u w:val="single" w:color="000000"/>
              </w:rPr>
              <w:t>25,486,025</w:t>
              <w:tab/>
            </w:r>
            <w:r>
              <w:rPr>
                <w:rFonts w:ascii="Arial"/>
                <w:sz w:val="18"/>
              </w:rPr>
            </w:r>
          </w:p>
        </w:tc>
        <w:tc>
          <w:tcPr>
            <w:tcW w:w="1323" w:type="dxa"/>
            <w:tcBorders>
              <w:top w:val="nil" w:sz="6" w:space="0" w:color="auto"/>
              <w:left w:val="nil" w:sz="6" w:space="0" w:color="auto"/>
              <w:bottom w:val="nil" w:sz="6" w:space="0" w:color="auto"/>
              <w:right w:val="nil" w:sz="6" w:space="0" w:color="auto"/>
            </w:tcBorders>
          </w:tcPr>
          <w:p>
            <w:pPr>
              <w:pStyle w:val="TableParagraph"/>
              <w:tabs>
                <w:tab w:pos="851" w:val="left" w:leader="none"/>
              </w:tabs>
              <w:spacing w:line="240" w:lineRule="auto" w:before="16"/>
              <w:ind w:right="8"/>
              <w:jc w:val="right"/>
              <w:rPr>
                <w:rFonts w:ascii="Arial" w:hAnsi="Arial" w:cs="Arial" w:eastAsia="Arial" w:hint="default"/>
                <w:sz w:val="18"/>
                <w:szCs w:val="18"/>
              </w:rPr>
            </w:pPr>
            <w:r>
              <w:rPr>
                <w:rFonts w:ascii="Arial"/>
                <w:w w:val="99"/>
                <w:sz w:val="18"/>
              </w:rPr>
            </w:r>
            <w:r>
              <w:rPr>
                <w:rFonts w:ascii="Arial"/>
                <w:spacing w:val="-1"/>
                <w:sz w:val="18"/>
                <w:u w:val="single" w:color="000000"/>
              </w:rPr>
              <w:t>6,371,506</w:t>
              <w:tab/>
            </w:r>
            <w:r>
              <w:rPr>
                <w:rFonts w:ascii="Arial"/>
                <w:spacing w:val="-1"/>
                <w:sz w:val="18"/>
              </w:rPr>
            </w:r>
          </w:p>
        </w:tc>
      </w:tr>
      <w:tr>
        <w:trPr>
          <w:trHeight w:val="443"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02" w:lineRule="exact"/>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12"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89"/>
              <w:jc w:val="right"/>
              <w:rPr>
                <w:rFonts w:ascii="Arial" w:hAnsi="Arial" w:cs="Arial" w:eastAsia="Arial" w:hint="default"/>
                <w:sz w:val="18"/>
                <w:szCs w:val="18"/>
              </w:rPr>
            </w:pPr>
            <w:r>
              <w:rPr>
                <w:rFonts w:ascii="Arial"/>
                <w:spacing w:val="-1"/>
                <w:sz w:val="18"/>
              </w:rPr>
              <w:t>94,866,633</w:t>
            </w:r>
          </w:p>
        </w:tc>
        <w:tc>
          <w:tcPr>
            <w:tcW w:w="1362"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366" w:right="0"/>
              <w:jc w:val="left"/>
              <w:rPr>
                <w:rFonts w:ascii="Arial" w:hAnsi="Arial" w:cs="Arial" w:eastAsia="Arial" w:hint="default"/>
                <w:sz w:val="18"/>
                <w:szCs w:val="18"/>
              </w:rPr>
            </w:pPr>
            <w:r>
              <w:rPr>
                <w:rFonts w:ascii="Arial"/>
                <w:sz w:val="18"/>
              </w:rPr>
              <w:t>23,716,657</w:t>
            </w: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554" w:right="0"/>
              <w:jc w:val="left"/>
              <w:rPr>
                <w:rFonts w:ascii="Arial" w:hAnsi="Arial" w:cs="Arial" w:eastAsia="Arial" w:hint="default"/>
                <w:sz w:val="18"/>
                <w:szCs w:val="18"/>
              </w:rPr>
            </w:pPr>
            <w:r>
              <w:rPr>
                <w:rFonts w:ascii="Arial"/>
                <w:sz w:val="18"/>
              </w:rPr>
              <w:t>95,031,284</w:t>
            </w:r>
          </w:p>
        </w:tc>
        <w:tc>
          <w:tcPr>
            <w:tcW w:w="1323"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60"/>
              <w:jc w:val="right"/>
              <w:rPr>
                <w:rFonts w:ascii="Arial" w:hAnsi="Arial" w:cs="Arial" w:eastAsia="Arial" w:hint="default"/>
                <w:sz w:val="18"/>
                <w:szCs w:val="18"/>
              </w:rPr>
            </w:pPr>
            <w:r>
              <w:rPr>
                <w:rFonts w:ascii="Arial"/>
                <w:spacing w:val="-1"/>
                <w:sz w:val="18"/>
              </w:rPr>
              <w:t>23,757,820</w:t>
            </w:r>
          </w:p>
        </w:tc>
      </w:tr>
      <w:tr>
        <w:trPr>
          <w:trHeight w:val="468"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净值</w:t>
            </w:r>
          </w:p>
        </w:tc>
        <w:tc>
          <w:tcPr>
            <w:tcW w:w="612" w:type="dxa"/>
            <w:tcBorders>
              <w:top w:val="nil" w:sz="6" w:space="0" w:color="auto"/>
              <w:left w:val="nil" w:sz="6" w:space="0" w:color="auto"/>
              <w:bottom w:val="nil" w:sz="6" w:space="0" w:color="auto"/>
              <w:right w:val="nil" w:sz="6" w:space="0" w:color="auto"/>
            </w:tcBorders>
          </w:tcPr>
          <w:p>
            <w:pPr/>
          </w:p>
        </w:tc>
        <w:tc>
          <w:tcPr>
            <w:tcW w:w="1527" w:type="dxa"/>
            <w:tcBorders>
              <w:top w:val="single" w:sz="4"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8"/>
              <w:jc w:val="right"/>
              <w:rPr>
                <w:rFonts w:ascii="Arial" w:hAnsi="Arial" w:cs="Arial" w:eastAsia="Arial" w:hint="default"/>
                <w:sz w:val="18"/>
                <w:szCs w:val="18"/>
              </w:rPr>
            </w:pPr>
            <w:r>
              <w:rPr>
                <w:rFonts w:ascii="Arial"/>
                <w:spacing w:val="-1"/>
                <w:sz w:val="18"/>
              </w:rPr>
              <w:t>(157,482,201)</w:t>
            </w:r>
          </w:p>
        </w:tc>
        <w:tc>
          <w:tcPr>
            <w:tcW w:w="1362" w:type="dxa"/>
            <w:tcBorders>
              <w:top w:val="single" w:sz="4"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04" w:right="0"/>
              <w:jc w:val="left"/>
              <w:rPr>
                <w:rFonts w:ascii="Arial" w:hAnsi="Arial" w:cs="Arial" w:eastAsia="Arial" w:hint="default"/>
                <w:sz w:val="18"/>
                <w:szCs w:val="18"/>
              </w:rPr>
            </w:pPr>
            <w:r>
              <w:rPr>
                <w:rFonts w:ascii="Arial"/>
                <w:sz w:val="18"/>
              </w:rPr>
              <w:t>(39,370,551)</w:t>
            </w:r>
          </w:p>
        </w:tc>
        <w:tc>
          <w:tcPr>
            <w:tcW w:w="1555" w:type="dxa"/>
            <w:tcBorders>
              <w:top w:val="single" w:sz="4"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98" w:right="0"/>
              <w:jc w:val="left"/>
              <w:rPr>
                <w:rFonts w:ascii="Arial" w:hAnsi="Arial" w:cs="Arial" w:eastAsia="Arial" w:hint="default"/>
                <w:sz w:val="18"/>
                <w:szCs w:val="18"/>
              </w:rPr>
            </w:pPr>
            <w:r>
              <w:rPr>
                <w:rFonts w:ascii="Arial"/>
                <w:sz w:val="18"/>
              </w:rPr>
              <w:t>(155,542,442)</w:t>
            </w:r>
          </w:p>
        </w:tc>
        <w:tc>
          <w:tcPr>
            <w:tcW w:w="1323" w:type="dxa"/>
            <w:tcBorders>
              <w:top w:val="single" w:sz="4"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right"/>
              <w:rPr>
                <w:rFonts w:ascii="Arial" w:hAnsi="Arial" w:cs="Arial" w:eastAsia="Arial" w:hint="default"/>
                <w:sz w:val="18"/>
                <w:szCs w:val="18"/>
              </w:rPr>
            </w:pPr>
            <w:r>
              <w:rPr>
                <w:rFonts w:ascii="Arial"/>
                <w:spacing w:val="-1"/>
                <w:sz w:val="18"/>
              </w:rPr>
              <w:t>(38,885,611)</w:t>
            </w:r>
          </w:p>
        </w:tc>
      </w:tr>
    </w:tbl>
    <w:p>
      <w:pPr>
        <w:spacing w:after="0" w:line="240" w:lineRule="auto"/>
        <w:jc w:val="right"/>
        <w:rPr>
          <w:rFonts w:ascii="Arial" w:hAnsi="Arial" w:cs="Arial" w:eastAsia="Arial" w:hint="default"/>
          <w:sz w:val="18"/>
          <w:szCs w:val="18"/>
        </w:rPr>
        <w:sectPr>
          <w:pgSz w:w="11910" w:h="16840"/>
          <w:pgMar w:header="1185" w:footer="635" w:top="3040" w:bottom="820" w:left="1280" w:right="560"/>
        </w:sectPr>
      </w:pPr>
    </w:p>
    <w:p>
      <w:pPr>
        <w:spacing w:line="240" w:lineRule="auto" w:before="9"/>
        <w:rPr>
          <w:rFonts w:ascii="宋体" w:hAnsi="宋体" w:cs="宋体" w:eastAsia="宋体" w:hint="default"/>
          <w:sz w:val="11"/>
          <w:szCs w:val="11"/>
        </w:rPr>
      </w:pPr>
    </w:p>
    <w:p>
      <w:pPr>
        <w:pStyle w:val="ListParagraph"/>
        <w:numPr>
          <w:ilvl w:val="0"/>
          <w:numId w:val="1"/>
        </w:numPr>
        <w:tabs>
          <w:tab w:pos="543" w:val="left" w:leader="none"/>
        </w:tabs>
        <w:spacing w:line="240" w:lineRule="auto" w:before="32" w:after="0"/>
        <w:ind w:left="542" w:right="0" w:hanging="420"/>
        <w:jc w:val="left"/>
        <w:rPr>
          <w:rFonts w:ascii="宋体" w:hAnsi="宋体" w:cs="宋体" w:eastAsia="宋体" w:hint="default"/>
          <w:sz w:val="22"/>
          <w:szCs w:val="22"/>
        </w:rPr>
      </w:pPr>
      <w:r>
        <w:rPr>
          <w:rFonts w:ascii="宋体" w:hAnsi="宋体" w:cs="宋体" w:eastAsia="宋体" w:hint="default"/>
          <w:sz w:val="22"/>
          <w:szCs w:val="22"/>
        </w:rPr>
        <w:t>注释</w:t>
      </w:r>
    </w:p>
    <w:p>
      <w:pPr>
        <w:spacing w:line="240" w:lineRule="auto" w:before="1"/>
        <w:rPr>
          <w:rFonts w:ascii="宋体" w:hAnsi="宋体" w:cs="宋体" w:eastAsia="宋体" w:hint="default"/>
          <w:sz w:val="16"/>
          <w:szCs w:val="16"/>
        </w:rPr>
      </w:pPr>
    </w:p>
    <w:p>
      <w:pPr>
        <w:pStyle w:val="BodyText"/>
        <w:spacing w:line="286" w:lineRule="exact"/>
        <w:ind w:left="571" w:right="135"/>
        <w:jc w:val="both"/>
      </w:pPr>
      <w:r>
        <w:rPr>
          <w:spacing w:val="-2"/>
        </w:rPr>
        <w:t>以上递延所得税资产及负债是根据本集团在各期间，因暂时性差异对所得税影响金额计算。在</w:t>
      </w:r>
      <w:r>
        <w:rPr>
          <w:spacing w:val="-57"/>
        </w:rPr>
        <w:t> </w:t>
      </w:r>
      <w:r>
        <w:rPr>
          <w:spacing w:val="-57"/>
        </w:rPr>
      </w:r>
      <w:r>
        <w:rPr>
          <w:spacing w:val="-2"/>
        </w:rPr>
        <w:t>资产负债表债务法下，暂时性差异对所得税的影响金额，在考虑了当时有关税务法规及市场发</w:t>
      </w:r>
      <w:r>
        <w:rPr>
          <w:spacing w:val="-57"/>
        </w:rPr>
        <w:t> </w:t>
      </w:r>
      <w:r>
        <w:rPr>
          <w:spacing w:val="-57"/>
        </w:rPr>
      </w:r>
      <w:r>
        <w:rPr/>
        <w:t>展情况，可以递延和分配到以后各期。这些暂时性差异的详细说明如下：</w:t>
      </w:r>
    </w:p>
    <w:p>
      <w:pPr>
        <w:spacing w:line="240" w:lineRule="auto" w:before="3"/>
        <w:rPr>
          <w:rFonts w:ascii="宋体" w:hAnsi="宋体" w:cs="宋体" w:eastAsia="宋体" w:hint="default"/>
          <w:sz w:val="15"/>
          <w:szCs w:val="15"/>
        </w:rPr>
      </w:pPr>
    </w:p>
    <w:p>
      <w:pPr>
        <w:pStyle w:val="BodyText"/>
        <w:spacing w:line="286" w:lineRule="exact"/>
        <w:ind w:left="571" w:right="116" w:hanging="464"/>
        <w:jc w:val="both"/>
      </w:pPr>
      <w:r>
        <w:rPr>
          <w:rFonts w:ascii="Arial" w:hAnsi="Arial" w:cs="Arial" w:eastAsia="Arial" w:hint="default"/>
        </w:rPr>
        <w:t>(1) </w:t>
      </w:r>
      <w:r>
        <w:rPr>
          <w:spacing w:val="2"/>
        </w:rPr>
        <w:t>本公司于资产负债表日对集团内受同一纳税征管部门管理的同一纳税实体的递延所得税资产</w:t>
      </w:r>
      <w:r>
        <w:rPr>
          <w:spacing w:val="-65"/>
        </w:rPr>
        <w:t> </w:t>
      </w:r>
      <w:r>
        <w:rPr>
          <w:spacing w:val="-65"/>
        </w:rPr>
      </w:r>
      <w:r>
        <w:rPr>
          <w:spacing w:val="-1"/>
        </w:rPr>
        <w:t>和递延所得税负债的余额进行分析，如果递延所得税资产的余额大于递延所得税负债的余额，</w:t>
      </w:r>
      <w:r>
        <w:rPr>
          <w:w w:val="100"/>
        </w:rPr>
        <w:t> </w:t>
      </w:r>
      <w:r>
        <w:rPr/>
        <w:t>则将递延所得税资产与递延所得税负债抵销后的净额列示于资产负债表的</w:t>
      </w:r>
      <w:r>
        <w:rPr>
          <w:rFonts w:ascii="Arial" w:hAnsi="Arial" w:cs="Arial" w:eastAsia="Arial" w:hint="default"/>
        </w:rPr>
        <w:t>“</w:t>
      </w:r>
      <w:r>
        <w:rPr/>
        <w:t>递延所得税资产</w:t>
      </w:r>
      <w:r>
        <w:rPr>
          <w:rFonts w:ascii="Arial" w:hAnsi="Arial" w:cs="Arial" w:eastAsia="Arial" w:hint="default"/>
        </w:rPr>
        <w:t>”</w:t>
      </w:r>
      <w:r>
        <w:rPr/>
        <w:t>项</w:t>
      </w:r>
      <w:r>
        <w:rPr>
          <w:w w:val="100"/>
        </w:rPr>
        <w:t> </w:t>
      </w:r>
      <w:r>
        <w:rPr>
          <w:spacing w:val="-2"/>
        </w:rPr>
        <w:t>下；如果递延所得税资产的余额小于递延所得税负债的余额，则将递延所得税资产与递延所得</w:t>
      </w:r>
      <w:r>
        <w:rPr>
          <w:w w:val="100"/>
        </w:rPr>
        <w:t> </w:t>
      </w:r>
      <w:r>
        <w:rPr/>
        <w:t>税负债抵销后的净额列示于资产负债表的</w:t>
      </w:r>
      <w:r>
        <w:rPr>
          <w:rFonts w:ascii="Arial" w:hAnsi="Arial" w:cs="Arial" w:eastAsia="Arial" w:hint="default"/>
        </w:rPr>
        <w:t>“</w:t>
      </w:r>
      <w:r>
        <w:rPr/>
        <w:t>递延所得税负债</w:t>
      </w:r>
      <w:r>
        <w:rPr>
          <w:rFonts w:ascii="Arial" w:hAnsi="Arial" w:cs="Arial" w:eastAsia="Arial" w:hint="default"/>
        </w:rPr>
        <w:t>”</w:t>
      </w:r>
      <w:r>
        <w:rPr/>
        <w:t>项下。</w:t>
      </w:r>
    </w:p>
    <w:p>
      <w:pPr>
        <w:spacing w:line="240" w:lineRule="auto" w:before="3"/>
        <w:rPr>
          <w:rFonts w:ascii="宋体" w:hAnsi="宋体" w:cs="宋体" w:eastAsia="宋体" w:hint="default"/>
          <w:sz w:val="15"/>
          <w:szCs w:val="15"/>
        </w:rPr>
      </w:pPr>
    </w:p>
    <w:p>
      <w:pPr>
        <w:pStyle w:val="BodyText"/>
        <w:spacing w:line="286" w:lineRule="exact"/>
        <w:ind w:left="571" w:right="130" w:hanging="449"/>
        <w:jc w:val="both"/>
      </w:pPr>
      <w:r>
        <w:rPr>
          <w:rFonts w:ascii="Arial" w:hAnsi="Arial" w:cs="Arial" w:eastAsia="Arial" w:hint="default"/>
        </w:rPr>
        <w:t>(2)</w:t>
      </w:r>
      <w:r>
        <w:rPr>
          <w:rFonts w:ascii="Arial" w:hAnsi="Arial" w:cs="Arial" w:eastAsia="Arial" w:hint="default"/>
          <w:spacing w:val="30"/>
        </w:rPr>
        <w:t> </w:t>
      </w:r>
      <w:r>
        <w:rPr/>
        <w:t>本集团于资产负债表日，对有关资产减值准备是否能在未来为本集团抵扣以后年度的所得税进</w:t>
      </w:r>
      <w:r>
        <w:rPr>
          <w:w w:val="100"/>
        </w:rPr>
        <w:t> </w:t>
      </w:r>
      <w:r>
        <w:rPr>
          <w:spacing w:val="-2"/>
        </w:rPr>
        <w:t>行评估。按税务法规的有关规定，当期计提的各项资产减值准备虽然不得在当期税前列支，但</w:t>
      </w:r>
      <w:r>
        <w:rPr>
          <w:w w:val="100"/>
        </w:rPr>
        <w:t> </w:t>
      </w:r>
      <w:r>
        <w:rPr>
          <w:spacing w:val="-2"/>
        </w:rPr>
        <w:t>期后可于相关资产的减值损失实现时在税前列支。这些已减值的资产按纳税的需要根据减值前</w:t>
      </w:r>
      <w:r>
        <w:rPr>
          <w:w w:val="100"/>
        </w:rPr>
        <w:t> </w:t>
      </w:r>
      <w:r>
        <w:rPr>
          <w:spacing w:val="-2"/>
        </w:rPr>
        <w:t>的金额通过折旧和摊销在以后年度抵减应纳税所得额。因此本集团对确信可于未来期间实现的</w:t>
      </w:r>
      <w:r>
        <w:rPr>
          <w:w w:val="100"/>
        </w:rPr>
        <w:t> </w:t>
      </w:r>
      <w:r>
        <w:rPr/>
        <w:t>资产减值准备对所得税的影响，确认递延所得税资产。</w:t>
      </w:r>
    </w:p>
    <w:p>
      <w:pPr>
        <w:spacing w:line="240" w:lineRule="auto" w:before="6"/>
        <w:rPr>
          <w:rFonts w:ascii="宋体" w:hAnsi="宋体" w:cs="宋体" w:eastAsia="宋体" w:hint="default"/>
          <w:sz w:val="17"/>
          <w:szCs w:val="17"/>
        </w:rPr>
      </w:pPr>
    </w:p>
    <w:p>
      <w:pPr>
        <w:pStyle w:val="BodyText"/>
        <w:spacing w:line="235" w:lineRule="auto"/>
        <w:ind w:left="571" w:right="116" w:hanging="449"/>
        <w:jc w:val="both"/>
      </w:pPr>
      <w:r>
        <w:rPr>
          <w:rFonts w:ascii="Arial" w:hAnsi="Arial" w:cs="Arial" w:eastAsia="Arial" w:hint="default"/>
        </w:rPr>
        <w:t>(3) </w:t>
      </w:r>
      <w:r>
        <w:rPr>
          <w:spacing w:val="2"/>
        </w:rPr>
        <w:t>应收款项坏账准备所对应的递延所得税资产主要由本集团计提的应收账款及其他应收款坏账</w:t>
      </w:r>
      <w:r>
        <w:rPr>
          <w:spacing w:val="-79"/>
        </w:rPr>
        <w:t> </w:t>
      </w:r>
      <w:r>
        <w:rPr>
          <w:spacing w:val="-79"/>
        </w:rPr>
      </w:r>
      <w:r>
        <w:rPr>
          <w:spacing w:val="-1"/>
        </w:rPr>
        <w:t>准备产生。根据税收相关法规，实际坏账损失经向主管税务机关报备后可作为税前扣除项目。</w:t>
      </w:r>
      <w:r>
        <w:rPr>
          <w:w w:val="100"/>
        </w:rPr>
        <w:t> </w:t>
      </w:r>
      <w:r>
        <w:rPr>
          <w:spacing w:val="-2"/>
        </w:rPr>
        <w:t>因此，本集团将尚未形成实际坏账损失的坏账准备所对应的所得税的影响确认为递延所得税资</w:t>
      </w:r>
      <w:r>
        <w:rPr>
          <w:w w:val="100"/>
        </w:rPr>
        <w:t> </w:t>
      </w:r>
      <w:r>
        <w:rPr>
          <w:spacing w:val="-2"/>
        </w:rPr>
        <w:t>产，而将形成坏账损失的坏账准备向主管税务机关报备后于所得税前扣除，同时转回相应的递</w:t>
      </w:r>
      <w:r>
        <w:rPr>
          <w:w w:val="100"/>
        </w:rPr>
        <w:t> </w:t>
      </w:r>
      <w:r>
        <w:rPr/>
        <w:t>延所得税资产。</w:t>
      </w:r>
    </w:p>
    <w:p>
      <w:pPr>
        <w:spacing w:line="240" w:lineRule="auto" w:before="12"/>
        <w:rPr>
          <w:rFonts w:ascii="宋体" w:hAnsi="宋体" w:cs="宋体" w:eastAsia="宋体" w:hint="default"/>
          <w:sz w:val="19"/>
          <w:szCs w:val="19"/>
        </w:rPr>
      </w:pPr>
    </w:p>
    <w:p>
      <w:pPr>
        <w:pStyle w:val="BodyText"/>
        <w:spacing w:line="232" w:lineRule="auto"/>
        <w:ind w:left="571" w:right="135" w:hanging="449"/>
        <w:jc w:val="both"/>
      </w:pPr>
      <w:r>
        <w:rPr>
          <w:rFonts w:ascii="Arial" w:hAnsi="Arial" w:cs="Arial" w:eastAsia="Arial" w:hint="default"/>
        </w:rPr>
        <w:t>(4)</w:t>
      </w:r>
      <w:r>
        <w:rPr>
          <w:rFonts w:ascii="Arial" w:hAnsi="Arial" w:cs="Arial" w:eastAsia="Arial" w:hint="default"/>
          <w:spacing w:val="29"/>
        </w:rPr>
        <w:t> </w:t>
      </w:r>
      <w:r>
        <w:rPr/>
        <w:t>本集团对本年已经发生但尚未支付的成本费用在合理估计的基础上进行预提。而根据中国税收</w:t>
      </w:r>
      <w:r>
        <w:rPr>
          <w:w w:val="100"/>
        </w:rPr>
        <w:t> </w:t>
      </w:r>
      <w:r>
        <w:rPr>
          <w:spacing w:val="-2"/>
        </w:rPr>
        <w:t>法规的有关规定，成本费用应该按照实际发生额在税前列支，对于没有明确证据的预提费用不</w:t>
      </w:r>
      <w:r>
        <w:rPr>
          <w:w w:val="100"/>
        </w:rPr>
        <w:t> </w:t>
      </w:r>
      <w:r>
        <w:rPr>
          <w:spacing w:val="-2"/>
        </w:rPr>
        <w:t>得在税前列支，因此本集团对估计预提的成本费用确认了相应的递延所得税资产，并在该等估</w:t>
      </w:r>
      <w:r>
        <w:rPr>
          <w:w w:val="100"/>
        </w:rPr>
        <w:t> </w:t>
      </w:r>
      <w:r>
        <w:rPr/>
        <w:t>计预提成本费用实际支付时，将有关递延所得税资产予以转回。</w:t>
      </w:r>
    </w:p>
    <w:p>
      <w:pPr>
        <w:spacing w:line="240" w:lineRule="auto" w:before="2"/>
        <w:rPr>
          <w:rFonts w:ascii="宋体" w:hAnsi="宋体" w:cs="宋体" w:eastAsia="宋体" w:hint="default"/>
          <w:sz w:val="20"/>
          <w:szCs w:val="20"/>
        </w:rPr>
      </w:pPr>
    </w:p>
    <w:p>
      <w:pPr>
        <w:pStyle w:val="BodyText"/>
        <w:spacing w:line="230" w:lineRule="auto"/>
        <w:ind w:left="612" w:right="132" w:hanging="476"/>
        <w:jc w:val="both"/>
      </w:pPr>
      <w:r>
        <w:rPr>
          <w:rFonts w:ascii="Arial" w:hAnsi="Arial" w:cs="Arial" w:eastAsia="Arial" w:hint="default"/>
          <w:w w:val="100"/>
        </w:rPr>
        <w:t>(5)</w:t>
      </w:r>
      <w:r>
        <w:rPr>
          <w:rFonts w:ascii="Arial" w:hAnsi="Arial" w:cs="Arial" w:eastAsia="Arial" w:hint="default"/>
          <w:spacing w:val="27"/>
          <w:w w:val="100"/>
        </w:rPr>
        <w:t> </w:t>
      </w:r>
      <w:r>
        <w:rPr>
          <w:w w:val="100"/>
        </w:rPr>
        <w:t>本集团于</w:t>
      </w:r>
      <w:r>
        <w:rPr>
          <w:spacing w:val="-54"/>
          <w:w w:val="100"/>
        </w:rPr>
        <w:t> </w:t>
      </w:r>
      <w:r>
        <w:rPr>
          <w:rFonts w:ascii="Arial" w:hAnsi="Arial" w:cs="Arial" w:eastAsia="Arial" w:hint="default"/>
          <w:spacing w:val="-1"/>
          <w:w w:val="100"/>
        </w:rPr>
        <w:t>2008</w:t>
      </w:r>
      <w:r>
        <w:rPr>
          <w:rFonts w:ascii="Arial" w:hAnsi="Arial" w:cs="Arial" w:eastAsia="Arial" w:hint="default"/>
          <w:spacing w:val="-6"/>
          <w:w w:val="100"/>
        </w:rPr>
        <w:t> </w:t>
      </w:r>
      <w:r>
        <w:rPr>
          <w:spacing w:val="-1"/>
          <w:w w:val="100"/>
        </w:rPr>
        <w:t>年度出售</w:t>
      </w:r>
      <w:r>
        <w:rPr>
          <w:spacing w:val="-56"/>
          <w:w w:val="100"/>
        </w:rPr>
        <w:t> </w:t>
      </w:r>
      <w:r>
        <w:rPr>
          <w:rFonts w:ascii="Arial" w:hAnsi="Arial" w:cs="Arial" w:eastAsia="Arial" w:hint="default"/>
          <w:spacing w:val="-2"/>
          <w:w w:val="100"/>
        </w:rPr>
        <w:t>CDMA</w:t>
      </w:r>
      <w:r>
        <w:rPr>
          <w:rFonts w:ascii="Arial" w:hAnsi="Arial" w:cs="Arial" w:eastAsia="Arial" w:hint="default"/>
          <w:spacing w:val="-6"/>
          <w:w w:val="100"/>
        </w:rPr>
        <w:t> </w:t>
      </w:r>
      <w:r>
        <w:rPr>
          <w:spacing w:val="-5"/>
          <w:w w:val="100"/>
        </w:rPr>
        <w:t>业务时，因承诺未来一段时间内向中国电信提供若干服务而确</w:t>
      </w:r>
      <w:r>
        <w:rPr>
          <w:w w:val="100"/>
        </w:rPr>
        <w:t> </w:t>
      </w:r>
      <w:r>
        <w:rPr/>
        <w:t>认了递延收益。因在税法下该收益于 </w:t>
      </w:r>
      <w:r>
        <w:rPr>
          <w:rFonts w:ascii="Arial" w:hAnsi="Arial" w:cs="Arial" w:eastAsia="Arial" w:hint="default"/>
        </w:rPr>
        <w:t>CDMA</w:t>
      </w:r>
      <w:r>
        <w:rPr>
          <w:rFonts w:ascii="Arial" w:hAnsi="Arial" w:cs="Arial" w:eastAsia="Arial" w:hint="default"/>
          <w:spacing w:val="-7"/>
        </w:rPr>
        <w:t> </w:t>
      </w:r>
      <w:r>
        <w:rPr/>
        <w:t>业务出售期间计入当期应税收入并缴纳所得税，</w:t>
      </w:r>
      <w:r>
        <w:rPr>
          <w:w w:val="100"/>
        </w:rPr>
        <w:t> </w:t>
      </w:r>
      <w:r>
        <w:rPr>
          <w:spacing w:val="-3"/>
        </w:rPr>
        <w:t>而在会计上该收益将在以后服务提供期间确认收入，由此产生的暂时性差异被确认了相关的递</w:t>
      </w:r>
      <w:r>
        <w:rPr>
          <w:w w:val="100"/>
        </w:rPr>
        <w:t> </w:t>
      </w:r>
      <w:r>
        <w:rPr/>
        <w:t>延所得税资产。</w:t>
      </w:r>
    </w:p>
    <w:p>
      <w:pPr>
        <w:pStyle w:val="BodyText"/>
        <w:spacing w:line="237" w:lineRule="auto" w:before="186"/>
        <w:ind w:left="612" w:right="132"/>
        <w:jc w:val="both"/>
      </w:pPr>
      <w:r>
        <w:rPr>
          <w:spacing w:val="-3"/>
        </w:rPr>
        <w:t>另外，本集团实施积分奖励计划，参照积分奖励的公允价值分配一部分从用户收取的或应收的</w:t>
      </w:r>
      <w:r>
        <w:rPr>
          <w:spacing w:val="-55"/>
        </w:rPr>
        <w:t> </w:t>
      </w:r>
      <w:r>
        <w:rPr>
          <w:spacing w:val="-55"/>
        </w:rPr>
      </w:r>
      <w:r>
        <w:rPr>
          <w:spacing w:val="-3"/>
        </w:rPr>
        <w:t>现金至该积分以确认递延收益，且在该积分被兑换时确认为收入。但是根据税法要求，当本集</w:t>
      </w:r>
      <w:r>
        <w:rPr>
          <w:spacing w:val="-56"/>
        </w:rPr>
        <w:t> </w:t>
      </w:r>
      <w:r>
        <w:rPr>
          <w:spacing w:val="-56"/>
        </w:rPr>
      </w:r>
      <w:r>
        <w:rPr>
          <w:spacing w:val="-3"/>
        </w:rPr>
        <w:t>团就向用户收取的或应收的现金时即已产生纳税义务，而非在积分兑换当期。因此，期末未兑</w:t>
      </w:r>
      <w:r>
        <w:rPr>
          <w:spacing w:val="-59"/>
        </w:rPr>
        <w:t> </w:t>
      </w:r>
      <w:r>
        <w:rPr>
          <w:spacing w:val="-59"/>
        </w:rPr>
      </w:r>
      <w:r>
        <w:rPr/>
        <w:t>换的积分奖励计划的递延收益对应的所得税影响被确认为递延所得税资产。</w:t>
      </w:r>
    </w:p>
    <w:p>
      <w:pPr>
        <w:spacing w:after="0" w:line="237" w:lineRule="auto"/>
        <w:jc w:val="both"/>
        <w:sectPr>
          <w:headerReference w:type="default" r:id="rId117"/>
          <w:pgSz w:w="11910" w:h="16840"/>
          <w:pgMar w:header="1185" w:footer="635" w:top="4140" w:bottom="820" w:left="1260" w:right="940"/>
        </w:sectPr>
      </w:pPr>
    </w:p>
    <w:p>
      <w:pPr>
        <w:pStyle w:val="BodyText"/>
        <w:spacing w:line="240" w:lineRule="auto" w:before="102"/>
        <w:ind w:left="102" w:right="0"/>
        <w:jc w:val="left"/>
      </w:pPr>
      <w:r>
        <w:rPr>
          <w:rFonts w:ascii="Arial" w:hAnsi="Arial" w:cs="Arial" w:eastAsia="Arial" w:hint="default"/>
        </w:rPr>
        <w:t>(iii) </w:t>
      </w:r>
      <w:r>
        <w:rPr>
          <w:rFonts w:ascii="Arial" w:hAnsi="Arial" w:cs="Arial" w:eastAsia="Arial" w:hint="default"/>
          <w:spacing w:val="1"/>
        </w:rPr>
        <w:t> </w:t>
      </w:r>
      <w:r>
        <w:rPr/>
        <w:t>注释（续）</w:t>
      </w:r>
    </w:p>
    <w:p>
      <w:pPr>
        <w:spacing w:line="240" w:lineRule="auto" w:before="1"/>
        <w:rPr>
          <w:rFonts w:ascii="宋体" w:hAnsi="宋体" w:cs="宋体" w:eastAsia="宋体" w:hint="default"/>
          <w:sz w:val="20"/>
          <w:szCs w:val="20"/>
        </w:rPr>
      </w:pPr>
    </w:p>
    <w:p>
      <w:pPr>
        <w:pStyle w:val="BodyText"/>
        <w:spacing w:line="286" w:lineRule="exact"/>
        <w:ind w:left="566" w:right="179" w:hanging="449"/>
        <w:jc w:val="both"/>
      </w:pPr>
      <w:r>
        <w:rPr>
          <w:rFonts w:ascii="Arial" w:hAnsi="Arial" w:cs="Arial" w:eastAsia="Arial" w:hint="default"/>
        </w:rPr>
        <w:t>(6)</w:t>
      </w:r>
      <w:r>
        <w:rPr>
          <w:rFonts w:ascii="Arial" w:hAnsi="Arial" w:cs="Arial" w:eastAsia="Arial" w:hint="default"/>
          <w:spacing w:val="25"/>
        </w:rPr>
        <w:t> </w:t>
      </w:r>
      <w:r>
        <w:rPr/>
        <w:t>本集团位于中国境内的若干子公司期末有未支付的工资及企业年金。根据中国税收法规的有关</w:t>
      </w:r>
      <w:r>
        <w:rPr>
          <w:w w:val="100"/>
        </w:rPr>
        <w:t> </w:t>
      </w:r>
      <w:r>
        <w:rPr>
          <w:spacing w:val="-1"/>
        </w:rPr>
        <w:t>规定，期末未发放的工资薪金在以后期间实际发放时或一定比例内计提的企业年金在缴纳时，</w:t>
      </w:r>
      <w:r>
        <w:rPr>
          <w:w w:val="100"/>
        </w:rPr>
        <w:t> </w:t>
      </w:r>
      <w:r>
        <w:rPr>
          <w:spacing w:val="-4"/>
        </w:rPr>
        <w:t>经主管税务机关审核，可在实际发放</w:t>
      </w:r>
      <w:r>
        <w:rPr>
          <w:rFonts w:ascii="Arial" w:hAnsi="Arial" w:cs="Arial" w:eastAsia="Arial" w:hint="default"/>
          <w:spacing w:val="-4"/>
        </w:rPr>
        <w:t>/</w:t>
      </w:r>
      <w:r>
        <w:rPr>
          <w:spacing w:val="-4"/>
        </w:rPr>
        <w:t>缴纳期间企业所得税前扣除，由此产生的暂时性差异被确</w:t>
      </w:r>
      <w:r>
        <w:rPr>
          <w:w w:val="100"/>
        </w:rPr>
        <w:t> </w:t>
      </w:r>
      <w:r>
        <w:rPr/>
        <w:t>认为递延所得税资产。</w:t>
      </w:r>
    </w:p>
    <w:p>
      <w:pPr>
        <w:spacing w:line="240" w:lineRule="auto" w:before="10"/>
        <w:rPr>
          <w:rFonts w:ascii="宋体" w:hAnsi="宋体" w:cs="宋体" w:eastAsia="宋体" w:hint="default"/>
          <w:sz w:val="15"/>
          <w:szCs w:val="15"/>
        </w:rPr>
      </w:pPr>
    </w:p>
    <w:p>
      <w:pPr>
        <w:pStyle w:val="BodyText"/>
        <w:spacing w:line="286" w:lineRule="exact"/>
        <w:ind w:left="566" w:right="213" w:hanging="449"/>
        <w:jc w:val="both"/>
      </w:pPr>
      <w:r>
        <w:rPr>
          <w:rFonts w:ascii="Arial" w:hAnsi="Arial" w:cs="Arial" w:eastAsia="Arial" w:hint="default"/>
        </w:rPr>
        <w:t>(7)</w:t>
      </w:r>
      <w:r>
        <w:rPr>
          <w:rFonts w:ascii="Arial" w:hAnsi="Arial" w:cs="Arial" w:eastAsia="Arial" w:hint="default"/>
          <w:spacing w:val="19"/>
        </w:rPr>
        <w:t> </w:t>
      </w:r>
      <w:r>
        <w:rPr/>
        <w:t>本集团子公司之间的内部交易产生的未实现利润抵销构成会计与税务上的暂时性差异，其所得</w:t>
      </w:r>
      <w:r>
        <w:rPr>
          <w:w w:val="100"/>
        </w:rPr>
        <w:t> </w:t>
      </w:r>
      <w:r>
        <w:rPr/>
        <w:t>税影响确认递延所得税资产。</w:t>
      </w:r>
    </w:p>
    <w:p>
      <w:pPr>
        <w:spacing w:line="240" w:lineRule="auto" w:before="10"/>
        <w:rPr>
          <w:rFonts w:ascii="宋体" w:hAnsi="宋体" w:cs="宋体" w:eastAsia="宋体" w:hint="default"/>
          <w:sz w:val="15"/>
          <w:szCs w:val="15"/>
        </w:rPr>
      </w:pPr>
    </w:p>
    <w:p>
      <w:pPr>
        <w:pStyle w:val="BodyText"/>
        <w:spacing w:line="286" w:lineRule="exact"/>
        <w:ind w:left="566" w:right="209" w:hanging="449"/>
        <w:jc w:val="both"/>
      </w:pPr>
      <w:r>
        <w:rPr>
          <w:rFonts w:ascii="Arial" w:hAnsi="Arial" w:cs="Arial" w:eastAsia="Arial" w:hint="default"/>
        </w:rPr>
        <w:t>(8)</w:t>
      </w:r>
      <w:r>
        <w:rPr>
          <w:rFonts w:ascii="Arial" w:hAnsi="Arial" w:cs="Arial" w:eastAsia="Arial" w:hint="default"/>
          <w:spacing w:val="22"/>
        </w:rPr>
        <w:t> </w:t>
      </w:r>
      <w:r>
        <w:rPr/>
        <w:t>中讯设计院、联通香港运营等子公司部分固定资产的折旧年限在会计与税务上存在差异，此暂</w:t>
      </w:r>
      <w:r>
        <w:rPr>
          <w:w w:val="100"/>
        </w:rPr>
        <w:t> </w:t>
      </w:r>
      <w:r>
        <w:rPr/>
        <w:t>时性差异的所得税影响确认递延所得税资产或负债。</w:t>
      </w:r>
    </w:p>
    <w:p>
      <w:pPr>
        <w:pStyle w:val="BodyText"/>
        <w:spacing w:line="232" w:lineRule="auto" w:before="186"/>
        <w:ind w:left="566" w:right="210" w:hanging="449"/>
        <w:jc w:val="both"/>
      </w:pPr>
      <w:r>
        <w:rPr>
          <w:rFonts w:ascii="Arial" w:hAnsi="Arial" w:cs="Arial" w:eastAsia="Arial" w:hint="default"/>
        </w:rPr>
        <w:t>(9)</w:t>
      </w:r>
      <w:r>
        <w:rPr>
          <w:rFonts w:ascii="Arial" w:hAnsi="Arial" w:cs="Arial" w:eastAsia="Arial" w:hint="default"/>
          <w:spacing w:val="19"/>
        </w:rPr>
        <w:t> </w:t>
      </w:r>
      <w:r>
        <w:rPr/>
        <w:t>中讯设计院和规划设计院进行公司制改建时确认了相关资产的评估增值，并按评估值作为基础</w:t>
      </w:r>
      <w:r>
        <w:rPr>
          <w:w w:val="100"/>
        </w:rPr>
        <w:t> </w:t>
      </w:r>
      <w:r>
        <w:rPr>
          <w:spacing w:val="-2"/>
        </w:rPr>
        <w:t>计提折旧及摊销；而根据所得税法规定，中讯设计院和规划设计院仍按原计税基础，即资产以</w:t>
      </w:r>
      <w:r>
        <w:rPr>
          <w:w w:val="100"/>
        </w:rPr>
        <w:t> </w:t>
      </w:r>
      <w:r>
        <w:rPr>
          <w:spacing w:val="-2"/>
        </w:rPr>
        <w:t>历史成本为计税基础并按历史成本计提折旧和摊销并计算应交所得税，因此资产评估增值的所</w:t>
      </w:r>
      <w:r>
        <w:rPr>
          <w:w w:val="100"/>
        </w:rPr>
        <w:t> </w:t>
      </w:r>
      <w:r>
        <w:rPr/>
        <w:t>得税影响被确认为递延所得税负债。</w:t>
      </w:r>
    </w:p>
    <w:p>
      <w:pPr>
        <w:spacing w:line="240" w:lineRule="auto" w:before="11"/>
        <w:rPr>
          <w:rFonts w:ascii="宋体" w:hAnsi="宋体" w:cs="宋体" w:eastAsia="宋体" w:hint="default"/>
          <w:sz w:val="15"/>
          <w:szCs w:val="15"/>
        </w:rPr>
      </w:pPr>
    </w:p>
    <w:p>
      <w:pPr>
        <w:pStyle w:val="BodyText"/>
        <w:spacing w:line="293" w:lineRule="exact"/>
        <w:ind w:left="117" w:right="0"/>
        <w:jc w:val="left"/>
      </w:pPr>
      <w:r>
        <w:rPr>
          <w:rFonts w:ascii="Arial" w:hAnsi="Arial" w:cs="Arial" w:eastAsia="Arial" w:hint="default"/>
          <w:spacing w:val="-1"/>
        </w:rPr>
        <w:t>(10)</w:t>
      </w:r>
      <w:r>
        <w:rPr>
          <w:rFonts w:ascii="Arial" w:hAnsi="Arial" w:cs="Arial" w:eastAsia="Arial" w:hint="default"/>
          <w:spacing w:val="42"/>
        </w:rPr>
        <w:t> </w:t>
      </w:r>
      <w:r>
        <w:rPr>
          <w:spacing w:val="-2"/>
        </w:rPr>
        <w:t>按照企业会计准则要求，本集团每一会计期间会确认本集团持有的可供出售金融资产的公允价</w:t>
      </w:r>
    </w:p>
    <w:p>
      <w:pPr>
        <w:pStyle w:val="BodyText"/>
        <w:spacing w:line="235" w:lineRule="auto"/>
        <w:ind w:left="566" w:right="210"/>
        <w:jc w:val="both"/>
      </w:pPr>
      <w:r>
        <w:rPr/>
        <w:t>值的变动并计入其他综合收益。另外，于</w:t>
      </w:r>
      <w:r>
        <w:rPr>
          <w:spacing w:val="-45"/>
        </w:rPr>
        <w:t> </w:t>
      </w:r>
      <w:r>
        <w:rPr>
          <w:rFonts w:ascii="Arial" w:hAnsi="Arial" w:cs="Arial" w:eastAsia="Arial" w:hint="default"/>
        </w:rPr>
        <w:t>2009</w:t>
      </w:r>
      <w:r>
        <w:rPr>
          <w:rFonts w:ascii="Arial" w:hAnsi="Arial" w:cs="Arial" w:eastAsia="Arial" w:hint="default"/>
          <w:spacing w:val="4"/>
        </w:rPr>
        <w:t> </w:t>
      </w:r>
      <w:r>
        <w:rPr/>
        <w:t>年度，本集团确认了联通红筹公司对西班牙电</w:t>
      </w:r>
      <w:r>
        <w:rPr>
          <w:w w:val="100"/>
        </w:rPr>
        <w:t> </w:t>
      </w:r>
      <w:r>
        <w:rPr>
          <w:spacing w:val="-2"/>
        </w:rPr>
        <w:t>信投资合约衍生工具的公允价值变动并计入当期损益。可供出售金融资产公允价值的变动及联</w:t>
      </w:r>
      <w:r>
        <w:rPr>
          <w:spacing w:val="-69"/>
        </w:rPr>
        <w:t> </w:t>
      </w:r>
      <w:r>
        <w:rPr>
          <w:spacing w:val="-69"/>
        </w:rPr>
      </w:r>
      <w:r>
        <w:rPr>
          <w:spacing w:val="2"/>
        </w:rPr>
        <w:t>通红筹公司对西班牙电信投资合约衍生工具的公允价值变动在本集团持有该等可供出售金融</w:t>
      </w:r>
      <w:r>
        <w:rPr>
          <w:spacing w:val="-27"/>
        </w:rPr>
        <w:t> </w:t>
      </w:r>
      <w:r>
        <w:rPr>
          <w:spacing w:val="-27"/>
        </w:rPr>
      </w:r>
      <w:r>
        <w:rPr>
          <w:spacing w:val="-2"/>
        </w:rPr>
        <w:t>资产期间不计入应纳税所得额，而实际处置或出售该等可供出售金融资产时产生的收益或损失</w:t>
      </w:r>
      <w:r>
        <w:rPr>
          <w:spacing w:val="-69"/>
        </w:rPr>
        <w:t> </w:t>
      </w:r>
      <w:r>
        <w:rPr>
          <w:spacing w:val="-69"/>
        </w:rPr>
      </w:r>
      <w:r>
        <w:rPr>
          <w:spacing w:val="-2"/>
        </w:rPr>
        <w:t>将计入当期应纳税所得额，由此产生的暂时性差异的所得税影响被确认为递延所得税负债（对</w:t>
      </w:r>
      <w:r>
        <w:rPr>
          <w:spacing w:val="-66"/>
        </w:rPr>
        <w:t> </w:t>
      </w:r>
      <w:r>
        <w:rPr>
          <w:spacing w:val="-66"/>
        </w:rPr>
      </w:r>
      <w:r>
        <w:rPr/>
        <w:t>收益）或递延所得税资产（对损失）。</w:t>
      </w:r>
    </w:p>
    <w:p>
      <w:pPr>
        <w:spacing w:line="240" w:lineRule="auto" w:before="4"/>
        <w:rPr>
          <w:rFonts w:ascii="宋体" w:hAnsi="宋体" w:cs="宋体" w:eastAsia="宋体" w:hint="default"/>
          <w:sz w:val="21"/>
          <w:szCs w:val="21"/>
        </w:rPr>
      </w:pPr>
    </w:p>
    <w:p>
      <w:pPr>
        <w:pStyle w:val="BodyText"/>
        <w:spacing w:line="286" w:lineRule="exact"/>
        <w:ind w:left="551" w:right="0" w:hanging="435"/>
        <w:jc w:val="left"/>
      </w:pPr>
      <w:r>
        <w:rPr>
          <w:rFonts w:ascii="Arial" w:hAnsi="Arial" w:cs="Arial" w:eastAsia="Arial" w:hint="default"/>
        </w:rPr>
        <w:t>(11)</w:t>
      </w:r>
      <w:r>
        <w:rPr>
          <w:rFonts w:ascii="Arial" w:hAnsi="Arial" w:cs="Arial" w:eastAsia="Arial" w:hint="default"/>
          <w:spacing w:val="-18"/>
        </w:rPr>
        <w:t> </w:t>
      </w:r>
      <w:r>
        <w:rPr/>
        <w:t>联通新时空等子公司于资产负债表日，对有关可抵扣亏损是否能在未来为本集团抵扣以后年度</w:t>
      </w:r>
      <w:r>
        <w:rPr>
          <w:w w:val="100"/>
        </w:rPr>
        <w:t> </w:t>
      </w:r>
      <w:r>
        <w:rPr>
          <w:spacing w:val="-5"/>
        </w:rPr>
        <w:t>的所得税进行评估。按税务法规的有关规定，能够于以后年度抵减应纳税所得额的可抵扣亏损，</w:t>
      </w:r>
      <w:r>
        <w:rPr>
          <w:w w:val="100"/>
        </w:rPr>
        <w:t> </w:t>
      </w:r>
      <w:r>
        <w:rPr/>
        <w:t>确认相应的递延所得税资产，因此本集团对确信可于未来期间实现的可抵扣亏损对所得税的影</w:t>
      </w:r>
      <w:r>
        <w:rPr>
          <w:w w:val="100"/>
        </w:rPr>
        <w:t> </w:t>
      </w:r>
      <w:r>
        <w:rPr/>
        <w:t>响，确认递延所得税资产。</w:t>
      </w:r>
    </w:p>
    <w:p>
      <w:pPr>
        <w:spacing w:line="240" w:lineRule="auto" w:before="10"/>
        <w:rPr>
          <w:rFonts w:ascii="宋体" w:hAnsi="宋体" w:cs="宋体" w:eastAsia="宋体" w:hint="default"/>
          <w:sz w:val="15"/>
          <w:szCs w:val="15"/>
        </w:rPr>
      </w:pPr>
    </w:p>
    <w:p>
      <w:pPr>
        <w:pStyle w:val="BodyText"/>
        <w:spacing w:line="286" w:lineRule="exact"/>
        <w:ind w:left="566" w:right="208" w:hanging="15"/>
        <w:jc w:val="both"/>
      </w:pPr>
      <w:r>
        <w:rPr>
          <w:spacing w:val="2"/>
        </w:rPr>
        <w:t>本财务报表列示的应纳税所得额和应纳税额的最终确认应以税务机构核定额及纳税应缴额为</w:t>
      </w:r>
      <w:r>
        <w:rPr>
          <w:spacing w:val="-13"/>
        </w:rPr>
        <w:t> </w:t>
      </w:r>
      <w:r>
        <w:rPr>
          <w:spacing w:val="-13"/>
        </w:rPr>
      </w:r>
      <w:r>
        <w:rPr/>
        <w:t>准。</w:t>
      </w:r>
    </w:p>
    <w:p>
      <w:pPr>
        <w:spacing w:line="240" w:lineRule="auto" w:before="11"/>
        <w:rPr>
          <w:rFonts w:ascii="宋体" w:hAnsi="宋体" w:cs="宋体" w:eastAsia="宋体" w:hint="default"/>
          <w:sz w:val="17"/>
          <w:szCs w:val="17"/>
        </w:rPr>
      </w:pPr>
    </w:p>
    <w:p>
      <w:pPr>
        <w:pStyle w:val="BodyText"/>
        <w:spacing w:line="230" w:lineRule="auto"/>
        <w:ind w:left="566" w:right="211" w:hanging="449"/>
        <w:jc w:val="both"/>
      </w:pPr>
      <w:r>
        <w:rPr>
          <w:rFonts w:ascii="Arial" w:hAnsi="Arial" w:cs="Arial" w:eastAsia="Arial" w:hint="default"/>
        </w:rPr>
        <w:t>(12)</w:t>
      </w:r>
      <w:r>
        <w:rPr>
          <w:rFonts w:ascii="Arial" w:hAnsi="Arial" w:cs="Arial" w:eastAsia="Arial" w:hint="default"/>
          <w:spacing w:val="-8"/>
        </w:rPr>
        <w:t> </w:t>
      </w:r>
      <w:r>
        <w:rPr/>
        <w:t>本集团于</w:t>
      </w:r>
      <w:r>
        <w:rPr>
          <w:spacing w:val="-45"/>
        </w:rPr>
        <w:t> </w:t>
      </w:r>
      <w:r>
        <w:rPr>
          <w:rFonts w:ascii="Arial" w:hAnsi="Arial" w:cs="Arial" w:eastAsia="Arial" w:hint="default"/>
        </w:rPr>
        <w:t>2014</w:t>
      </w:r>
      <w:r>
        <w:rPr>
          <w:rFonts w:ascii="Arial" w:hAnsi="Arial" w:cs="Arial" w:eastAsia="Arial" w:hint="default"/>
          <w:spacing w:val="4"/>
        </w:rPr>
        <w:t> </w:t>
      </w:r>
      <w:r>
        <w:rPr/>
        <w:t>年起，根据财政部、国家税务总局《关于完善固定资产加速折旧企业所得税政</w:t>
      </w:r>
      <w:r>
        <w:rPr>
          <w:w w:val="100"/>
        </w:rPr>
        <w:t> </w:t>
      </w:r>
      <w:r>
        <w:rPr>
          <w:spacing w:val="-3"/>
        </w:rPr>
        <w:t>策的通知》（“财税</w:t>
      </w:r>
      <w:r>
        <w:rPr>
          <w:rFonts w:ascii="Arial" w:hAnsi="Arial" w:cs="Arial" w:eastAsia="Arial" w:hint="default"/>
          <w:spacing w:val="-3"/>
        </w:rPr>
        <w:t>[2014]75</w:t>
      </w:r>
      <w:r>
        <w:rPr>
          <w:rFonts w:ascii="Arial" w:hAnsi="Arial" w:cs="Arial" w:eastAsia="Arial" w:hint="default"/>
          <w:spacing w:val="42"/>
        </w:rPr>
        <w:t> </w:t>
      </w:r>
      <w:r>
        <w:rPr>
          <w:spacing w:val="-3"/>
        </w:rPr>
        <w:t>号”）文件规定，对符合规定的固定资产按照缩短折旧年限方法</w:t>
      </w:r>
      <w:r>
        <w:rPr>
          <w:w w:val="100"/>
        </w:rPr>
        <w:t> </w:t>
      </w:r>
      <w:r>
        <w:rPr>
          <w:spacing w:val="-2"/>
        </w:rPr>
        <w:t>计算折旧或一次性计入当期成本费用，在计算应纳税所得额时扣除，税法与会计上折旧年限区</w:t>
      </w:r>
      <w:r>
        <w:rPr>
          <w:spacing w:val="-3"/>
          <w:w w:val="100"/>
        </w:rPr>
        <w:t> </w:t>
      </w:r>
      <w:r>
        <w:rPr/>
        <w:t>别构成暂时性差异，其所得税影响确认为递延所得税负债。</w:t>
      </w:r>
    </w:p>
    <w:p>
      <w:pPr>
        <w:spacing w:after="0" w:line="230" w:lineRule="auto"/>
        <w:jc w:val="both"/>
        <w:sectPr>
          <w:headerReference w:type="default" r:id="rId118"/>
          <w:pgSz w:w="11910" w:h="16840"/>
          <w:pgMar w:header="1185" w:footer="635" w:top="4140" w:bottom="820" w:left="1280" w:right="860"/>
        </w:sectPr>
      </w:pPr>
    </w:p>
    <w:p>
      <w:pPr>
        <w:spacing w:line="240" w:lineRule="auto" w:before="10"/>
        <w:rPr>
          <w:rFonts w:ascii="宋体" w:hAnsi="宋体" w:cs="宋体" w:eastAsia="宋体" w:hint="default"/>
          <w:sz w:val="16"/>
          <w:szCs w:val="16"/>
        </w:rPr>
      </w:pPr>
    </w:p>
    <w:p>
      <w:pPr>
        <w:pStyle w:val="BodyText"/>
        <w:spacing w:line="240" w:lineRule="auto" w:before="32"/>
        <w:ind w:left="102" w:right="1639"/>
        <w:jc w:val="left"/>
      </w:pPr>
      <w:r>
        <w:rPr>
          <w:rFonts w:ascii="Arial" w:hAnsi="Arial" w:cs="Arial" w:eastAsia="Arial" w:hint="default"/>
        </w:rPr>
        <w:t>46</w:t>
      </w:r>
      <w:r>
        <w:rPr/>
        <w:t>、股份支付</w:t>
      </w:r>
    </w:p>
    <w:p>
      <w:pPr>
        <w:pStyle w:val="BodyText"/>
        <w:spacing w:line="293" w:lineRule="exact" w:before="162"/>
        <w:ind w:left="578" w:right="0"/>
        <w:jc w:val="both"/>
      </w:pPr>
      <w:r>
        <w:rPr/>
        <w:t>于</w:t>
      </w:r>
      <w:r>
        <w:rPr>
          <w:spacing w:val="-43"/>
        </w:rPr>
        <w:t> </w:t>
      </w:r>
      <w:r>
        <w:rPr>
          <w:rFonts w:ascii="Arial" w:hAnsi="Arial" w:cs="Arial" w:eastAsia="Arial" w:hint="default"/>
        </w:rPr>
        <w:t>2000</w:t>
      </w:r>
      <w:r>
        <w:rPr>
          <w:rFonts w:ascii="Arial" w:hAnsi="Arial" w:cs="Arial" w:eastAsia="Arial" w:hint="default"/>
          <w:spacing w:val="5"/>
        </w:rPr>
        <w:t> </w:t>
      </w:r>
      <w:r>
        <w:rPr/>
        <w:t>年</w:t>
      </w:r>
      <w:r>
        <w:rPr>
          <w:spacing w:val="-43"/>
        </w:rPr>
        <w:t> </w:t>
      </w:r>
      <w:r>
        <w:rPr>
          <w:rFonts w:ascii="Arial" w:hAnsi="Arial" w:cs="Arial" w:eastAsia="Arial" w:hint="default"/>
        </w:rPr>
        <w:t>6</w:t>
      </w:r>
      <w:r>
        <w:rPr>
          <w:rFonts w:ascii="Arial" w:hAnsi="Arial" w:cs="Arial" w:eastAsia="Arial" w:hint="default"/>
          <w:spacing w:val="5"/>
        </w:rPr>
        <w:t> </w:t>
      </w:r>
      <w:r>
        <w:rPr/>
        <w:t>月</w:t>
      </w:r>
      <w:r>
        <w:rPr>
          <w:spacing w:val="-43"/>
        </w:rPr>
        <w:t> </w:t>
      </w:r>
      <w:r>
        <w:rPr>
          <w:rFonts w:ascii="Arial" w:hAnsi="Arial" w:cs="Arial" w:eastAsia="Arial" w:hint="default"/>
        </w:rPr>
        <w:t>1</w:t>
      </w:r>
      <w:r>
        <w:rPr>
          <w:rFonts w:ascii="Arial" w:hAnsi="Arial" w:cs="Arial" w:eastAsia="Arial" w:hint="default"/>
          <w:spacing w:val="5"/>
        </w:rPr>
        <w:t> </w:t>
      </w:r>
      <w:r>
        <w:rPr/>
        <w:t>日，联通红筹公司采纳了一份股份期权计划（</w:t>
      </w:r>
      <w:r>
        <w:rPr>
          <w:rFonts w:ascii="Arial" w:hAnsi="Arial" w:cs="Arial" w:eastAsia="Arial" w:hint="default"/>
        </w:rPr>
        <w:t>“</w:t>
      </w:r>
      <w:r>
        <w:rPr/>
        <w:t>股份期权计划</w:t>
      </w:r>
      <w:r>
        <w:rPr>
          <w:rFonts w:ascii="Arial" w:hAnsi="Arial" w:cs="Arial" w:eastAsia="Arial" w:hint="default"/>
        </w:rPr>
        <w:t>”</w:t>
      </w:r>
      <w:r>
        <w:rPr/>
        <w:t>），向符合资</w:t>
      </w:r>
    </w:p>
    <w:p>
      <w:pPr>
        <w:pStyle w:val="BodyText"/>
        <w:spacing w:line="284" w:lineRule="exact"/>
        <w:ind w:left="578" w:right="0"/>
        <w:jc w:val="both"/>
        <w:rPr>
          <w:rFonts w:ascii="Arial" w:hAnsi="Arial" w:cs="Arial" w:eastAsia="Arial" w:hint="default"/>
        </w:rPr>
      </w:pPr>
      <w:r>
        <w:rPr/>
        <w:t>格的联通红筹公司及其附属子公司的员工授予股份期权。此等期权计划的条款已于 </w:t>
      </w:r>
      <w:r>
        <w:rPr>
          <w:rFonts w:ascii="Arial" w:hAnsi="Arial" w:cs="Arial" w:eastAsia="Arial" w:hint="default"/>
        </w:rPr>
        <w:t>2002 </w:t>
      </w:r>
      <w:r>
        <w:rPr/>
        <w:t>年</w:t>
      </w:r>
      <w:r>
        <w:rPr>
          <w:spacing w:val="-52"/>
        </w:rPr>
        <w:t> </w:t>
      </w:r>
      <w:r>
        <w:rPr>
          <w:rFonts w:ascii="Arial" w:hAnsi="Arial" w:cs="Arial" w:eastAsia="Arial" w:hint="default"/>
        </w:rPr>
        <w:t>5</w:t>
      </w:r>
    </w:p>
    <w:p>
      <w:pPr>
        <w:pStyle w:val="BodyText"/>
        <w:spacing w:line="295" w:lineRule="exact"/>
        <w:ind w:left="578" w:right="0"/>
        <w:jc w:val="both"/>
      </w:pPr>
      <w:r>
        <w:rPr/>
        <w:t>月</w:t>
      </w:r>
      <w:r>
        <w:rPr>
          <w:spacing w:val="-55"/>
        </w:rPr>
        <w:t> </w:t>
      </w:r>
      <w:r>
        <w:rPr>
          <w:rFonts w:ascii="Arial" w:hAnsi="Arial" w:cs="Arial" w:eastAsia="Arial" w:hint="default"/>
        </w:rPr>
        <w:t>13</w:t>
      </w:r>
      <w:r>
        <w:rPr>
          <w:rFonts w:ascii="Arial" w:hAnsi="Arial" w:cs="Arial" w:eastAsia="Arial" w:hint="default"/>
          <w:spacing w:val="-7"/>
        </w:rPr>
        <w:t> </w:t>
      </w:r>
      <w:r>
        <w:rPr/>
        <w:t>日、</w:t>
      </w:r>
      <w:r>
        <w:rPr>
          <w:rFonts w:ascii="Arial" w:hAnsi="Arial" w:cs="Arial" w:eastAsia="Arial" w:hint="default"/>
        </w:rPr>
        <w:t>2007</w:t>
      </w:r>
      <w:r>
        <w:rPr>
          <w:rFonts w:ascii="Arial" w:hAnsi="Arial" w:cs="Arial" w:eastAsia="Arial" w:hint="default"/>
          <w:spacing w:val="-9"/>
        </w:rPr>
        <w:t> </w:t>
      </w:r>
      <w:r>
        <w:rPr/>
        <w:t>年</w:t>
      </w:r>
      <w:r>
        <w:rPr>
          <w:spacing w:val="-55"/>
        </w:rPr>
        <w:t> </w:t>
      </w:r>
      <w:r>
        <w:rPr>
          <w:rFonts w:ascii="Arial" w:hAnsi="Arial" w:cs="Arial" w:eastAsia="Arial" w:hint="default"/>
        </w:rPr>
        <w:t>5</w:t>
      </w:r>
      <w:r>
        <w:rPr>
          <w:rFonts w:ascii="Arial" w:hAnsi="Arial" w:cs="Arial" w:eastAsia="Arial" w:hint="default"/>
          <w:spacing w:val="-7"/>
        </w:rPr>
        <w:t> </w:t>
      </w:r>
      <w:r>
        <w:rPr/>
        <w:t>月</w:t>
      </w:r>
      <w:r>
        <w:rPr>
          <w:spacing w:val="-55"/>
        </w:rPr>
        <w:t> </w:t>
      </w:r>
      <w:r>
        <w:rPr>
          <w:rFonts w:ascii="Arial" w:hAnsi="Arial" w:cs="Arial" w:eastAsia="Arial" w:hint="default"/>
        </w:rPr>
        <w:t>11</w:t>
      </w:r>
      <w:r>
        <w:rPr>
          <w:rFonts w:ascii="Arial" w:hAnsi="Arial" w:cs="Arial" w:eastAsia="Arial" w:hint="default"/>
          <w:spacing w:val="-7"/>
        </w:rPr>
        <w:t> </w:t>
      </w:r>
      <w:r>
        <w:rPr/>
        <w:t>日及</w:t>
      </w:r>
      <w:r>
        <w:rPr>
          <w:spacing w:val="-55"/>
        </w:rPr>
        <w:t> </w:t>
      </w:r>
      <w:r>
        <w:rPr>
          <w:rFonts w:ascii="Arial" w:hAnsi="Arial" w:cs="Arial" w:eastAsia="Arial" w:hint="default"/>
        </w:rPr>
        <w:t>2009</w:t>
      </w:r>
      <w:r>
        <w:rPr>
          <w:rFonts w:ascii="Arial" w:hAnsi="Arial" w:cs="Arial" w:eastAsia="Arial" w:hint="default"/>
          <w:spacing w:val="-7"/>
        </w:rPr>
        <w:t> </w:t>
      </w:r>
      <w:r>
        <w:rPr/>
        <w:t>年</w:t>
      </w:r>
      <w:r>
        <w:rPr>
          <w:spacing w:val="-55"/>
        </w:rPr>
        <w:t> </w:t>
      </w:r>
      <w:r>
        <w:rPr>
          <w:rFonts w:ascii="Arial" w:hAnsi="Arial" w:cs="Arial" w:eastAsia="Arial" w:hint="default"/>
        </w:rPr>
        <w:t>5</w:t>
      </w:r>
      <w:r>
        <w:rPr>
          <w:rFonts w:ascii="Arial" w:hAnsi="Arial" w:cs="Arial" w:eastAsia="Arial" w:hint="default"/>
          <w:spacing w:val="-9"/>
        </w:rPr>
        <w:t> </w:t>
      </w:r>
      <w:r>
        <w:rPr/>
        <w:t>月</w:t>
      </w:r>
      <w:r>
        <w:rPr>
          <w:spacing w:val="-55"/>
        </w:rPr>
        <w:t> </w:t>
      </w:r>
      <w:r>
        <w:rPr>
          <w:rFonts w:ascii="Arial" w:hAnsi="Arial" w:cs="Arial" w:eastAsia="Arial" w:hint="default"/>
        </w:rPr>
        <w:t>26</w:t>
      </w:r>
      <w:r>
        <w:rPr>
          <w:rFonts w:ascii="Arial" w:hAnsi="Arial" w:cs="Arial" w:eastAsia="Arial" w:hint="default"/>
          <w:spacing w:val="-9"/>
        </w:rPr>
        <w:t> </w:t>
      </w:r>
      <w:r>
        <w:rPr/>
        <w:t>日作出修订。</w:t>
      </w:r>
    </w:p>
    <w:p>
      <w:pPr>
        <w:spacing w:line="240" w:lineRule="auto" w:before="4"/>
        <w:rPr>
          <w:rFonts w:ascii="宋体" w:hAnsi="宋体" w:cs="宋体" w:eastAsia="宋体" w:hint="default"/>
          <w:sz w:val="19"/>
          <w:szCs w:val="19"/>
        </w:rPr>
      </w:pPr>
    </w:p>
    <w:p>
      <w:pPr>
        <w:pStyle w:val="BodyText"/>
        <w:spacing w:line="225" w:lineRule="auto"/>
        <w:ind w:left="578" w:right="236"/>
        <w:jc w:val="both"/>
      </w:pPr>
      <w:r>
        <w:rPr/>
        <w:t>于</w:t>
      </w:r>
      <w:r>
        <w:rPr>
          <w:spacing w:val="-40"/>
        </w:rPr>
        <w:t> </w:t>
      </w:r>
      <w:r>
        <w:rPr>
          <w:rFonts w:ascii="Arial" w:hAnsi="Arial" w:cs="Arial" w:eastAsia="Arial" w:hint="default"/>
        </w:rPr>
        <w:t>2008</w:t>
      </w:r>
      <w:r>
        <w:rPr>
          <w:rFonts w:ascii="Arial" w:hAnsi="Arial" w:cs="Arial" w:eastAsia="Arial" w:hint="default"/>
          <w:spacing w:val="9"/>
        </w:rPr>
        <w:t> </w:t>
      </w:r>
      <w:r>
        <w:rPr/>
        <w:t>年</w:t>
      </w:r>
      <w:r>
        <w:rPr>
          <w:spacing w:val="-39"/>
        </w:rPr>
        <w:t> </w:t>
      </w:r>
      <w:r>
        <w:rPr>
          <w:rFonts w:ascii="Arial" w:hAnsi="Arial" w:cs="Arial" w:eastAsia="Arial" w:hint="default"/>
        </w:rPr>
        <w:t>9</w:t>
      </w:r>
      <w:r>
        <w:rPr>
          <w:rFonts w:ascii="Arial" w:hAnsi="Arial" w:cs="Arial" w:eastAsia="Arial" w:hint="default"/>
          <w:spacing w:val="7"/>
        </w:rPr>
        <w:t> </w:t>
      </w:r>
      <w:r>
        <w:rPr/>
        <w:t>月</w:t>
      </w:r>
      <w:r>
        <w:rPr>
          <w:spacing w:val="-39"/>
        </w:rPr>
        <w:t> </w:t>
      </w:r>
      <w:r>
        <w:rPr>
          <w:rFonts w:ascii="Arial" w:hAnsi="Arial" w:cs="Arial" w:eastAsia="Arial" w:hint="default"/>
        </w:rPr>
        <w:t>16</w:t>
      </w:r>
      <w:r>
        <w:rPr>
          <w:rFonts w:ascii="Arial" w:hAnsi="Arial" w:cs="Arial" w:eastAsia="Arial" w:hint="default"/>
          <w:spacing w:val="9"/>
        </w:rPr>
        <w:t> </w:t>
      </w:r>
      <w:r>
        <w:rPr/>
        <w:t>日，联通红筹公司召开了特别股东大会审议并通过了与网通红筹公司合并</w:t>
      </w:r>
      <w:r>
        <w:rPr>
          <w:w w:val="100"/>
        </w:rPr>
        <w:t> </w:t>
      </w:r>
      <w:r>
        <w:rPr>
          <w:spacing w:val="-4"/>
        </w:rPr>
        <w:t>的协议安排。根据协议安排，联通红筹公司制订和通过特殊目的股份期权计划（</w:t>
      </w:r>
      <w:r>
        <w:rPr>
          <w:rFonts w:ascii="Arial" w:hAnsi="Arial" w:cs="Arial" w:eastAsia="Arial" w:hint="default"/>
          <w:spacing w:val="-4"/>
        </w:rPr>
        <w:t>“</w:t>
      </w:r>
      <w:r>
        <w:rPr>
          <w:spacing w:val="-4"/>
        </w:rPr>
        <w:t>特殊目的股份</w:t>
      </w:r>
      <w:r>
        <w:rPr>
          <w:spacing w:val="-52"/>
        </w:rPr>
        <w:t> </w:t>
      </w:r>
      <w:r>
        <w:rPr>
          <w:spacing w:val="-52"/>
        </w:rPr>
      </w:r>
      <w:r>
        <w:rPr>
          <w:spacing w:val="-11"/>
        </w:rPr>
        <w:t>期权计划</w:t>
      </w:r>
      <w:r>
        <w:rPr>
          <w:rFonts w:ascii="Arial" w:hAnsi="Arial" w:cs="Arial" w:eastAsia="Arial" w:hint="default"/>
          <w:spacing w:val="-11"/>
        </w:rPr>
        <w:t>”</w:t>
      </w:r>
      <w:r>
        <w:rPr>
          <w:spacing w:val="-11"/>
        </w:rPr>
        <w:t>），授予于</w:t>
      </w:r>
      <w:r>
        <w:rPr>
          <w:spacing w:val="-54"/>
        </w:rPr>
        <w:t> </w:t>
      </w:r>
      <w:r>
        <w:rPr>
          <w:rFonts w:ascii="Arial" w:hAnsi="Arial" w:cs="Arial" w:eastAsia="Arial" w:hint="default"/>
        </w:rPr>
        <w:t>2008</w:t>
      </w:r>
      <w:r>
        <w:rPr>
          <w:rFonts w:ascii="Arial" w:hAnsi="Arial" w:cs="Arial" w:eastAsia="Arial" w:hint="default"/>
          <w:spacing w:val="-5"/>
        </w:rPr>
        <w:t> </w:t>
      </w:r>
      <w:r>
        <w:rPr/>
        <w:t>年</w:t>
      </w:r>
      <w:r>
        <w:rPr>
          <w:spacing w:val="-54"/>
        </w:rPr>
        <w:t> </w:t>
      </w:r>
      <w:r>
        <w:rPr>
          <w:rFonts w:ascii="Arial" w:hAnsi="Arial" w:cs="Arial" w:eastAsia="Arial" w:hint="default"/>
        </w:rPr>
        <w:t>10</w:t>
      </w:r>
      <w:r>
        <w:rPr>
          <w:rFonts w:ascii="Arial" w:hAnsi="Arial" w:cs="Arial" w:eastAsia="Arial" w:hint="default"/>
          <w:spacing w:val="-6"/>
        </w:rPr>
        <w:t> </w:t>
      </w:r>
      <w:r>
        <w:rPr/>
        <w:t>月</w:t>
      </w:r>
      <w:r>
        <w:rPr>
          <w:spacing w:val="-54"/>
        </w:rPr>
        <w:t> </w:t>
      </w:r>
      <w:r>
        <w:rPr>
          <w:rFonts w:ascii="Arial" w:hAnsi="Arial" w:cs="Arial" w:eastAsia="Arial" w:hint="default"/>
        </w:rPr>
        <w:t>14</w:t>
      </w:r>
      <w:r>
        <w:rPr>
          <w:rFonts w:ascii="Arial" w:hAnsi="Arial" w:cs="Arial" w:eastAsia="Arial" w:hint="default"/>
          <w:spacing w:val="-6"/>
        </w:rPr>
        <w:t> </w:t>
      </w:r>
      <w:r>
        <w:rPr/>
        <w:t>日持有但尚未行使网通红筹公司股份期权的人士股份期</w:t>
      </w:r>
    </w:p>
    <w:p>
      <w:pPr>
        <w:pStyle w:val="BodyText"/>
        <w:spacing w:line="288" w:lineRule="exact"/>
        <w:ind w:left="578" w:right="0"/>
        <w:jc w:val="both"/>
      </w:pPr>
      <w:r>
        <w:rPr/>
        <w:t>权。此等期权计划的条款已于</w:t>
      </w:r>
      <w:r>
        <w:rPr>
          <w:spacing w:val="-56"/>
        </w:rPr>
        <w:t> </w:t>
      </w:r>
      <w:r>
        <w:rPr>
          <w:rFonts w:ascii="Arial" w:hAnsi="Arial" w:cs="Arial" w:eastAsia="Arial" w:hint="default"/>
        </w:rPr>
        <w:t>2009</w:t>
      </w:r>
      <w:r>
        <w:rPr>
          <w:rFonts w:ascii="Arial" w:hAnsi="Arial" w:cs="Arial" w:eastAsia="Arial" w:hint="default"/>
          <w:spacing w:val="-8"/>
        </w:rPr>
        <w:t> </w:t>
      </w:r>
      <w:r>
        <w:rPr/>
        <w:t>年</w:t>
      </w:r>
      <w:r>
        <w:rPr>
          <w:spacing w:val="-56"/>
        </w:rPr>
        <w:t> </w:t>
      </w:r>
      <w:r>
        <w:rPr>
          <w:rFonts w:ascii="Arial" w:hAnsi="Arial" w:cs="Arial" w:eastAsia="Arial" w:hint="default"/>
        </w:rPr>
        <w:t>5</w:t>
      </w:r>
      <w:r>
        <w:rPr>
          <w:rFonts w:ascii="Arial" w:hAnsi="Arial" w:cs="Arial" w:eastAsia="Arial" w:hint="default"/>
          <w:spacing w:val="-10"/>
        </w:rPr>
        <w:t> </w:t>
      </w:r>
      <w:r>
        <w:rPr/>
        <w:t>月</w:t>
      </w:r>
      <w:r>
        <w:rPr>
          <w:spacing w:val="-56"/>
        </w:rPr>
        <w:t> </w:t>
      </w:r>
      <w:r>
        <w:rPr>
          <w:rFonts w:ascii="Arial" w:hAnsi="Arial" w:cs="Arial" w:eastAsia="Arial" w:hint="default"/>
        </w:rPr>
        <w:t>26</w:t>
      </w:r>
      <w:r>
        <w:rPr>
          <w:rFonts w:ascii="Arial" w:hAnsi="Arial" w:cs="Arial" w:eastAsia="Arial" w:hint="default"/>
          <w:spacing w:val="-8"/>
        </w:rPr>
        <w:t> </w:t>
      </w:r>
      <w:r>
        <w:rPr/>
        <w:t>日作出修订。</w:t>
      </w:r>
    </w:p>
    <w:p>
      <w:pPr>
        <w:spacing w:line="240" w:lineRule="auto" w:before="1"/>
        <w:rPr>
          <w:rFonts w:ascii="宋体" w:hAnsi="宋体" w:cs="宋体" w:eastAsia="宋体" w:hint="default"/>
          <w:sz w:val="18"/>
          <w:szCs w:val="18"/>
        </w:rPr>
      </w:pPr>
    </w:p>
    <w:p>
      <w:pPr>
        <w:pStyle w:val="BodyText"/>
        <w:spacing w:line="240" w:lineRule="auto"/>
        <w:ind w:left="578" w:right="0"/>
        <w:jc w:val="both"/>
      </w:pPr>
      <w:r>
        <w:rPr/>
        <w:t>于</w:t>
      </w:r>
      <w:r>
        <w:rPr>
          <w:spacing w:val="-60"/>
        </w:rPr>
        <w:t> </w:t>
      </w:r>
      <w:r>
        <w:rPr>
          <w:rFonts w:ascii="Arial" w:hAnsi="Arial" w:cs="Arial" w:eastAsia="Arial" w:hint="default"/>
        </w:rPr>
        <w:t>2014</w:t>
      </w:r>
      <w:r>
        <w:rPr>
          <w:rFonts w:ascii="Arial" w:hAnsi="Arial" w:cs="Arial" w:eastAsia="Arial" w:hint="default"/>
          <w:spacing w:val="-12"/>
        </w:rPr>
        <w:t> </w:t>
      </w:r>
      <w:r>
        <w:rPr/>
        <w:t>年度，联通红筹公司未行使的股份期权数目的变动及有关加权平均行使价列示如下：</w:t>
      </w:r>
    </w:p>
    <w:p>
      <w:pPr>
        <w:spacing w:line="240" w:lineRule="auto" w:before="2"/>
        <w:rPr>
          <w:rFonts w:ascii="宋体" w:hAnsi="宋体" w:cs="宋体" w:eastAsia="宋体" w:hint="default"/>
          <w:sz w:val="23"/>
          <w:szCs w:val="23"/>
        </w:rPr>
      </w:pPr>
    </w:p>
    <w:tbl>
      <w:tblPr>
        <w:tblW w:w="0" w:type="auto"/>
        <w:jc w:val="left"/>
        <w:tblInd w:w="423" w:type="dxa"/>
        <w:tblLayout w:type="fixed"/>
        <w:tblCellMar>
          <w:top w:w="0" w:type="dxa"/>
          <w:left w:w="0" w:type="dxa"/>
          <w:bottom w:w="0" w:type="dxa"/>
          <w:right w:w="0" w:type="dxa"/>
        </w:tblCellMar>
        <w:tblLook w:val="01E0"/>
      </w:tblPr>
      <w:tblGrid>
        <w:gridCol w:w="2127"/>
        <w:gridCol w:w="2131"/>
        <w:gridCol w:w="1341"/>
        <w:gridCol w:w="139"/>
        <w:gridCol w:w="1862"/>
        <w:gridCol w:w="118"/>
        <w:gridCol w:w="1454"/>
      </w:tblGrid>
      <w:tr>
        <w:trPr>
          <w:trHeight w:val="236" w:hRule="exact"/>
        </w:trPr>
        <w:tc>
          <w:tcPr>
            <w:tcW w:w="2127"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single" w:sz="6" w:space="0" w:color="000000"/>
              <w:right w:val="nil" w:sz="6" w:space="0" w:color="auto"/>
            </w:tcBorders>
          </w:tcPr>
          <w:p>
            <w:pPr>
              <w:pStyle w:val="TableParagraph"/>
              <w:spacing w:line="214" w:lineRule="exact"/>
              <w:ind w:left="1385" w:right="0"/>
              <w:jc w:val="left"/>
              <w:rPr>
                <w:rFonts w:ascii="宋体" w:hAnsi="宋体" w:cs="宋体" w:eastAsia="宋体" w:hint="default"/>
                <w:sz w:val="20"/>
                <w:szCs w:val="20"/>
              </w:rPr>
            </w:pPr>
            <w:r>
              <w:rPr>
                <w:rFonts w:ascii="Arial" w:hAnsi="Arial" w:cs="Arial" w:eastAsia="Arial" w:hint="default"/>
                <w:sz w:val="20"/>
                <w:szCs w:val="20"/>
              </w:rPr>
              <w:t>2014</w:t>
            </w:r>
            <w:r>
              <w:rPr>
                <w:rFonts w:ascii="Arial" w:hAnsi="Arial" w:cs="Arial" w:eastAsia="Arial" w:hint="default"/>
                <w:spacing w:val="-10"/>
                <w:sz w:val="20"/>
                <w:szCs w:val="20"/>
              </w:rPr>
              <w:t> </w:t>
            </w:r>
            <w:r>
              <w:rPr>
                <w:rFonts w:ascii="宋体" w:hAnsi="宋体" w:cs="宋体" w:eastAsia="宋体" w:hint="default"/>
                <w:sz w:val="20"/>
                <w:szCs w:val="20"/>
              </w:rPr>
              <w:t>年</w:t>
            </w:r>
          </w:p>
        </w:tc>
        <w:tc>
          <w:tcPr>
            <w:tcW w:w="1341" w:type="dxa"/>
            <w:tcBorders>
              <w:top w:val="nil" w:sz="6" w:space="0" w:color="auto"/>
              <w:left w:val="nil" w:sz="6" w:space="0" w:color="auto"/>
              <w:bottom w:val="single" w:sz="6" w:space="0" w:color="000000"/>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3435" w:type="dxa"/>
            <w:gridSpan w:val="3"/>
            <w:tcBorders>
              <w:top w:val="nil" w:sz="6" w:space="0" w:color="auto"/>
              <w:left w:val="nil" w:sz="6" w:space="0" w:color="auto"/>
              <w:bottom w:val="single" w:sz="6" w:space="0" w:color="000000"/>
              <w:right w:val="nil" w:sz="6" w:space="0" w:color="auto"/>
            </w:tcBorders>
          </w:tcPr>
          <w:p>
            <w:pPr>
              <w:pStyle w:val="TableParagraph"/>
              <w:spacing w:line="214" w:lineRule="exact"/>
              <w:ind w:right="3"/>
              <w:jc w:val="center"/>
              <w:rPr>
                <w:rFonts w:ascii="宋体" w:hAnsi="宋体" w:cs="宋体" w:eastAsia="宋体" w:hint="default"/>
                <w:sz w:val="20"/>
                <w:szCs w:val="20"/>
              </w:rPr>
            </w:pPr>
            <w:r>
              <w:rPr>
                <w:rFonts w:ascii="Arial" w:hAnsi="Arial" w:cs="Arial" w:eastAsia="Arial" w:hint="default"/>
                <w:sz w:val="20"/>
                <w:szCs w:val="20"/>
              </w:rPr>
              <w:t>2013</w:t>
            </w:r>
            <w:r>
              <w:rPr>
                <w:rFonts w:ascii="Arial" w:hAnsi="Arial" w:cs="Arial" w:eastAsia="Arial" w:hint="default"/>
                <w:spacing w:val="-10"/>
                <w:sz w:val="20"/>
                <w:szCs w:val="20"/>
              </w:rPr>
              <w:t> </w:t>
            </w:r>
            <w:r>
              <w:rPr>
                <w:rFonts w:ascii="宋体" w:hAnsi="宋体" w:cs="宋体" w:eastAsia="宋体" w:hint="default"/>
                <w:sz w:val="20"/>
                <w:szCs w:val="20"/>
              </w:rPr>
              <w:t>年</w:t>
            </w:r>
          </w:p>
        </w:tc>
      </w:tr>
      <w:tr>
        <w:trPr>
          <w:trHeight w:val="456" w:hRule="exact"/>
        </w:trPr>
        <w:tc>
          <w:tcPr>
            <w:tcW w:w="42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7"/>
              <w:ind w:left="2153" w:right="0"/>
              <w:jc w:val="left"/>
              <w:rPr>
                <w:rFonts w:ascii="宋体" w:hAnsi="宋体" w:cs="宋体" w:eastAsia="宋体" w:hint="default"/>
                <w:sz w:val="20"/>
                <w:szCs w:val="20"/>
              </w:rPr>
            </w:pPr>
            <w:r>
              <w:rPr>
                <w:rFonts w:ascii="宋体" w:hAnsi="宋体" w:cs="宋体" w:eastAsia="宋体" w:hint="default"/>
                <w:sz w:val="20"/>
                <w:szCs w:val="20"/>
              </w:rPr>
              <w:t>平均行使价每股港币</w:t>
            </w:r>
          </w:p>
        </w:tc>
        <w:tc>
          <w:tcPr>
            <w:tcW w:w="1341" w:type="dxa"/>
            <w:tcBorders>
              <w:top w:val="single" w:sz="6" w:space="0" w:color="000000"/>
              <w:left w:val="nil" w:sz="6" w:space="0" w:color="auto"/>
              <w:bottom w:val="single" w:sz="6" w:space="0" w:color="000000"/>
              <w:right w:val="nil" w:sz="6" w:space="0" w:color="auto"/>
            </w:tcBorders>
          </w:tcPr>
          <w:p>
            <w:pPr>
              <w:pStyle w:val="TableParagraph"/>
              <w:spacing w:line="240" w:lineRule="auto" w:before="150"/>
              <w:ind w:left="51" w:right="0"/>
              <w:jc w:val="left"/>
              <w:rPr>
                <w:rFonts w:ascii="宋体" w:hAnsi="宋体" w:cs="宋体" w:eastAsia="宋体" w:hint="default"/>
                <w:sz w:val="20"/>
                <w:szCs w:val="20"/>
              </w:rPr>
            </w:pPr>
            <w:r>
              <w:rPr>
                <w:rFonts w:ascii="宋体" w:hAnsi="宋体" w:cs="宋体" w:eastAsia="宋体" w:hint="default"/>
                <w:sz w:val="20"/>
                <w:szCs w:val="20"/>
              </w:rPr>
              <w:t>股份期权份数</w:t>
            </w:r>
          </w:p>
        </w:tc>
        <w:tc>
          <w:tcPr>
            <w:tcW w:w="139" w:type="dxa"/>
            <w:tcBorders>
              <w:top w:val="nil" w:sz="6" w:space="0" w:color="auto"/>
              <w:left w:val="nil" w:sz="6" w:space="0" w:color="auto"/>
              <w:bottom w:val="nil" w:sz="6" w:space="0" w:color="auto"/>
              <w:right w:val="nil" w:sz="6" w:space="0" w:color="auto"/>
            </w:tcBorders>
          </w:tcPr>
          <w:p>
            <w:pPr/>
          </w:p>
        </w:tc>
        <w:tc>
          <w:tcPr>
            <w:tcW w:w="1862" w:type="dxa"/>
            <w:tcBorders>
              <w:top w:val="single" w:sz="6" w:space="0" w:color="000000"/>
              <w:left w:val="nil" w:sz="6" w:space="0" w:color="auto"/>
              <w:bottom w:val="single" w:sz="6" w:space="0" w:color="000000"/>
              <w:right w:val="nil" w:sz="6" w:space="0" w:color="auto"/>
            </w:tcBorders>
          </w:tcPr>
          <w:p>
            <w:pPr>
              <w:pStyle w:val="TableParagraph"/>
              <w:spacing w:line="240" w:lineRule="auto" w:before="150"/>
              <w:ind w:left="36" w:right="0"/>
              <w:jc w:val="left"/>
              <w:rPr>
                <w:rFonts w:ascii="宋体" w:hAnsi="宋体" w:cs="宋体" w:eastAsia="宋体" w:hint="default"/>
                <w:sz w:val="20"/>
                <w:szCs w:val="20"/>
              </w:rPr>
            </w:pPr>
            <w:r>
              <w:rPr>
                <w:rFonts w:ascii="宋体" w:hAnsi="宋体" w:cs="宋体" w:eastAsia="宋体" w:hint="default"/>
                <w:sz w:val="20"/>
                <w:szCs w:val="20"/>
              </w:rPr>
              <w:t>平均行使价每股港币</w:t>
            </w:r>
          </w:p>
        </w:tc>
        <w:tc>
          <w:tcPr>
            <w:tcW w:w="118" w:type="dxa"/>
            <w:tcBorders>
              <w:top w:val="single" w:sz="6" w:space="0" w:color="000000"/>
              <w:left w:val="nil" w:sz="6" w:space="0" w:color="auto"/>
              <w:bottom w:val="nil" w:sz="6" w:space="0" w:color="auto"/>
              <w:right w:val="nil" w:sz="6" w:space="0" w:color="auto"/>
            </w:tcBorders>
          </w:tcPr>
          <w:p>
            <w:pPr/>
          </w:p>
        </w:tc>
        <w:tc>
          <w:tcPr>
            <w:tcW w:w="1454" w:type="dxa"/>
            <w:tcBorders>
              <w:top w:val="single" w:sz="6" w:space="0" w:color="000000"/>
              <w:left w:val="nil" w:sz="6" w:space="0" w:color="auto"/>
              <w:bottom w:val="single" w:sz="6" w:space="0" w:color="000000"/>
              <w:right w:val="nil" w:sz="6" w:space="0" w:color="auto"/>
            </w:tcBorders>
          </w:tcPr>
          <w:p>
            <w:pPr>
              <w:pStyle w:val="TableParagraph"/>
              <w:spacing w:line="240" w:lineRule="auto" w:before="150"/>
              <w:ind w:right="60"/>
              <w:jc w:val="right"/>
              <w:rPr>
                <w:rFonts w:ascii="宋体" w:hAnsi="宋体" w:cs="宋体" w:eastAsia="宋体" w:hint="default"/>
                <w:sz w:val="20"/>
                <w:szCs w:val="20"/>
              </w:rPr>
            </w:pPr>
            <w:r>
              <w:rPr>
                <w:rFonts w:ascii="宋体" w:hAnsi="宋体" w:cs="宋体" w:eastAsia="宋体" w:hint="default"/>
                <w:w w:val="95"/>
                <w:sz w:val="20"/>
                <w:szCs w:val="20"/>
              </w:rPr>
              <w:t>股份期权份数</w:t>
            </w:r>
            <w:r>
              <w:rPr>
                <w:rFonts w:ascii="宋体" w:hAnsi="宋体" w:cs="宋体" w:eastAsia="宋体" w:hint="default"/>
                <w:sz w:val="20"/>
                <w:szCs w:val="20"/>
              </w:rPr>
            </w:r>
          </w:p>
        </w:tc>
      </w:tr>
      <w:tr>
        <w:trPr>
          <w:trHeight w:val="309"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57" w:lineRule="exact"/>
              <w:ind w:left="200"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2131" w:type="dxa"/>
            <w:tcBorders>
              <w:top w:val="single" w:sz="6" w:space="0" w:color="000000"/>
              <w:left w:val="nil" w:sz="6" w:space="0" w:color="auto"/>
              <w:bottom w:val="nil" w:sz="6" w:space="0" w:color="auto"/>
              <w:right w:val="nil" w:sz="6" w:space="0" w:color="auto"/>
            </w:tcBorders>
          </w:tcPr>
          <w:p>
            <w:pPr>
              <w:pStyle w:val="TableParagraph"/>
              <w:spacing w:line="20" w:lineRule="exact"/>
              <w:ind w:left="-8" w:right="0"/>
              <w:jc w:val="left"/>
              <w:rPr>
                <w:rFonts w:ascii="宋体" w:hAnsi="宋体" w:cs="宋体" w:eastAsia="宋体" w:hint="default"/>
                <w:sz w:val="2"/>
                <w:szCs w:val="2"/>
              </w:rPr>
            </w:pPr>
            <w:r>
              <w:rPr>
                <w:rFonts w:ascii="宋体" w:hAnsi="宋体" w:cs="宋体" w:eastAsia="宋体" w:hint="default"/>
                <w:sz w:val="2"/>
                <w:szCs w:val="2"/>
              </w:rPr>
              <w:pict>
                <v:group style="width:92.1pt;height:.75pt;mso-position-horizontal-relative:char;mso-position-vertical-relative:line" coordorigin="0,0" coordsize="1842,15">
                  <v:group style="position:absolute;left:7;top:7;width:1827;height:2" coordorigin="7,7" coordsize="1827,2">
                    <v:shape style="position:absolute;left:7;top:7;width:1827;height:2" coordorigin="7,7" coordsize="1827,0" path="m7,7l1834,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42"/>
              <w:ind w:left="1375" w:right="0"/>
              <w:jc w:val="left"/>
              <w:rPr>
                <w:rFonts w:ascii="Arial" w:hAnsi="Arial" w:cs="Arial" w:eastAsia="Arial" w:hint="default"/>
                <w:sz w:val="20"/>
                <w:szCs w:val="20"/>
              </w:rPr>
            </w:pPr>
            <w:r>
              <w:rPr>
                <w:rFonts w:ascii="Arial"/>
                <w:sz w:val="20"/>
              </w:rPr>
              <w:t>6.61</w:t>
            </w:r>
          </w:p>
        </w:tc>
        <w:tc>
          <w:tcPr>
            <w:tcW w:w="1341" w:type="dxa"/>
            <w:tcBorders>
              <w:top w:val="single" w:sz="6" w:space="0" w:color="000000"/>
              <w:left w:val="nil" w:sz="6" w:space="0" w:color="auto"/>
              <w:bottom w:val="nil" w:sz="6" w:space="0" w:color="auto"/>
              <w:right w:val="nil" w:sz="6" w:space="0" w:color="auto"/>
            </w:tcBorders>
          </w:tcPr>
          <w:p>
            <w:pPr>
              <w:pStyle w:val="TableParagraph"/>
              <w:spacing w:line="240" w:lineRule="auto" w:before="48"/>
              <w:ind w:left="161" w:right="0"/>
              <w:jc w:val="left"/>
              <w:rPr>
                <w:rFonts w:ascii="Arial" w:hAnsi="Arial" w:cs="Arial" w:eastAsia="Arial" w:hint="default"/>
                <w:sz w:val="20"/>
                <w:szCs w:val="20"/>
              </w:rPr>
            </w:pPr>
            <w:r>
              <w:rPr>
                <w:rFonts w:ascii="Arial"/>
                <w:sz w:val="20"/>
              </w:rPr>
              <w:t>174,498,077</w:t>
            </w:r>
          </w:p>
        </w:tc>
        <w:tc>
          <w:tcPr>
            <w:tcW w:w="139" w:type="dxa"/>
            <w:tcBorders>
              <w:top w:val="nil" w:sz="6" w:space="0" w:color="auto"/>
              <w:left w:val="nil" w:sz="6" w:space="0" w:color="auto"/>
              <w:bottom w:val="nil" w:sz="6" w:space="0" w:color="auto"/>
              <w:right w:val="nil" w:sz="6" w:space="0" w:color="auto"/>
            </w:tcBorders>
          </w:tcPr>
          <w:p>
            <w:pPr/>
          </w:p>
        </w:tc>
        <w:tc>
          <w:tcPr>
            <w:tcW w:w="1862" w:type="dxa"/>
            <w:tcBorders>
              <w:top w:val="single" w:sz="6" w:space="0" w:color="000000"/>
              <w:left w:val="nil" w:sz="6" w:space="0" w:color="auto"/>
              <w:bottom w:val="nil" w:sz="6" w:space="0" w:color="auto"/>
              <w:right w:val="nil" w:sz="6" w:space="0" w:color="auto"/>
            </w:tcBorders>
          </w:tcPr>
          <w:p>
            <w:pPr>
              <w:pStyle w:val="TableParagraph"/>
              <w:spacing w:line="240" w:lineRule="auto" w:before="48"/>
              <w:ind w:right="89"/>
              <w:jc w:val="right"/>
              <w:rPr>
                <w:rFonts w:ascii="Arial" w:hAnsi="Arial" w:cs="Arial" w:eastAsia="Arial" w:hint="default"/>
                <w:sz w:val="20"/>
                <w:szCs w:val="20"/>
              </w:rPr>
            </w:pPr>
            <w:r>
              <w:rPr>
                <w:rFonts w:ascii="Arial"/>
                <w:spacing w:val="-1"/>
                <w:w w:val="95"/>
                <w:sz w:val="20"/>
              </w:rPr>
              <w:t>6.49</w:t>
            </w:r>
            <w:r>
              <w:rPr>
                <w:rFonts w:ascii="Arial"/>
                <w:sz w:val="20"/>
              </w:rPr>
            </w:r>
          </w:p>
        </w:tc>
        <w:tc>
          <w:tcPr>
            <w:tcW w:w="118" w:type="dxa"/>
            <w:tcBorders>
              <w:top w:val="nil" w:sz="6" w:space="0" w:color="auto"/>
              <w:left w:val="nil" w:sz="6" w:space="0" w:color="auto"/>
              <w:bottom w:val="nil" w:sz="6" w:space="0" w:color="auto"/>
              <w:right w:val="nil" w:sz="6" w:space="0" w:color="auto"/>
            </w:tcBorders>
          </w:tcPr>
          <w:p>
            <w:pPr/>
          </w:p>
        </w:tc>
        <w:tc>
          <w:tcPr>
            <w:tcW w:w="1454" w:type="dxa"/>
            <w:tcBorders>
              <w:top w:val="single" w:sz="6" w:space="0" w:color="000000"/>
              <w:left w:val="nil" w:sz="6" w:space="0" w:color="auto"/>
              <w:bottom w:val="nil" w:sz="6" w:space="0" w:color="auto"/>
              <w:right w:val="nil" w:sz="6" w:space="0" w:color="auto"/>
            </w:tcBorders>
          </w:tcPr>
          <w:p>
            <w:pPr>
              <w:pStyle w:val="TableParagraph"/>
              <w:spacing w:line="240" w:lineRule="auto" w:before="48"/>
              <w:ind w:left="215" w:right="0"/>
              <w:jc w:val="left"/>
              <w:rPr>
                <w:rFonts w:ascii="Arial" w:hAnsi="Arial" w:cs="Arial" w:eastAsia="Arial" w:hint="default"/>
                <w:sz w:val="20"/>
                <w:szCs w:val="20"/>
              </w:rPr>
            </w:pPr>
            <w:r>
              <w:rPr>
                <w:rFonts w:ascii="Arial"/>
                <w:sz w:val="20"/>
              </w:rPr>
              <w:t>391,331,158</w:t>
            </w:r>
          </w:p>
        </w:tc>
      </w:tr>
      <w:tr>
        <w:trPr>
          <w:trHeight w:val="281"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28" w:lineRule="exact"/>
              <w:ind w:left="200" w:right="0"/>
              <w:jc w:val="left"/>
              <w:rPr>
                <w:rFonts w:ascii="宋体" w:hAnsi="宋体" w:cs="宋体" w:eastAsia="宋体" w:hint="default"/>
                <w:sz w:val="20"/>
                <w:szCs w:val="20"/>
              </w:rPr>
            </w:pPr>
            <w:r>
              <w:rPr>
                <w:rFonts w:ascii="宋体" w:hAnsi="宋体" w:cs="宋体" w:eastAsia="宋体" w:hint="default"/>
                <w:sz w:val="20"/>
                <w:szCs w:val="20"/>
              </w:rPr>
              <w:t>失效</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375" w:right="0"/>
              <w:jc w:val="left"/>
              <w:rPr>
                <w:rFonts w:ascii="Arial" w:hAnsi="Arial" w:cs="Arial" w:eastAsia="Arial" w:hint="default"/>
                <w:sz w:val="20"/>
                <w:szCs w:val="20"/>
              </w:rPr>
            </w:pPr>
            <w:r>
              <w:rPr>
                <w:rFonts w:ascii="Arial"/>
                <w:sz w:val="20"/>
              </w:rPr>
              <w:t>6.00</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20" w:right="0"/>
              <w:jc w:val="left"/>
              <w:rPr>
                <w:rFonts w:ascii="Arial" w:hAnsi="Arial" w:cs="Arial" w:eastAsia="Arial" w:hint="default"/>
                <w:sz w:val="20"/>
                <w:szCs w:val="20"/>
              </w:rPr>
            </w:pPr>
            <w:r>
              <w:rPr>
                <w:rFonts w:ascii="Arial"/>
                <w:w w:val="95"/>
                <w:sz w:val="20"/>
              </w:rPr>
              <w:t>(5,759,994)</w:t>
            </w:r>
            <w:r>
              <w:rPr>
                <w:rFonts w:ascii="Arial"/>
                <w:sz w:val="20"/>
              </w:rPr>
            </w:r>
          </w:p>
        </w:tc>
        <w:tc>
          <w:tcPr>
            <w:tcW w:w="139"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9"/>
              <w:jc w:val="right"/>
              <w:rPr>
                <w:rFonts w:ascii="Arial" w:hAnsi="Arial" w:cs="Arial" w:eastAsia="Arial" w:hint="default"/>
                <w:sz w:val="20"/>
                <w:szCs w:val="20"/>
              </w:rPr>
            </w:pPr>
            <w:r>
              <w:rPr>
                <w:rFonts w:ascii="Arial"/>
                <w:spacing w:val="-1"/>
                <w:w w:val="95"/>
                <w:sz w:val="20"/>
              </w:rPr>
              <w:t>4.30</w:t>
            </w:r>
            <w:r>
              <w:rPr>
                <w:rFonts w:ascii="Arial"/>
                <w:sz w:val="20"/>
              </w:rPr>
            </w:r>
          </w:p>
        </w:tc>
        <w:tc>
          <w:tcPr>
            <w:tcW w:w="11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0"/>
              <w:jc w:val="right"/>
              <w:rPr>
                <w:rFonts w:ascii="Arial" w:hAnsi="Arial" w:cs="Arial" w:eastAsia="Arial" w:hint="default"/>
                <w:sz w:val="20"/>
                <w:szCs w:val="20"/>
              </w:rPr>
            </w:pPr>
            <w:r>
              <w:rPr>
                <w:rFonts w:ascii="Arial"/>
                <w:spacing w:val="-1"/>
                <w:sz w:val="20"/>
              </w:rPr>
              <w:t>(110,000)</w:t>
            </w:r>
          </w:p>
        </w:tc>
      </w:tr>
      <w:tr>
        <w:trPr>
          <w:trHeight w:val="426"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28" w:lineRule="exact"/>
              <w:ind w:left="200" w:right="0"/>
              <w:jc w:val="left"/>
              <w:rPr>
                <w:rFonts w:ascii="宋体" w:hAnsi="宋体" w:cs="宋体" w:eastAsia="宋体" w:hint="default"/>
                <w:sz w:val="20"/>
                <w:szCs w:val="20"/>
              </w:rPr>
            </w:pPr>
            <w:r>
              <w:rPr>
                <w:rFonts w:ascii="宋体" w:hAnsi="宋体" w:cs="宋体" w:eastAsia="宋体" w:hint="default"/>
                <w:sz w:val="20"/>
                <w:szCs w:val="20"/>
              </w:rPr>
              <w:t>行使</w:t>
            </w:r>
          </w:p>
        </w:tc>
        <w:tc>
          <w:tcPr>
            <w:tcW w:w="2131" w:type="dxa"/>
            <w:tcBorders>
              <w:top w:val="nil" w:sz="6" w:space="0" w:color="auto"/>
              <w:left w:val="nil" w:sz="6" w:space="0" w:color="auto"/>
              <w:bottom w:val="nil" w:sz="6" w:space="0" w:color="auto"/>
              <w:right w:val="nil" w:sz="6" w:space="0" w:color="auto"/>
            </w:tcBorders>
          </w:tcPr>
          <w:p>
            <w:pPr>
              <w:pStyle w:val="TableParagraph"/>
              <w:tabs>
                <w:tab w:pos="1375" w:val="left" w:leader="none"/>
                <w:tab w:pos="2227" w:val="left" w:leader="none"/>
              </w:tabs>
              <w:spacing w:line="240" w:lineRule="auto" w:before="24"/>
              <w:ind w:right="-98"/>
              <w:jc w:val="lef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t>6.64</w:t>
            </w:r>
            <w:r>
              <w:rPr>
                <w:rFonts w:ascii="Arial"/>
                <w:spacing w:val="8"/>
                <w:sz w:val="20"/>
                <w:u w:val="single" w:color="000000"/>
              </w:rPr>
              <w:t> </w:t>
            </w:r>
            <w:r>
              <w:rPr>
                <w:rFonts w:ascii="Arial"/>
                <w:spacing w:val="8"/>
                <w:sz w:val="20"/>
              </w:rPr>
            </w:r>
            <w:r>
              <w:rPr>
                <w:rFonts w:ascii="Arial"/>
                <w:sz w:val="20"/>
              </w:rPr>
              <w:t> </w:t>
            </w:r>
            <w:r>
              <w:rPr>
                <w:rFonts w:ascii="Arial"/>
                <w:spacing w:val="6"/>
                <w:sz w:val="20"/>
              </w:rPr>
              <w:t> </w:t>
            </w:r>
            <w:r>
              <w:rPr>
                <w:rFonts w:ascii="Arial"/>
                <w:spacing w:val="6"/>
                <w:w w:val="99"/>
                <w:sz w:val="20"/>
              </w:rPr>
            </w:r>
            <w:r>
              <w:rPr>
                <w:rFonts w:ascii="Arial"/>
                <w:w w:val="99"/>
                <w:sz w:val="20"/>
                <w:u w:val="single" w:color="000000"/>
              </w:rPr>
              <w:t> </w:t>
            </w:r>
            <w:r>
              <w:rPr>
                <w:rFonts w:ascii="Arial"/>
                <w:sz w:val="20"/>
                <w:u w:val="single" w:color="000000"/>
              </w:rPr>
              <w:tab/>
            </w:r>
            <w:r>
              <w:rPr>
                <w:rFonts w:ascii="Arial"/>
                <w:sz w:val="20"/>
              </w:rPr>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97" w:right="0"/>
              <w:jc w:val="left"/>
              <w:rPr>
                <w:rFonts w:ascii="Arial" w:hAnsi="Arial" w:cs="Arial" w:eastAsia="Arial" w:hint="default"/>
                <w:sz w:val="20"/>
                <w:szCs w:val="20"/>
              </w:rPr>
            </w:pPr>
            <w:r>
              <w:rPr>
                <w:rFonts w:ascii="Arial"/>
                <w:w w:val="99"/>
                <w:sz w:val="20"/>
              </w:rPr>
            </w:r>
            <w:r>
              <w:rPr>
                <w:rFonts w:ascii="Arial"/>
                <w:w w:val="95"/>
                <w:sz w:val="20"/>
                <w:u w:val="single" w:color="000000"/>
              </w:rPr>
              <w:t>(165,198,083)</w:t>
            </w:r>
            <w:r>
              <w:rPr>
                <w:rFonts w:ascii="Arial"/>
                <w:w w:val="95"/>
                <w:sz w:val="20"/>
              </w:rPr>
            </w:r>
            <w:r>
              <w:rPr>
                <w:rFonts w:ascii="Arial"/>
                <w:sz w:val="20"/>
              </w:rPr>
            </w:r>
          </w:p>
        </w:tc>
        <w:tc>
          <w:tcPr>
            <w:tcW w:w="139"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tabs>
                <w:tab w:pos="1384" w:val="left" w:leader="none"/>
                <w:tab w:pos="1862" w:val="left" w:leader="none"/>
              </w:tabs>
              <w:spacing w:line="240" w:lineRule="auto" w:before="24"/>
              <w:ind w:right="0"/>
              <w:jc w:val="lef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t>6.40</w:t>
              <w:tab/>
            </w:r>
            <w:r>
              <w:rPr>
                <w:rFonts w:ascii="Arial"/>
                <w:sz w:val="20"/>
              </w:rPr>
            </w:r>
          </w:p>
        </w:tc>
        <w:tc>
          <w:tcPr>
            <w:tcW w:w="11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13"/>
                <w:sz w:val="20"/>
                <w:u w:val="single" w:color="000000"/>
              </w:rPr>
              <w:t> </w:t>
            </w:r>
            <w:r>
              <w:rPr>
                <w:rFonts w:ascii="Arial"/>
                <w:w w:val="95"/>
                <w:sz w:val="20"/>
                <w:u w:val="single" w:color="000000"/>
              </w:rPr>
              <w:t>(216,723,081)</w:t>
            </w:r>
            <w:r>
              <w:rPr>
                <w:rFonts w:ascii="Arial"/>
                <w:w w:val="95"/>
                <w:sz w:val="20"/>
              </w:rPr>
            </w:r>
            <w:r>
              <w:rPr>
                <w:rFonts w:ascii="Arial"/>
                <w:sz w:val="20"/>
              </w:rPr>
            </w:r>
          </w:p>
        </w:tc>
      </w:tr>
      <w:tr>
        <w:trPr>
          <w:trHeight w:val="429"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00"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2131" w:type="dxa"/>
            <w:tcBorders>
              <w:top w:val="nil" w:sz="6" w:space="0" w:color="auto"/>
              <w:left w:val="nil" w:sz="6" w:space="0" w:color="auto"/>
              <w:bottom w:val="single" w:sz="17" w:space="0" w:color="000000"/>
              <w:right w:val="nil" w:sz="6" w:space="0" w:color="auto"/>
            </w:tcBorders>
          </w:tcPr>
          <w:p>
            <w:pPr>
              <w:pStyle w:val="TableParagraph"/>
              <w:spacing w:line="240" w:lineRule="auto" w:before="174"/>
              <w:ind w:left="1375" w:right="0"/>
              <w:jc w:val="left"/>
              <w:rPr>
                <w:rFonts w:ascii="Arial" w:hAnsi="Arial" w:cs="Arial" w:eastAsia="Arial" w:hint="default"/>
                <w:sz w:val="20"/>
                <w:szCs w:val="20"/>
              </w:rPr>
            </w:pPr>
            <w:r>
              <w:rPr>
                <w:rFonts w:ascii="Arial"/>
                <w:sz w:val="20"/>
              </w:rPr>
              <w:t>6.35</w:t>
            </w:r>
          </w:p>
        </w:tc>
        <w:tc>
          <w:tcPr>
            <w:tcW w:w="1341" w:type="dxa"/>
            <w:tcBorders>
              <w:top w:val="nil" w:sz="6" w:space="0" w:color="auto"/>
              <w:left w:val="nil" w:sz="6" w:space="0" w:color="auto"/>
              <w:bottom w:val="single" w:sz="17" w:space="0" w:color="000000"/>
              <w:right w:val="nil" w:sz="6" w:space="0" w:color="auto"/>
            </w:tcBorders>
          </w:tcPr>
          <w:p>
            <w:pPr>
              <w:pStyle w:val="TableParagraph"/>
              <w:spacing w:line="240" w:lineRule="auto" w:before="174"/>
              <w:ind w:left="382" w:right="0"/>
              <w:jc w:val="left"/>
              <w:rPr>
                <w:rFonts w:ascii="Arial" w:hAnsi="Arial" w:cs="Arial" w:eastAsia="Arial" w:hint="default"/>
                <w:sz w:val="20"/>
                <w:szCs w:val="20"/>
              </w:rPr>
            </w:pPr>
            <w:r>
              <w:rPr>
                <w:rFonts w:ascii="Arial"/>
                <w:sz w:val="20"/>
              </w:rPr>
              <w:t>3,540,000</w:t>
            </w:r>
          </w:p>
        </w:tc>
        <w:tc>
          <w:tcPr>
            <w:tcW w:w="139"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single" w:sz="17" w:space="0" w:color="000000"/>
              <w:right w:val="nil" w:sz="6" w:space="0" w:color="auto"/>
            </w:tcBorders>
          </w:tcPr>
          <w:p>
            <w:pPr>
              <w:pStyle w:val="TableParagraph"/>
              <w:spacing w:line="240" w:lineRule="auto" w:before="174"/>
              <w:ind w:right="89"/>
              <w:jc w:val="right"/>
              <w:rPr>
                <w:rFonts w:ascii="Arial" w:hAnsi="Arial" w:cs="Arial" w:eastAsia="Arial" w:hint="default"/>
                <w:sz w:val="20"/>
                <w:szCs w:val="20"/>
              </w:rPr>
            </w:pPr>
            <w:r>
              <w:rPr>
                <w:rFonts w:ascii="Arial"/>
                <w:spacing w:val="-1"/>
                <w:w w:val="95"/>
                <w:sz w:val="20"/>
              </w:rPr>
              <w:t>6.61</w:t>
            </w:r>
            <w:r>
              <w:rPr>
                <w:rFonts w:ascii="Arial"/>
                <w:sz w:val="20"/>
              </w:rPr>
            </w:r>
          </w:p>
        </w:tc>
        <w:tc>
          <w:tcPr>
            <w:tcW w:w="11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single" w:sz="17" w:space="0" w:color="000000"/>
              <w:right w:val="nil" w:sz="6" w:space="0" w:color="auto"/>
            </w:tcBorders>
          </w:tcPr>
          <w:p>
            <w:pPr>
              <w:pStyle w:val="TableParagraph"/>
              <w:spacing w:line="240" w:lineRule="auto" w:before="174"/>
              <w:ind w:left="215" w:right="0"/>
              <w:jc w:val="left"/>
              <w:rPr>
                <w:rFonts w:ascii="Arial" w:hAnsi="Arial" w:cs="Arial" w:eastAsia="Arial" w:hint="default"/>
                <w:sz w:val="20"/>
                <w:szCs w:val="20"/>
              </w:rPr>
            </w:pPr>
            <w:r>
              <w:rPr>
                <w:rFonts w:ascii="Arial"/>
                <w:sz w:val="20"/>
              </w:rPr>
              <w:t>174,498,077</w:t>
            </w:r>
          </w:p>
        </w:tc>
      </w:tr>
      <w:tr>
        <w:trPr>
          <w:trHeight w:val="326" w:hRule="exact"/>
        </w:trPr>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00" w:right="0"/>
              <w:jc w:val="left"/>
              <w:rPr>
                <w:rFonts w:ascii="宋体" w:hAnsi="宋体" w:cs="宋体" w:eastAsia="宋体" w:hint="default"/>
                <w:sz w:val="20"/>
                <w:szCs w:val="20"/>
              </w:rPr>
            </w:pPr>
            <w:r>
              <w:rPr>
                <w:rFonts w:ascii="宋体" w:hAnsi="宋体" w:cs="宋体" w:eastAsia="宋体" w:hint="default"/>
                <w:sz w:val="20"/>
                <w:szCs w:val="20"/>
              </w:rPr>
              <w:t>可于期末行权</w:t>
            </w:r>
          </w:p>
        </w:tc>
        <w:tc>
          <w:tcPr>
            <w:tcW w:w="2131" w:type="dxa"/>
            <w:tcBorders>
              <w:top w:val="single" w:sz="17" w:space="0" w:color="000000"/>
              <w:left w:val="nil" w:sz="6" w:space="0" w:color="auto"/>
              <w:bottom w:val="single" w:sz="17" w:space="0" w:color="000000"/>
              <w:right w:val="nil" w:sz="6" w:space="0" w:color="auto"/>
            </w:tcBorders>
          </w:tcPr>
          <w:p>
            <w:pPr>
              <w:pStyle w:val="TableParagraph"/>
              <w:spacing w:line="240" w:lineRule="auto" w:before="47"/>
              <w:ind w:left="1375" w:right="0"/>
              <w:jc w:val="left"/>
              <w:rPr>
                <w:rFonts w:ascii="Arial" w:hAnsi="Arial" w:cs="Arial" w:eastAsia="Arial" w:hint="default"/>
                <w:sz w:val="20"/>
                <w:szCs w:val="20"/>
              </w:rPr>
            </w:pPr>
            <w:r>
              <w:rPr>
                <w:rFonts w:ascii="Arial"/>
                <w:sz w:val="20"/>
              </w:rPr>
              <w:t>6.35</w:t>
            </w:r>
          </w:p>
        </w:tc>
        <w:tc>
          <w:tcPr>
            <w:tcW w:w="1341" w:type="dxa"/>
            <w:tcBorders>
              <w:top w:val="single" w:sz="17" w:space="0" w:color="000000"/>
              <w:left w:val="nil" w:sz="6" w:space="0" w:color="auto"/>
              <w:bottom w:val="single" w:sz="17" w:space="0" w:color="000000"/>
              <w:right w:val="nil" w:sz="6" w:space="0" w:color="auto"/>
            </w:tcBorders>
          </w:tcPr>
          <w:p>
            <w:pPr>
              <w:pStyle w:val="TableParagraph"/>
              <w:spacing w:line="240" w:lineRule="auto" w:before="47"/>
              <w:ind w:left="382" w:right="0"/>
              <w:jc w:val="left"/>
              <w:rPr>
                <w:rFonts w:ascii="Arial" w:hAnsi="Arial" w:cs="Arial" w:eastAsia="Arial" w:hint="default"/>
                <w:sz w:val="20"/>
                <w:szCs w:val="20"/>
              </w:rPr>
            </w:pPr>
            <w:r>
              <w:rPr>
                <w:rFonts w:ascii="Arial"/>
                <w:sz w:val="20"/>
              </w:rPr>
              <w:t>3,540,000</w:t>
            </w:r>
          </w:p>
        </w:tc>
        <w:tc>
          <w:tcPr>
            <w:tcW w:w="139" w:type="dxa"/>
            <w:tcBorders>
              <w:top w:val="nil" w:sz="6" w:space="0" w:color="auto"/>
              <w:left w:val="nil" w:sz="6" w:space="0" w:color="auto"/>
              <w:bottom w:val="nil" w:sz="6" w:space="0" w:color="auto"/>
              <w:right w:val="nil" w:sz="6" w:space="0" w:color="auto"/>
            </w:tcBorders>
          </w:tcPr>
          <w:p>
            <w:pPr/>
          </w:p>
        </w:tc>
        <w:tc>
          <w:tcPr>
            <w:tcW w:w="1862" w:type="dxa"/>
            <w:tcBorders>
              <w:top w:val="single" w:sz="17" w:space="0" w:color="000000"/>
              <w:left w:val="nil" w:sz="6" w:space="0" w:color="auto"/>
              <w:bottom w:val="single" w:sz="17" w:space="0" w:color="000000"/>
              <w:right w:val="nil" w:sz="6" w:space="0" w:color="auto"/>
            </w:tcBorders>
          </w:tcPr>
          <w:p>
            <w:pPr>
              <w:pStyle w:val="TableParagraph"/>
              <w:spacing w:line="240" w:lineRule="auto" w:before="47"/>
              <w:ind w:right="89"/>
              <w:jc w:val="right"/>
              <w:rPr>
                <w:rFonts w:ascii="Arial" w:hAnsi="Arial" w:cs="Arial" w:eastAsia="Arial" w:hint="default"/>
                <w:sz w:val="20"/>
                <w:szCs w:val="20"/>
              </w:rPr>
            </w:pPr>
            <w:r>
              <w:rPr>
                <w:rFonts w:ascii="Arial"/>
                <w:spacing w:val="-1"/>
                <w:w w:val="95"/>
                <w:sz w:val="20"/>
              </w:rPr>
              <w:t>6.61</w:t>
            </w:r>
            <w:r>
              <w:rPr>
                <w:rFonts w:ascii="Arial"/>
                <w:sz w:val="20"/>
              </w:rPr>
            </w:r>
          </w:p>
        </w:tc>
        <w:tc>
          <w:tcPr>
            <w:tcW w:w="118" w:type="dxa"/>
            <w:tcBorders>
              <w:top w:val="nil" w:sz="6" w:space="0" w:color="auto"/>
              <w:left w:val="nil" w:sz="6" w:space="0" w:color="auto"/>
              <w:bottom w:val="nil" w:sz="6" w:space="0" w:color="auto"/>
              <w:right w:val="nil" w:sz="6" w:space="0" w:color="auto"/>
            </w:tcBorders>
          </w:tcPr>
          <w:p>
            <w:pPr/>
          </w:p>
        </w:tc>
        <w:tc>
          <w:tcPr>
            <w:tcW w:w="1454" w:type="dxa"/>
            <w:tcBorders>
              <w:top w:val="single" w:sz="17" w:space="0" w:color="000000"/>
              <w:left w:val="nil" w:sz="6" w:space="0" w:color="auto"/>
              <w:bottom w:val="single" w:sz="17" w:space="0" w:color="000000"/>
              <w:right w:val="nil" w:sz="6" w:space="0" w:color="auto"/>
            </w:tcBorders>
          </w:tcPr>
          <w:p>
            <w:pPr>
              <w:pStyle w:val="TableParagraph"/>
              <w:spacing w:line="240" w:lineRule="auto" w:before="47"/>
              <w:ind w:left="215" w:right="0"/>
              <w:jc w:val="left"/>
              <w:rPr>
                <w:rFonts w:ascii="Arial" w:hAnsi="Arial" w:cs="Arial" w:eastAsia="Arial" w:hint="default"/>
                <w:sz w:val="20"/>
                <w:szCs w:val="20"/>
              </w:rPr>
            </w:pPr>
            <w:r>
              <w:rPr>
                <w:rFonts w:ascii="Arial"/>
                <w:sz w:val="20"/>
              </w:rPr>
              <w:t>174,498,077</w:t>
            </w:r>
          </w:p>
        </w:tc>
      </w:tr>
    </w:tbl>
    <w:p>
      <w:pPr>
        <w:spacing w:line="240" w:lineRule="auto" w:before="11"/>
        <w:rPr>
          <w:rFonts w:ascii="宋体" w:hAnsi="宋体" w:cs="宋体" w:eastAsia="宋体" w:hint="default"/>
          <w:sz w:val="13"/>
          <w:szCs w:val="13"/>
        </w:rPr>
      </w:pPr>
    </w:p>
    <w:p>
      <w:pPr>
        <w:pStyle w:val="BodyText"/>
        <w:spacing w:line="286" w:lineRule="exact" w:before="61"/>
        <w:ind w:left="587" w:right="207"/>
        <w:jc w:val="both"/>
      </w:pPr>
      <w:r>
        <w:rPr/>
        <w:pict>
          <v:group style="position:absolute;margin-left:191.179993pt;margin-top:-27.509995pt;width:92.1pt;height:2.2pt;mso-position-horizontal-relative:page;mso-position-vertical-relative:paragraph;z-index:-735664" coordorigin="3824,-550" coordsize="1842,44">
            <v:group style="position:absolute;left:3831;top:-543;width:1827;height:2" coordorigin="3831,-543" coordsize="1827,2">
              <v:shape style="position:absolute;left:3831;top:-543;width:1827;height:2" coordorigin="3831,-543" coordsize="1827,0" path="m3831,-543l5658,-543e" filled="false" stroked="true" strokeweight=".72pt" strokecolor="#000000">
                <v:path arrowok="t"/>
              </v:shape>
            </v:group>
            <v:group style="position:absolute;left:3831;top:-514;width:1827;height:2" coordorigin="3831,-514" coordsize="1827,2">
              <v:shape style="position:absolute;left:3831;top:-514;width:1827;height:2" coordorigin="3831,-514" coordsize="1827,0" path="m3831,-514l5658,-514e" filled="false" stroked="true" strokeweight=".72pt" strokecolor="#000000">
                <v:path arrowok="t"/>
              </v:shape>
            </v:group>
            <w10:wrap type="none"/>
          </v:group>
        </w:pict>
      </w:r>
      <w:r>
        <w:rPr/>
        <w:t>于</w:t>
      </w:r>
      <w:r>
        <w:rPr>
          <w:rFonts w:ascii="Arial" w:hAnsi="Arial" w:cs="Arial" w:eastAsia="Arial" w:hint="default"/>
        </w:rPr>
        <w:t>2014</w:t>
      </w:r>
      <w:r>
        <w:rPr/>
        <w:t>年，联通红筹公司的员工行使股份期权导致联通红筹公司普通股股数增加</w:t>
      </w:r>
      <w:r>
        <w:rPr>
          <w:rFonts w:ascii="Arial" w:hAnsi="Arial" w:cs="Arial" w:eastAsia="Arial" w:hint="default"/>
        </w:rPr>
        <w:t>165,198,083</w:t>
      </w:r>
      <w:r>
        <w:rPr>
          <w:rFonts w:ascii="Arial" w:hAnsi="Arial" w:cs="Arial" w:eastAsia="Arial" w:hint="default"/>
          <w:spacing w:val="-27"/>
        </w:rPr>
        <w:t> </w:t>
      </w:r>
      <w:r>
        <w:rPr>
          <w:rFonts w:ascii="Arial" w:hAnsi="Arial" w:cs="Arial" w:eastAsia="Arial" w:hint="default"/>
          <w:spacing w:val="-27"/>
        </w:rPr>
      </w:r>
      <w:r>
        <w:rPr>
          <w:spacing w:val="-1"/>
        </w:rPr>
        <w:t>股（</w:t>
      </w:r>
      <w:r>
        <w:rPr>
          <w:rFonts w:ascii="Arial" w:hAnsi="Arial" w:cs="Arial" w:eastAsia="Arial" w:hint="default"/>
          <w:spacing w:val="-1"/>
        </w:rPr>
        <w:t>2013</w:t>
      </w:r>
      <w:r>
        <w:rPr>
          <w:spacing w:val="-1"/>
        </w:rPr>
        <w:t>年：</w:t>
      </w:r>
      <w:r>
        <w:rPr>
          <w:rFonts w:ascii="Arial" w:hAnsi="Arial" w:cs="Arial" w:eastAsia="Arial" w:hint="default"/>
          <w:spacing w:val="-1"/>
        </w:rPr>
        <w:t>216,723,081</w:t>
      </w:r>
      <w:r>
        <w:rPr>
          <w:spacing w:val="-1"/>
        </w:rPr>
        <w:t>股），联通红筹公司因此收到的现金折合约人民币</w:t>
      </w:r>
      <w:r>
        <w:rPr>
          <w:rFonts w:ascii="Arial" w:hAnsi="Arial" w:cs="Arial" w:eastAsia="Arial" w:hint="default"/>
          <w:spacing w:val="-1"/>
        </w:rPr>
        <w:t>8.71</w:t>
      </w:r>
      <w:r>
        <w:rPr>
          <w:spacing w:val="-1"/>
        </w:rPr>
        <w:t>亿元（</w:t>
      </w:r>
      <w:r>
        <w:rPr>
          <w:rFonts w:ascii="Arial" w:hAnsi="Arial" w:cs="Arial" w:eastAsia="Arial" w:hint="default"/>
          <w:spacing w:val="-1"/>
        </w:rPr>
        <w:t>2013</w:t>
      </w:r>
      <w:r>
        <w:rPr>
          <w:rFonts w:ascii="Arial" w:hAnsi="Arial" w:cs="Arial" w:eastAsia="Arial" w:hint="default"/>
          <w:spacing w:val="-24"/>
        </w:rPr>
        <w:t> </w:t>
      </w:r>
      <w:r>
        <w:rPr/>
        <w:t>年：约人民币</w:t>
      </w:r>
      <w:r>
        <w:rPr>
          <w:rFonts w:ascii="Arial" w:hAnsi="Arial" w:cs="Arial" w:eastAsia="Arial" w:hint="default"/>
        </w:rPr>
        <w:t>11.02</w:t>
      </w:r>
      <w:r>
        <w:rPr/>
        <w:t>亿元）。</w:t>
      </w:r>
    </w:p>
    <w:p>
      <w:pPr>
        <w:spacing w:line="240" w:lineRule="auto" w:before="2"/>
        <w:rPr>
          <w:rFonts w:ascii="宋体" w:hAnsi="宋体" w:cs="宋体" w:eastAsia="宋体" w:hint="default"/>
          <w:sz w:val="17"/>
          <w:szCs w:val="17"/>
        </w:rPr>
      </w:pPr>
    </w:p>
    <w:p>
      <w:pPr>
        <w:pStyle w:val="BodyText"/>
        <w:spacing w:line="240" w:lineRule="auto"/>
        <w:ind w:left="587" w:right="0"/>
        <w:jc w:val="both"/>
      </w:pPr>
      <w:r>
        <w:rPr/>
        <w:t>于</w:t>
      </w:r>
      <w:r>
        <w:rPr>
          <w:rFonts w:ascii="Arial" w:hAnsi="Arial" w:cs="Arial" w:eastAsia="Arial" w:hint="default"/>
        </w:rPr>
        <w:t>2014</w:t>
      </w:r>
      <w:r>
        <w:rPr/>
        <w:t>年，股份期权的详细行使情况如下：</w:t>
      </w:r>
    </w:p>
    <w:p>
      <w:pPr>
        <w:spacing w:line="240" w:lineRule="auto" w:before="5"/>
        <w:rPr>
          <w:rFonts w:ascii="宋体" w:hAnsi="宋体" w:cs="宋体" w:eastAsia="宋体" w:hint="default"/>
          <w:sz w:val="24"/>
          <w:szCs w:val="24"/>
        </w:rPr>
      </w:pPr>
    </w:p>
    <w:tbl>
      <w:tblPr>
        <w:tblW w:w="0" w:type="auto"/>
        <w:jc w:val="left"/>
        <w:tblInd w:w="508" w:type="dxa"/>
        <w:tblLayout w:type="fixed"/>
        <w:tblCellMar>
          <w:top w:w="0" w:type="dxa"/>
          <w:left w:w="0" w:type="dxa"/>
          <w:bottom w:w="0" w:type="dxa"/>
          <w:right w:w="0" w:type="dxa"/>
        </w:tblCellMar>
        <w:tblLook w:val="01E0"/>
      </w:tblPr>
      <w:tblGrid>
        <w:gridCol w:w="1934"/>
        <w:gridCol w:w="127"/>
        <w:gridCol w:w="1404"/>
        <w:gridCol w:w="130"/>
        <w:gridCol w:w="2216"/>
        <w:gridCol w:w="122"/>
        <w:gridCol w:w="1586"/>
        <w:gridCol w:w="125"/>
        <w:gridCol w:w="1550"/>
      </w:tblGrid>
      <w:tr>
        <w:trPr>
          <w:trHeight w:val="791" w:hRule="exact"/>
        </w:trPr>
        <w:tc>
          <w:tcPr>
            <w:tcW w:w="1934"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83" w:right="0"/>
              <w:jc w:val="left"/>
              <w:rPr>
                <w:rFonts w:ascii="宋体" w:hAnsi="宋体" w:cs="宋体" w:eastAsia="宋体" w:hint="default"/>
                <w:sz w:val="21"/>
                <w:szCs w:val="21"/>
              </w:rPr>
            </w:pPr>
            <w:r>
              <w:rPr>
                <w:rFonts w:ascii="宋体" w:hAnsi="宋体" w:cs="宋体" w:eastAsia="宋体" w:hint="default"/>
                <w:sz w:val="21"/>
                <w:szCs w:val="21"/>
              </w:rPr>
              <w:t>期权授予日</w:t>
            </w:r>
          </w:p>
        </w:tc>
        <w:tc>
          <w:tcPr>
            <w:tcW w:w="127"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1" w:right="57" w:hanging="209"/>
              <w:jc w:val="left"/>
              <w:rPr>
                <w:rFonts w:ascii="宋体" w:hAnsi="宋体" w:cs="宋体" w:eastAsia="宋体" w:hint="default"/>
                <w:sz w:val="21"/>
                <w:szCs w:val="21"/>
              </w:rPr>
            </w:pPr>
            <w:r>
              <w:rPr>
                <w:rFonts w:ascii="宋体" w:hAnsi="宋体" w:cs="宋体" w:eastAsia="宋体" w:hint="default"/>
                <w:spacing w:val="-1"/>
                <w:sz w:val="21"/>
                <w:szCs w:val="21"/>
              </w:rPr>
              <w:t>行使价格</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港币元</w:t>
            </w:r>
          </w:p>
        </w:tc>
        <w:tc>
          <w:tcPr>
            <w:tcW w:w="130"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single" w:sz="6" w:space="0" w:color="000000"/>
              <w:right w:val="nil" w:sz="6" w:space="0" w:color="auto"/>
            </w:tcBorders>
          </w:tcPr>
          <w:p>
            <w:pPr>
              <w:pStyle w:val="TableParagraph"/>
              <w:spacing w:line="209" w:lineRule="exact"/>
              <w:ind w:right="58"/>
              <w:jc w:val="right"/>
              <w:rPr>
                <w:rFonts w:ascii="宋体" w:hAnsi="宋体" w:cs="宋体" w:eastAsia="宋体" w:hint="default"/>
                <w:sz w:val="21"/>
                <w:szCs w:val="21"/>
              </w:rPr>
            </w:pPr>
            <w:r>
              <w:rPr>
                <w:rFonts w:ascii="宋体" w:hAnsi="宋体" w:cs="宋体" w:eastAsia="宋体" w:hint="default"/>
                <w:spacing w:val="-2"/>
                <w:sz w:val="21"/>
                <w:szCs w:val="21"/>
              </w:rPr>
              <w:t>紧贴期权行使日期前的</w:t>
            </w:r>
          </w:p>
          <w:p>
            <w:pPr>
              <w:pStyle w:val="TableParagraph"/>
              <w:spacing w:line="272" w:lineRule="exact"/>
              <w:ind w:right="58"/>
              <w:jc w:val="right"/>
              <w:rPr>
                <w:rFonts w:ascii="宋体" w:hAnsi="宋体" w:cs="宋体" w:eastAsia="宋体" w:hint="default"/>
                <w:sz w:val="21"/>
                <w:szCs w:val="21"/>
              </w:rPr>
            </w:pPr>
            <w:r>
              <w:rPr>
                <w:rFonts w:ascii="宋体" w:hAnsi="宋体" w:cs="宋体" w:eastAsia="宋体" w:hint="default"/>
                <w:spacing w:val="-1"/>
                <w:sz w:val="21"/>
                <w:szCs w:val="21"/>
              </w:rPr>
              <w:t>加权平均每股收市价</w:t>
            </w:r>
          </w:p>
          <w:p>
            <w:pPr>
              <w:pStyle w:val="TableParagraph"/>
              <w:spacing w:line="274" w:lineRule="exact"/>
              <w:ind w:right="59"/>
              <w:jc w:val="right"/>
              <w:rPr>
                <w:rFonts w:ascii="宋体" w:hAnsi="宋体" w:cs="宋体" w:eastAsia="宋体" w:hint="default"/>
                <w:sz w:val="21"/>
                <w:szCs w:val="21"/>
              </w:rPr>
            </w:pPr>
            <w:r>
              <w:rPr>
                <w:rFonts w:ascii="宋体" w:hAnsi="宋体" w:cs="宋体" w:eastAsia="宋体" w:hint="default"/>
                <w:sz w:val="21"/>
                <w:szCs w:val="21"/>
              </w:rPr>
              <w:t>港币元</w:t>
            </w:r>
          </w:p>
        </w:tc>
        <w:tc>
          <w:tcPr>
            <w:tcW w:w="122"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92" w:right="53" w:hanging="204"/>
              <w:jc w:val="left"/>
              <w:rPr>
                <w:rFonts w:ascii="宋体" w:hAnsi="宋体" w:cs="宋体" w:eastAsia="宋体" w:hint="default"/>
                <w:sz w:val="21"/>
                <w:szCs w:val="21"/>
              </w:rPr>
            </w:pPr>
            <w:r>
              <w:rPr>
                <w:rFonts w:ascii="宋体" w:hAnsi="宋体" w:cs="宋体" w:eastAsia="宋体" w:hint="default"/>
                <w:spacing w:val="-1"/>
                <w:sz w:val="21"/>
                <w:szCs w:val="21"/>
              </w:rPr>
              <w:t>收到现金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港币元</w:t>
            </w:r>
          </w:p>
        </w:tc>
        <w:tc>
          <w:tcPr>
            <w:tcW w:w="125"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65"/>
              <w:jc w:val="right"/>
              <w:rPr>
                <w:rFonts w:ascii="宋体" w:hAnsi="宋体" w:cs="宋体" w:eastAsia="宋体" w:hint="default"/>
                <w:sz w:val="21"/>
                <w:szCs w:val="21"/>
              </w:rPr>
            </w:pPr>
            <w:r>
              <w:rPr>
                <w:rFonts w:ascii="宋体" w:hAnsi="宋体" w:cs="宋体" w:eastAsia="宋体" w:hint="default"/>
                <w:sz w:val="21"/>
                <w:szCs w:val="21"/>
              </w:rPr>
              <w:t>股数</w:t>
            </w:r>
          </w:p>
        </w:tc>
      </w:tr>
      <w:tr>
        <w:trPr>
          <w:trHeight w:val="572" w:hRule="exact"/>
        </w:trPr>
        <w:tc>
          <w:tcPr>
            <w:tcW w:w="1934"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3" w:right="0"/>
              <w:jc w:val="left"/>
              <w:rPr>
                <w:rFonts w:ascii="宋体" w:hAnsi="宋体" w:cs="宋体" w:eastAsia="宋体" w:hint="default"/>
                <w:sz w:val="21"/>
                <w:szCs w:val="21"/>
              </w:rPr>
            </w:pPr>
            <w:r>
              <w:rPr>
                <w:rFonts w:ascii="Arial" w:hAnsi="Arial" w:cs="Arial" w:eastAsia="Arial" w:hint="default"/>
                <w:sz w:val="21"/>
                <w:szCs w:val="21"/>
              </w:rPr>
              <w:t>2004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20</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127" w:type="dxa"/>
            <w:tcBorders>
              <w:top w:val="nil" w:sz="6" w:space="0" w:color="auto"/>
              <w:left w:val="nil" w:sz="6" w:space="0" w:color="auto"/>
              <w:bottom w:val="nil" w:sz="6" w:space="0" w:color="auto"/>
              <w:right w:val="nil" w:sz="6" w:space="0" w:color="auto"/>
            </w:tcBorders>
          </w:tcPr>
          <w:p>
            <w:pPr/>
          </w:p>
        </w:tc>
        <w:tc>
          <w:tcPr>
            <w:tcW w:w="1404"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60"/>
              <w:jc w:val="right"/>
              <w:rPr>
                <w:rFonts w:ascii="Arial" w:hAnsi="Arial" w:cs="Arial" w:eastAsia="Arial" w:hint="default"/>
                <w:sz w:val="21"/>
                <w:szCs w:val="21"/>
              </w:rPr>
            </w:pPr>
            <w:r>
              <w:rPr>
                <w:rFonts w:ascii="Arial"/>
                <w:spacing w:val="-1"/>
                <w:sz w:val="21"/>
              </w:rPr>
              <w:t>5.92</w:t>
            </w:r>
          </w:p>
        </w:tc>
        <w:tc>
          <w:tcPr>
            <w:tcW w:w="130" w:type="dxa"/>
            <w:tcBorders>
              <w:top w:val="nil" w:sz="6" w:space="0" w:color="auto"/>
              <w:left w:val="nil" w:sz="6" w:space="0" w:color="auto"/>
              <w:bottom w:val="nil" w:sz="6" w:space="0" w:color="auto"/>
              <w:right w:val="nil" w:sz="6" w:space="0" w:color="auto"/>
            </w:tcBorders>
          </w:tcPr>
          <w:p>
            <w:pPr/>
          </w:p>
        </w:tc>
        <w:tc>
          <w:tcPr>
            <w:tcW w:w="2216"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7"/>
              <w:jc w:val="right"/>
              <w:rPr>
                <w:rFonts w:ascii="Arial" w:hAnsi="Arial" w:cs="Arial" w:eastAsia="Arial" w:hint="default"/>
                <w:sz w:val="21"/>
                <w:szCs w:val="21"/>
              </w:rPr>
            </w:pPr>
            <w:r>
              <w:rPr>
                <w:rFonts w:ascii="Arial"/>
                <w:spacing w:val="-1"/>
                <w:sz w:val="21"/>
              </w:rPr>
              <w:t>11.94</w:t>
            </w:r>
          </w:p>
        </w:tc>
        <w:tc>
          <w:tcPr>
            <w:tcW w:w="122" w:type="dxa"/>
            <w:tcBorders>
              <w:top w:val="nil" w:sz="6" w:space="0" w:color="auto"/>
              <w:left w:val="nil" w:sz="6" w:space="0" w:color="auto"/>
              <w:bottom w:val="nil" w:sz="6" w:space="0" w:color="auto"/>
              <w:right w:val="nil" w:sz="6" w:space="0" w:color="auto"/>
            </w:tcBorders>
          </w:tcPr>
          <w:p>
            <w:pPr/>
          </w:p>
        </w:tc>
        <w:tc>
          <w:tcPr>
            <w:tcW w:w="158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475" w:right="0"/>
              <w:jc w:val="left"/>
              <w:rPr>
                <w:rFonts w:ascii="Arial" w:hAnsi="Arial" w:cs="Arial" w:eastAsia="Arial" w:hint="default"/>
                <w:sz w:val="21"/>
                <w:szCs w:val="21"/>
              </w:rPr>
            </w:pPr>
            <w:r>
              <w:rPr>
                <w:rFonts w:ascii="Arial"/>
                <w:sz w:val="21"/>
              </w:rPr>
              <w:t>80,464,640</w:t>
            </w:r>
          </w:p>
        </w:tc>
        <w:tc>
          <w:tcPr>
            <w:tcW w:w="125" w:type="dxa"/>
            <w:tcBorders>
              <w:top w:val="nil" w:sz="6" w:space="0" w:color="auto"/>
              <w:left w:val="nil" w:sz="6" w:space="0" w:color="auto"/>
              <w:bottom w:val="nil" w:sz="6" w:space="0" w:color="auto"/>
              <w:right w:val="nil" w:sz="6" w:space="0" w:color="auto"/>
            </w:tcBorders>
          </w:tcPr>
          <w:p>
            <w:pPr/>
          </w:p>
        </w:tc>
        <w:tc>
          <w:tcPr>
            <w:tcW w:w="155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67"/>
              <w:jc w:val="right"/>
              <w:rPr>
                <w:rFonts w:ascii="Arial" w:hAnsi="Arial" w:cs="Arial" w:eastAsia="Arial" w:hint="default"/>
                <w:sz w:val="21"/>
                <w:szCs w:val="21"/>
              </w:rPr>
            </w:pPr>
            <w:r>
              <w:rPr>
                <w:rFonts w:ascii="Arial"/>
                <w:spacing w:val="-1"/>
                <w:sz w:val="21"/>
              </w:rPr>
              <w:t>13,592,000</w:t>
            </w:r>
          </w:p>
        </w:tc>
      </w:tr>
      <w:tr>
        <w:trPr>
          <w:trHeight w:val="287" w:hRule="exact"/>
        </w:trPr>
        <w:tc>
          <w:tcPr>
            <w:tcW w:w="1934" w:type="dxa"/>
            <w:tcBorders>
              <w:top w:val="nil" w:sz="6" w:space="0" w:color="auto"/>
              <w:left w:val="nil" w:sz="6" w:space="0" w:color="auto"/>
              <w:bottom w:val="nil" w:sz="6" w:space="0" w:color="auto"/>
              <w:right w:val="nil" w:sz="6" w:space="0" w:color="auto"/>
            </w:tcBorders>
          </w:tcPr>
          <w:p>
            <w:pPr>
              <w:pStyle w:val="TableParagraph"/>
              <w:spacing w:line="252" w:lineRule="exact"/>
              <w:ind w:left="83" w:right="0"/>
              <w:jc w:val="left"/>
              <w:rPr>
                <w:rFonts w:ascii="宋体" w:hAnsi="宋体" w:cs="宋体" w:eastAsia="宋体" w:hint="default"/>
                <w:sz w:val="21"/>
                <w:szCs w:val="21"/>
              </w:rPr>
            </w:pPr>
            <w:r>
              <w:rPr>
                <w:rFonts w:ascii="Arial" w:hAnsi="Arial" w:cs="Arial" w:eastAsia="Arial" w:hint="default"/>
                <w:sz w:val="21"/>
                <w:szCs w:val="21"/>
              </w:rPr>
              <w:t>2004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7"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0"/>
              <w:jc w:val="right"/>
              <w:rPr>
                <w:rFonts w:ascii="Arial" w:hAnsi="Arial" w:cs="Arial" w:eastAsia="Arial" w:hint="default"/>
                <w:sz w:val="21"/>
                <w:szCs w:val="21"/>
              </w:rPr>
            </w:pPr>
            <w:r>
              <w:rPr>
                <w:rFonts w:ascii="Arial"/>
                <w:spacing w:val="-1"/>
                <w:sz w:val="21"/>
              </w:rPr>
              <w:t>6.20</w:t>
            </w:r>
          </w:p>
        </w:tc>
        <w:tc>
          <w:tcPr>
            <w:tcW w:w="130"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7"/>
              <w:jc w:val="right"/>
              <w:rPr>
                <w:rFonts w:ascii="Arial" w:hAnsi="Arial" w:cs="Arial" w:eastAsia="Arial" w:hint="default"/>
                <w:sz w:val="21"/>
                <w:szCs w:val="21"/>
              </w:rPr>
            </w:pPr>
            <w:r>
              <w:rPr>
                <w:rFonts w:ascii="Arial"/>
                <w:spacing w:val="-1"/>
                <w:sz w:val="21"/>
              </w:rPr>
              <w:t>13.30</w:t>
            </w:r>
          </w:p>
        </w:tc>
        <w:tc>
          <w:tcPr>
            <w:tcW w:w="122"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767" w:right="0"/>
              <w:jc w:val="left"/>
              <w:rPr>
                <w:rFonts w:ascii="Arial" w:hAnsi="Arial" w:cs="Arial" w:eastAsia="Arial" w:hint="default"/>
                <w:sz w:val="21"/>
                <w:szCs w:val="21"/>
              </w:rPr>
            </w:pPr>
            <w:r>
              <w:rPr>
                <w:rFonts w:ascii="Arial"/>
                <w:sz w:val="21"/>
              </w:rPr>
              <w:t>793,600</w:t>
            </w:r>
          </w:p>
        </w:tc>
        <w:tc>
          <w:tcPr>
            <w:tcW w:w="125"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7"/>
              <w:jc w:val="right"/>
              <w:rPr>
                <w:rFonts w:ascii="Arial" w:hAnsi="Arial" w:cs="Arial" w:eastAsia="Arial" w:hint="default"/>
                <w:sz w:val="21"/>
                <w:szCs w:val="21"/>
              </w:rPr>
            </w:pPr>
            <w:r>
              <w:rPr>
                <w:rFonts w:ascii="Arial"/>
                <w:spacing w:val="-1"/>
                <w:sz w:val="21"/>
              </w:rPr>
              <w:t>128,000</w:t>
            </w:r>
          </w:p>
        </w:tc>
      </w:tr>
      <w:tr>
        <w:trPr>
          <w:trHeight w:val="288" w:hRule="exact"/>
        </w:trPr>
        <w:tc>
          <w:tcPr>
            <w:tcW w:w="1934" w:type="dxa"/>
            <w:tcBorders>
              <w:top w:val="nil" w:sz="6" w:space="0" w:color="auto"/>
              <w:left w:val="nil" w:sz="6" w:space="0" w:color="auto"/>
              <w:bottom w:val="nil" w:sz="6" w:space="0" w:color="auto"/>
              <w:right w:val="nil" w:sz="6" w:space="0" w:color="auto"/>
            </w:tcBorders>
          </w:tcPr>
          <w:p>
            <w:pPr>
              <w:pStyle w:val="TableParagraph"/>
              <w:spacing w:line="253" w:lineRule="exact"/>
              <w:ind w:left="83" w:right="0"/>
              <w:jc w:val="left"/>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15</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127"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0"/>
              <w:jc w:val="right"/>
              <w:rPr>
                <w:rFonts w:ascii="Arial" w:hAnsi="Arial" w:cs="Arial" w:eastAsia="Arial" w:hint="default"/>
                <w:sz w:val="21"/>
                <w:szCs w:val="21"/>
              </w:rPr>
            </w:pPr>
            <w:r>
              <w:rPr>
                <w:rFonts w:ascii="Arial"/>
                <w:spacing w:val="-1"/>
                <w:sz w:val="21"/>
              </w:rPr>
              <w:t>6.35</w:t>
            </w:r>
          </w:p>
        </w:tc>
        <w:tc>
          <w:tcPr>
            <w:tcW w:w="130"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7"/>
              <w:jc w:val="right"/>
              <w:rPr>
                <w:rFonts w:ascii="Arial" w:hAnsi="Arial" w:cs="Arial" w:eastAsia="Arial" w:hint="default"/>
                <w:sz w:val="21"/>
                <w:szCs w:val="21"/>
              </w:rPr>
            </w:pPr>
            <w:r>
              <w:rPr>
                <w:rFonts w:ascii="Arial"/>
                <w:spacing w:val="-1"/>
                <w:sz w:val="21"/>
              </w:rPr>
              <w:t>11.85</w:t>
            </w:r>
          </w:p>
        </w:tc>
        <w:tc>
          <w:tcPr>
            <w:tcW w:w="122"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7" w:right="0"/>
              <w:jc w:val="left"/>
              <w:rPr>
                <w:rFonts w:ascii="Arial" w:hAnsi="Arial" w:cs="Arial" w:eastAsia="Arial" w:hint="default"/>
                <w:sz w:val="21"/>
                <w:szCs w:val="21"/>
              </w:rPr>
            </w:pPr>
            <w:r>
              <w:rPr>
                <w:rFonts w:ascii="Arial"/>
                <w:sz w:val="21"/>
              </w:rPr>
              <w:t>433,882,800</w:t>
            </w:r>
          </w:p>
        </w:tc>
        <w:tc>
          <w:tcPr>
            <w:tcW w:w="125"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7"/>
              <w:jc w:val="right"/>
              <w:rPr>
                <w:rFonts w:ascii="Arial" w:hAnsi="Arial" w:cs="Arial" w:eastAsia="Arial" w:hint="default"/>
                <w:sz w:val="21"/>
                <w:szCs w:val="21"/>
              </w:rPr>
            </w:pPr>
            <w:r>
              <w:rPr>
                <w:rFonts w:ascii="Arial"/>
                <w:spacing w:val="-1"/>
                <w:sz w:val="21"/>
              </w:rPr>
              <w:t>68,328,000</w:t>
            </w:r>
          </w:p>
        </w:tc>
      </w:tr>
      <w:tr>
        <w:trPr>
          <w:trHeight w:val="288" w:hRule="exact"/>
        </w:trPr>
        <w:tc>
          <w:tcPr>
            <w:tcW w:w="1934" w:type="dxa"/>
            <w:tcBorders>
              <w:top w:val="nil" w:sz="6" w:space="0" w:color="auto"/>
              <w:left w:val="nil" w:sz="6" w:space="0" w:color="auto"/>
              <w:bottom w:val="nil" w:sz="6" w:space="0" w:color="auto"/>
              <w:right w:val="nil" w:sz="6" w:space="0" w:color="auto"/>
            </w:tcBorders>
          </w:tcPr>
          <w:p>
            <w:pPr>
              <w:pStyle w:val="TableParagraph"/>
              <w:spacing w:line="253" w:lineRule="exact"/>
              <w:ind w:left="83"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10</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15</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7"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0"/>
              <w:jc w:val="right"/>
              <w:rPr>
                <w:rFonts w:ascii="Arial" w:hAnsi="Arial" w:cs="Arial" w:eastAsia="Arial" w:hint="default"/>
                <w:sz w:val="21"/>
                <w:szCs w:val="21"/>
              </w:rPr>
            </w:pPr>
            <w:r>
              <w:rPr>
                <w:rFonts w:ascii="Arial"/>
                <w:spacing w:val="-1"/>
                <w:sz w:val="21"/>
              </w:rPr>
              <w:t>5.57</w:t>
            </w:r>
          </w:p>
        </w:tc>
        <w:tc>
          <w:tcPr>
            <w:tcW w:w="130"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7"/>
              <w:jc w:val="right"/>
              <w:rPr>
                <w:rFonts w:ascii="Arial" w:hAnsi="Arial" w:cs="Arial" w:eastAsia="Arial" w:hint="default"/>
                <w:sz w:val="21"/>
                <w:szCs w:val="21"/>
              </w:rPr>
            </w:pPr>
            <w:r>
              <w:rPr>
                <w:rFonts w:ascii="Arial"/>
                <w:spacing w:val="-1"/>
                <w:sz w:val="21"/>
              </w:rPr>
              <w:t>12.27</w:t>
            </w:r>
          </w:p>
        </w:tc>
        <w:tc>
          <w:tcPr>
            <w:tcW w:w="122"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7" w:right="0"/>
              <w:jc w:val="left"/>
              <w:rPr>
                <w:rFonts w:ascii="Arial" w:hAnsi="Arial" w:cs="Arial" w:eastAsia="Arial" w:hint="default"/>
                <w:sz w:val="21"/>
                <w:szCs w:val="21"/>
              </w:rPr>
            </w:pPr>
            <w:r>
              <w:rPr>
                <w:rFonts w:ascii="Arial"/>
                <w:sz w:val="21"/>
              </w:rPr>
              <w:t>217,608,197</w:t>
            </w:r>
          </w:p>
        </w:tc>
        <w:tc>
          <w:tcPr>
            <w:tcW w:w="125"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7"/>
              <w:jc w:val="right"/>
              <w:rPr>
                <w:rFonts w:ascii="Arial" w:hAnsi="Arial" w:cs="Arial" w:eastAsia="Arial" w:hint="default"/>
                <w:sz w:val="21"/>
                <w:szCs w:val="21"/>
              </w:rPr>
            </w:pPr>
            <w:r>
              <w:rPr>
                <w:rFonts w:ascii="Arial"/>
                <w:spacing w:val="-1"/>
                <w:sz w:val="21"/>
              </w:rPr>
              <w:t>39,067,899</w:t>
            </w:r>
          </w:p>
        </w:tc>
      </w:tr>
      <w:tr>
        <w:trPr>
          <w:trHeight w:val="287" w:hRule="exact"/>
        </w:trPr>
        <w:tc>
          <w:tcPr>
            <w:tcW w:w="1934" w:type="dxa"/>
            <w:tcBorders>
              <w:top w:val="nil" w:sz="6" w:space="0" w:color="auto"/>
              <w:left w:val="nil" w:sz="6" w:space="0" w:color="auto"/>
              <w:bottom w:val="nil" w:sz="6" w:space="0" w:color="auto"/>
              <w:right w:val="nil" w:sz="6" w:space="0" w:color="auto"/>
            </w:tcBorders>
          </w:tcPr>
          <w:p>
            <w:pPr>
              <w:pStyle w:val="TableParagraph"/>
              <w:spacing w:line="253" w:lineRule="exact"/>
              <w:ind w:left="83"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10</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15</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7"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0"/>
              <w:jc w:val="right"/>
              <w:rPr>
                <w:rFonts w:ascii="Arial" w:hAnsi="Arial" w:cs="Arial" w:eastAsia="Arial" w:hint="default"/>
                <w:sz w:val="21"/>
                <w:szCs w:val="21"/>
              </w:rPr>
            </w:pPr>
            <w:r>
              <w:rPr>
                <w:rFonts w:ascii="Arial"/>
                <w:spacing w:val="-1"/>
                <w:sz w:val="21"/>
              </w:rPr>
              <w:t>8.26</w:t>
            </w:r>
          </w:p>
        </w:tc>
        <w:tc>
          <w:tcPr>
            <w:tcW w:w="130"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7"/>
              <w:jc w:val="right"/>
              <w:rPr>
                <w:rFonts w:ascii="Arial" w:hAnsi="Arial" w:cs="Arial" w:eastAsia="Arial" w:hint="default"/>
                <w:sz w:val="21"/>
                <w:szCs w:val="21"/>
              </w:rPr>
            </w:pPr>
            <w:r>
              <w:rPr>
                <w:rFonts w:ascii="Arial"/>
                <w:spacing w:val="-1"/>
                <w:sz w:val="21"/>
              </w:rPr>
              <w:t>12.41</w:t>
            </w:r>
          </w:p>
        </w:tc>
        <w:tc>
          <w:tcPr>
            <w:tcW w:w="122"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tabs>
                <w:tab w:pos="357" w:val="left" w:leader="none"/>
                <w:tab w:pos="2138" w:val="left" w:leader="none"/>
              </w:tabs>
              <w:spacing w:line="240" w:lineRule="auto" w:before="21"/>
              <w:ind w:left="7" w:right="-553"/>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364,118,840</w:t>
              <w:tab/>
            </w:r>
            <w:r>
              <w:rPr>
                <w:rFonts w:ascii="Arial"/>
                <w:sz w:val="21"/>
              </w:rPr>
            </w:r>
          </w:p>
        </w:tc>
        <w:tc>
          <w:tcPr>
            <w:tcW w:w="125"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tabs>
                <w:tab w:pos="1123" w:val="left" w:leader="none"/>
              </w:tabs>
              <w:spacing w:line="240" w:lineRule="auto" w:before="21"/>
              <w:ind w:right="0"/>
              <w:jc w:val="right"/>
              <w:rPr>
                <w:rFonts w:ascii="Arial" w:hAnsi="Arial" w:cs="Arial" w:eastAsia="Arial" w:hint="default"/>
                <w:sz w:val="21"/>
                <w:szCs w:val="21"/>
              </w:rPr>
            </w:pPr>
            <w:r>
              <w:rPr>
                <w:rFonts w:ascii="Arial"/>
                <w:w w:val="100"/>
                <w:sz w:val="21"/>
              </w:rPr>
            </w:r>
            <w:r>
              <w:rPr>
                <w:rFonts w:ascii="Arial"/>
                <w:spacing w:val="-1"/>
                <w:sz w:val="21"/>
                <w:u w:val="single" w:color="000000"/>
              </w:rPr>
              <w:t>44,082,184</w:t>
              <w:tab/>
            </w:r>
            <w:r>
              <w:rPr>
                <w:rFonts w:ascii="Arial"/>
                <w:spacing w:val="-1"/>
                <w:sz w:val="21"/>
              </w:rPr>
            </w:r>
          </w:p>
        </w:tc>
      </w:tr>
      <w:tr>
        <w:trPr>
          <w:trHeight w:val="272" w:hRule="exact"/>
        </w:trPr>
        <w:tc>
          <w:tcPr>
            <w:tcW w:w="1934"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single" w:sz="17" w:space="0" w:color="000000"/>
              <w:right w:val="nil" w:sz="6" w:space="0" w:color="auto"/>
            </w:tcBorders>
          </w:tcPr>
          <w:p>
            <w:pPr>
              <w:pStyle w:val="TableParagraph"/>
              <w:spacing w:line="240" w:lineRule="auto" w:before="3"/>
              <w:ind w:left="182" w:right="0"/>
              <w:jc w:val="left"/>
              <w:rPr>
                <w:rFonts w:ascii="Arial" w:hAnsi="Arial" w:cs="Arial" w:eastAsia="Arial" w:hint="default"/>
                <w:sz w:val="21"/>
                <w:szCs w:val="21"/>
              </w:rPr>
            </w:pPr>
            <w:r>
              <w:rPr>
                <w:rFonts w:ascii="Arial"/>
                <w:sz w:val="21"/>
              </w:rPr>
              <w:t>1,096,868,077</w:t>
            </w:r>
          </w:p>
        </w:tc>
        <w:tc>
          <w:tcPr>
            <w:tcW w:w="125"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single" w:sz="17" w:space="0" w:color="000000"/>
              <w:right w:val="nil" w:sz="6" w:space="0" w:color="auto"/>
            </w:tcBorders>
          </w:tcPr>
          <w:p>
            <w:pPr>
              <w:pStyle w:val="TableParagraph"/>
              <w:spacing w:line="240" w:lineRule="auto" w:before="3"/>
              <w:ind w:left="309" w:right="0"/>
              <w:jc w:val="left"/>
              <w:rPr>
                <w:rFonts w:ascii="Arial" w:hAnsi="Arial" w:cs="Arial" w:eastAsia="Arial" w:hint="default"/>
                <w:sz w:val="21"/>
                <w:szCs w:val="21"/>
              </w:rPr>
            </w:pPr>
            <w:r>
              <w:rPr>
                <w:rFonts w:ascii="Arial"/>
                <w:sz w:val="21"/>
              </w:rPr>
              <w:t>165,198,083</w:t>
            </w:r>
          </w:p>
        </w:tc>
      </w:tr>
    </w:tbl>
    <w:p>
      <w:pPr>
        <w:spacing w:after="0" w:line="240" w:lineRule="auto"/>
        <w:jc w:val="left"/>
        <w:rPr>
          <w:rFonts w:ascii="Arial" w:hAnsi="Arial" w:cs="Arial" w:eastAsia="Arial" w:hint="default"/>
          <w:sz w:val="21"/>
          <w:szCs w:val="21"/>
        </w:rPr>
        <w:sectPr>
          <w:headerReference w:type="default" r:id="rId119"/>
          <w:pgSz w:w="11910" w:h="16840"/>
          <w:pgMar w:header="1185" w:footer="635" w:top="3040" w:bottom="820" w:left="1280" w:right="820"/>
        </w:sectPr>
      </w:pPr>
    </w:p>
    <w:p>
      <w:pPr>
        <w:spacing w:line="240" w:lineRule="auto" w:before="10"/>
        <w:rPr>
          <w:rFonts w:ascii="宋体" w:hAnsi="宋体" w:cs="宋体" w:eastAsia="宋体" w:hint="default"/>
          <w:sz w:val="16"/>
          <w:szCs w:val="16"/>
        </w:rPr>
      </w:pPr>
    </w:p>
    <w:p>
      <w:pPr>
        <w:pStyle w:val="BodyText"/>
        <w:spacing w:line="388" w:lineRule="auto" w:before="32"/>
        <w:ind w:left="587" w:right="978" w:hanging="485"/>
        <w:jc w:val="left"/>
      </w:pPr>
      <w:r>
        <w:rPr>
          <w:rFonts w:ascii="Arial" w:hAnsi="Arial" w:cs="Arial" w:eastAsia="Arial" w:hint="default"/>
        </w:rPr>
        <w:t>46</w:t>
      </w:r>
      <w:r>
        <w:rPr/>
        <w:t>、股份支付（续）</w:t>
      </w:r>
      <w:r>
        <w:rPr>
          <w:w w:val="100"/>
        </w:rPr>
        <w:t> </w:t>
      </w:r>
      <w:r>
        <w:rPr>
          <w:spacing w:val="-1"/>
        </w:rPr>
        <w:t>于</w:t>
      </w:r>
      <w:r>
        <w:rPr>
          <w:rFonts w:ascii="Arial" w:hAnsi="Arial" w:cs="Arial" w:eastAsia="Arial" w:hint="default"/>
          <w:spacing w:val="-1"/>
        </w:rPr>
        <w:t>2014</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日，联通红筹公司未行使的股份期权的信息列示如下：</w:t>
      </w:r>
    </w:p>
    <w:p>
      <w:pPr>
        <w:spacing w:line="240" w:lineRule="auto" w:before="12"/>
        <w:rPr>
          <w:rFonts w:ascii="宋体" w:hAnsi="宋体" w:cs="宋体" w:eastAsia="宋体" w:hint="default"/>
          <w:sz w:val="12"/>
          <w:szCs w:val="12"/>
        </w:rPr>
      </w:pPr>
    </w:p>
    <w:tbl>
      <w:tblPr>
        <w:tblW w:w="0" w:type="auto"/>
        <w:jc w:val="left"/>
        <w:tblInd w:w="554" w:type="dxa"/>
        <w:tblLayout w:type="fixed"/>
        <w:tblCellMar>
          <w:top w:w="0" w:type="dxa"/>
          <w:left w:w="0" w:type="dxa"/>
          <w:bottom w:w="0" w:type="dxa"/>
          <w:right w:w="0" w:type="dxa"/>
        </w:tblCellMar>
        <w:tblLook w:val="01E0"/>
      </w:tblPr>
      <w:tblGrid>
        <w:gridCol w:w="1555"/>
        <w:gridCol w:w="1954"/>
        <w:gridCol w:w="1892"/>
        <w:gridCol w:w="1267"/>
        <w:gridCol w:w="1280"/>
        <w:gridCol w:w="1342"/>
      </w:tblGrid>
      <w:tr>
        <w:trPr>
          <w:trHeight w:val="813" w:hRule="exact"/>
        </w:trPr>
        <w:tc>
          <w:tcPr>
            <w:tcW w:w="1555"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379" w:right="0"/>
              <w:jc w:val="left"/>
              <w:rPr>
                <w:rFonts w:ascii="宋体" w:hAnsi="宋体" w:cs="宋体" w:eastAsia="宋体" w:hint="default"/>
                <w:sz w:val="16"/>
                <w:szCs w:val="16"/>
              </w:rPr>
            </w:pPr>
            <w:r>
              <w:rPr>
                <w:rFonts w:ascii="宋体" w:hAnsi="宋体" w:cs="宋体" w:eastAsia="宋体" w:hint="default"/>
                <w:sz w:val="16"/>
                <w:szCs w:val="16"/>
              </w:rPr>
              <w:t>期权授予日</w:t>
            </w:r>
          </w:p>
        </w:tc>
        <w:tc>
          <w:tcPr>
            <w:tcW w:w="1954"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624" w:right="0"/>
              <w:jc w:val="left"/>
              <w:rPr>
                <w:rFonts w:ascii="宋体" w:hAnsi="宋体" w:cs="宋体" w:eastAsia="宋体" w:hint="default"/>
                <w:sz w:val="16"/>
                <w:szCs w:val="16"/>
              </w:rPr>
            </w:pPr>
            <w:r>
              <w:rPr>
                <w:rFonts w:ascii="宋体" w:hAnsi="宋体" w:cs="宋体" w:eastAsia="宋体" w:hint="default"/>
                <w:sz w:val="16"/>
                <w:szCs w:val="16"/>
              </w:rPr>
              <w:t>期权生效期</w:t>
            </w:r>
          </w:p>
        </w:tc>
        <w:tc>
          <w:tcPr>
            <w:tcW w:w="1892"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271" w:right="0"/>
              <w:jc w:val="left"/>
              <w:rPr>
                <w:rFonts w:ascii="宋体" w:hAnsi="宋体" w:cs="宋体" w:eastAsia="宋体" w:hint="default"/>
                <w:sz w:val="16"/>
                <w:szCs w:val="16"/>
              </w:rPr>
            </w:pPr>
            <w:r>
              <w:rPr>
                <w:rFonts w:ascii="宋体" w:hAnsi="宋体" w:cs="宋体" w:eastAsia="宋体" w:hint="default"/>
                <w:sz w:val="16"/>
                <w:szCs w:val="16"/>
              </w:rPr>
              <w:t>期权可行使期（注）</w:t>
            </w:r>
          </w:p>
        </w:tc>
        <w:tc>
          <w:tcPr>
            <w:tcW w:w="1267"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136" w:right="0"/>
              <w:jc w:val="left"/>
              <w:rPr>
                <w:rFonts w:ascii="宋体" w:hAnsi="宋体" w:cs="宋体" w:eastAsia="宋体" w:hint="default"/>
                <w:sz w:val="16"/>
                <w:szCs w:val="16"/>
              </w:rPr>
            </w:pPr>
            <w:r>
              <w:rPr>
                <w:rFonts w:ascii="宋体" w:hAnsi="宋体" w:cs="宋体" w:eastAsia="宋体" w:hint="default"/>
                <w:sz w:val="16"/>
                <w:szCs w:val="16"/>
              </w:rPr>
              <w:t>期权行使价格</w:t>
            </w:r>
          </w:p>
        </w:tc>
        <w:tc>
          <w:tcPr>
            <w:tcW w:w="1280" w:type="dxa"/>
            <w:tcBorders>
              <w:top w:val="nil" w:sz="6" w:space="0" w:color="auto"/>
              <w:left w:val="nil" w:sz="6" w:space="0" w:color="auto"/>
              <w:bottom w:val="single" w:sz="6" w:space="0" w:color="000000"/>
              <w:right w:val="nil" w:sz="6" w:space="0" w:color="auto"/>
            </w:tcBorders>
          </w:tcPr>
          <w:p>
            <w:pPr>
              <w:pStyle w:val="TableParagraph"/>
              <w:spacing w:line="165" w:lineRule="exact"/>
              <w:ind w:left="307" w:right="0"/>
              <w:jc w:val="both"/>
              <w:rPr>
                <w:rFonts w:ascii="宋体" w:hAnsi="宋体" w:cs="宋体" w:eastAsia="宋体" w:hint="default"/>
                <w:sz w:val="16"/>
                <w:szCs w:val="16"/>
              </w:rPr>
            </w:pPr>
            <w:r>
              <w:rPr>
                <w:rFonts w:ascii="宋体" w:hAnsi="宋体" w:cs="宋体" w:eastAsia="宋体" w:hint="default"/>
                <w:sz w:val="16"/>
                <w:szCs w:val="16"/>
              </w:rPr>
              <w:t>于</w:t>
            </w:r>
            <w:r>
              <w:rPr>
                <w:rFonts w:ascii="宋体" w:hAnsi="宋体" w:cs="宋体" w:eastAsia="宋体" w:hint="default"/>
                <w:spacing w:val="-40"/>
                <w:sz w:val="16"/>
                <w:szCs w:val="16"/>
              </w:rPr>
              <w:t> </w:t>
            </w:r>
            <w:r>
              <w:rPr>
                <w:rFonts w:ascii="Arial" w:hAnsi="Arial" w:cs="Arial" w:eastAsia="Arial" w:hint="default"/>
                <w:sz w:val="16"/>
                <w:szCs w:val="16"/>
              </w:rPr>
              <w:t>2014</w:t>
            </w:r>
            <w:r>
              <w:rPr>
                <w:rFonts w:ascii="Arial" w:hAnsi="Arial" w:cs="Arial" w:eastAsia="Arial" w:hint="default"/>
                <w:spacing w:val="-4"/>
                <w:sz w:val="16"/>
                <w:szCs w:val="16"/>
              </w:rPr>
              <w:t> </w:t>
            </w:r>
            <w:r>
              <w:rPr>
                <w:rFonts w:ascii="宋体" w:hAnsi="宋体" w:cs="宋体" w:eastAsia="宋体" w:hint="default"/>
                <w:sz w:val="16"/>
                <w:szCs w:val="16"/>
              </w:rPr>
              <w:t>年</w:t>
            </w:r>
          </w:p>
          <w:p>
            <w:pPr>
              <w:pStyle w:val="TableParagraph"/>
              <w:spacing w:line="232" w:lineRule="auto"/>
              <w:ind w:left="285" w:right="189" w:firstLine="2"/>
              <w:jc w:val="both"/>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31</w:t>
            </w:r>
            <w:r>
              <w:rPr>
                <w:rFonts w:ascii="Arial" w:hAnsi="Arial" w:cs="Arial" w:eastAsia="Arial" w:hint="default"/>
                <w:spacing w:val="-4"/>
                <w:sz w:val="16"/>
                <w:szCs w:val="16"/>
              </w:rPr>
              <w:t> </w:t>
            </w:r>
            <w:r>
              <w:rPr>
                <w:rFonts w:ascii="宋体" w:hAnsi="宋体" w:cs="宋体" w:eastAsia="宋体" w:hint="default"/>
                <w:sz w:val="16"/>
                <w:szCs w:val="16"/>
              </w:rPr>
              <w:t>日</w:t>
            </w:r>
            <w:r>
              <w:rPr>
                <w:rFonts w:ascii="宋体" w:hAnsi="宋体" w:cs="宋体" w:eastAsia="宋体" w:hint="default"/>
                <w:w w:val="100"/>
                <w:sz w:val="16"/>
                <w:szCs w:val="16"/>
              </w:rPr>
              <w:t> </w:t>
            </w:r>
            <w:r>
              <w:rPr>
                <w:rFonts w:ascii="宋体" w:hAnsi="宋体" w:cs="宋体" w:eastAsia="宋体" w:hint="default"/>
                <w:sz w:val="16"/>
                <w:szCs w:val="16"/>
              </w:rPr>
              <w:t>未行使股份</w:t>
            </w:r>
            <w:r>
              <w:rPr>
                <w:rFonts w:ascii="宋体" w:hAnsi="宋体" w:cs="宋体" w:eastAsia="宋体" w:hint="default"/>
                <w:w w:val="100"/>
                <w:sz w:val="16"/>
                <w:szCs w:val="16"/>
              </w:rPr>
              <w:t> </w:t>
            </w:r>
            <w:r>
              <w:rPr>
                <w:rFonts w:ascii="宋体" w:hAnsi="宋体" w:cs="宋体" w:eastAsia="宋体" w:hint="default"/>
                <w:sz w:val="16"/>
                <w:szCs w:val="16"/>
              </w:rPr>
              <w:t>期权份数</w:t>
            </w:r>
          </w:p>
        </w:tc>
        <w:tc>
          <w:tcPr>
            <w:tcW w:w="1342" w:type="dxa"/>
            <w:tcBorders>
              <w:top w:val="nil" w:sz="6" w:space="0" w:color="auto"/>
              <w:left w:val="nil" w:sz="6" w:space="0" w:color="auto"/>
              <w:bottom w:val="single" w:sz="6" w:space="0" w:color="000000"/>
              <w:right w:val="nil" w:sz="6" w:space="0" w:color="auto"/>
            </w:tcBorders>
          </w:tcPr>
          <w:p>
            <w:pPr>
              <w:pStyle w:val="TableParagraph"/>
              <w:spacing w:line="165" w:lineRule="exact"/>
              <w:ind w:left="336" w:right="0"/>
              <w:jc w:val="both"/>
              <w:rPr>
                <w:rFonts w:ascii="宋体" w:hAnsi="宋体" w:cs="宋体" w:eastAsia="宋体" w:hint="default"/>
                <w:sz w:val="16"/>
                <w:szCs w:val="16"/>
              </w:rPr>
            </w:pPr>
            <w:r>
              <w:rPr>
                <w:rFonts w:ascii="宋体" w:hAnsi="宋体" w:cs="宋体" w:eastAsia="宋体" w:hint="default"/>
                <w:sz w:val="16"/>
                <w:szCs w:val="16"/>
              </w:rPr>
              <w:t>于</w:t>
            </w:r>
            <w:r>
              <w:rPr>
                <w:rFonts w:ascii="宋体" w:hAnsi="宋体" w:cs="宋体" w:eastAsia="宋体" w:hint="default"/>
                <w:spacing w:val="-40"/>
                <w:sz w:val="16"/>
                <w:szCs w:val="16"/>
              </w:rPr>
              <w:t> </w:t>
            </w:r>
            <w:r>
              <w:rPr>
                <w:rFonts w:ascii="Arial" w:hAnsi="Arial" w:cs="Arial" w:eastAsia="Arial" w:hint="default"/>
                <w:sz w:val="16"/>
                <w:szCs w:val="16"/>
              </w:rPr>
              <w:t>2013</w:t>
            </w:r>
            <w:r>
              <w:rPr>
                <w:rFonts w:ascii="Arial" w:hAnsi="Arial" w:cs="Arial" w:eastAsia="Arial" w:hint="default"/>
                <w:spacing w:val="-5"/>
                <w:sz w:val="16"/>
                <w:szCs w:val="16"/>
              </w:rPr>
              <w:t> </w:t>
            </w:r>
            <w:r>
              <w:rPr>
                <w:rFonts w:ascii="宋体" w:hAnsi="宋体" w:cs="宋体" w:eastAsia="宋体" w:hint="default"/>
                <w:sz w:val="16"/>
                <w:szCs w:val="16"/>
              </w:rPr>
              <w:t>年</w:t>
            </w:r>
          </w:p>
          <w:p>
            <w:pPr>
              <w:pStyle w:val="TableParagraph"/>
              <w:spacing w:line="232" w:lineRule="auto"/>
              <w:ind w:left="314" w:right="223" w:firstLine="2"/>
              <w:jc w:val="both"/>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31</w:t>
            </w:r>
            <w:r>
              <w:rPr>
                <w:rFonts w:ascii="Arial" w:hAnsi="Arial" w:cs="Arial" w:eastAsia="Arial" w:hint="default"/>
                <w:spacing w:val="-5"/>
                <w:sz w:val="16"/>
                <w:szCs w:val="16"/>
              </w:rPr>
              <w:t> </w:t>
            </w:r>
            <w:r>
              <w:rPr>
                <w:rFonts w:ascii="宋体" w:hAnsi="宋体" w:cs="宋体" w:eastAsia="宋体" w:hint="default"/>
                <w:sz w:val="16"/>
                <w:szCs w:val="16"/>
              </w:rPr>
              <w:t>日</w:t>
            </w:r>
            <w:r>
              <w:rPr>
                <w:rFonts w:ascii="宋体" w:hAnsi="宋体" w:cs="宋体" w:eastAsia="宋体" w:hint="default"/>
                <w:w w:val="100"/>
                <w:sz w:val="16"/>
                <w:szCs w:val="16"/>
              </w:rPr>
              <w:t> </w:t>
            </w:r>
            <w:r>
              <w:rPr>
                <w:rFonts w:ascii="宋体" w:hAnsi="宋体" w:cs="宋体" w:eastAsia="宋体" w:hint="default"/>
                <w:spacing w:val="-1"/>
                <w:sz w:val="16"/>
                <w:szCs w:val="16"/>
              </w:rPr>
              <w:t>未行使股份</w:t>
            </w:r>
            <w:r>
              <w:rPr>
                <w:rFonts w:ascii="宋体" w:hAnsi="宋体" w:cs="宋体" w:eastAsia="宋体" w:hint="default"/>
                <w:spacing w:val="-74"/>
                <w:sz w:val="16"/>
                <w:szCs w:val="16"/>
              </w:rPr>
              <w:t> </w:t>
            </w:r>
            <w:r>
              <w:rPr>
                <w:rFonts w:ascii="宋体" w:hAnsi="宋体" w:cs="宋体" w:eastAsia="宋体" w:hint="default"/>
                <w:spacing w:val="-74"/>
                <w:sz w:val="16"/>
                <w:szCs w:val="16"/>
              </w:rPr>
            </w:r>
            <w:r>
              <w:rPr>
                <w:rFonts w:ascii="宋体" w:hAnsi="宋体" w:cs="宋体" w:eastAsia="宋体" w:hint="default"/>
                <w:sz w:val="16"/>
                <w:szCs w:val="16"/>
              </w:rPr>
              <w:t>期权份数</w:t>
            </w:r>
          </w:p>
        </w:tc>
      </w:tr>
      <w:tr>
        <w:trPr>
          <w:trHeight w:val="408" w:hRule="exact"/>
        </w:trPr>
        <w:tc>
          <w:tcPr>
            <w:tcW w:w="9290" w:type="dxa"/>
            <w:gridSpan w:val="6"/>
            <w:tcBorders>
              <w:top w:val="nil" w:sz="6" w:space="0" w:color="auto"/>
              <w:left w:val="nil" w:sz="6" w:space="0" w:color="auto"/>
              <w:bottom w:val="nil" w:sz="6" w:space="0" w:color="auto"/>
              <w:right w:val="nil" w:sz="6" w:space="0" w:color="auto"/>
            </w:tcBorders>
          </w:tcPr>
          <w:p>
            <w:pPr>
              <w:pStyle w:val="TableParagraph"/>
              <w:spacing w:line="200" w:lineRule="exact"/>
              <w:ind w:left="36" w:right="0"/>
              <w:jc w:val="left"/>
              <w:rPr>
                <w:rFonts w:ascii="宋体" w:hAnsi="宋体" w:cs="宋体" w:eastAsia="宋体" w:hint="default"/>
                <w:sz w:val="16"/>
                <w:szCs w:val="16"/>
              </w:rPr>
            </w:pPr>
            <w:r>
              <w:rPr>
                <w:rFonts w:ascii="宋体" w:hAnsi="宋体" w:cs="宋体" w:eastAsia="宋体" w:hint="default"/>
                <w:sz w:val="16"/>
                <w:szCs w:val="16"/>
              </w:rPr>
              <w:t>根据股份期权计划授予份数：</w:t>
            </w:r>
          </w:p>
        </w:tc>
      </w:tr>
      <w:tr>
        <w:trPr>
          <w:trHeight w:val="699" w:hRule="exact"/>
        </w:trPr>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9" w:right="0"/>
              <w:jc w:val="left"/>
              <w:rPr>
                <w:rFonts w:ascii="宋体" w:hAnsi="宋体" w:cs="宋体" w:eastAsia="宋体" w:hint="default"/>
                <w:sz w:val="16"/>
                <w:szCs w:val="16"/>
              </w:rPr>
            </w:pPr>
            <w:r>
              <w:rPr>
                <w:rFonts w:ascii="Arial" w:hAnsi="Arial" w:cs="Arial" w:eastAsia="Arial" w:hint="default"/>
                <w:sz w:val="16"/>
                <w:szCs w:val="16"/>
              </w:rPr>
              <w:t>2004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7</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20</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14" w:lineRule="exact"/>
              <w:ind w:left="122" w:right="0"/>
              <w:jc w:val="left"/>
              <w:rPr>
                <w:rFonts w:ascii="宋体" w:hAnsi="宋体" w:cs="宋体" w:eastAsia="宋体" w:hint="default"/>
                <w:sz w:val="16"/>
                <w:szCs w:val="16"/>
              </w:rPr>
            </w:pPr>
            <w:r>
              <w:rPr>
                <w:rFonts w:ascii="Arial" w:hAnsi="Arial" w:cs="Arial" w:eastAsia="Arial" w:hint="default"/>
                <w:sz w:val="16"/>
                <w:szCs w:val="16"/>
              </w:rPr>
              <w:t>2004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39"/>
                <w:sz w:val="16"/>
                <w:szCs w:val="16"/>
              </w:rPr>
              <w:t> </w:t>
            </w:r>
            <w:r>
              <w:rPr>
                <w:rFonts w:ascii="Arial" w:hAnsi="Arial" w:cs="Arial" w:eastAsia="Arial" w:hint="default"/>
                <w:sz w:val="16"/>
                <w:szCs w:val="16"/>
              </w:rPr>
              <w:t>7</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20</w:t>
            </w:r>
            <w:r>
              <w:rPr>
                <w:rFonts w:ascii="Arial" w:hAnsi="Arial" w:cs="Arial" w:eastAsia="Arial" w:hint="default"/>
                <w:spacing w:val="-5"/>
                <w:sz w:val="16"/>
                <w:szCs w:val="16"/>
              </w:rPr>
              <w:t> </w:t>
            </w:r>
            <w:r>
              <w:rPr>
                <w:rFonts w:ascii="宋体" w:hAnsi="宋体" w:cs="宋体" w:eastAsia="宋体" w:hint="default"/>
                <w:sz w:val="16"/>
                <w:szCs w:val="16"/>
              </w:rPr>
              <w:t>日至</w:t>
            </w:r>
          </w:p>
          <w:p>
            <w:pPr>
              <w:pStyle w:val="TableParagraph"/>
              <w:spacing w:line="214" w:lineRule="exact"/>
              <w:ind w:left="122" w:right="0"/>
              <w:jc w:val="left"/>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39"/>
                <w:sz w:val="16"/>
                <w:szCs w:val="16"/>
              </w:rPr>
              <w:t> </w:t>
            </w:r>
            <w:r>
              <w:rPr>
                <w:rFonts w:ascii="Arial" w:hAnsi="Arial" w:cs="Arial" w:eastAsia="Arial" w:hint="default"/>
                <w:sz w:val="16"/>
                <w:szCs w:val="16"/>
              </w:rPr>
              <w:t>7</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20</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14" w:lineRule="exact"/>
              <w:ind w:left="134" w:right="0"/>
              <w:jc w:val="left"/>
              <w:rPr>
                <w:rFonts w:ascii="宋体" w:hAnsi="宋体" w:cs="宋体" w:eastAsia="宋体" w:hint="default"/>
                <w:sz w:val="16"/>
                <w:szCs w:val="16"/>
              </w:rPr>
            </w:pPr>
            <w:r>
              <w:rPr>
                <w:rFonts w:ascii="Arial" w:hAnsi="Arial" w:cs="Arial" w:eastAsia="Arial" w:hint="default"/>
                <w:sz w:val="16"/>
                <w:szCs w:val="16"/>
              </w:rPr>
              <w:t>2005</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7</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20</w:t>
            </w:r>
            <w:r>
              <w:rPr>
                <w:rFonts w:ascii="Arial" w:hAnsi="Arial" w:cs="Arial" w:eastAsia="Arial" w:hint="default"/>
                <w:spacing w:val="-5"/>
                <w:sz w:val="16"/>
                <w:szCs w:val="16"/>
              </w:rPr>
              <w:t> </w:t>
            </w:r>
            <w:r>
              <w:rPr>
                <w:rFonts w:ascii="宋体" w:hAnsi="宋体" w:cs="宋体" w:eastAsia="宋体" w:hint="default"/>
                <w:sz w:val="16"/>
                <w:szCs w:val="16"/>
              </w:rPr>
              <w:t>日至</w:t>
            </w:r>
          </w:p>
          <w:p>
            <w:pPr>
              <w:pStyle w:val="TableParagraph"/>
              <w:spacing w:line="214" w:lineRule="exact"/>
              <w:ind w:left="134" w:right="0"/>
              <w:jc w:val="lef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7</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19</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65"/>
              <w:jc w:val="right"/>
              <w:rPr>
                <w:rFonts w:ascii="宋体" w:hAnsi="宋体" w:cs="宋体" w:eastAsia="宋体" w:hint="default"/>
                <w:sz w:val="16"/>
                <w:szCs w:val="16"/>
              </w:rPr>
            </w:pPr>
            <w:r>
              <w:rPr>
                <w:rFonts w:ascii="宋体" w:hAnsi="宋体" w:cs="宋体" w:eastAsia="宋体" w:hint="default"/>
                <w:sz w:val="16"/>
                <w:szCs w:val="16"/>
              </w:rPr>
              <w:t>港币</w:t>
            </w:r>
            <w:r>
              <w:rPr>
                <w:rFonts w:ascii="宋体" w:hAnsi="宋体" w:cs="宋体" w:eastAsia="宋体" w:hint="default"/>
                <w:spacing w:val="-41"/>
                <w:sz w:val="16"/>
                <w:szCs w:val="16"/>
              </w:rPr>
              <w:t> </w:t>
            </w:r>
            <w:r>
              <w:rPr>
                <w:rFonts w:ascii="Arial" w:hAnsi="Arial" w:cs="Arial" w:eastAsia="Arial" w:hint="default"/>
                <w:sz w:val="16"/>
                <w:szCs w:val="16"/>
              </w:rPr>
              <w:t>5.92</w:t>
            </w:r>
            <w:r>
              <w:rPr>
                <w:rFonts w:ascii="Arial" w:hAnsi="Arial" w:cs="Arial" w:eastAsia="Arial" w:hint="default"/>
                <w:spacing w:val="-6"/>
                <w:sz w:val="16"/>
                <w:szCs w:val="16"/>
              </w:rPr>
              <w:t> </w:t>
            </w:r>
            <w:r>
              <w:rPr>
                <w:rFonts w:ascii="宋体" w:hAnsi="宋体" w:cs="宋体" w:eastAsia="宋体" w:hint="default"/>
                <w:sz w:val="16"/>
                <w:szCs w:val="16"/>
              </w:rPr>
              <w:t>元</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5"/>
              <w:jc w:val="right"/>
              <w:rPr>
                <w:rFonts w:ascii="Arial" w:hAnsi="Arial" w:cs="Arial" w:eastAsia="Arial" w:hint="default"/>
                <w:sz w:val="16"/>
                <w:szCs w:val="16"/>
              </w:rPr>
            </w:pPr>
            <w:r>
              <w:rPr>
                <w:rFonts w:ascii="Arial"/>
                <w:w w:val="100"/>
                <w:sz w:val="16"/>
              </w:rPr>
              <w:t>-</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right"/>
              <w:rPr>
                <w:rFonts w:ascii="Arial" w:hAnsi="Arial" w:cs="Arial" w:eastAsia="Arial" w:hint="default"/>
                <w:sz w:val="16"/>
                <w:szCs w:val="16"/>
              </w:rPr>
            </w:pPr>
            <w:r>
              <w:rPr>
                <w:rFonts w:ascii="Arial"/>
                <w:spacing w:val="-1"/>
                <w:sz w:val="16"/>
              </w:rPr>
              <w:t>13,854,000</w:t>
            </w:r>
          </w:p>
        </w:tc>
      </w:tr>
      <w:tr>
        <w:trPr>
          <w:trHeight w:val="599" w:hRule="exact"/>
        </w:trPr>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9" w:right="0"/>
              <w:jc w:val="left"/>
              <w:rPr>
                <w:rFonts w:ascii="宋体" w:hAnsi="宋体" w:cs="宋体" w:eastAsia="宋体" w:hint="default"/>
                <w:sz w:val="16"/>
                <w:szCs w:val="16"/>
              </w:rPr>
            </w:pPr>
            <w:r>
              <w:rPr>
                <w:rFonts w:ascii="Arial" w:hAnsi="Arial" w:cs="Arial" w:eastAsia="Arial" w:hint="default"/>
                <w:sz w:val="16"/>
                <w:szCs w:val="16"/>
              </w:rPr>
              <w:t>2004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12</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21</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954" w:type="dxa"/>
            <w:tcBorders>
              <w:top w:val="nil" w:sz="6" w:space="0" w:color="auto"/>
              <w:left w:val="nil" w:sz="6" w:space="0" w:color="auto"/>
              <w:bottom w:val="nil" w:sz="6" w:space="0" w:color="auto"/>
              <w:right w:val="nil" w:sz="6" w:space="0" w:color="auto"/>
            </w:tcBorders>
          </w:tcPr>
          <w:p>
            <w:pPr>
              <w:pStyle w:val="TableParagraph"/>
              <w:spacing w:line="215" w:lineRule="exact" w:before="57"/>
              <w:ind w:left="122" w:right="0"/>
              <w:jc w:val="left"/>
              <w:rPr>
                <w:rFonts w:ascii="宋体" w:hAnsi="宋体" w:cs="宋体" w:eastAsia="宋体" w:hint="default"/>
                <w:sz w:val="16"/>
                <w:szCs w:val="16"/>
              </w:rPr>
            </w:pPr>
            <w:r>
              <w:rPr>
                <w:rFonts w:ascii="Arial" w:hAnsi="Arial" w:cs="Arial" w:eastAsia="Arial" w:hint="default"/>
                <w:sz w:val="16"/>
                <w:szCs w:val="16"/>
              </w:rPr>
              <w:t>2004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39"/>
                <w:sz w:val="16"/>
                <w:szCs w:val="16"/>
              </w:rPr>
              <w:t> </w:t>
            </w:r>
            <w:r>
              <w:rPr>
                <w:rFonts w:ascii="Arial" w:hAnsi="Arial" w:cs="Arial" w:eastAsia="Arial" w:hint="default"/>
                <w:sz w:val="16"/>
                <w:szCs w:val="16"/>
              </w:rPr>
              <w:t>12</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21</w:t>
            </w:r>
            <w:r>
              <w:rPr>
                <w:rFonts w:ascii="Arial" w:hAnsi="Arial" w:cs="Arial" w:eastAsia="Arial" w:hint="default"/>
                <w:spacing w:val="-5"/>
                <w:sz w:val="16"/>
                <w:szCs w:val="16"/>
              </w:rPr>
              <w:t> </w:t>
            </w:r>
            <w:r>
              <w:rPr>
                <w:rFonts w:ascii="宋体" w:hAnsi="宋体" w:cs="宋体" w:eastAsia="宋体" w:hint="default"/>
                <w:sz w:val="16"/>
                <w:szCs w:val="16"/>
              </w:rPr>
              <w:t>日至</w:t>
            </w:r>
          </w:p>
          <w:p>
            <w:pPr>
              <w:pStyle w:val="TableParagraph"/>
              <w:spacing w:line="215" w:lineRule="exact"/>
              <w:ind w:left="122" w:right="0"/>
              <w:jc w:val="left"/>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39"/>
                <w:sz w:val="16"/>
                <w:szCs w:val="16"/>
              </w:rPr>
              <w:t> </w:t>
            </w:r>
            <w:r>
              <w:rPr>
                <w:rFonts w:ascii="Arial" w:hAnsi="Arial" w:cs="Arial" w:eastAsia="Arial" w:hint="default"/>
                <w:sz w:val="16"/>
                <w:szCs w:val="16"/>
              </w:rPr>
              <w:t>12</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21</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892" w:type="dxa"/>
            <w:tcBorders>
              <w:top w:val="nil" w:sz="6" w:space="0" w:color="auto"/>
              <w:left w:val="nil" w:sz="6" w:space="0" w:color="auto"/>
              <w:bottom w:val="nil" w:sz="6" w:space="0" w:color="auto"/>
              <w:right w:val="nil" w:sz="6" w:space="0" w:color="auto"/>
            </w:tcBorders>
          </w:tcPr>
          <w:p>
            <w:pPr>
              <w:pStyle w:val="TableParagraph"/>
              <w:spacing w:line="215" w:lineRule="exact" w:before="57"/>
              <w:ind w:left="134" w:right="0"/>
              <w:jc w:val="left"/>
              <w:rPr>
                <w:rFonts w:ascii="宋体" w:hAnsi="宋体" w:cs="宋体" w:eastAsia="宋体" w:hint="default"/>
                <w:sz w:val="16"/>
                <w:szCs w:val="16"/>
              </w:rPr>
            </w:pPr>
            <w:r>
              <w:rPr>
                <w:rFonts w:ascii="Arial" w:hAnsi="Arial" w:cs="Arial" w:eastAsia="Arial" w:hint="default"/>
                <w:sz w:val="16"/>
                <w:szCs w:val="16"/>
              </w:rPr>
              <w:t>2005</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12</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21</w:t>
            </w:r>
            <w:r>
              <w:rPr>
                <w:rFonts w:ascii="Arial" w:hAnsi="Arial" w:cs="Arial" w:eastAsia="Arial" w:hint="default"/>
                <w:spacing w:val="-4"/>
                <w:sz w:val="16"/>
                <w:szCs w:val="16"/>
              </w:rPr>
              <w:t> </w:t>
            </w:r>
            <w:r>
              <w:rPr>
                <w:rFonts w:ascii="宋体" w:hAnsi="宋体" w:cs="宋体" w:eastAsia="宋体" w:hint="default"/>
                <w:sz w:val="16"/>
                <w:szCs w:val="16"/>
              </w:rPr>
              <w:t>日至</w:t>
            </w:r>
          </w:p>
          <w:p>
            <w:pPr>
              <w:pStyle w:val="TableParagraph"/>
              <w:spacing w:line="215" w:lineRule="exact"/>
              <w:ind w:left="134" w:right="0"/>
              <w:jc w:val="lef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12</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20</w:t>
            </w:r>
            <w:r>
              <w:rPr>
                <w:rFonts w:ascii="Arial" w:hAnsi="Arial" w:cs="Arial" w:eastAsia="Arial" w:hint="default"/>
                <w:spacing w:val="-4"/>
                <w:sz w:val="16"/>
                <w:szCs w:val="16"/>
              </w:rPr>
              <w:t> </w:t>
            </w:r>
            <w:r>
              <w:rPr>
                <w:rFonts w:ascii="宋体" w:hAnsi="宋体" w:cs="宋体" w:eastAsia="宋体" w:hint="default"/>
                <w:sz w:val="16"/>
                <w:szCs w:val="16"/>
              </w:rPr>
              <w:t>日</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65"/>
              <w:jc w:val="right"/>
              <w:rPr>
                <w:rFonts w:ascii="宋体" w:hAnsi="宋体" w:cs="宋体" w:eastAsia="宋体" w:hint="default"/>
                <w:sz w:val="16"/>
                <w:szCs w:val="16"/>
              </w:rPr>
            </w:pPr>
            <w:r>
              <w:rPr>
                <w:rFonts w:ascii="宋体" w:hAnsi="宋体" w:cs="宋体" w:eastAsia="宋体" w:hint="default"/>
                <w:sz w:val="16"/>
                <w:szCs w:val="16"/>
              </w:rPr>
              <w:t>港币</w:t>
            </w:r>
            <w:r>
              <w:rPr>
                <w:rFonts w:ascii="宋体" w:hAnsi="宋体" w:cs="宋体" w:eastAsia="宋体" w:hint="default"/>
                <w:spacing w:val="-41"/>
                <w:sz w:val="16"/>
                <w:szCs w:val="16"/>
              </w:rPr>
              <w:t> </w:t>
            </w:r>
            <w:r>
              <w:rPr>
                <w:rFonts w:ascii="Arial" w:hAnsi="Arial" w:cs="Arial" w:eastAsia="Arial" w:hint="default"/>
                <w:sz w:val="16"/>
                <w:szCs w:val="16"/>
              </w:rPr>
              <w:t>6.20</w:t>
            </w:r>
            <w:r>
              <w:rPr>
                <w:rFonts w:ascii="Arial" w:hAnsi="Arial" w:cs="Arial" w:eastAsia="Arial" w:hint="default"/>
                <w:spacing w:val="-6"/>
                <w:sz w:val="16"/>
                <w:szCs w:val="16"/>
              </w:rPr>
              <w:t> </w:t>
            </w:r>
            <w:r>
              <w:rPr>
                <w:rFonts w:ascii="宋体" w:hAnsi="宋体" w:cs="宋体" w:eastAsia="宋体" w:hint="default"/>
                <w:sz w:val="16"/>
                <w:szCs w:val="16"/>
              </w:rPr>
              <w:t>元</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25"/>
              <w:jc w:val="right"/>
              <w:rPr>
                <w:rFonts w:ascii="Arial" w:hAnsi="Arial" w:cs="Arial" w:eastAsia="Arial" w:hint="default"/>
                <w:sz w:val="16"/>
                <w:szCs w:val="16"/>
              </w:rPr>
            </w:pPr>
            <w:r>
              <w:rPr>
                <w:rFonts w:ascii="Arial"/>
                <w:w w:val="100"/>
                <w:sz w:val="16"/>
              </w:rPr>
              <w:t>-</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0"/>
              <w:jc w:val="right"/>
              <w:rPr>
                <w:rFonts w:ascii="Arial" w:hAnsi="Arial" w:cs="Arial" w:eastAsia="Arial" w:hint="default"/>
                <w:sz w:val="16"/>
                <w:szCs w:val="16"/>
              </w:rPr>
            </w:pPr>
            <w:r>
              <w:rPr>
                <w:rFonts w:ascii="Arial"/>
                <w:spacing w:val="-1"/>
                <w:sz w:val="16"/>
              </w:rPr>
              <w:t>128,000</w:t>
            </w:r>
          </w:p>
        </w:tc>
      </w:tr>
      <w:tr>
        <w:trPr>
          <w:trHeight w:val="629" w:hRule="exact"/>
        </w:trPr>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9" w:right="0"/>
              <w:jc w:val="left"/>
              <w:rPr>
                <w:rFonts w:ascii="宋体" w:hAnsi="宋体" w:cs="宋体" w:eastAsia="宋体" w:hint="default"/>
                <w:sz w:val="16"/>
                <w:szCs w:val="16"/>
              </w:rPr>
            </w:pPr>
            <w:r>
              <w:rPr>
                <w:rFonts w:ascii="Arial" w:hAnsi="Arial" w:cs="Arial" w:eastAsia="Arial" w:hint="default"/>
                <w:sz w:val="16"/>
                <w:szCs w:val="16"/>
              </w:rPr>
              <w:t>2006</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2</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15</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954" w:type="dxa"/>
            <w:tcBorders>
              <w:top w:val="nil" w:sz="6" w:space="0" w:color="auto"/>
              <w:left w:val="nil" w:sz="6" w:space="0" w:color="auto"/>
              <w:bottom w:val="nil" w:sz="6" w:space="0" w:color="auto"/>
              <w:right w:val="nil" w:sz="6" w:space="0" w:color="auto"/>
            </w:tcBorders>
          </w:tcPr>
          <w:p>
            <w:pPr>
              <w:pStyle w:val="TableParagraph"/>
              <w:spacing w:line="214" w:lineRule="exact" w:before="59"/>
              <w:ind w:left="112" w:right="0"/>
              <w:jc w:val="left"/>
              <w:rPr>
                <w:rFonts w:ascii="宋体" w:hAnsi="宋体" w:cs="宋体" w:eastAsia="宋体" w:hint="default"/>
                <w:sz w:val="16"/>
                <w:szCs w:val="16"/>
              </w:rPr>
            </w:pPr>
            <w:r>
              <w:rPr>
                <w:rFonts w:ascii="Arial" w:hAnsi="Arial" w:cs="Arial" w:eastAsia="Arial" w:hint="default"/>
                <w:sz w:val="16"/>
                <w:szCs w:val="16"/>
              </w:rPr>
              <w:t>2006</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39"/>
                <w:sz w:val="16"/>
                <w:szCs w:val="16"/>
              </w:rPr>
              <w:t> </w:t>
            </w:r>
            <w:r>
              <w:rPr>
                <w:rFonts w:ascii="Arial" w:hAnsi="Arial" w:cs="Arial" w:eastAsia="Arial" w:hint="default"/>
                <w:sz w:val="16"/>
                <w:szCs w:val="16"/>
              </w:rPr>
              <w:t>2</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15</w:t>
            </w:r>
            <w:r>
              <w:rPr>
                <w:rFonts w:ascii="Arial" w:hAnsi="Arial" w:cs="Arial" w:eastAsia="Arial" w:hint="default"/>
                <w:spacing w:val="-5"/>
                <w:sz w:val="16"/>
                <w:szCs w:val="16"/>
              </w:rPr>
              <w:t> </w:t>
            </w:r>
            <w:r>
              <w:rPr>
                <w:rFonts w:ascii="宋体" w:hAnsi="宋体" w:cs="宋体" w:eastAsia="宋体" w:hint="default"/>
                <w:sz w:val="16"/>
                <w:szCs w:val="16"/>
              </w:rPr>
              <w:t>日至</w:t>
            </w:r>
          </w:p>
          <w:p>
            <w:pPr>
              <w:pStyle w:val="TableParagraph"/>
              <w:spacing w:line="214" w:lineRule="exact"/>
              <w:ind w:left="112" w:right="0"/>
              <w:jc w:val="left"/>
              <w:rPr>
                <w:rFonts w:ascii="宋体" w:hAnsi="宋体" w:cs="宋体" w:eastAsia="宋体" w:hint="default"/>
                <w:sz w:val="16"/>
                <w:szCs w:val="16"/>
              </w:rPr>
            </w:pPr>
            <w:r>
              <w:rPr>
                <w:rFonts w:ascii="Arial" w:hAnsi="Arial" w:cs="Arial" w:eastAsia="Arial" w:hint="default"/>
                <w:sz w:val="16"/>
                <w:szCs w:val="16"/>
              </w:rPr>
              <w:t>2009</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39"/>
                <w:sz w:val="16"/>
                <w:szCs w:val="16"/>
              </w:rPr>
              <w:t> </w:t>
            </w:r>
            <w:r>
              <w:rPr>
                <w:rFonts w:ascii="Arial" w:hAnsi="Arial" w:cs="Arial" w:eastAsia="Arial" w:hint="default"/>
                <w:sz w:val="16"/>
                <w:szCs w:val="16"/>
              </w:rPr>
              <w:t>2</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15</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892" w:type="dxa"/>
            <w:tcBorders>
              <w:top w:val="nil" w:sz="6" w:space="0" w:color="auto"/>
              <w:left w:val="nil" w:sz="6" w:space="0" w:color="auto"/>
              <w:bottom w:val="nil" w:sz="6" w:space="0" w:color="auto"/>
              <w:right w:val="nil" w:sz="6" w:space="0" w:color="auto"/>
            </w:tcBorders>
          </w:tcPr>
          <w:p>
            <w:pPr>
              <w:pStyle w:val="TableParagraph"/>
              <w:spacing w:line="214" w:lineRule="exact" w:before="59"/>
              <w:ind w:left="112"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2</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15</w:t>
            </w:r>
            <w:r>
              <w:rPr>
                <w:rFonts w:ascii="Arial" w:hAnsi="Arial" w:cs="Arial" w:eastAsia="Arial" w:hint="default"/>
                <w:spacing w:val="-5"/>
                <w:sz w:val="16"/>
                <w:szCs w:val="16"/>
              </w:rPr>
              <w:t> </w:t>
            </w:r>
            <w:r>
              <w:rPr>
                <w:rFonts w:ascii="宋体" w:hAnsi="宋体" w:cs="宋体" w:eastAsia="宋体" w:hint="default"/>
                <w:sz w:val="16"/>
                <w:szCs w:val="16"/>
              </w:rPr>
              <w:t>日至</w:t>
            </w:r>
          </w:p>
          <w:p>
            <w:pPr>
              <w:pStyle w:val="TableParagraph"/>
              <w:spacing w:line="214" w:lineRule="exact"/>
              <w:ind w:left="112" w:right="0"/>
              <w:jc w:val="left"/>
              <w:rPr>
                <w:rFonts w:ascii="宋体" w:hAnsi="宋体" w:cs="宋体" w:eastAsia="宋体" w:hint="default"/>
                <w:sz w:val="16"/>
                <w:szCs w:val="16"/>
              </w:rPr>
            </w:pPr>
            <w:r>
              <w:rPr>
                <w:rFonts w:ascii="Arial" w:hAnsi="Arial" w:cs="Arial" w:eastAsia="Arial" w:hint="default"/>
                <w:sz w:val="16"/>
                <w:szCs w:val="16"/>
              </w:rPr>
              <w:t>2015</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2</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14</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59"/>
              <w:jc w:val="right"/>
              <w:rPr>
                <w:rFonts w:ascii="宋体" w:hAnsi="宋体" w:cs="宋体" w:eastAsia="宋体" w:hint="default"/>
                <w:sz w:val="16"/>
                <w:szCs w:val="16"/>
              </w:rPr>
            </w:pPr>
            <w:r>
              <w:rPr>
                <w:rFonts w:ascii="宋体" w:hAnsi="宋体" w:cs="宋体" w:eastAsia="宋体" w:hint="default"/>
                <w:sz w:val="16"/>
                <w:szCs w:val="16"/>
              </w:rPr>
              <w:t>港币</w:t>
            </w:r>
            <w:r>
              <w:rPr>
                <w:rFonts w:ascii="宋体" w:hAnsi="宋体" w:cs="宋体" w:eastAsia="宋体" w:hint="default"/>
                <w:spacing w:val="-41"/>
                <w:sz w:val="16"/>
                <w:szCs w:val="16"/>
              </w:rPr>
              <w:t> </w:t>
            </w:r>
            <w:r>
              <w:rPr>
                <w:rFonts w:ascii="Arial" w:hAnsi="Arial" w:cs="Arial" w:eastAsia="Arial" w:hint="default"/>
                <w:sz w:val="16"/>
                <w:szCs w:val="16"/>
              </w:rPr>
              <w:t>6.35</w:t>
            </w:r>
            <w:r>
              <w:rPr>
                <w:rFonts w:ascii="Arial" w:hAnsi="Arial" w:cs="Arial" w:eastAsia="Arial" w:hint="default"/>
                <w:spacing w:val="-6"/>
                <w:sz w:val="16"/>
                <w:szCs w:val="16"/>
              </w:rPr>
              <w:t> </w:t>
            </w:r>
            <w:r>
              <w:rPr>
                <w:rFonts w:ascii="宋体" w:hAnsi="宋体" w:cs="宋体" w:eastAsia="宋体" w:hint="default"/>
                <w:sz w:val="16"/>
                <w:szCs w:val="16"/>
              </w:rPr>
              <w:t>元</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27"/>
              <w:jc w:val="right"/>
              <w:rPr>
                <w:rFonts w:ascii="Arial" w:hAnsi="Arial" w:cs="Arial" w:eastAsia="Arial" w:hint="default"/>
                <w:sz w:val="16"/>
                <w:szCs w:val="16"/>
              </w:rPr>
            </w:pPr>
            <w:r>
              <w:rPr>
                <w:rFonts w:ascii="Arial"/>
                <w:spacing w:val="-1"/>
                <w:sz w:val="16"/>
              </w:rPr>
              <w:t>3,540,000</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26"/>
              <w:jc w:val="right"/>
              <w:rPr>
                <w:rFonts w:ascii="Arial" w:hAnsi="Arial" w:cs="Arial" w:eastAsia="Arial" w:hint="default"/>
                <w:sz w:val="16"/>
                <w:szCs w:val="16"/>
              </w:rPr>
            </w:pPr>
            <w:r>
              <w:rPr>
                <w:rFonts w:ascii="Arial"/>
                <w:spacing w:val="-1"/>
                <w:sz w:val="16"/>
              </w:rPr>
              <w:t>71,868,000</w:t>
            </w:r>
          </w:p>
        </w:tc>
      </w:tr>
      <w:tr>
        <w:trPr>
          <w:trHeight w:val="431" w:hRule="exact"/>
        </w:trPr>
        <w:tc>
          <w:tcPr>
            <w:tcW w:w="9290"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88"/>
              <w:ind w:left="36" w:right="0"/>
              <w:jc w:val="left"/>
              <w:rPr>
                <w:rFonts w:ascii="宋体" w:hAnsi="宋体" w:cs="宋体" w:eastAsia="宋体" w:hint="default"/>
                <w:sz w:val="16"/>
                <w:szCs w:val="16"/>
              </w:rPr>
            </w:pPr>
            <w:r>
              <w:rPr>
                <w:rFonts w:ascii="宋体" w:hAnsi="宋体" w:cs="宋体" w:eastAsia="宋体" w:hint="default"/>
                <w:sz w:val="16"/>
                <w:szCs w:val="16"/>
              </w:rPr>
              <w:t>根据特殊目的股份期权计划授予份数：</w:t>
            </w:r>
          </w:p>
        </w:tc>
      </w:tr>
      <w:tr>
        <w:trPr>
          <w:trHeight w:val="645" w:hRule="exact"/>
        </w:trPr>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6"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10</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15</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954" w:type="dxa"/>
            <w:tcBorders>
              <w:top w:val="nil" w:sz="6" w:space="0" w:color="auto"/>
              <w:left w:val="nil" w:sz="6" w:space="0" w:color="auto"/>
              <w:bottom w:val="nil" w:sz="6" w:space="0" w:color="auto"/>
              <w:right w:val="nil" w:sz="6" w:space="0" w:color="auto"/>
            </w:tcBorders>
          </w:tcPr>
          <w:p>
            <w:pPr>
              <w:pStyle w:val="TableParagraph"/>
              <w:spacing w:line="215" w:lineRule="exact" w:before="84"/>
              <w:ind w:left="122"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39"/>
                <w:sz w:val="16"/>
                <w:szCs w:val="16"/>
              </w:rPr>
              <w:t> </w:t>
            </w:r>
            <w:r>
              <w:rPr>
                <w:rFonts w:ascii="Arial" w:hAnsi="Arial" w:cs="Arial" w:eastAsia="Arial" w:hint="default"/>
                <w:sz w:val="16"/>
                <w:szCs w:val="16"/>
              </w:rPr>
              <w:t>10</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15</w:t>
            </w:r>
            <w:r>
              <w:rPr>
                <w:rFonts w:ascii="Arial" w:hAnsi="Arial" w:cs="Arial" w:eastAsia="Arial" w:hint="default"/>
                <w:spacing w:val="-5"/>
                <w:sz w:val="16"/>
                <w:szCs w:val="16"/>
              </w:rPr>
              <w:t> </w:t>
            </w:r>
            <w:r>
              <w:rPr>
                <w:rFonts w:ascii="宋体" w:hAnsi="宋体" w:cs="宋体" w:eastAsia="宋体" w:hint="default"/>
                <w:sz w:val="16"/>
                <w:szCs w:val="16"/>
              </w:rPr>
              <w:t>日至</w:t>
            </w:r>
          </w:p>
          <w:p>
            <w:pPr>
              <w:pStyle w:val="TableParagraph"/>
              <w:spacing w:line="215" w:lineRule="exact"/>
              <w:ind w:left="122" w:right="0"/>
              <w:jc w:val="left"/>
              <w:rPr>
                <w:rFonts w:ascii="宋体" w:hAnsi="宋体" w:cs="宋体" w:eastAsia="宋体" w:hint="default"/>
                <w:sz w:val="16"/>
                <w:szCs w:val="16"/>
              </w:rPr>
            </w:pPr>
            <w:r>
              <w:rPr>
                <w:rFonts w:ascii="Arial" w:hAnsi="Arial" w:cs="Arial" w:eastAsia="Arial" w:hint="default"/>
                <w:sz w:val="16"/>
                <w:szCs w:val="16"/>
              </w:rPr>
              <w:t>2009</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39"/>
                <w:sz w:val="16"/>
                <w:szCs w:val="16"/>
              </w:rPr>
              <w:t> </w:t>
            </w:r>
            <w:r>
              <w:rPr>
                <w:rFonts w:ascii="Arial" w:hAnsi="Arial" w:cs="Arial" w:eastAsia="Arial" w:hint="default"/>
                <w:sz w:val="16"/>
                <w:szCs w:val="16"/>
              </w:rPr>
              <w:t>5</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17</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892" w:type="dxa"/>
            <w:tcBorders>
              <w:top w:val="nil" w:sz="6" w:space="0" w:color="auto"/>
              <w:left w:val="nil" w:sz="6" w:space="0" w:color="auto"/>
              <w:bottom w:val="nil" w:sz="6" w:space="0" w:color="auto"/>
              <w:right w:val="nil" w:sz="6" w:space="0" w:color="auto"/>
            </w:tcBorders>
          </w:tcPr>
          <w:p>
            <w:pPr>
              <w:pStyle w:val="TableParagraph"/>
              <w:spacing w:line="215" w:lineRule="exact" w:before="84"/>
              <w:ind w:left="122"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10</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15</w:t>
            </w:r>
            <w:r>
              <w:rPr>
                <w:rFonts w:ascii="Arial" w:hAnsi="Arial" w:cs="Arial" w:eastAsia="Arial" w:hint="default"/>
                <w:spacing w:val="-4"/>
                <w:sz w:val="16"/>
                <w:szCs w:val="16"/>
              </w:rPr>
              <w:t> </w:t>
            </w:r>
            <w:r>
              <w:rPr>
                <w:rFonts w:ascii="宋体" w:hAnsi="宋体" w:cs="宋体" w:eastAsia="宋体" w:hint="default"/>
                <w:sz w:val="16"/>
                <w:szCs w:val="16"/>
              </w:rPr>
              <w:t>日至</w:t>
            </w:r>
          </w:p>
          <w:p>
            <w:pPr>
              <w:pStyle w:val="TableParagraph"/>
              <w:spacing w:line="215" w:lineRule="exact"/>
              <w:ind w:left="122" w:right="0"/>
              <w:jc w:val="lef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pacing w:val="-7"/>
                <w:sz w:val="16"/>
                <w:szCs w:val="16"/>
              </w:rPr>
              <w:t>11</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16</w:t>
            </w:r>
            <w:r>
              <w:rPr>
                <w:rFonts w:ascii="Arial" w:hAnsi="Arial" w:cs="Arial" w:eastAsia="Arial" w:hint="default"/>
                <w:spacing w:val="-4"/>
                <w:sz w:val="16"/>
                <w:szCs w:val="16"/>
              </w:rPr>
              <w:t> </w:t>
            </w:r>
            <w:r>
              <w:rPr>
                <w:rFonts w:ascii="宋体" w:hAnsi="宋体" w:cs="宋体" w:eastAsia="宋体" w:hint="default"/>
                <w:sz w:val="16"/>
                <w:szCs w:val="16"/>
              </w:rPr>
              <w:t>日</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65"/>
              <w:jc w:val="right"/>
              <w:rPr>
                <w:rFonts w:ascii="宋体" w:hAnsi="宋体" w:cs="宋体" w:eastAsia="宋体" w:hint="default"/>
                <w:sz w:val="16"/>
                <w:szCs w:val="16"/>
              </w:rPr>
            </w:pPr>
            <w:r>
              <w:rPr>
                <w:rFonts w:ascii="宋体" w:hAnsi="宋体" w:cs="宋体" w:eastAsia="宋体" w:hint="default"/>
                <w:sz w:val="16"/>
                <w:szCs w:val="16"/>
              </w:rPr>
              <w:t>港币</w:t>
            </w:r>
            <w:r>
              <w:rPr>
                <w:rFonts w:ascii="宋体" w:hAnsi="宋体" w:cs="宋体" w:eastAsia="宋体" w:hint="default"/>
                <w:spacing w:val="-41"/>
                <w:sz w:val="16"/>
                <w:szCs w:val="16"/>
              </w:rPr>
              <w:t> </w:t>
            </w:r>
            <w:r>
              <w:rPr>
                <w:rFonts w:ascii="Arial" w:hAnsi="Arial" w:cs="Arial" w:eastAsia="Arial" w:hint="default"/>
                <w:sz w:val="16"/>
                <w:szCs w:val="16"/>
              </w:rPr>
              <w:t>5.57</w:t>
            </w:r>
            <w:r>
              <w:rPr>
                <w:rFonts w:ascii="Arial" w:hAnsi="Arial" w:cs="Arial" w:eastAsia="Arial" w:hint="default"/>
                <w:spacing w:val="-6"/>
                <w:sz w:val="16"/>
                <w:szCs w:val="16"/>
              </w:rPr>
              <w:t> </w:t>
            </w:r>
            <w:r>
              <w:rPr>
                <w:rFonts w:ascii="宋体" w:hAnsi="宋体" w:cs="宋体" w:eastAsia="宋体" w:hint="default"/>
                <w:sz w:val="16"/>
                <w:szCs w:val="16"/>
              </w:rPr>
              <w:t>元</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0"/>
              <w:ind w:right="25"/>
              <w:jc w:val="right"/>
              <w:rPr>
                <w:rFonts w:ascii="Arial" w:hAnsi="Arial" w:cs="Arial" w:eastAsia="Arial" w:hint="default"/>
                <w:sz w:val="16"/>
                <w:szCs w:val="16"/>
              </w:rPr>
            </w:pPr>
            <w:r>
              <w:rPr>
                <w:rFonts w:ascii="Arial"/>
                <w:w w:val="100"/>
                <w:sz w:val="16"/>
              </w:rPr>
              <w:t>-</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0"/>
              <w:ind w:right="0"/>
              <w:jc w:val="right"/>
              <w:rPr>
                <w:rFonts w:ascii="Arial" w:hAnsi="Arial" w:cs="Arial" w:eastAsia="Arial" w:hint="default"/>
                <w:sz w:val="16"/>
                <w:szCs w:val="16"/>
              </w:rPr>
            </w:pPr>
            <w:r>
              <w:rPr>
                <w:rFonts w:ascii="Arial"/>
                <w:spacing w:val="-1"/>
                <w:sz w:val="16"/>
              </w:rPr>
              <w:t>43,675,696</w:t>
            </w:r>
          </w:p>
        </w:tc>
      </w:tr>
      <w:tr>
        <w:trPr>
          <w:trHeight w:val="641" w:hRule="exact"/>
        </w:trPr>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6"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10</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15</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954" w:type="dxa"/>
            <w:tcBorders>
              <w:top w:val="nil" w:sz="6" w:space="0" w:color="auto"/>
              <w:left w:val="nil" w:sz="6" w:space="0" w:color="auto"/>
              <w:bottom w:val="nil" w:sz="6" w:space="0" w:color="auto"/>
              <w:right w:val="nil" w:sz="6" w:space="0" w:color="auto"/>
            </w:tcBorders>
          </w:tcPr>
          <w:p>
            <w:pPr>
              <w:pStyle w:val="TableParagraph"/>
              <w:spacing w:line="214" w:lineRule="exact" w:before="75"/>
              <w:ind w:left="122"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39"/>
                <w:sz w:val="16"/>
                <w:szCs w:val="16"/>
              </w:rPr>
              <w:t> </w:t>
            </w:r>
            <w:r>
              <w:rPr>
                <w:rFonts w:ascii="Arial" w:hAnsi="Arial" w:cs="Arial" w:eastAsia="Arial" w:hint="default"/>
                <w:sz w:val="16"/>
                <w:szCs w:val="16"/>
              </w:rPr>
              <w:t>10</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15</w:t>
            </w:r>
            <w:r>
              <w:rPr>
                <w:rFonts w:ascii="Arial" w:hAnsi="Arial" w:cs="Arial" w:eastAsia="Arial" w:hint="default"/>
                <w:spacing w:val="-5"/>
                <w:sz w:val="16"/>
                <w:szCs w:val="16"/>
              </w:rPr>
              <w:t> </w:t>
            </w:r>
            <w:r>
              <w:rPr>
                <w:rFonts w:ascii="宋体" w:hAnsi="宋体" w:cs="宋体" w:eastAsia="宋体" w:hint="default"/>
                <w:sz w:val="16"/>
                <w:szCs w:val="16"/>
              </w:rPr>
              <w:t>日至</w:t>
            </w:r>
          </w:p>
          <w:p>
            <w:pPr>
              <w:pStyle w:val="TableParagraph"/>
              <w:spacing w:line="214" w:lineRule="exact"/>
              <w:ind w:left="122" w:right="0"/>
              <w:jc w:val="left"/>
              <w:rPr>
                <w:rFonts w:ascii="宋体" w:hAnsi="宋体" w:cs="宋体" w:eastAsia="宋体" w:hint="default"/>
                <w:sz w:val="16"/>
                <w:szCs w:val="16"/>
              </w:rPr>
            </w:pPr>
            <w:r>
              <w:rPr>
                <w:rFonts w:ascii="Arial" w:hAnsi="Arial" w:cs="Arial" w:eastAsia="Arial" w:hint="default"/>
                <w:sz w:val="16"/>
                <w:szCs w:val="16"/>
              </w:rPr>
              <w:t>2010</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39"/>
                <w:sz w:val="16"/>
                <w:szCs w:val="16"/>
              </w:rPr>
              <w:t> </w:t>
            </w:r>
            <w:r>
              <w:rPr>
                <w:rFonts w:ascii="Arial" w:hAnsi="Arial" w:cs="Arial" w:eastAsia="Arial" w:hint="default"/>
                <w:sz w:val="16"/>
                <w:szCs w:val="16"/>
              </w:rPr>
              <w:t>12</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6</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892" w:type="dxa"/>
            <w:tcBorders>
              <w:top w:val="nil" w:sz="6" w:space="0" w:color="auto"/>
              <w:left w:val="nil" w:sz="6" w:space="0" w:color="auto"/>
              <w:bottom w:val="nil" w:sz="6" w:space="0" w:color="auto"/>
              <w:right w:val="nil" w:sz="6" w:space="0" w:color="auto"/>
            </w:tcBorders>
          </w:tcPr>
          <w:p>
            <w:pPr>
              <w:pStyle w:val="TableParagraph"/>
              <w:spacing w:line="214" w:lineRule="exact" w:before="75"/>
              <w:ind w:left="122"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10</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15</w:t>
            </w:r>
            <w:r>
              <w:rPr>
                <w:rFonts w:ascii="Arial" w:hAnsi="Arial" w:cs="Arial" w:eastAsia="Arial" w:hint="default"/>
                <w:spacing w:val="-4"/>
                <w:sz w:val="16"/>
                <w:szCs w:val="16"/>
              </w:rPr>
              <w:t> </w:t>
            </w:r>
            <w:r>
              <w:rPr>
                <w:rFonts w:ascii="宋体" w:hAnsi="宋体" w:cs="宋体" w:eastAsia="宋体" w:hint="default"/>
                <w:sz w:val="16"/>
                <w:szCs w:val="16"/>
              </w:rPr>
              <w:t>日至</w:t>
            </w:r>
          </w:p>
          <w:p>
            <w:pPr>
              <w:pStyle w:val="TableParagraph"/>
              <w:spacing w:line="214" w:lineRule="exact"/>
              <w:ind w:left="122" w:right="0"/>
              <w:jc w:val="lef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12</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5</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65"/>
              <w:jc w:val="right"/>
              <w:rPr>
                <w:rFonts w:ascii="宋体" w:hAnsi="宋体" w:cs="宋体" w:eastAsia="宋体" w:hint="default"/>
                <w:sz w:val="16"/>
                <w:szCs w:val="16"/>
              </w:rPr>
            </w:pPr>
            <w:r>
              <w:rPr>
                <w:rFonts w:ascii="宋体" w:hAnsi="宋体" w:cs="宋体" w:eastAsia="宋体" w:hint="default"/>
                <w:sz w:val="16"/>
                <w:szCs w:val="16"/>
              </w:rPr>
              <w:t>港币</w:t>
            </w:r>
            <w:r>
              <w:rPr>
                <w:rFonts w:ascii="宋体" w:hAnsi="宋体" w:cs="宋体" w:eastAsia="宋体" w:hint="default"/>
                <w:spacing w:val="-41"/>
                <w:sz w:val="16"/>
                <w:szCs w:val="16"/>
              </w:rPr>
              <w:t> </w:t>
            </w:r>
            <w:r>
              <w:rPr>
                <w:rFonts w:ascii="Arial" w:hAnsi="Arial" w:cs="Arial" w:eastAsia="Arial" w:hint="default"/>
                <w:sz w:val="16"/>
                <w:szCs w:val="16"/>
              </w:rPr>
              <w:t>8.26</w:t>
            </w:r>
            <w:r>
              <w:rPr>
                <w:rFonts w:ascii="Arial" w:hAnsi="Arial" w:cs="Arial" w:eastAsia="Arial" w:hint="default"/>
                <w:spacing w:val="-6"/>
                <w:sz w:val="16"/>
                <w:szCs w:val="16"/>
              </w:rPr>
              <w:t> </w:t>
            </w:r>
            <w:r>
              <w:rPr>
                <w:rFonts w:ascii="宋体" w:hAnsi="宋体" w:cs="宋体" w:eastAsia="宋体" w:hint="default"/>
                <w:sz w:val="16"/>
                <w:szCs w:val="16"/>
              </w:rPr>
              <w:t>元</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tabs>
                <w:tab w:pos="1104" w:val="left" w:leader="none"/>
              </w:tabs>
              <w:spacing w:line="240" w:lineRule="auto" w:before="119"/>
              <w:ind w:right="25"/>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r>
            <w:r>
              <w:rPr>
                <w:rFonts w:ascii="Arial"/>
                <w:sz w:val="16"/>
              </w:rPr>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tabs>
                <w:tab w:pos="448" w:val="left" w:leader="none"/>
              </w:tabs>
              <w:spacing w:line="240" w:lineRule="auto" w:before="119"/>
              <w:ind w:right="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r>
            <w:r>
              <w:rPr>
                <w:rFonts w:ascii="Arial"/>
                <w:spacing w:val="-1"/>
                <w:sz w:val="16"/>
                <w:u w:val="single" w:color="000000"/>
              </w:rPr>
              <w:t>44,972,381</w:t>
            </w:r>
            <w:r>
              <w:rPr>
                <w:rFonts w:ascii="Arial"/>
                <w:spacing w:val="-1"/>
                <w:sz w:val="16"/>
              </w:rPr>
            </w:r>
          </w:p>
        </w:tc>
      </w:tr>
      <w:tr>
        <w:trPr>
          <w:trHeight w:val="325" w:hRule="exact"/>
        </w:trPr>
        <w:tc>
          <w:tcPr>
            <w:tcW w:w="1555"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27"/>
              <w:jc w:val="right"/>
              <w:rPr>
                <w:rFonts w:ascii="Arial" w:hAnsi="Arial" w:cs="Arial" w:eastAsia="Arial" w:hint="default"/>
                <w:sz w:val="16"/>
                <w:szCs w:val="16"/>
              </w:rPr>
            </w:pPr>
            <w:r>
              <w:rPr>
                <w:rFonts w:ascii="Arial"/>
                <w:spacing w:val="-1"/>
                <w:sz w:val="16"/>
              </w:rPr>
              <w:t>3,540,000</w:t>
            </w:r>
          </w:p>
        </w:tc>
        <w:tc>
          <w:tcPr>
            <w:tcW w:w="1342"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0"/>
              <w:jc w:val="right"/>
              <w:rPr>
                <w:rFonts w:ascii="Arial" w:hAnsi="Arial" w:cs="Arial" w:eastAsia="Arial" w:hint="default"/>
                <w:sz w:val="16"/>
                <w:szCs w:val="16"/>
              </w:rPr>
            </w:pPr>
            <w:r>
              <w:rPr>
                <w:rFonts w:ascii="Arial"/>
                <w:spacing w:val="-1"/>
                <w:sz w:val="16"/>
              </w:rPr>
              <w:t>174,498,077</w:t>
            </w:r>
          </w:p>
        </w:tc>
      </w:tr>
    </w:tbl>
    <w:p>
      <w:pPr>
        <w:spacing w:line="240" w:lineRule="auto" w:before="4"/>
        <w:rPr>
          <w:rFonts w:ascii="宋体" w:hAnsi="宋体" w:cs="宋体" w:eastAsia="宋体" w:hint="default"/>
          <w:sz w:val="10"/>
          <w:szCs w:val="10"/>
        </w:rPr>
      </w:pPr>
    </w:p>
    <w:p>
      <w:pPr>
        <w:pStyle w:val="BodyText"/>
        <w:spacing w:line="295" w:lineRule="exact" w:before="32"/>
        <w:ind w:left="630" w:right="339"/>
        <w:jc w:val="left"/>
      </w:pPr>
      <w:r>
        <w:rPr/>
        <w:t>于</w:t>
      </w:r>
      <w:r>
        <w:rPr>
          <w:rFonts w:ascii="Arial" w:hAnsi="Arial" w:cs="Arial" w:eastAsia="Arial" w:hint="default"/>
        </w:rPr>
        <w:t>2014</w:t>
      </w:r>
      <w:r>
        <w:rPr/>
        <w:t>年</w:t>
      </w:r>
      <w:r>
        <w:rPr>
          <w:rFonts w:ascii="Arial" w:hAnsi="Arial" w:cs="Arial" w:eastAsia="Arial" w:hint="default"/>
        </w:rPr>
        <w:t>12</w:t>
      </w:r>
      <w:r>
        <w:rPr/>
        <w:t>月</w:t>
      </w:r>
      <w:r>
        <w:rPr>
          <w:rFonts w:ascii="Arial" w:hAnsi="Arial" w:cs="Arial" w:eastAsia="Arial" w:hint="default"/>
        </w:rPr>
        <w:t>31</w:t>
      </w:r>
      <w:r>
        <w:rPr/>
        <w:t>日，联通红筹公司未行使股份期权加权平均剩余合约期限为</w:t>
      </w:r>
      <w:r>
        <w:rPr>
          <w:rFonts w:ascii="Arial" w:hAnsi="Arial" w:cs="Arial" w:eastAsia="Arial" w:hint="default"/>
        </w:rPr>
        <w:t>0.12</w:t>
      </w:r>
      <w:r>
        <w:rPr/>
        <w:t>年（</w:t>
      </w:r>
      <w:r>
        <w:rPr>
          <w:rFonts w:ascii="Arial" w:hAnsi="Arial" w:cs="Arial" w:eastAsia="Arial" w:hint="default"/>
        </w:rPr>
        <w:t>2013</w:t>
      </w:r>
      <w:r>
        <w:rPr/>
        <w:t>年</w:t>
      </w:r>
    </w:p>
    <w:p>
      <w:pPr>
        <w:pStyle w:val="BodyText"/>
        <w:spacing w:line="295" w:lineRule="exact"/>
        <w:ind w:left="630" w:right="978"/>
        <w:jc w:val="left"/>
      </w:pPr>
      <w:r>
        <w:rPr>
          <w:rFonts w:ascii="Arial" w:hAnsi="Arial" w:cs="Arial" w:eastAsia="Arial" w:hint="default"/>
        </w:rPr>
        <w:t>12</w:t>
      </w:r>
      <w:r>
        <w:rPr/>
        <w:t>月</w:t>
      </w:r>
      <w:r>
        <w:rPr>
          <w:rFonts w:ascii="Arial" w:hAnsi="Arial" w:cs="Arial" w:eastAsia="Arial" w:hint="default"/>
        </w:rPr>
        <w:t>31</w:t>
      </w:r>
      <w:r>
        <w:rPr/>
        <w:t>日：</w:t>
      </w:r>
      <w:r>
        <w:rPr>
          <w:rFonts w:ascii="Arial" w:hAnsi="Arial" w:cs="Arial" w:eastAsia="Arial" w:hint="default"/>
        </w:rPr>
        <w:t>0.97</w:t>
      </w:r>
      <w:r>
        <w:rPr/>
        <w:t>年）。</w:t>
      </w:r>
    </w:p>
    <w:p>
      <w:pPr>
        <w:spacing w:line="240" w:lineRule="auto" w:before="6"/>
        <w:rPr>
          <w:rFonts w:ascii="宋体" w:hAnsi="宋体" w:cs="宋体" w:eastAsia="宋体" w:hint="default"/>
          <w:sz w:val="15"/>
          <w:szCs w:val="15"/>
        </w:rPr>
      </w:pPr>
    </w:p>
    <w:p>
      <w:pPr>
        <w:pStyle w:val="BodyText"/>
        <w:spacing w:line="228" w:lineRule="auto"/>
        <w:ind w:left="1372" w:right="307" w:hanging="720"/>
        <w:jc w:val="both"/>
      </w:pPr>
      <w:r>
        <w:rPr/>
        <w:t>注：</w:t>
      </w:r>
      <w:r>
        <w:rPr>
          <w:spacing w:val="87"/>
        </w:rPr>
        <w:t> </w:t>
      </w:r>
      <w:r>
        <w:rPr/>
        <w:t>于</w:t>
      </w:r>
      <w:r>
        <w:rPr>
          <w:rFonts w:ascii="Arial" w:hAnsi="Arial" w:cs="Arial" w:eastAsia="Arial" w:hint="default"/>
        </w:rPr>
        <w:t>2009</w:t>
      </w:r>
      <w:r>
        <w:rPr/>
        <w:t>年</w:t>
      </w:r>
      <w:r>
        <w:rPr>
          <w:rFonts w:ascii="Arial" w:hAnsi="Arial" w:cs="Arial" w:eastAsia="Arial" w:hint="default"/>
        </w:rPr>
        <w:t>5</w:t>
      </w:r>
      <w:r>
        <w:rPr/>
        <w:t>月，联通红筹公司董事会根据股份期权计划的条款，将其中约</w:t>
      </w:r>
      <w:r>
        <w:rPr>
          <w:rFonts w:ascii="Arial" w:hAnsi="Arial" w:cs="Arial" w:eastAsia="Arial" w:hint="default"/>
        </w:rPr>
        <w:t>2,500</w:t>
      </w:r>
      <w:r>
        <w:rPr/>
        <w:t>万份期</w:t>
      </w:r>
      <w:r>
        <w:rPr>
          <w:spacing w:val="-107"/>
        </w:rPr>
        <w:t> </w:t>
      </w:r>
      <w:r>
        <w:rPr/>
        <w:t>权的可行使期延长一年。延期的主要原因是，</w:t>
      </w:r>
      <w:r>
        <w:rPr>
          <w:rFonts w:ascii="Arial" w:hAnsi="Arial" w:cs="Arial" w:eastAsia="Arial" w:hint="default"/>
        </w:rPr>
        <w:t>(i)</w:t>
      </w:r>
      <w:r>
        <w:rPr/>
        <w:t>作为</w:t>
      </w:r>
      <w:r>
        <w:rPr>
          <w:rFonts w:ascii="Arial" w:hAnsi="Arial" w:cs="Arial" w:eastAsia="Arial" w:hint="default"/>
        </w:rPr>
        <w:t>2008</w:t>
      </w:r>
      <w:r>
        <w:rPr/>
        <w:t>年电信行业重组的一部份，</w:t>
      </w:r>
      <w:r>
        <w:rPr>
          <w:w w:val="100"/>
        </w:rPr>
        <w:t> </w:t>
      </w:r>
      <w:r>
        <w:rPr/>
        <w:t>该等期权的持有人被调职到其他电信公司，根据股份期权计划，该等期权的持有人被</w:t>
      </w:r>
      <w:r>
        <w:rPr>
          <w:w w:val="100"/>
        </w:rPr>
        <w:t> </w:t>
      </w:r>
      <w:r>
        <w:rPr>
          <w:spacing w:val="-3"/>
        </w:rPr>
        <w:t>确定为</w:t>
      </w:r>
      <w:r>
        <w:rPr>
          <w:rFonts w:ascii="Arial" w:hAnsi="Arial" w:cs="Arial" w:eastAsia="Arial" w:hint="default"/>
          <w:spacing w:val="-3"/>
        </w:rPr>
        <w:t>“</w:t>
      </w:r>
      <w:r>
        <w:rPr>
          <w:spacing w:val="-3"/>
        </w:rPr>
        <w:t>被调动人员</w:t>
      </w:r>
      <w:r>
        <w:rPr>
          <w:rFonts w:ascii="Arial" w:hAnsi="Arial" w:cs="Arial" w:eastAsia="Arial" w:hint="default"/>
          <w:spacing w:val="-3"/>
        </w:rPr>
        <w:t>”</w:t>
      </w:r>
      <w:r>
        <w:rPr>
          <w:spacing w:val="-3"/>
        </w:rPr>
        <w:t>，及</w:t>
      </w:r>
      <w:r>
        <w:rPr>
          <w:rFonts w:ascii="Arial" w:hAnsi="Arial" w:cs="Arial" w:eastAsia="Arial" w:hint="default"/>
          <w:spacing w:val="-3"/>
        </w:rPr>
        <w:t>(ii)</w:t>
      </w:r>
      <w:r>
        <w:rPr>
          <w:spacing w:val="-3"/>
        </w:rPr>
        <w:t>由于股份期权计划中的相关条款规定的强制性禁售，致使该</w:t>
      </w:r>
      <w:r>
        <w:rPr>
          <w:w w:val="100"/>
        </w:rPr>
        <w:t> </w:t>
      </w:r>
      <w:r>
        <w:rPr/>
        <w:t>等期权未能行使。由于强制性禁售规定仍然有效，联通红筹公司董事会根据股份期权</w:t>
      </w:r>
      <w:r>
        <w:rPr>
          <w:w w:val="100"/>
        </w:rPr>
        <w:t> </w:t>
      </w:r>
      <w:r>
        <w:rPr>
          <w:spacing w:val="-1"/>
        </w:rPr>
        <w:t>计划中的相关条款规定，将若干股份期权的行使期限分别于</w:t>
      </w:r>
      <w:r>
        <w:rPr>
          <w:rFonts w:ascii="Arial" w:hAnsi="Arial" w:cs="Arial" w:eastAsia="Arial" w:hint="default"/>
          <w:spacing w:val="-1"/>
        </w:rPr>
        <w:t>2010</w:t>
      </w:r>
      <w:r>
        <w:rPr>
          <w:spacing w:val="-1"/>
        </w:rPr>
        <w:t>年</w:t>
      </w:r>
      <w:r>
        <w:rPr>
          <w:rFonts w:ascii="Arial" w:hAnsi="Arial" w:cs="Arial" w:eastAsia="Arial" w:hint="default"/>
          <w:spacing w:val="-1"/>
        </w:rPr>
        <w:t>3</w:t>
      </w:r>
      <w:r>
        <w:rPr>
          <w:spacing w:val="-1"/>
        </w:rPr>
        <w:t>月、</w:t>
      </w:r>
      <w:r>
        <w:rPr>
          <w:rFonts w:ascii="Arial" w:hAnsi="Arial" w:cs="Arial" w:eastAsia="Arial" w:hint="default"/>
          <w:spacing w:val="-1"/>
        </w:rPr>
        <w:t>2011</w:t>
      </w:r>
      <w:r>
        <w:rPr>
          <w:spacing w:val="-1"/>
        </w:rPr>
        <w:t>年</w:t>
      </w:r>
      <w:r>
        <w:rPr>
          <w:rFonts w:ascii="Arial" w:hAnsi="Arial" w:cs="Arial" w:eastAsia="Arial" w:hint="default"/>
          <w:spacing w:val="-1"/>
        </w:rPr>
        <w:t>3</w:t>
      </w:r>
      <w:r>
        <w:rPr>
          <w:spacing w:val="-1"/>
        </w:rPr>
        <w:t>月、</w:t>
      </w:r>
      <w:r>
        <w:rPr>
          <w:w w:val="100"/>
        </w:rPr>
        <w:t> </w:t>
      </w:r>
      <w:r>
        <w:rPr>
          <w:rFonts w:ascii="Arial" w:hAnsi="Arial" w:cs="Arial" w:eastAsia="Arial" w:hint="default"/>
        </w:rPr>
        <w:t>2012</w:t>
      </w:r>
      <w:r>
        <w:rPr/>
        <w:t>年</w:t>
      </w:r>
      <w:r>
        <w:rPr>
          <w:rFonts w:ascii="Arial" w:hAnsi="Arial" w:cs="Arial" w:eastAsia="Arial" w:hint="default"/>
        </w:rPr>
        <w:t>3</w:t>
      </w:r>
      <w:r>
        <w:rPr/>
        <w:t>月及</w:t>
      </w:r>
      <w:r>
        <w:rPr>
          <w:rFonts w:ascii="Arial" w:hAnsi="Arial" w:cs="Arial" w:eastAsia="Arial" w:hint="default"/>
        </w:rPr>
        <w:t>2013</w:t>
      </w:r>
      <w:r>
        <w:rPr/>
        <w:t>年</w:t>
      </w:r>
      <w:r>
        <w:rPr>
          <w:rFonts w:ascii="Arial" w:hAnsi="Arial" w:cs="Arial" w:eastAsia="Arial" w:hint="default"/>
        </w:rPr>
        <w:t>3</w:t>
      </w:r>
      <w:r>
        <w:rPr/>
        <w:t>月每次延长一年。于</w:t>
      </w:r>
      <w:r>
        <w:rPr>
          <w:rFonts w:ascii="Arial" w:hAnsi="Arial" w:cs="Arial" w:eastAsia="Arial" w:hint="default"/>
        </w:rPr>
        <w:t>2014</w:t>
      </w:r>
      <w:r>
        <w:rPr/>
        <w:t>年</w:t>
      </w:r>
      <w:r>
        <w:rPr>
          <w:rFonts w:ascii="Arial" w:hAnsi="Arial" w:cs="Arial" w:eastAsia="Arial" w:hint="default"/>
        </w:rPr>
        <w:t>12</w:t>
      </w:r>
      <w:r>
        <w:rPr/>
        <w:t>月</w:t>
      </w:r>
      <w:r>
        <w:rPr>
          <w:rFonts w:ascii="Arial" w:hAnsi="Arial" w:cs="Arial" w:eastAsia="Arial" w:hint="default"/>
        </w:rPr>
        <w:t>31</w:t>
      </w:r>
      <w:r>
        <w:rPr/>
        <w:t>日，被调动人员持有的有效</w:t>
      </w:r>
      <w:r>
        <w:rPr>
          <w:w w:val="100"/>
        </w:rPr>
        <w:t> </w:t>
      </w:r>
      <w:r>
        <w:rPr/>
        <w:t>股份期权为</w:t>
      </w:r>
      <w:r>
        <w:rPr>
          <w:rFonts w:ascii="Arial" w:hAnsi="Arial" w:cs="Arial" w:eastAsia="Arial" w:hint="default"/>
        </w:rPr>
        <w:t>103</w:t>
      </w:r>
      <w:r>
        <w:rPr/>
        <w:t>万股。</w:t>
      </w:r>
    </w:p>
    <w:p>
      <w:pPr>
        <w:pStyle w:val="BodyText"/>
        <w:spacing w:line="235" w:lineRule="auto" w:before="196"/>
        <w:ind w:left="1372" w:right="332"/>
        <w:jc w:val="both"/>
      </w:pPr>
      <w:r>
        <w:rPr/>
        <w:t>此外，于</w:t>
      </w:r>
      <w:r>
        <w:rPr>
          <w:rFonts w:ascii="Arial" w:hAnsi="Arial" w:cs="Arial" w:eastAsia="Arial" w:hint="default"/>
        </w:rPr>
        <w:t>2010</w:t>
      </w:r>
      <w:r>
        <w:rPr/>
        <w:t>年</w:t>
      </w:r>
      <w:r>
        <w:rPr>
          <w:rFonts w:ascii="Arial" w:hAnsi="Arial" w:cs="Arial" w:eastAsia="Arial" w:hint="default"/>
        </w:rPr>
        <w:t>3</w:t>
      </w:r>
      <w:r>
        <w:rPr/>
        <w:t>月、</w:t>
      </w:r>
      <w:r>
        <w:rPr>
          <w:rFonts w:ascii="Arial" w:hAnsi="Arial" w:cs="Arial" w:eastAsia="Arial" w:hint="default"/>
        </w:rPr>
        <w:t>2011</w:t>
      </w:r>
      <w:r>
        <w:rPr/>
        <w:t>年</w:t>
      </w:r>
      <w:r>
        <w:rPr>
          <w:rFonts w:ascii="Arial" w:hAnsi="Arial" w:cs="Arial" w:eastAsia="Arial" w:hint="default"/>
        </w:rPr>
        <w:t>3</w:t>
      </w:r>
      <w:r>
        <w:rPr/>
        <w:t>月、</w:t>
      </w:r>
      <w:r>
        <w:rPr>
          <w:rFonts w:ascii="Arial" w:hAnsi="Arial" w:cs="Arial" w:eastAsia="Arial" w:hint="default"/>
        </w:rPr>
        <w:t>2012</w:t>
      </w:r>
      <w:r>
        <w:rPr/>
        <w:t>年</w:t>
      </w:r>
      <w:r>
        <w:rPr>
          <w:rFonts w:ascii="Arial" w:hAnsi="Arial" w:cs="Arial" w:eastAsia="Arial" w:hint="default"/>
        </w:rPr>
        <w:t>3</w:t>
      </w:r>
      <w:r>
        <w:rPr/>
        <w:t>月及</w:t>
      </w:r>
      <w:r>
        <w:rPr>
          <w:rFonts w:ascii="Arial" w:hAnsi="Arial" w:cs="Arial" w:eastAsia="Arial" w:hint="default"/>
        </w:rPr>
        <w:t>2013</w:t>
      </w:r>
      <w:r>
        <w:rPr/>
        <w:t>年</w:t>
      </w:r>
      <w:r>
        <w:rPr>
          <w:rFonts w:ascii="Arial" w:hAnsi="Arial" w:cs="Arial" w:eastAsia="Arial" w:hint="default"/>
        </w:rPr>
        <w:t>3</w:t>
      </w:r>
      <w:r>
        <w:rPr/>
        <w:t>月，联通红筹公司董事会分</w:t>
      </w:r>
      <w:r>
        <w:rPr>
          <w:spacing w:val="-50"/>
        </w:rPr>
        <w:t> </w:t>
      </w:r>
      <w:r>
        <w:rPr>
          <w:spacing w:val="-50"/>
        </w:rPr>
      </w:r>
      <w:r>
        <w:rPr/>
        <w:t>别根据股份期权计划及特殊目的股份期权计划的条款，将若干股份期权的最后可行使</w:t>
      </w:r>
      <w:r>
        <w:rPr>
          <w:spacing w:val="-21"/>
        </w:rPr>
        <w:t> </w:t>
      </w:r>
      <w:r>
        <w:rPr>
          <w:spacing w:val="-21"/>
        </w:rPr>
      </w:r>
      <w:r>
        <w:rPr/>
        <w:t>日期延长一年。延期的原因是由于根据股份期权计划及特殊目的股份期权计划中相关</w:t>
      </w:r>
      <w:r>
        <w:rPr>
          <w:spacing w:val="-21"/>
        </w:rPr>
        <w:t> </w:t>
      </w:r>
      <w:r>
        <w:rPr>
          <w:spacing w:val="-21"/>
        </w:rPr>
      </w:r>
      <w:r>
        <w:rPr/>
        <w:t>条款所规定的强制性禁售仍然有效，导致该等期权未能行使。</w:t>
      </w:r>
    </w:p>
    <w:p>
      <w:pPr>
        <w:spacing w:after="0" w:line="235" w:lineRule="auto"/>
        <w:jc w:val="both"/>
        <w:sectPr>
          <w:headerReference w:type="default" r:id="rId120"/>
          <w:pgSz w:w="11910" w:h="16840"/>
          <w:pgMar w:header="1185" w:footer="635" w:top="3040" w:bottom="820" w:left="1280" w:right="680"/>
        </w:sectPr>
      </w:pPr>
    </w:p>
    <w:p>
      <w:pPr>
        <w:spacing w:line="240" w:lineRule="auto" w:before="10"/>
        <w:rPr>
          <w:rFonts w:ascii="宋体" w:hAnsi="宋体" w:cs="宋体" w:eastAsia="宋体" w:hint="default"/>
          <w:sz w:val="16"/>
          <w:szCs w:val="16"/>
        </w:rPr>
      </w:pPr>
    </w:p>
    <w:p>
      <w:pPr>
        <w:pStyle w:val="BodyText"/>
        <w:spacing w:line="240" w:lineRule="auto" w:before="32"/>
        <w:ind w:left="122" w:right="0"/>
        <w:jc w:val="left"/>
      </w:pPr>
      <w:r>
        <w:rPr>
          <w:rFonts w:ascii="Arial" w:hAnsi="Arial" w:cs="Arial" w:eastAsia="Arial" w:hint="default"/>
        </w:rPr>
        <w:t>47</w:t>
      </w:r>
      <w:r>
        <w:rPr/>
        <w:t>、每股收益</w:t>
      </w:r>
    </w:p>
    <w:p>
      <w:pPr>
        <w:spacing w:line="240" w:lineRule="auto" w:before="12"/>
        <w:rPr>
          <w:rFonts w:ascii="宋体" w:hAnsi="宋体" w:cs="宋体" w:eastAsia="宋体" w:hint="default"/>
          <w:sz w:val="17"/>
          <w:szCs w:val="17"/>
        </w:rPr>
      </w:pPr>
    </w:p>
    <w:p>
      <w:pPr>
        <w:pStyle w:val="BodyText"/>
        <w:spacing w:line="240" w:lineRule="auto"/>
        <w:ind w:left="108" w:right="0"/>
        <w:jc w:val="left"/>
      </w:pPr>
      <w:r>
        <w:rPr>
          <w:rFonts w:ascii="Arial" w:hAnsi="Arial" w:cs="Arial" w:eastAsia="Arial" w:hint="default"/>
        </w:rPr>
        <w:t>(a) </w:t>
      </w:r>
      <w:r>
        <w:rPr>
          <w:rFonts w:ascii="Arial" w:hAnsi="Arial" w:cs="Arial" w:eastAsia="Arial" w:hint="default"/>
          <w:spacing w:val="43"/>
        </w:rPr>
        <w:t> </w:t>
      </w:r>
      <w:r>
        <w:rPr/>
        <w:t>基本每股收益</w:t>
      </w:r>
    </w:p>
    <w:p>
      <w:pPr>
        <w:spacing w:line="240" w:lineRule="auto" w:before="12"/>
        <w:rPr>
          <w:rFonts w:ascii="宋体" w:hAnsi="宋体" w:cs="宋体" w:eastAsia="宋体" w:hint="default"/>
          <w:sz w:val="17"/>
          <w:szCs w:val="17"/>
        </w:rPr>
      </w:pPr>
    </w:p>
    <w:p>
      <w:pPr>
        <w:pStyle w:val="BodyText"/>
        <w:spacing w:line="240" w:lineRule="auto"/>
        <w:ind w:left="545" w:right="0"/>
        <w:jc w:val="left"/>
      </w:pPr>
      <w:r>
        <w:rPr>
          <w:spacing w:val="-1"/>
        </w:rPr>
        <w:t>基本每股收益以归属于母公司普通股股东的合并净利润除以母公司发行在外普通股的加权平均</w:t>
      </w:r>
      <w:r>
        <w:rPr>
          <w:spacing w:val="-46"/>
        </w:rPr>
        <w:t> </w:t>
      </w:r>
      <w:r>
        <w:rPr>
          <w:spacing w:val="-46"/>
        </w:rPr>
      </w:r>
      <w:r>
        <w:rPr/>
        <w:t>数计算：</w:t>
      </w:r>
    </w:p>
    <w:p>
      <w:pPr>
        <w:spacing w:line="240" w:lineRule="auto" w:before="3"/>
        <w:rPr>
          <w:rFonts w:ascii="宋体" w:hAnsi="宋体" w:cs="宋体" w:eastAsia="宋体" w:hint="default"/>
          <w:sz w:val="24"/>
          <w:szCs w:val="24"/>
        </w:rPr>
      </w:pPr>
    </w:p>
    <w:tbl>
      <w:tblPr>
        <w:tblW w:w="0" w:type="auto"/>
        <w:jc w:val="left"/>
        <w:tblInd w:w="371" w:type="dxa"/>
        <w:tblLayout w:type="fixed"/>
        <w:tblCellMar>
          <w:top w:w="0" w:type="dxa"/>
          <w:left w:w="0" w:type="dxa"/>
          <w:bottom w:w="0" w:type="dxa"/>
          <w:right w:w="0" w:type="dxa"/>
        </w:tblCellMar>
        <w:tblLook w:val="01E0"/>
      </w:tblPr>
      <w:tblGrid>
        <w:gridCol w:w="4780"/>
        <w:gridCol w:w="2564"/>
        <w:gridCol w:w="1890"/>
      </w:tblGrid>
      <w:tr>
        <w:trPr>
          <w:trHeight w:val="264" w:hRule="exact"/>
        </w:trPr>
        <w:tc>
          <w:tcPr>
            <w:tcW w:w="4780" w:type="dxa"/>
            <w:tcBorders>
              <w:top w:val="nil" w:sz="6" w:space="0" w:color="auto"/>
              <w:left w:val="nil" w:sz="6" w:space="0" w:color="auto"/>
              <w:bottom w:val="nil" w:sz="6" w:space="0" w:color="auto"/>
              <w:right w:val="nil" w:sz="6" w:space="0" w:color="auto"/>
            </w:tcBorders>
          </w:tcPr>
          <w:p>
            <w:pPr/>
          </w:p>
        </w:tc>
        <w:tc>
          <w:tcPr>
            <w:tcW w:w="2564" w:type="dxa"/>
            <w:tcBorders>
              <w:top w:val="nil" w:sz="6" w:space="0" w:color="auto"/>
              <w:left w:val="nil" w:sz="6" w:space="0" w:color="auto"/>
              <w:bottom w:val="single" w:sz="6" w:space="0" w:color="000000"/>
              <w:right w:val="nil" w:sz="6" w:space="0" w:color="auto"/>
            </w:tcBorders>
          </w:tcPr>
          <w:p>
            <w:pPr>
              <w:pStyle w:val="TableParagraph"/>
              <w:spacing w:line="236" w:lineRule="exact"/>
              <w:ind w:right="387"/>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890" w:type="dxa"/>
            <w:tcBorders>
              <w:top w:val="nil" w:sz="6" w:space="0" w:color="auto"/>
              <w:left w:val="nil" w:sz="6" w:space="0" w:color="auto"/>
              <w:bottom w:val="single" w:sz="6" w:space="0" w:color="000000"/>
              <w:right w:val="nil" w:sz="6" w:space="0" w:color="auto"/>
            </w:tcBorders>
          </w:tcPr>
          <w:p>
            <w:pPr>
              <w:pStyle w:val="TableParagraph"/>
              <w:spacing w:line="236" w:lineRule="exact"/>
              <w:ind w:right="56"/>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612" w:hRule="exact"/>
        </w:trPr>
        <w:tc>
          <w:tcPr>
            <w:tcW w:w="47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归属于母公司普通股股东的合并净利润</w:t>
            </w:r>
          </w:p>
        </w:tc>
        <w:tc>
          <w:tcPr>
            <w:tcW w:w="2564" w:type="dxa"/>
            <w:tcBorders>
              <w:top w:val="single" w:sz="6" w:space="0" w:color="000000"/>
              <w:left w:val="nil" w:sz="6" w:space="0" w:color="auto"/>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341"/>
              <w:jc w:val="right"/>
              <w:rPr>
                <w:rFonts w:ascii="Arial" w:hAnsi="Arial" w:cs="Arial" w:eastAsia="Arial" w:hint="default"/>
                <w:sz w:val="22"/>
                <w:szCs w:val="22"/>
              </w:rPr>
            </w:pPr>
            <w:r>
              <w:rPr>
                <w:rFonts w:ascii="Arial"/>
                <w:spacing w:val="-1"/>
                <w:sz w:val="22"/>
              </w:rPr>
              <w:t>3,981,738,536</w:t>
            </w:r>
          </w:p>
        </w:tc>
        <w:tc>
          <w:tcPr>
            <w:tcW w:w="1890" w:type="dxa"/>
            <w:tcBorders>
              <w:top w:val="single" w:sz="6" w:space="0" w:color="000000"/>
              <w:left w:val="nil" w:sz="6" w:space="0" w:color="auto"/>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right"/>
              <w:rPr>
                <w:rFonts w:ascii="Arial" w:hAnsi="Arial" w:cs="Arial" w:eastAsia="Arial" w:hint="default"/>
                <w:sz w:val="22"/>
                <w:szCs w:val="22"/>
              </w:rPr>
            </w:pPr>
            <w:r>
              <w:rPr>
                <w:rFonts w:ascii="Arial"/>
                <w:spacing w:val="-1"/>
                <w:sz w:val="22"/>
              </w:rPr>
              <w:t>3,442,853,809</w:t>
            </w:r>
          </w:p>
        </w:tc>
      </w:tr>
      <w:tr>
        <w:trPr>
          <w:trHeight w:val="600" w:hRule="exact"/>
        </w:trPr>
        <w:tc>
          <w:tcPr>
            <w:tcW w:w="47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本公司发行在外普通股的加权平均数</w:t>
            </w:r>
          </w:p>
        </w:tc>
        <w:tc>
          <w:tcPr>
            <w:tcW w:w="2564" w:type="dxa"/>
            <w:tcBorders>
              <w:top w:val="single" w:sz="6" w:space="0" w:color="000000"/>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41"/>
              <w:jc w:val="right"/>
              <w:rPr>
                <w:rFonts w:ascii="Arial" w:hAnsi="Arial" w:cs="Arial" w:eastAsia="Arial" w:hint="default"/>
                <w:sz w:val="22"/>
                <w:szCs w:val="22"/>
              </w:rPr>
            </w:pPr>
            <w:r>
              <w:rPr>
                <w:rFonts w:ascii="Arial"/>
                <w:spacing w:val="-1"/>
                <w:sz w:val="22"/>
              </w:rPr>
              <w:t>21,196,596,395</w:t>
            </w:r>
          </w:p>
        </w:tc>
        <w:tc>
          <w:tcPr>
            <w:tcW w:w="1890" w:type="dxa"/>
            <w:tcBorders>
              <w:top w:val="single" w:sz="6" w:space="0" w:color="000000"/>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3"/>
              <w:jc w:val="right"/>
              <w:rPr>
                <w:rFonts w:ascii="Arial" w:hAnsi="Arial" w:cs="Arial" w:eastAsia="Arial" w:hint="default"/>
                <w:sz w:val="22"/>
                <w:szCs w:val="22"/>
              </w:rPr>
            </w:pPr>
            <w:r>
              <w:rPr>
                <w:rFonts w:ascii="Arial"/>
                <w:spacing w:val="-1"/>
                <w:sz w:val="22"/>
              </w:rPr>
              <w:t>21,196,596,395</w:t>
            </w:r>
          </w:p>
        </w:tc>
      </w:tr>
      <w:tr>
        <w:trPr>
          <w:trHeight w:val="614" w:hRule="exact"/>
        </w:trPr>
        <w:tc>
          <w:tcPr>
            <w:tcW w:w="47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基本每股收益</w:t>
            </w:r>
          </w:p>
        </w:tc>
        <w:tc>
          <w:tcPr>
            <w:tcW w:w="2564" w:type="dxa"/>
            <w:tcBorders>
              <w:top w:val="single" w:sz="6" w:space="0" w:color="000000"/>
              <w:left w:val="nil" w:sz="6" w:space="0" w:color="auto"/>
              <w:bottom w:val="single" w:sz="17"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40"/>
              <w:jc w:val="right"/>
              <w:rPr>
                <w:rFonts w:ascii="Arial" w:hAnsi="Arial" w:cs="Arial" w:eastAsia="Arial" w:hint="default"/>
                <w:sz w:val="22"/>
                <w:szCs w:val="22"/>
              </w:rPr>
            </w:pPr>
            <w:r>
              <w:rPr>
                <w:rFonts w:ascii="Arial"/>
                <w:sz w:val="22"/>
              </w:rPr>
              <w:t>0.1878</w:t>
            </w:r>
          </w:p>
        </w:tc>
        <w:tc>
          <w:tcPr>
            <w:tcW w:w="1890" w:type="dxa"/>
            <w:tcBorders>
              <w:top w:val="single" w:sz="6" w:space="0" w:color="000000"/>
              <w:left w:val="nil" w:sz="6" w:space="0" w:color="auto"/>
              <w:bottom w:val="single" w:sz="17"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right"/>
              <w:rPr>
                <w:rFonts w:ascii="Arial" w:hAnsi="Arial" w:cs="Arial" w:eastAsia="Arial" w:hint="default"/>
                <w:sz w:val="22"/>
                <w:szCs w:val="22"/>
              </w:rPr>
            </w:pPr>
            <w:r>
              <w:rPr>
                <w:rFonts w:ascii="Arial"/>
                <w:sz w:val="22"/>
              </w:rPr>
              <w:t>0.1624</w:t>
            </w:r>
          </w:p>
        </w:tc>
      </w:tr>
    </w:tbl>
    <w:p>
      <w:pPr>
        <w:spacing w:line="240" w:lineRule="auto" w:before="11"/>
        <w:rPr>
          <w:rFonts w:ascii="宋体" w:hAnsi="宋体" w:cs="宋体" w:eastAsia="宋体" w:hint="default"/>
          <w:sz w:val="13"/>
          <w:szCs w:val="13"/>
        </w:rPr>
      </w:pPr>
    </w:p>
    <w:p>
      <w:pPr>
        <w:pStyle w:val="BodyText"/>
        <w:spacing w:line="240" w:lineRule="auto" w:before="32"/>
        <w:ind w:left="108" w:right="0"/>
        <w:jc w:val="left"/>
      </w:pPr>
      <w:r>
        <w:rPr>
          <w:rFonts w:ascii="Arial" w:hAnsi="Arial" w:cs="Arial" w:eastAsia="Arial" w:hint="default"/>
        </w:rPr>
        <w:t>(b) </w:t>
      </w:r>
      <w:r>
        <w:rPr>
          <w:rFonts w:ascii="Arial" w:hAnsi="Arial" w:cs="Arial" w:eastAsia="Arial" w:hint="default"/>
          <w:spacing w:val="43"/>
        </w:rPr>
        <w:t> </w:t>
      </w:r>
      <w:r>
        <w:rPr/>
        <w:t>稀释每股收益</w:t>
      </w:r>
    </w:p>
    <w:p>
      <w:pPr>
        <w:spacing w:line="240" w:lineRule="auto" w:before="9"/>
        <w:rPr>
          <w:rFonts w:ascii="宋体" w:hAnsi="宋体" w:cs="宋体" w:eastAsia="宋体" w:hint="default"/>
          <w:sz w:val="18"/>
          <w:szCs w:val="18"/>
        </w:rPr>
      </w:pPr>
    </w:p>
    <w:p>
      <w:pPr>
        <w:pStyle w:val="BodyText"/>
        <w:spacing w:line="232" w:lineRule="auto"/>
        <w:ind w:left="545" w:right="115"/>
        <w:jc w:val="both"/>
      </w:pPr>
      <w:r>
        <w:rPr>
          <w:spacing w:val="-1"/>
        </w:rPr>
        <w:t>稀释每股收益以根据稀释性潜在普通股调整后的归属于母公司普通股股东的合并净利润除以调</w:t>
      </w:r>
      <w:r>
        <w:rPr>
          <w:spacing w:val="-46"/>
        </w:rPr>
        <w:t> </w:t>
      </w:r>
      <w:r>
        <w:rPr>
          <w:spacing w:val="-46"/>
        </w:rPr>
      </w:r>
      <w:r>
        <w:rPr/>
        <w:t>整后的本公司发行在外普通股的加权平均数计算。于 </w:t>
      </w:r>
      <w:r>
        <w:rPr>
          <w:rFonts w:ascii="Arial" w:hAnsi="Arial" w:cs="Arial" w:eastAsia="Arial" w:hint="default"/>
        </w:rPr>
        <w:t>2014</w:t>
      </w:r>
      <w:r>
        <w:rPr>
          <w:rFonts w:ascii="Arial" w:hAnsi="Arial" w:cs="Arial" w:eastAsia="Arial" w:hint="default"/>
          <w:spacing w:val="12"/>
        </w:rPr>
        <w:t> </w:t>
      </w:r>
      <w:r>
        <w:rPr/>
        <w:t>年，本公司所属子公司联通红筹公</w:t>
      </w:r>
      <w:r>
        <w:rPr>
          <w:w w:val="100"/>
        </w:rPr>
        <w:t> </w:t>
      </w:r>
      <w:r>
        <w:rPr>
          <w:spacing w:val="-1"/>
        </w:rPr>
        <w:t>司授予员工的股份期权以及亿讯公司发行的可转换债券对本公司归属于母公司普通股股东的合</w:t>
      </w:r>
      <w:r>
        <w:rPr>
          <w:spacing w:val="-46"/>
        </w:rPr>
        <w:t> </w:t>
      </w:r>
      <w:r>
        <w:rPr>
          <w:spacing w:val="-46"/>
        </w:rPr>
      </w:r>
      <w:r>
        <w:rPr>
          <w:spacing w:val="-4"/>
        </w:rPr>
        <w:t>并净利润具有稀释性影响（</w:t>
      </w:r>
      <w:r>
        <w:rPr>
          <w:rFonts w:ascii="Arial" w:hAnsi="Arial" w:cs="Arial" w:eastAsia="Arial" w:hint="default"/>
          <w:spacing w:val="-4"/>
        </w:rPr>
        <w:t>2013</w:t>
      </w:r>
      <w:r>
        <w:rPr>
          <w:rFonts w:ascii="Arial" w:hAnsi="Arial" w:cs="Arial" w:eastAsia="Arial" w:hint="default"/>
          <w:spacing w:val="31"/>
        </w:rPr>
        <w:t> </w:t>
      </w:r>
      <w:r>
        <w:rPr>
          <w:spacing w:val="-3"/>
        </w:rPr>
        <w:t>年：联通红筹公司授予员工的股份期权以及亿讯公司发行的可</w:t>
      </w:r>
      <w:r>
        <w:rPr>
          <w:spacing w:val="-97"/>
        </w:rPr>
        <w:t> </w:t>
      </w:r>
      <w:r>
        <w:rPr>
          <w:spacing w:val="-97"/>
        </w:rPr>
      </w:r>
      <w:r>
        <w:rPr>
          <w:spacing w:val="-1"/>
        </w:rPr>
        <w:t>转换债券对本公司归属于母公司普通股股东的合并净利润具有稀释性影响），相关计算结果如</w:t>
      </w:r>
      <w:r>
        <w:rPr>
          <w:spacing w:val="-46"/>
        </w:rPr>
        <w:t> </w:t>
      </w:r>
      <w:r>
        <w:rPr>
          <w:spacing w:val="-46"/>
        </w:rPr>
      </w:r>
      <w:r>
        <w:rPr/>
        <w:t>下：</w:t>
      </w:r>
    </w:p>
    <w:p>
      <w:pPr>
        <w:spacing w:line="240" w:lineRule="auto" w:before="4"/>
        <w:rPr>
          <w:rFonts w:ascii="宋体" w:hAnsi="宋体" w:cs="宋体" w:eastAsia="宋体" w:hint="default"/>
          <w:sz w:val="24"/>
          <w:szCs w:val="24"/>
        </w:rPr>
      </w:pPr>
    </w:p>
    <w:tbl>
      <w:tblPr>
        <w:tblW w:w="0" w:type="auto"/>
        <w:jc w:val="left"/>
        <w:tblInd w:w="398" w:type="dxa"/>
        <w:tblLayout w:type="fixed"/>
        <w:tblCellMar>
          <w:top w:w="0" w:type="dxa"/>
          <w:left w:w="0" w:type="dxa"/>
          <w:bottom w:w="0" w:type="dxa"/>
          <w:right w:w="0" w:type="dxa"/>
        </w:tblCellMar>
        <w:tblLook w:val="01E0"/>
      </w:tblPr>
      <w:tblGrid>
        <w:gridCol w:w="4749"/>
        <w:gridCol w:w="2599"/>
        <w:gridCol w:w="1860"/>
      </w:tblGrid>
      <w:tr>
        <w:trPr>
          <w:trHeight w:val="264" w:hRule="exact"/>
        </w:trPr>
        <w:tc>
          <w:tcPr>
            <w:tcW w:w="4749" w:type="dxa"/>
            <w:tcBorders>
              <w:top w:val="nil" w:sz="6" w:space="0" w:color="auto"/>
              <w:left w:val="nil" w:sz="6" w:space="0" w:color="auto"/>
              <w:bottom w:val="nil" w:sz="6" w:space="0" w:color="auto"/>
              <w:right w:val="nil" w:sz="6" w:space="0" w:color="auto"/>
            </w:tcBorders>
          </w:tcPr>
          <w:p>
            <w:pPr/>
          </w:p>
        </w:tc>
        <w:tc>
          <w:tcPr>
            <w:tcW w:w="2599" w:type="dxa"/>
            <w:tcBorders>
              <w:top w:val="nil" w:sz="6" w:space="0" w:color="auto"/>
              <w:left w:val="nil" w:sz="6" w:space="0" w:color="auto"/>
              <w:bottom w:val="single" w:sz="6" w:space="0" w:color="000000"/>
              <w:right w:val="nil" w:sz="6" w:space="0" w:color="auto"/>
            </w:tcBorders>
          </w:tcPr>
          <w:p>
            <w:pPr>
              <w:pStyle w:val="TableParagraph"/>
              <w:spacing w:line="236" w:lineRule="exact"/>
              <w:ind w:right="374"/>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860" w:type="dxa"/>
            <w:tcBorders>
              <w:top w:val="nil" w:sz="6" w:space="0" w:color="auto"/>
              <w:left w:val="nil" w:sz="6" w:space="0" w:color="auto"/>
              <w:bottom w:val="single" w:sz="6" w:space="0" w:color="000000"/>
              <w:right w:val="nil" w:sz="6" w:space="0" w:color="auto"/>
            </w:tcBorders>
          </w:tcPr>
          <w:p>
            <w:pPr>
              <w:pStyle w:val="TableParagraph"/>
              <w:spacing w:line="236" w:lineRule="exact"/>
              <w:ind w:right="56"/>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613" w:hRule="exact"/>
        </w:trPr>
        <w:tc>
          <w:tcPr>
            <w:tcW w:w="474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稀释后归属于母公司普通股股东的合并净利润</w:t>
            </w:r>
          </w:p>
        </w:tc>
        <w:tc>
          <w:tcPr>
            <w:tcW w:w="2599" w:type="dxa"/>
            <w:tcBorders>
              <w:top w:val="single" w:sz="6" w:space="0" w:color="000000"/>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325"/>
              <w:jc w:val="right"/>
              <w:rPr>
                <w:rFonts w:ascii="Arial" w:hAnsi="Arial" w:cs="Arial" w:eastAsia="Arial" w:hint="default"/>
                <w:sz w:val="22"/>
                <w:szCs w:val="22"/>
              </w:rPr>
            </w:pPr>
            <w:r>
              <w:rPr>
                <w:rFonts w:ascii="Arial"/>
                <w:spacing w:val="-1"/>
                <w:sz w:val="22"/>
              </w:rPr>
              <w:t>3,897,436,097</w:t>
            </w:r>
          </w:p>
        </w:tc>
        <w:tc>
          <w:tcPr>
            <w:tcW w:w="1860"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right"/>
              <w:rPr>
                <w:rFonts w:ascii="Arial" w:hAnsi="Arial" w:cs="Arial" w:eastAsia="Arial" w:hint="default"/>
                <w:sz w:val="22"/>
                <w:szCs w:val="22"/>
              </w:rPr>
            </w:pPr>
            <w:r>
              <w:rPr>
                <w:rFonts w:ascii="Arial"/>
                <w:spacing w:val="-1"/>
                <w:sz w:val="22"/>
              </w:rPr>
              <w:t>3,370,361,183</w:t>
            </w:r>
          </w:p>
        </w:tc>
      </w:tr>
      <w:tr>
        <w:trPr>
          <w:trHeight w:val="600" w:hRule="exact"/>
        </w:trPr>
        <w:tc>
          <w:tcPr>
            <w:tcW w:w="474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本公司发行在外普通股的加权平均数</w:t>
            </w:r>
          </w:p>
        </w:tc>
        <w:tc>
          <w:tcPr>
            <w:tcW w:w="2599" w:type="dxa"/>
            <w:tcBorders>
              <w:top w:val="single" w:sz="6" w:space="0" w:color="000000"/>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25"/>
              <w:jc w:val="right"/>
              <w:rPr>
                <w:rFonts w:ascii="Arial" w:hAnsi="Arial" w:cs="Arial" w:eastAsia="Arial" w:hint="default"/>
                <w:sz w:val="22"/>
                <w:szCs w:val="22"/>
              </w:rPr>
            </w:pPr>
            <w:r>
              <w:rPr>
                <w:rFonts w:ascii="Arial"/>
                <w:spacing w:val="-1"/>
                <w:sz w:val="22"/>
              </w:rPr>
              <w:t>21,196,596,395</w:t>
            </w:r>
          </w:p>
        </w:tc>
        <w:tc>
          <w:tcPr>
            <w:tcW w:w="1860" w:type="dxa"/>
            <w:tcBorders>
              <w:top w:val="single" w:sz="6" w:space="0" w:color="000000"/>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right"/>
              <w:rPr>
                <w:rFonts w:ascii="Arial" w:hAnsi="Arial" w:cs="Arial" w:eastAsia="Arial" w:hint="default"/>
                <w:sz w:val="22"/>
                <w:szCs w:val="22"/>
              </w:rPr>
            </w:pPr>
            <w:r>
              <w:rPr>
                <w:rFonts w:ascii="Arial"/>
                <w:spacing w:val="-1"/>
                <w:sz w:val="22"/>
              </w:rPr>
              <w:t>21,196,596,395</w:t>
            </w:r>
          </w:p>
        </w:tc>
      </w:tr>
      <w:tr>
        <w:trPr>
          <w:trHeight w:val="614" w:hRule="exact"/>
        </w:trPr>
        <w:tc>
          <w:tcPr>
            <w:tcW w:w="474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稀释每股收益</w:t>
            </w:r>
          </w:p>
        </w:tc>
        <w:tc>
          <w:tcPr>
            <w:tcW w:w="2599" w:type="dxa"/>
            <w:tcBorders>
              <w:top w:val="single" w:sz="6" w:space="0" w:color="000000"/>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325"/>
              <w:jc w:val="right"/>
              <w:rPr>
                <w:rFonts w:ascii="Arial" w:hAnsi="Arial" w:cs="Arial" w:eastAsia="Arial" w:hint="default"/>
                <w:sz w:val="22"/>
                <w:szCs w:val="22"/>
              </w:rPr>
            </w:pPr>
            <w:r>
              <w:rPr>
                <w:rFonts w:ascii="Arial"/>
                <w:sz w:val="22"/>
              </w:rPr>
              <w:t>0.1839</w:t>
            </w:r>
          </w:p>
        </w:tc>
        <w:tc>
          <w:tcPr>
            <w:tcW w:w="1860" w:type="dxa"/>
            <w:tcBorders>
              <w:top w:val="single" w:sz="6" w:space="0" w:color="000000"/>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right"/>
              <w:rPr>
                <w:rFonts w:ascii="Arial" w:hAnsi="Arial" w:cs="Arial" w:eastAsia="Arial" w:hint="default"/>
                <w:sz w:val="22"/>
                <w:szCs w:val="22"/>
              </w:rPr>
            </w:pPr>
            <w:r>
              <w:rPr>
                <w:rFonts w:ascii="Arial"/>
                <w:sz w:val="22"/>
              </w:rPr>
              <w:t>0.1590</w:t>
            </w:r>
          </w:p>
        </w:tc>
      </w:tr>
    </w:tbl>
    <w:p>
      <w:pPr>
        <w:spacing w:after="0" w:line="240" w:lineRule="auto"/>
        <w:jc w:val="right"/>
        <w:rPr>
          <w:rFonts w:ascii="Arial" w:hAnsi="Arial" w:cs="Arial" w:eastAsia="Arial" w:hint="default"/>
          <w:sz w:val="22"/>
          <w:szCs w:val="22"/>
        </w:rPr>
        <w:sectPr>
          <w:headerReference w:type="default" r:id="rId121"/>
          <w:pgSz w:w="11910" w:h="16840"/>
          <w:pgMar w:header="1185" w:footer="635" w:top="3040" w:bottom="820" w:left="1260" w:right="940"/>
        </w:sectPr>
      </w:pPr>
    </w:p>
    <w:p>
      <w:pPr>
        <w:spacing w:line="240" w:lineRule="auto" w:before="10"/>
        <w:rPr>
          <w:rFonts w:ascii="宋体" w:hAnsi="宋体" w:cs="宋体" w:eastAsia="宋体" w:hint="default"/>
          <w:sz w:val="16"/>
          <w:szCs w:val="16"/>
        </w:rPr>
      </w:pPr>
    </w:p>
    <w:p>
      <w:pPr>
        <w:pStyle w:val="BodyText"/>
        <w:spacing w:line="240" w:lineRule="auto" w:before="32"/>
        <w:ind w:left="102" w:right="0"/>
        <w:jc w:val="left"/>
      </w:pPr>
      <w:r>
        <w:rPr>
          <w:rFonts w:ascii="Arial" w:hAnsi="Arial" w:cs="Arial" w:eastAsia="Arial" w:hint="default"/>
        </w:rPr>
        <w:t>48</w:t>
      </w:r>
      <w:r>
        <w:rPr/>
        <w:t>、现金流量表项目注释</w:t>
      </w:r>
    </w:p>
    <w:p>
      <w:pPr>
        <w:spacing w:line="240" w:lineRule="auto" w:before="12"/>
        <w:rPr>
          <w:rFonts w:ascii="宋体" w:hAnsi="宋体" w:cs="宋体" w:eastAsia="宋体" w:hint="default"/>
          <w:sz w:val="17"/>
          <w:szCs w:val="17"/>
        </w:rPr>
      </w:pPr>
    </w:p>
    <w:p>
      <w:pPr>
        <w:pStyle w:val="BodyText"/>
        <w:spacing w:line="240" w:lineRule="auto"/>
        <w:ind w:left="102" w:right="0"/>
        <w:jc w:val="left"/>
      </w:pPr>
      <w:r>
        <w:rPr>
          <w:rFonts w:ascii="Arial" w:hAnsi="Arial" w:cs="Arial" w:eastAsia="Arial" w:hint="default"/>
        </w:rPr>
        <w:t>(a) </w:t>
      </w:r>
      <w:r>
        <w:rPr>
          <w:rFonts w:ascii="Arial" w:hAnsi="Arial" w:cs="Arial" w:eastAsia="Arial" w:hint="default"/>
          <w:spacing w:val="27"/>
        </w:rPr>
        <w:t> </w:t>
      </w:r>
      <w:r>
        <w:rPr/>
        <w:t>收到的其他与经营活动有关的现金</w:t>
      </w:r>
    </w:p>
    <w:p>
      <w:pPr>
        <w:spacing w:line="240" w:lineRule="auto" w:before="0"/>
        <w:rPr>
          <w:rFonts w:ascii="宋体" w:hAnsi="宋体" w:cs="宋体" w:eastAsia="宋体" w:hint="default"/>
          <w:sz w:val="23"/>
          <w:szCs w:val="23"/>
        </w:rPr>
      </w:pPr>
    </w:p>
    <w:tbl>
      <w:tblPr>
        <w:tblW w:w="0" w:type="auto"/>
        <w:jc w:val="left"/>
        <w:tblInd w:w="366" w:type="dxa"/>
        <w:tblLayout w:type="fixed"/>
        <w:tblCellMar>
          <w:top w:w="0" w:type="dxa"/>
          <w:left w:w="0" w:type="dxa"/>
          <w:bottom w:w="0" w:type="dxa"/>
          <w:right w:w="0" w:type="dxa"/>
        </w:tblCellMar>
        <w:tblLook w:val="01E0"/>
      </w:tblPr>
      <w:tblGrid>
        <w:gridCol w:w="5001"/>
        <w:gridCol w:w="2475"/>
        <w:gridCol w:w="1810"/>
      </w:tblGrid>
      <w:tr>
        <w:trPr>
          <w:trHeight w:val="265" w:hRule="exact"/>
        </w:trPr>
        <w:tc>
          <w:tcPr>
            <w:tcW w:w="5001" w:type="dxa"/>
            <w:tcBorders>
              <w:top w:val="nil" w:sz="6" w:space="0" w:color="auto"/>
              <w:left w:val="nil" w:sz="6" w:space="0" w:color="auto"/>
              <w:bottom w:val="nil" w:sz="6" w:space="0" w:color="auto"/>
              <w:right w:val="nil" w:sz="6" w:space="0" w:color="auto"/>
            </w:tcBorders>
          </w:tcPr>
          <w:p>
            <w:pPr/>
          </w:p>
        </w:tc>
        <w:tc>
          <w:tcPr>
            <w:tcW w:w="2475" w:type="dxa"/>
            <w:tcBorders>
              <w:top w:val="nil" w:sz="6" w:space="0" w:color="auto"/>
              <w:left w:val="nil" w:sz="6" w:space="0" w:color="auto"/>
              <w:bottom w:val="single" w:sz="6" w:space="0" w:color="000000"/>
              <w:right w:val="nil" w:sz="6" w:space="0" w:color="auto"/>
            </w:tcBorders>
          </w:tcPr>
          <w:p>
            <w:pPr>
              <w:pStyle w:val="TableParagraph"/>
              <w:spacing w:line="236" w:lineRule="exact"/>
              <w:ind w:left="1222"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810" w:type="dxa"/>
            <w:tcBorders>
              <w:top w:val="nil" w:sz="6" w:space="0" w:color="auto"/>
              <w:left w:val="nil" w:sz="6" w:space="0" w:color="auto"/>
              <w:bottom w:val="single" w:sz="6" w:space="0" w:color="000000"/>
              <w:right w:val="nil" w:sz="6" w:space="0" w:color="auto"/>
            </w:tcBorders>
          </w:tcPr>
          <w:p>
            <w:pPr>
              <w:pStyle w:val="TableParagraph"/>
              <w:spacing w:line="236" w:lineRule="exact"/>
              <w:ind w:left="989" w:right="0"/>
              <w:jc w:val="lef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57" w:hRule="exact"/>
        </w:trPr>
        <w:tc>
          <w:tcPr>
            <w:tcW w:w="50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违约赔款收入</w:t>
            </w:r>
          </w:p>
        </w:tc>
        <w:tc>
          <w:tcPr>
            <w:tcW w:w="2475"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833" w:right="0"/>
              <w:jc w:val="left"/>
              <w:rPr>
                <w:rFonts w:ascii="Arial" w:hAnsi="Arial" w:cs="Arial" w:eastAsia="Arial" w:hint="default"/>
                <w:sz w:val="22"/>
                <w:szCs w:val="22"/>
              </w:rPr>
            </w:pPr>
            <w:r>
              <w:rPr>
                <w:rFonts w:ascii="Arial"/>
                <w:sz w:val="22"/>
              </w:rPr>
              <w:t>58,671,227</w:t>
            </w:r>
          </w:p>
        </w:tc>
        <w:tc>
          <w:tcPr>
            <w:tcW w:w="181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09" w:right="0"/>
              <w:jc w:val="left"/>
              <w:rPr>
                <w:rFonts w:ascii="Arial" w:hAnsi="Arial" w:cs="Arial" w:eastAsia="Arial" w:hint="default"/>
                <w:sz w:val="22"/>
                <w:szCs w:val="22"/>
              </w:rPr>
            </w:pPr>
            <w:r>
              <w:rPr>
                <w:rFonts w:ascii="Arial"/>
                <w:sz w:val="22"/>
              </w:rPr>
              <w:t>99,511,975</w:t>
            </w:r>
          </w:p>
        </w:tc>
      </w:tr>
      <w:tr>
        <w:trPr>
          <w:trHeight w:val="286" w:hRule="exact"/>
        </w:trPr>
        <w:tc>
          <w:tcPr>
            <w:tcW w:w="500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10" w:right="0"/>
              <w:jc w:val="left"/>
              <w:rPr>
                <w:rFonts w:ascii="Arial" w:hAnsi="Arial" w:cs="Arial" w:eastAsia="Arial" w:hint="default"/>
                <w:sz w:val="22"/>
                <w:szCs w:val="22"/>
              </w:rPr>
            </w:pPr>
            <w:r>
              <w:rPr>
                <w:rFonts w:ascii="Arial"/>
                <w:sz w:val="22"/>
              </w:rPr>
              <w:t>630,067,922</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87" w:right="0"/>
              <w:jc w:val="left"/>
              <w:rPr>
                <w:rFonts w:ascii="Arial" w:hAnsi="Arial" w:cs="Arial" w:eastAsia="Arial" w:hint="default"/>
                <w:sz w:val="22"/>
                <w:szCs w:val="22"/>
              </w:rPr>
            </w:pPr>
            <w:r>
              <w:rPr>
                <w:rFonts w:ascii="Arial"/>
                <w:sz w:val="22"/>
              </w:rPr>
              <w:t>130,258,097</w:t>
            </w:r>
          </w:p>
        </w:tc>
      </w:tr>
      <w:tr>
        <w:trPr>
          <w:trHeight w:val="419" w:hRule="exact"/>
        </w:trPr>
        <w:tc>
          <w:tcPr>
            <w:tcW w:w="500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475" w:type="dxa"/>
            <w:tcBorders>
              <w:top w:val="nil" w:sz="6" w:space="0" w:color="auto"/>
              <w:left w:val="nil" w:sz="6" w:space="0" w:color="auto"/>
              <w:bottom w:val="nil" w:sz="6" w:space="0" w:color="auto"/>
              <w:right w:val="nil" w:sz="6" w:space="0" w:color="auto"/>
            </w:tcBorders>
          </w:tcPr>
          <w:p>
            <w:pPr>
              <w:pStyle w:val="TableParagraph"/>
              <w:tabs>
                <w:tab w:pos="710" w:val="left" w:leader="none"/>
                <w:tab w:pos="2962" w:val="left" w:leader="none"/>
              </w:tabs>
              <w:spacing w:line="240" w:lineRule="auto" w:before="18"/>
              <w:ind w:right="-488"/>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258,831,985 </w:t>
            </w:r>
            <w:r>
              <w:rPr>
                <w:rFonts w:ascii="Arial"/>
                <w:spacing w:val="-30"/>
                <w:sz w:val="22"/>
                <w:u w:val="single" w:color="000000"/>
              </w:rPr>
              <w:t> </w:t>
            </w:r>
            <w:r>
              <w:rPr>
                <w:rFonts w:ascii="Arial"/>
                <w:spacing w:val="-30"/>
                <w:sz w:val="22"/>
              </w:rPr>
            </w:r>
            <w:r>
              <w:rPr>
                <w:rFonts w:ascii="Arial"/>
                <w:spacing w:val="8"/>
                <w:sz w:val="22"/>
              </w:rPr>
              <w:t> </w:t>
            </w:r>
            <w:r>
              <w:rPr>
                <w:rFonts w:ascii="Arial"/>
                <w:spacing w:val="8"/>
                <w:w w:val="100"/>
                <w:sz w:val="22"/>
              </w:rPr>
            </w:r>
            <w:r>
              <w:rPr>
                <w:rFonts w:ascii="Arial"/>
                <w:w w:val="100"/>
                <w:sz w:val="22"/>
                <w:u w:val="single" w:color="000000"/>
              </w:rPr>
              <w:t> </w:t>
            </w:r>
            <w:r>
              <w:rPr>
                <w:rFonts w:ascii="Arial"/>
                <w:sz w:val="22"/>
                <w:u w:val="single" w:color="000000"/>
              </w:rPr>
              <w:tab/>
            </w:r>
            <w:r>
              <w:rPr>
                <w:rFonts w:ascii="Arial"/>
                <w:sz w:val="22"/>
              </w:rPr>
            </w:r>
          </w:p>
        </w:tc>
        <w:tc>
          <w:tcPr>
            <w:tcW w:w="1810" w:type="dxa"/>
            <w:tcBorders>
              <w:top w:val="nil" w:sz="6" w:space="0" w:color="auto"/>
              <w:left w:val="nil" w:sz="6" w:space="0" w:color="auto"/>
              <w:bottom w:val="nil" w:sz="6" w:space="0" w:color="auto"/>
              <w:right w:val="nil" w:sz="6" w:space="0" w:color="auto"/>
            </w:tcBorders>
          </w:tcPr>
          <w:p>
            <w:pPr>
              <w:pStyle w:val="TableParagraph"/>
              <w:tabs>
                <w:tab w:pos="1809" w:val="left" w:leader="none"/>
              </w:tabs>
              <w:spacing w:line="240" w:lineRule="auto" w:before="18"/>
              <w:ind w:left="487" w:right="0"/>
              <w:jc w:val="left"/>
              <w:rPr>
                <w:rFonts w:ascii="Arial" w:hAnsi="Arial" w:cs="Arial" w:eastAsia="Arial" w:hint="default"/>
                <w:sz w:val="22"/>
                <w:szCs w:val="22"/>
              </w:rPr>
            </w:pPr>
            <w:r>
              <w:rPr>
                <w:rFonts w:ascii="Arial"/>
                <w:w w:val="100"/>
                <w:sz w:val="22"/>
              </w:rPr>
            </w:r>
            <w:r>
              <w:rPr>
                <w:rFonts w:ascii="Arial"/>
                <w:sz w:val="22"/>
                <w:u w:val="single" w:color="000000"/>
              </w:rPr>
              <w:t>129,375,344</w:t>
              <w:tab/>
            </w:r>
            <w:r>
              <w:rPr>
                <w:rFonts w:ascii="Arial"/>
                <w:sz w:val="22"/>
              </w:rPr>
            </w:r>
          </w:p>
        </w:tc>
      </w:tr>
      <w:tr>
        <w:trPr>
          <w:trHeight w:val="433" w:hRule="exact"/>
        </w:trPr>
        <w:tc>
          <w:tcPr>
            <w:tcW w:w="500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475"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left="710" w:right="0"/>
              <w:jc w:val="left"/>
              <w:rPr>
                <w:rFonts w:ascii="Arial" w:hAnsi="Arial" w:cs="Arial" w:eastAsia="Arial" w:hint="default"/>
                <w:sz w:val="22"/>
                <w:szCs w:val="22"/>
              </w:rPr>
            </w:pPr>
            <w:r>
              <w:rPr>
                <w:rFonts w:ascii="Arial"/>
                <w:sz w:val="22"/>
              </w:rPr>
              <w:t>947,571,134</w:t>
            </w:r>
          </w:p>
        </w:tc>
        <w:tc>
          <w:tcPr>
            <w:tcW w:w="1810"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left="487" w:right="0"/>
              <w:jc w:val="left"/>
              <w:rPr>
                <w:rFonts w:ascii="Arial" w:hAnsi="Arial" w:cs="Arial" w:eastAsia="Arial" w:hint="default"/>
                <w:sz w:val="22"/>
                <w:szCs w:val="22"/>
              </w:rPr>
            </w:pPr>
            <w:r>
              <w:rPr>
                <w:rFonts w:ascii="Arial"/>
                <w:sz w:val="22"/>
              </w:rPr>
              <w:t>359,145,416</w:t>
            </w:r>
          </w:p>
        </w:tc>
      </w:tr>
    </w:tbl>
    <w:p>
      <w:pPr>
        <w:spacing w:line="240" w:lineRule="auto" w:before="2"/>
        <w:rPr>
          <w:rFonts w:ascii="宋体" w:hAnsi="宋体" w:cs="宋体" w:eastAsia="宋体" w:hint="default"/>
          <w:sz w:val="12"/>
          <w:szCs w:val="12"/>
        </w:rPr>
      </w:pPr>
    </w:p>
    <w:p>
      <w:pPr>
        <w:pStyle w:val="BodyText"/>
        <w:spacing w:line="240" w:lineRule="auto" w:before="32"/>
        <w:ind w:left="102" w:right="0"/>
        <w:jc w:val="left"/>
      </w:pPr>
      <w:r>
        <w:rPr>
          <w:rFonts w:ascii="Arial" w:hAnsi="Arial" w:cs="Arial" w:eastAsia="Arial" w:hint="default"/>
        </w:rPr>
        <w:t>(b) </w:t>
      </w:r>
      <w:r>
        <w:rPr>
          <w:rFonts w:ascii="Arial" w:hAnsi="Arial" w:cs="Arial" w:eastAsia="Arial" w:hint="default"/>
          <w:spacing w:val="27"/>
        </w:rPr>
        <w:t> </w:t>
      </w:r>
      <w:r>
        <w:rPr/>
        <w:t>支付的其他与经营活动有关的现金</w:t>
      </w:r>
    </w:p>
    <w:p>
      <w:pPr>
        <w:spacing w:line="240" w:lineRule="auto" w:before="13"/>
        <w:rPr>
          <w:rFonts w:ascii="宋体" w:hAnsi="宋体" w:cs="宋体" w:eastAsia="宋体" w:hint="default"/>
          <w:sz w:val="18"/>
          <w:szCs w:val="18"/>
        </w:rPr>
      </w:pPr>
    </w:p>
    <w:tbl>
      <w:tblPr>
        <w:tblW w:w="0" w:type="auto"/>
        <w:jc w:val="left"/>
        <w:tblInd w:w="366" w:type="dxa"/>
        <w:tblLayout w:type="fixed"/>
        <w:tblCellMar>
          <w:top w:w="0" w:type="dxa"/>
          <w:left w:w="0" w:type="dxa"/>
          <w:bottom w:w="0" w:type="dxa"/>
          <w:right w:w="0" w:type="dxa"/>
        </w:tblCellMar>
        <w:tblLook w:val="01E0"/>
      </w:tblPr>
      <w:tblGrid>
        <w:gridCol w:w="5001"/>
        <w:gridCol w:w="2384"/>
        <w:gridCol w:w="1901"/>
      </w:tblGrid>
      <w:tr>
        <w:trPr>
          <w:trHeight w:val="257" w:hRule="exact"/>
        </w:trPr>
        <w:tc>
          <w:tcPr>
            <w:tcW w:w="5001"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single" w:sz="6" w:space="0" w:color="000000"/>
              <w:right w:val="nil" w:sz="6" w:space="0" w:color="auto"/>
            </w:tcBorders>
          </w:tcPr>
          <w:p>
            <w:pPr>
              <w:pStyle w:val="TableParagraph"/>
              <w:spacing w:line="236" w:lineRule="exact"/>
              <w:ind w:left="1222"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901" w:type="dxa"/>
            <w:tcBorders>
              <w:top w:val="nil" w:sz="6" w:space="0" w:color="auto"/>
              <w:left w:val="nil" w:sz="6" w:space="0" w:color="auto"/>
              <w:bottom w:val="single" w:sz="6" w:space="0" w:color="000000"/>
              <w:right w:val="nil" w:sz="6" w:space="0" w:color="auto"/>
            </w:tcBorders>
          </w:tcPr>
          <w:p>
            <w:pPr>
              <w:pStyle w:val="TableParagraph"/>
              <w:spacing w:line="236" w:lineRule="exact"/>
              <w:ind w:left="1080" w:right="0"/>
              <w:jc w:val="lef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494" w:hRule="exact"/>
        </w:trPr>
        <w:tc>
          <w:tcPr>
            <w:tcW w:w="5001" w:type="dxa"/>
            <w:tcBorders>
              <w:top w:val="nil" w:sz="6" w:space="0" w:color="auto"/>
              <w:left w:val="nil" w:sz="6" w:space="0" w:color="auto"/>
              <w:bottom w:val="nil" w:sz="6" w:space="0" w:color="auto"/>
              <w:right w:val="nil" w:sz="6" w:space="0" w:color="auto"/>
            </w:tcBorders>
          </w:tcPr>
          <w:p>
            <w:pPr>
              <w:pStyle w:val="TableParagraph"/>
              <w:spacing w:line="240" w:lineRule="auto" w:before="175"/>
              <w:ind w:left="200" w:right="0"/>
              <w:jc w:val="left"/>
              <w:rPr>
                <w:rFonts w:ascii="宋体" w:hAnsi="宋体" w:cs="宋体" w:eastAsia="宋体" w:hint="default"/>
                <w:sz w:val="22"/>
                <w:szCs w:val="22"/>
              </w:rPr>
            </w:pPr>
            <w:r>
              <w:rPr>
                <w:rFonts w:ascii="宋体" w:hAnsi="宋体" w:cs="宋体" w:eastAsia="宋体" w:hint="default"/>
                <w:sz w:val="22"/>
                <w:szCs w:val="22"/>
              </w:rPr>
              <w:t>办公及交通费</w:t>
            </w:r>
          </w:p>
        </w:tc>
        <w:tc>
          <w:tcPr>
            <w:tcW w:w="2384"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28" w:right="0"/>
              <w:jc w:val="left"/>
              <w:rPr>
                <w:rFonts w:ascii="Arial" w:hAnsi="Arial" w:cs="Arial" w:eastAsia="Arial" w:hint="default"/>
                <w:sz w:val="22"/>
                <w:szCs w:val="22"/>
              </w:rPr>
            </w:pPr>
            <w:r>
              <w:rPr>
                <w:rFonts w:ascii="Arial"/>
                <w:sz w:val="22"/>
              </w:rPr>
              <w:t>1,951,254,785</w:t>
            </w:r>
          </w:p>
        </w:tc>
        <w:tc>
          <w:tcPr>
            <w:tcW w:w="1901"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96" w:right="0"/>
              <w:jc w:val="left"/>
              <w:rPr>
                <w:rFonts w:ascii="Arial" w:hAnsi="Arial" w:cs="Arial" w:eastAsia="Arial" w:hint="default"/>
                <w:sz w:val="22"/>
                <w:szCs w:val="22"/>
              </w:rPr>
            </w:pPr>
            <w:r>
              <w:rPr>
                <w:rFonts w:ascii="Arial"/>
                <w:sz w:val="22"/>
              </w:rPr>
              <w:t>2,480,217,758</w:t>
            </w:r>
          </w:p>
        </w:tc>
      </w:tr>
      <w:tr>
        <w:trPr>
          <w:trHeight w:val="257" w:hRule="exact"/>
        </w:trPr>
        <w:tc>
          <w:tcPr>
            <w:tcW w:w="5001"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宋体" w:hAnsi="宋体" w:cs="宋体" w:eastAsia="宋体" w:hint="default"/>
                <w:sz w:val="22"/>
                <w:szCs w:val="22"/>
              </w:rPr>
            </w:pPr>
            <w:r>
              <w:rPr>
                <w:rFonts w:ascii="宋体" w:hAnsi="宋体" w:cs="宋体" w:eastAsia="宋体" w:hint="default"/>
                <w:sz w:val="22"/>
                <w:szCs w:val="22"/>
              </w:rPr>
              <w:t>水电取暖费</w:t>
            </w: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3"/>
              <w:ind w:left="710" w:right="0"/>
              <w:jc w:val="left"/>
              <w:rPr>
                <w:rFonts w:ascii="Arial" w:hAnsi="Arial" w:cs="Arial" w:eastAsia="Arial" w:hint="default"/>
                <w:sz w:val="22"/>
                <w:szCs w:val="22"/>
              </w:rPr>
            </w:pPr>
            <w:r>
              <w:rPr>
                <w:rFonts w:ascii="Arial"/>
                <w:sz w:val="22"/>
              </w:rPr>
              <w:t>786,611,642</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3"/>
              <w:ind w:left="578" w:right="0"/>
              <w:jc w:val="left"/>
              <w:rPr>
                <w:rFonts w:ascii="Arial" w:hAnsi="Arial" w:cs="Arial" w:eastAsia="Arial" w:hint="default"/>
                <w:sz w:val="22"/>
                <w:szCs w:val="22"/>
              </w:rPr>
            </w:pPr>
            <w:r>
              <w:rPr>
                <w:rFonts w:ascii="Arial"/>
                <w:sz w:val="22"/>
              </w:rPr>
              <w:t>835,208,900</w:t>
            </w:r>
          </w:p>
        </w:tc>
      </w:tr>
      <w:tr>
        <w:trPr>
          <w:trHeight w:val="257" w:hRule="exact"/>
        </w:trPr>
        <w:tc>
          <w:tcPr>
            <w:tcW w:w="5001"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宋体" w:hAnsi="宋体" w:cs="宋体" w:eastAsia="宋体" w:hint="default"/>
                <w:sz w:val="22"/>
                <w:szCs w:val="22"/>
              </w:rPr>
            </w:pPr>
            <w:r>
              <w:rPr>
                <w:rFonts w:ascii="宋体" w:hAnsi="宋体" w:cs="宋体" w:eastAsia="宋体" w:hint="default"/>
                <w:sz w:val="22"/>
                <w:szCs w:val="22"/>
              </w:rPr>
              <w:t>差旅费</w:t>
            </w: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3"/>
              <w:ind w:left="708" w:right="0"/>
              <w:jc w:val="left"/>
              <w:rPr>
                <w:rFonts w:ascii="Arial" w:hAnsi="Arial" w:cs="Arial" w:eastAsia="Arial" w:hint="default"/>
                <w:sz w:val="22"/>
                <w:szCs w:val="22"/>
              </w:rPr>
            </w:pPr>
            <w:r>
              <w:rPr>
                <w:rFonts w:ascii="Arial"/>
                <w:sz w:val="22"/>
              </w:rPr>
              <w:t>207,271,668</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3"/>
              <w:ind w:left="578" w:right="0"/>
              <w:jc w:val="left"/>
              <w:rPr>
                <w:rFonts w:ascii="Arial" w:hAnsi="Arial" w:cs="Arial" w:eastAsia="Arial" w:hint="default"/>
                <w:sz w:val="22"/>
                <w:szCs w:val="22"/>
              </w:rPr>
            </w:pPr>
            <w:r>
              <w:rPr>
                <w:rFonts w:ascii="Arial"/>
                <w:sz w:val="22"/>
              </w:rPr>
              <w:t>236,948,897</w:t>
            </w:r>
          </w:p>
        </w:tc>
      </w:tr>
      <w:tr>
        <w:trPr>
          <w:trHeight w:val="257" w:hRule="exact"/>
        </w:trPr>
        <w:tc>
          <w:tcPr>
            <w:tcW w:w="5001"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宋体" w:hAnsi="宋体" w:cs="宋体" w:eastAsia="宋体" w:hint="default"/>
                <w:sz w:val="22"/>
                <w:szCs w:val="22"/>
              </w:rPr>
            </w:pPr>
            <w:r>
              <w:rPr>
                <w:rFonts w:ascii="宋体" w:hAnsi="宋体" w:cs="宋体" w:eastAsia="宋体" w:hint="default"/>
                <w:sz w:val="22"/>
                <w:szCs w:val="22"/>
              </w:rPr>
              <w:t>违约赔偿支出</w:t>
            </w: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3"/>
              <w:ind w:left="833" w:right="0"/>
              <w:jc w:val="left"/>
              <w:rPr>
                <w:rFonts w:ascii="Arial" w:hAnsi="Arial" w:cs="Arial" w:eastAsia="Arial" w:hint="default"/>
                <w:sz w:val="22"/>
                <w:szCs w:val="22"/>
              </w:rPr>
            </w:pPr>
            <w:r>
              <w:rPr>
                <w:rFonts w:ascii="Arial"/>
                <w:sz w:val="22"/>
              </w:rPr>
              <w:t>25,227,827</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3"/>
              <w:ind w:left="701" w:right="0"/>
              <w:jc w:val="left"/>
              <w:rPr>
                <w:rFonts w:ascii="Arial" w:hAnsi="Arial" w:cs="Arial" w:eastAsia="Arial" w:hint="default"/>
                <w:sz w:val="22"/>
                <w:szCs w:val="22"/>
              </w:rPr>
            </w:pPr>
            <w:r>
              <w:rPr>
                <w:rFonts w:ascii="Arial"/>
                <w:sz w:val="22"/>
              </w:rPr>
              <w:t>39,342,198</w:t>
            </w:r>
          </w:p>
        </w:tc>
      </w:tr>
      <w:tr>
        <w:trPr>
          <w:trHeight w:val="378" w:hRule="exact"/>
        </w:trPr>
        <w:tc>
          <w:tcPr>
            <w:tcW w:w="5001"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384" w:type="dxa"/>
            <w:tcBorders>
              <w:top w:val="nil" w:sz="6" w:space="0" w:color="auto"/>
              <w:left w:val="nil" w:sz="6" w:space="0" w:color="auto"/>
              <w:bottom w:val="nil" w:sz="6" w:space="0" w:color="auto"/>
              <w:right w:val="nil" w:sz="6" w:space="0" w:color="auto"/>
            </w:tcBorders>
          </w:tcPr>
          <w:p>
            <w:pPr>
              <w:pStyle w:val="TableParagraph"/>
              <w:tabs>
                <w:tab w:pos="528" w:val="left" w:leader="none"/>
                <w:tab w:pos="2780" w:val="left" w:leader="none"/>
              </w:tabs>
              <w:spacing w:line="240" w:lineRule="auto" w:before="3"/>
              <w:ind w:right="-397"/>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1,292,758,839 </w:t>
            </w:r>
            <w:r>
              <w:rPr>
                <w:rFonts w:ascii="Arial"/>
                <w:spacing w:val="-29"/>
                <w:sz w:val="22"/>
                <w:u w:val="single" w:color="000000"/>
              </w:rPr>
              <w:t> </w:t>
            </w:r>
            <w:r>
              <w:rPr>
                <w:rFonts w:ascii="Arial"/>
                <w:spacing w:val="-29"/>
                <w:sz w:val="22"/>
              </w:rPr>
            </w:r>
            <w:r>
              <w:rPr>
                <w:rFonts w:ascii="Arial"/>
                <w:spacing w:val="8"/>
                <w:sz w:val="22"/>
              </w:rPr>
              <w:t> </w:t>
            </w:r>
            <w:r>
              <w:rPr>
                <w:rFonts w:ascii="Arial"/>
                <w:spacing w:val="8"/>
                <w:w w:val="100"/>
                <w:sz w:val="22"/>
              </w:rPr>
            </w:r>
            <w:r>
              <w:rPr>
                <w:rFonts w:ascii="Arial"/>
                <w:w w:val="100"/>
                <w:sz w:val="22"/>
                <w:u w:val="single" w:color="000000"/>
              </w:rPr>
              <w:t> </w:t>
            </w:r>
            <w:r>
              <w:rPr>
                <w:rFonts w:ascii="Arial"/>
                <w:sz w:val="22"/>
                <w:u w:val="single" w:color="000000"/>
              </w:rPr>
              <w:tab/>
            </w:r>
            <w:r>
              <w:rPr>
                <w:rFonts w:ascii="Arial"/>
                <w:sz w:val="22"/>
              </w:rPr>
            </w:r>
          </w:p>
        </w:tc>
        <w:tc>
          <w:tcPr>
            <w:tcW w:w="1901" w:type="dxa"/>
            <w:tcBorders>
              <w:top w:val="nil" w:sz="6" w:space="0" w:color="auto"/>
              <w:left w:val="nil" w:sz="6" w:space="0" w:color="auto"/>
              <w:bottom w:val="nil" w:sz="6" w:space="0" w:color="auto"/>
              <w:right w:val="nil" w:sz="6" w:space="0" w:color="auto"/>
            </w:tcBorders>
          </w:tcPr>
          <w:p>
            <w:pPr>
              <w:pStyle w:val="TableParagraph"/>
              <w:tabs>
                <w:tab w:pos="1900" w:val="left" w:leader="none"/>
              </w:tabs>
              <w:spacing w:line="240" w:lineRule="auto" w:before="3"/>
              <w:ind w:left="396" w:right="0"/>
              <w:jc w:val="left"/>
              <w:rPr>
                <w:rFonts w:ascii="Arial" w:hAnsi="Arial" w:cs="Arial" w:eastAsia="Arial" w:hint="default"/>
                <w:sz w:val="22"/>
                <w:szCs w:val="22"/>
              </w:rPr>
            </w:pPr>
            <w:r>
              <w:rPr>
                <w:rFonts w:ascii="Arial"/>
                <w:w w:val="100"/>
                <w:sz w:val="22"/>
              </w:rPr>
            </w:r>
            <w:r>
              <w:rPr>
                <w:rFonts w:ascii="Arial"/>
                <w:sz w:val="22"/>
                <w:u w:val="single" w:color="000000"/>
              </w:rPr>
              <w:t>1,150,465,180</w:t>
              <w:tab/>
            </w:r>
            <w:r>
              <w:rPr>
                <w:rFonts w:ascii="Arial"/>
                <w:sz w:val="22"/>
              </w:rPr>
            </w:r>
          </w:p>
        </w:tc>
      </w:tr>
      <w:tr>
        <w:trPr>
          <w:trHeight w:val="400" w:hRule="exact"/>
        </w:trPr>
        <w:tc>
          <w:tcPr>
            <w:tcW w:w="500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84" w:type="dxa"/>
            <w:tcBorders>
              <w:top w:val="nil" w:sz="6" w:space="0" w:color="auto"/>
              <w:left w:val="nil" w:sz="6" w:space="0" w:color="auto"/>
              <w:bottom w:val="single" w:sz="17" w:space="0" w:color="000000"/>
              <w:right w:val="nil" w:sz="6" w:space="0" w:color="auto"/>
            </w:tcBorders>
          </w:tcPr>
          <w:p>
            <w:pPr>
              <w:pStyle w:val="TableParagraph"/>
              <w:spacing w:line="240" w:lineRule="auto" w:before="124"/>
              <w:ind w:left="528" w:right="0"/>
              <w:jc w:val="left"/>
              <w:rPr>
                <w:rFonts w:ascii="Arial" w:hAnsi="Arial" w:cs="Arial" w:eastAsia="Arial" w:hint="default"/>
                <w:sz w:val="22"/>
                <w:szCs w:val="22"/>
              </w:rPr>
            </w:pPr>
            <w:r>
              <w:rPr>
                <w:rFonts w:ascii="Arial"/>
                <w:sz w:val="22"/>
              </w:rPr>
              <w:t>4,263,124,761</w:t>
            </w:r>
          </w:p>
        </w:tc>
        <w:tc>
          <w:tcPr>
            <w:tcW w:w="1901" w:type="dxa"/>
            <w:tcBorders>
              <w:top w:val="nil" w:sz="6" w:space="0" w:color="auto"/>
              <w:left w:val="nil" w:sz="6" w:space="0" w:color="auto"/>
              <w:bottom w:val="single" w:sz="17" w:space="0" w:color="000000"/>
              <w:right w:val="nil" w:sz="6" w:space="0" w:color="auto"/>
            </w:tcBorders>
          </w:tcPr>
          <w:p>
            <w:pPr>
              <w:pStyle w:val="TableParagraph"/>
              <w:spacing w:line="240" w:lineRule="auto" w:before="124"/>
              <w:ind w:left="396" w:right="0"/>
              <w:jc w:val="left"/>
              <w:rPr>
                <w:rFonts w:ascii="Arial" w:hAnsi="Arial" w:cs="Arial" w:eastAsia="Arial" w:hint="default"/>
                <w:sz w:val="22"/>
                <w:szCs w:val="22"/>
              </w:rPr>
            </w:pPr>
            <w:r>
              <w:rPr>
                <w:rFonts w:ascii="Arial"/>
                <w:sz w:val="22"/>
              </w:rPr>
              <w:t>4,742,182,933</w:t>
            </w:r>
          </w:p>
        </w:tc>
      </w:tr>
    </w:tbl>
    <w:p>
      <w:pPr>
        <w:spacing w:line="240" w:lineRule="auto" w:before="11"/>
        <w:rPr>
          <w:rFonts w:ascii="宋体" w:hAnsi="宋体" w:cs="宋体" w:eastAsia="宋体" w:hint="default"/>
          <w:sz w:val="13"/>
          <w:szCs w:val="13"/>
        </w:rPr>
      </w:pPr>
    </w:p>
    <w:p>
      <w:pPr>
        <w:pStyle w:val="BodyText"/>
        <w:spacing w:line="240" w:lineRule="auto" w:before="32"/>
        <w:ind w:left="102" w:right="0"/>
        <w:jc w:val="left"/>
      </w:pPr>
      <w:r>
        <w:rPr>
          <w:rFonts w:ascii="Arial" w:hAnsi="Arial" w:cs="Arial" w:eastAsia="Arial" w:hint="default"/>
        </w:rPr>
        <w:t>(c) </w:t>
      </w:r>
      <w:r>
        <w:rPr>
          <w:rFonts w:ascii="Arial" w:hAnsi="Arial" w:cs="Arial" w:eastAsia="Arial" w:hint="default"/>
          <w:spacing w:val="40"/>
        </w:rPr>
        <w:t> </w:t>
      </w:r>
      <w:r>
        <w:rPr/>
        <w:t>收到的其他与投资活动有关的现金</w:t>
      </w:r>
    </w:p>
    <w:p>
      <w:pPr>
        <w:spacing w:line="240" w:lineRule="auto" w:before="3"/>
        <w:rPr>
          <w:rFonts w:ascii="宋体" w:hAnsi="宋体" w:cs="宋体" w:eastAsia="宋体" w:hint="default"/>
          <w:sz w:val="23"/>
          <w:szCs w:val="23"/>
        </w:rPr>
      </w:pPr>
    </w:p>
    <w:tbl>
      <w:tblPr>
        <w:tblW w:w="0" w:type="auto"/>
        <w:jc w:val="left"/>
        <w:tblInd w:w="366" w:type="dxa"/>
        <w:tblLayout w:type="fixed"/>
        <w:tblCellMar>
          <w:top w:w="0" w:type="dxa"/>
          <w:left w:w="0" w:type="dxa"/>
          <w:bottom w:w="0" w:type="dxa"/>
          <w:right w:w="0" w:type="dxa"/>
        </w:tblCellMar>
        <w:tblLook w:val="01E0"/>
      </w:tblPr>
      <w:tblGrid>
        <w:gridCol w:w="5001"/>
        <w:gridCol w:w="2575"/>
        <w:gridCol w:w="1688"/>
      </w:tblGrid>
      <w:tr>
        <w:trPr>
          <w:trHeight w:val="264" w:hRule="exact"/>
        </w:trPr>
        <w:tc>
          <w:tcPr>
            <w:tcW w:w="5001" w:type="dxa"/>
            <w:tcBorders>
              <w:top w:val="nil" w:sz="6" w:space="0" w:color="auto"/>
              <w:left w:val="nil" w:sz="6" w:space="0" w:color="auto"/>
              <w:bottom w:val="nil" w:sz="6" w:space="0" w:color="auto"/>
              <w:right w:val="nil" w:sz="6" w:space="0" w:color="auto"/>
            </w:tcBorders>
          </w:tcPr>
          <w:p>
            <w:pPr/>
          </w:p>
        </w:tc>
        <w:tc>
          <w:tcPr>
            <w:tcW w:w="2575" w:type="dxa"/>
            <w:tcBorders>
              <w:top w:val="nil" w:sz="6" w:space="0" w:color="auto"/>
              <w:left w:val="nil" w:sz="6" w:space="0" w:color="auto"/>
              <w:bottom w:val="single" w:sz="6" w:space="0" w:color="000000"/>
              <w:right w:val="nil" w:sz="6" w:space="0" w:color="auto"/>
            </w:tcBorders>
          </w:tcPr>
          <w:p>
            <w:pPr>
              <w:pStyle w:val="TableParagraph"/>
              <w:spacing w:line="236" w:lineRule="exact"/>
              <w:ind w:right="606"/>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688" w:type="dxa"/>
            <w:tcBorders>
              <w:top w:val="nil" w:sz="6" w:space="0" w:color="auto"/>
              <w:left w:val="nil" w:sz="6" w:space="0" w:color="auto"/>
              <w:bottom w:val="single" w:sz="6" w:space="0" w:color="000000"/>
              <w:right w:val="nil" w:sz="6" w:space="0" w:color="auto"/>
            </w:tcBorders>
          </w:tcPr>
          <w:p>
            <w:pPr>
              <w:pStyle w:val="TableParagraph"/>
              <w:spacing w:line="236" w:lineRule="exact"/>
              <w:ind w:right="54"/>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69" w:hRule="exact"/>
        </w:trPr>
        <w:tc>
          <w:tcPr>
            <w:tcW w:w="50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2"/>
                <w:szCs w:val="22"/>
              </w:rPr>
            </w:pPr>
            <w:r>
              <w:rPr>
                <w:rFonts w:ascii="Arial" w:hAnsi="Arial" w:cs="Arial" w:eastAsia="Arial" w:hint="default"/>
                <w:sz w:val="22"/>
                <w:szCs w:val="22"/>
              </w:rPr>
              <w:t>3</w:t>
            </w:r>
            <w:r>
              <w:rPr>
                <w:rFonts w:ascii="Arial" w:hAnsi="Arial" w:cs="Arial" w:eastAsia="Arial" w:hint="default"/>
                <w:spacing w:val="-5"/>
                <w:sz w:val="22"/>
                <w:szCs w:val="22"/>
              </w:rPr>
              <w:t> </w:t>
            </w:r>
            <w:r>
              <w:rPr>
                <w:rFonts w:ascii="宋体" w:hAnsi="宋体" w:cs="宋体" w:eastAsia="宋体" w:hint="default"/>
                <w:sz w:val="22"/>
                <w:szCs w:val="22"/>
              </w:rPr>
              <w:t>个月以上银行存款及限制性存款的减少</w:t>
            </w:r>
          </w:p>
        </w:tc>
        <w:tc>
          <w:tcPr>
            <w:tcW w:w="2575" w:type="dxa"/>
            <w:tcBorders>
              <w:top w:val="single" w:sz="6"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615"/>
              <w:jc w:val="right"/>
              <w:rPr>
                <w:rFonts w:ascii="Arial" w:hAnsi="Arial" w:cs="Arial" w:eastAsia="Arial" w:hint="default"/>
                <w:sz w:val="22"/>
                <w:szCs w:val="22"/>
              </w:rPr>
            </w:pPr>
            <w:r>
              <w:rPr>
                <w:rFonts w:ascii="Arial"/>
                <w:spacing w:val="-1"/>
                <w:sz w:val="22"/>
              </w:rPr>
              <w:t>785,114</w:t>
            </w:r>
          </w:p>
        </w:tc>
        <w:tc>
          <w:tcPr>
            <w:tcW w:w="1688" w:type="dxa"/>
            <w:tcBorders>
              <w:top w:val="single" w:sz="6"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5"/>
              <w:jc w:val="right"/>
              <w:rPr>
                <w:rFonts w:ascii="Arial" w:hAnsi="Arial" w:cs="Arial" w:eastAsia="Arial" w:hint="default"/>
                <w:sz w:val="22"/>
                <w:szCs w:val="22"/>
              </w:rPr>
            </w:pPr>
            <w:r>
              <w:rPr>
                <w:rFonts w:ascii="Arial"/>
                <w:sz w:val="22"/>
              </w:rPr>
              <w:t>8,188,030</w:t>
            </w:r>
          </w:p>
        </w:tc>
      </w:tr>
    </w:tbl>
    <w:p>
      <w:pPr>
        <w:spacing w:line="240" w:lineRule="auto" w:before="11"/>
        <w:rPr>
          <w:rFonts w:ascii="宋体" w:hAnsi="宋体" w:cs="宋体" w:eastAsia="宋体" w:hint="default"/>
          <w:sz w:val="13"/>
          <w:szCs w:val="13"/>
        </w:rPr>
      </w:pPr>
    </w:p>
    <w:p>
      <w:pPr>
        <w:pStyle w:val="BodyText"/>
        <w:spacing w:line="240" w:lineRule="auto" w:before="32"/>
        <w:ind w:left="117" w:right="0"/>
        <w:jc w:val="left"/>
      </w:pPr>
      <w:r>
        <w:rPr>
          <w:rFonts w:ascii="Arial" w:hAnsi="Arial" w:cs="Arial" w:eastAsia="Arial" w:hint="default"/>
        </w:rPr>
        <w:t>(d) </w:t>
      </w:r>
      <w:r>
        <w:rPr>
          <w:rFonts w:ascii="Arial" w:hAnsi="Arial" w:cs="Arial" w:eastAsia="Arial" w:hint="default"/>
          <w:spacing w:val="12"/>
        </w:rPr>
        <w:t> </w:t>
      </w:r>
      <w:r>
        <w:rPr/>
        <w:t>支付的其他与投资活动有关的现金</w:t>
      </w:r>
    </w:p>
    <w:p>
      <w:pPr>
        <w:spacing w:line="240" w:lineRule="auto" w:before="3"/>
        <w:rPr>
          <w:rFonts w:ascii="宋体" w:hAnsi="宋体" w:cs="宋体" w:eastAsia="宋体" w:hint="default"/>
          <w:sz w:val="23"/>
          <w:szCs w:val="23"/>
        </w:rPr>
      </w:pPr>
    </w:p>
    <w:tbl>
      <w:tblPr>
        <w:tblW w:w="0" w:type="auto"/>
        <w:jc w:val="left"/>
        <w:tblInd w:w="366" w:type="dxa"/>
        <w:tblLayout w:type="fixed"/>
        <w:tblCellMar>
          <w:top w:w="0" w:type="dxa"/>
          <w:left w:w="0" w:type="dxa"/>
          <w:bottom w:w="0" w:type="dxa"/>
          <w:right w:w="0" w:type="dxa"/>
        </w:tblCellMar>
        <w:tblLook w:val="01E0"/>
      </w:tblPr>
      <w:tblGrid>
        <w:gridCol w:w="5001"/>
        <w:gridCol w:w="2507"/>
        <w:gridCol w:w="1778"/>
      </w:tblGrid>
      <w:tr>
        <w:trPr>
          <w:trHeight w:val="262" w:hRule="exact"/>
        </w:trPr>
        <w:tc>
          <w:tcPr>
            <w:tcW w:w="5001" w:type="dxa"/>
            <w:tcBorders>
              <w:top w:val="nil" w:sz="6" w:space="0" w:color="auto"/>
              <w:left w:val="nil" w:sz="6" w:space="0" w:color="auto"/>
              <w:bottom w:val="nil" w:sz="6" w:space="0" w:color="auto"/>
              <w:right w:val="nil" w:sz="6" w:space="0" w:color="auto"/>
            </w:tcBorders>
          </w:tcPr>
          <w:p>
            <w:pPr/>
          </w:p>
        </w:tc>
        <w:tc>
          <w:tcPr>
            <w:tcW w:w="2507" w:type="dxa"/>
            <w:tcBorders>
              <w:top w:val="nil" w:sz="6" w:space="0" w:color="auto"/>
              <w:left w:val="nil" w:sz="6" w:space="0" w:color="auto"/>
              <w:bottom w:val="single" w:sz="6" w:space="0" w:color="000000"/>
              <w:right w:val="nil" w:sz="6" w:space="0" w:color="auto"/>
            </w:tcBorders>
          </w:tcPr>
          <w:p>
            <w:pPr>
              <w:pStyle w:val="TableParagraph"/>
              <w:spacing w:line="236" w:lineRule="exact"/>
              <w:ind w:right="522"/>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778" w:type="dxa"/>
            <w:tcBorders>
              <w:top w:val="nil" w:sz="6" w:space="0" w:color="auto"/>
              <w:left w:val="nil" w:sz="6" w:space="0" w:color="auto"/>
              <w:bottom w:val="single" w:sz="6" w:space="0" w:color="000000"/>
              <w:right w:val="nil" w:sz="6" w:space="0" w:color="auto"/>
            </w:tcBorders>
          </w:tcPr>
          <w:p>
            <w:pPr>
              <w:pStyle w:val="TableParagraph"/>
              <w:spacing w:line="236" w:lineRule="exact"/>
              <w:ind w:right="54"/>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71" w:hRule="exact"/>
        </w:trPr>
        <w:tc>
          <w:tcPr>
            <w:tcW w:w="50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Arial" w:hAnsi="Arial" w:cs="Arial" w:eastAsia="Arial" w:hint="default"/>
                <w:sz w:val="22"/>
                <w:szCs w:val="22"/>
              </w:rPr>
              <w:t>3</w:t>
            </w:r>
            <w:r>
              <w:rPr>
                <w:rFonts w:ascii="Arial" w:hAnsi="Arial" w:cs="Arial" w:eastAsia="Arial" w:hint="default"/>
                <w:spacing w:val="-5"/>
                <w:sz w:val="22"/>
                <w:szCs w:val="22"/>
              </w:rPr>
              <w:t> </w:t>
            </w:r>
            <w:r>
              <w:rPr>
                <w:rFonts w:ascii="宋体" w:hAnsi="宋体" w:cs="宋体" w:eastAsia="宋体" w:hint="default"/>
                <w:sz w:val="22"/>
                <w:szCs w:val="22"/>
              </w:rPr>
              <w:t>个月以上银行存款及限制性存款的增加</w:t>
            </w:r>
          </w:p>
        </w:tc>
        <w:tc>
          <w:tcPr>
            <w:tcW w:w="2507" w:type="dxa"/>
            <w:tcBorders>
              <w:top w:val="single" w:sz="6" w:space="0" w:color="000000"/>
              <w:left w:val="nil" w:sz="6" w:space="0" w:color="auto"/>
              <w:bottom w:val="single" w:sz="17"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484"/>
              <w:jc w:val="right"/>
              <w:rPr>
                <w:rFonts w:ascii="Arial" w:hAnsi="Arial" w:cs="Arial" w:eastAsia="Arial" w:hint="default"/>
                <w:sz w:val="22"/>
                <w:szCs w:val="22"/>
              </w:rPr>
            </w:pPr>
            <w:r>
              <w:rPr>
                <w:rFonts w:ascii="Arial"/>
                <w:spacing w:val="-1"/>
                <w:sz w:val="22"/>
              </w:rPr>
              <w:t>(2,144,008)</w:t>
            </w:r>
          </w:p>
        </w:tc>
        <w:tc>
          <w:tcPr>
            <w:tcW w:w="1778" w:type="dxa"/>
            <w:tcBorders>
              <w:top w:val="single" w:sz="6" w:space="0" w:color="000000"/>
              <w:left w:val="nil" w:sz="6" w:space="0" w:color="auto"/>
              <w:bottom w:val="single" w:sz="17"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39"/>
              <w:jc w:val="right"/>
              <w:rPr>
                <w:rFonts w:ascii="Arial" w:hAnsi="Arial" w:cs="Arial" w:eastAsia="Arial" w:hint="default"/>
                <w:sz w:val="22"/>
                <w:szCs w:val="22"/>
              </w:rPr>
            </w:pPr>
            <w:r>
              <w:rPr>
                <w:rFonts w:ascii="Arial"/>
                <w:spacing w:val="-1"/>
                <w:sz w:val="22"/>
              </w:rPr>
              <w:t>(30,309,666)</w:t>
            </w:r>
          </w:p>
        </w:tc>
      </w:tr>
    </w:tbl>
    <w:p>
      <w:pPr>
        <w:spacing w:after="0" w:line="240" w:lineRule="auto"/>
        <w:jc w:val="right"/>
        <w:rPr>
          <w:rFonts w:ascii="Arial" w:hAnsi="Arial" w:cs="Arial" w:eastAsia="Arial" w:hint="default"/>
          <w:sz w:val="22"/>
          <w:szCs w:val="22"/>
        </w:rPr>
        <w:sectPr>
          <w:headerReference w:type="default" r:id="rId122"/>
          <w:pgSz w:w="11910" w:h="16840"/>
          <w:pgMar w:header="1185" w:footer="635" w:top="3040" w:bottom="820" w:left="1280" w:right="860"/>
        </w:sectPr>
      </w:pPr>
    </w:p>
    <w:p>
      <w:pPr>
        <w:spacing w:line="240" w:lineRule="auto" w:before="10"/>
        <w:rPr>
          <w:rFonts w:ascii="宋体" w:hAnsi="宋体" w:cs="宋体" w:eastAsia="宋体" w:hint="default"/>
          <w:sz w:val="16"/>
          <w:szCs w:val="16"/>
        </w:rPr>
      </w:pPr>
    </w:p>
    <w:p>
      <w:pPr>
        <w:pStyle w:val="BodyText"/>
        <w:spacing w:line="367" w:lineRule="auto" w:before="32"/>
        <w:ind w:left="102" w:right="7248"/>
        <w:jc w:val="left"/>
      </w:pPr>
      <w:r>
        <w:rPr>
          <w:rFonts w:ascii="Arial" w:hAnsi="Arial" w:cs="Arial" w:eastAsia="Arial" w:hint="default"/>
          <w:spacing w:val="-1"/>
        </w:rPr>
        <w:t>49</w:t>
      </w:r>
      <w:r>
        <w:rPr>
          <w:spacing w:val="-1"/>
        </w:rPr>
        <w:t>、现金流量表补充资料</w:t>
      </w:r>
      <w:r>
        <w:rPr>
          <w:spacing w:val="-98"/>
        </w:rPr>
        <w:t> </w:t>
      </w:r>
      <w:r>
        <w:rPr>
          <w:spacing w:val="-98"/>
        </w:rPr>
      </w:r>
      <w:r>
        <w:rPr>
          <w:rFonts w:ascii="Arial" w:hAnsi="Arial" w:cs="Arial" w:eastAsia="Arial" w:hint="default"/>
        </w:rPr>
        <w:t>(a)  </w:t>
      </w:r>
      <w:r>
        <w:rPr>
          <w:rFonts w:ascii="Arial" w:hAnsi="Arial" w:cs="Arial" w:eastAsia="Arial" w:hint="default"/>
          <w:spacing w:val="6"/>
        </w:rPr>
        <w:t> </w:t>
      </w:r>
      <w:r>
        <w:rPr/>
        <w:t>现金流量表补充资料</w:t>
      </w:r>
    </w:p>
    <w:p>
      <w:pPr>
        <w:pStyle w:val="BodyText"/>
        <w:spacing w:line="240" w:lineRule="auto" w:before="29"/>
        <w:ind w:left="522" w:right="1639"/>
        <w:jc w:val="left"/>
      </w:pPr>
      <w:r>
        <w:rPr/>
        <w:t>将合并净利润调节为经营活动现金流量：</w:t>
      </w:r>
    </w:p>
    <w:p>
      <w:pPr>
        <w:spacing w:line="240" w:lineRule="auto" w:before="10"/>
        <w:rPr>
          <w:rFonts w:ascii="宋体" w:hAnsi="宋体" w:cs="宋体" w:eastAsia="宋体" w:hint="default"/>
          <w:sz w:val="18"/>
          <w:szCs w:val="18"/>
        </w:rPr>
      </w:pPr>
    </w:p>
    <w:tbl>
      <w:tblPr>
        <w:tblW w:w="0" w:type="auto"/>
        <w:jc w:val="left"/>
        <w:tblInd w:w="349" w:type="dxa"/>
        <w:tblLayout w:type="fixed"/>
        <w:tblCellMar>
          <w:top w:w="0" w:type="dxa"/>
          <w:left w:w="0" w:type="dxa"/>
          <w:bottom w:w="0" w:type="dxa"/>
          <w:right w:w="0" w:type="dxa"/>
        </w:tblCellMar>
        <w:tblLook w:val="01E0"/>
      </w:tblPr>
      <w:tblGrid>
        <w:gridCol w:w="5078"/>
        <w:gridCol w:w="2085"/>
        <w:gridCol w:w="123"/>
        <w:gridCol w:w="2072"/>
      </w:tblGrid>
      <w:tr>
        <w:trPr>
          <w:trHeight w:val="264" w:hRule="exact"/>
        </w:trPr>
        <w:tc>
          <w:tcPr>
            <w:tcW w:w="5078" w:type="dxa"/>
            <w:tcBorders>
              <w:top w:val="nil" w:sz="6" w:space="0" w:color="auto"/>
              <w:left w:val="nil" w:sz="6" w:space="0" w:color="auto"/>
              <w:bottom w:val="nil" w:sz="6" w:space="0" w:color="auto"/>
              <w:right w:val="nil" w:sz="6" w:space="0" w:color="auto"/>
            </w:tcBorders>
          </w:tcPr>
          <w:p>
            <w:pPr/>
          </w:p>
        </w:tc>
        <w:tc>
          <w:tcPr>
            <w:tcW w:w="2085" w:type="dxa"/>
            <w:tcBorders>
              <w:top w:val="nil" w:sz="6" w:space="0" w:color="auto"/>
              <w:left w:val="nil" w:sz="6" w:space="0" w:color="auto"/>
              <w:bottom w:val="single" w:sz="6" w:space="0" w:color="000000"/>
              <w:right w:val="nil" w:sz="6" w:space="0" w:color="auto"/>
            </w:tcBorders>
          </w:tcPr>
          <w:p>
            <w:pPr>
              <w:pStyle w:val="TableParagraph"/>
              <w:spacing w:line="236" w:lineRule="exact"/>
              <w:ind w:right="45"/>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23"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single" w:sz="6" w:space="0" w:color="000000"/>
              <w:right w:val="nil" w:sz="6" w:space="0" w:color="auto"/>
            </w:tcBorders>
          </w:tcPr>
          <w:p>
            <w:pPr>
              <w:pStyle w:val="TableParagraph"/>
              <w:spacing w:line="236" w:lineRule="exact"/>
              <w:ind w:right="54"/>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85"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合并净利润</w:t>
            </w:r>
          </w:p>
        </w:tc>
        <w:tc>
          <w:tcPr>
            <w:tcW w:w="2085"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80"/>
              <w:jc w:val="right"/>
              <w:rPr>
                <w:rFonts w:ascii="Arial" w:hAnsi="Arial" w:cs="Arial" w:eastAsia="Arial" w:hint="default"/>
                <w:sz w:val="22"/>
                <w:szCs w:val="22"/>
              </w:rPr>
            </w:pPr>
            <w:r>
              <w:rPr>
                <w:rFonts w:ascii="Arial"/>
                <w:spacing w:val="-1"/>
                <w:sz w:val="22"/>
              </w:rPr>
              <w:t>11,967,889,610</w:t>
            </w:r>
          </w:p>
        </w:tc>
        <w:tc>
          <w:tcPr>
            <w:tcW w:w="123" w:type="dxa"/>
            <w:tcBorders>
              <w:top w:val="nil" w:sz="6" w:space="0" w:color="auto"/>
              <w:left w:val="nil" w:sz="6" w:space="0" w:color="auto"/>
              <w:bottom w:val="nil" w:sz="6" w:space="0" w:color="auto"/>
              <w:right w:val="nil" w:sz="6" w:space="0" w:color="auto"/>
            </w:tcBorders>
          </w:tcPr>
          <w:p>
            <w:pPr/>
          </w:p>
        </w:tc>
        <w:tc>
          <w:tcPr>
            <w:tcW w:w="2072"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81"/>
              <w:jc w:val="right"/>
              <w:rPr>
                <w:rFonts w:ascii="Arial" w:hAnsi="Arial" w:cs="Arial" w:eastAsia="Arial" w:hint="default"/>
                <w:sz w:val="22"/>
                <w:szCs w:val="22"/>
              </w:rPr>
            </w:pPr>
            <w:r>
              <w:rPr>
                <w:rFonts w:ascii="Arial"/>
                <w:spacing w:val="-1"/>
                <w:sz w:val="22"/>
              </w:rPr>
              <w:t>10,292,436,279</w:t>
            </w:r>
          </w:p>
        </w:tc>
      </w:tr>
      <w:tr>
        <w:trPr>
          <w:trHeight w:val="284"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加：资产减值损失</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0"/>
              <w:jc w:val="right"/>
              <w:rPr>
                <w:rFonts w:ascii="Arial" w:hAnsi="Arial" w:cs="Arial" w:eastAsia="Arial" w:hint="default"/>
                <w:sz w:val="22"/>
                <w:szCs w:val="22"/>
              </w:rPr>
            </w:pPr>
            <w:r>
              <w:rPr>
                <w:rFonts w:ascii="Arial"/>
                <w:spacing w:val="-1"/>
                <w:sz w:val="22"/>
              </w:rPr>
              <w:t>4,023,758,839</w:t>
            </w:r>
          </w:p>
        </w:tc>
        <w:tc>
          <w:tcPr>
            <w:tcW w:w="123"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1"/>
              <w:jc w:val="right"/>
              <w:rPr>
                <w:rFonts w:ascii="Arial" w:hAnsi="Arial" w:cs="Arial" w:eastAsia="Arial" w:hint="default"/>
                <w:sz w:val="22"/>
                <w:szCs w:val="22"/>
              </w:rPr>
            </w:pPr>
            <w:r>
              <w:rPr>
                <w:rFonts w:ascii="Arial"/>
                <w:spacing w:val="-1"/>
                <w:sz w:val="22"/>
              </w:rPr>
              <w:t>4,347,533,230</w:t>
            </w:r>
          </w:p>
        </w:tc>
      </w:tr>
      <w:tr>
        <w:trPr>
          <w:trHeight w:val="286"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39" w:lineRule="exact"/>
              <w:ind w:left="660" w:right="0"/>
              <w:jc w:val="left"/>
              <w:rPr>
                <w:rFonts w:ascii="宋体" w:hAnsi="宋体" w:cs="宋体" w:eastAsia="宋体" w:hint="default"/>
                <w:sz w:val="22"/>
                <w:szCs w:val="22"/>
              </w:rPr>
            </w:pPr>
            <w:r>
              <w:rPr>
                <w:rFonts w:ascii="宋体" w:hAnsi="宋体" w:cs="宋体" w:eastAsia="宋体" w:hint="default"/>
                <w:sz w:val="22"/>
                <w:szCs w:val="22"/>
              </w:rPr>
              <w:t>固定资产折旧</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0"/>
              <w:jc w:val="right"/>
              <w:rPr>
                <w:rFonts w:ascii="Arial" w:hAnsi="Arial" w:cs="Arial" w:eastAsia="Arial" w:hint="default"/>
                <w:sz w:val="22"/>
                <w:szCs w:val="22"/>
              </w:rPr>
            </w:pPr>
            <w:r>
              <w:rPr>
                <w:rFonts w:ascii="Arial"/>
                <w:spacing w:val="-1"/>
                <w:sz w:val="22"/>
              </w:rPr>
              <w:t>69,074,986,773</w:t>
            </w:r>
          </w:p>
        </w:tc>
        <w:tc>
          <w:tcPr>
            <w:tcW w:w="123"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1"/>
              <w:jc w:val="right"/>
              <w:rPr>
                <w:rFonts w:ascii="Arial" w:hAnsi="Arial" w:cs="Arial" w:eastAsia="Arial" w:hint="default"/>
                <w:sz w:val="22"/>
                <w:szCs w:val="22"/>
              </w:rPr>
            </w:pPr>
            <w:r>
              <w:rPr>
                <w:rFonts w:ascii="Arial"/>
                <w:spacing w:val="-1"/>
                <w:sz w:val="22"/>
              </w:rPr>
              <w:t>64,168,965,495</w:t>
            </w:r>
          </w:p>
        </w:tc>
      </w:tr>
      <w:tr>
        <w:trPr>
          <w:trHeight w:val="286"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39" w:lineRule="exact"/>
              <w:ind w:left="660" w:right="0"/>
              <w:jc w:val="left"/>
              <w:rPr>
                <w:rFonts w:ascii="宋体" w:hAnsi="宋体" w:cs="宋体" w:eastAsia="宋体" w:hint="default"/>
                <w:sz w:val="22"/>
                <w:szCs w:val="22"/>
              </w:rPr>
            </w:pPr>
            <w:r>
              <w:rPr>
                <w:rFonts w:ascii="宋体" w:hAnsi="宋体" w:cs="宋体" w:eastAsia="宋体" w:hint="default"/>
                <w:sz w:val="22"/>
                <w:szCs w:val="22"/>
              </w:rPr>
              <w:t>无形资产摊销</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1"/>
              <w:jc w:val="right"/>
              <w:rPr>
                <w:rFonts w:ascii="Arial" w:hAnsi="Arial" w:cs="Arial" w:eastAsia="Arial" w:hint="default"/>
                <w:sz w:val="22"/>
                <w:szCs w:val="22"/>
              </w:rPr>
            </w:pPr>
            <w:r>
              <w:rPr>
                <w:rFonts w:ascii="Arial"/>
                <w:spacing w:val="-1"/>
                <w:sz w:val="22"/>
              </w:rPr>
              <w:t>3,594,597,764</w:t>
            </w:r>
            <w:r>
              <w:rPr>
                <w:rFonts w:ascii="Arial"/>
                <w:sz w:val="22"/>
              </w:rPr>
            </w:r>
          </w:p>
        </w:tc>
        <w:tc>
          <w:tcPr>
            <w:tcW w:w="123"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1"/>
              <w:jc w:val="right"/>
              <w:rPr>
                <w:rFonts w:ascii="Arial" w:hAnsi="Arial" w:cs="Arial" w:eastAsia="Arial" w:hint="default"/>
                <w:sz w:val="22"/>
                <w:szCs w:val="22"/>
              </w:rPr>
            </w:pPr>
            <w:r>
              <w:rPr>
                <w:rFonts w:ascii="Arial"/>
                <w:spacing w:val="-1"/>
                <w:sz w:val="22"/>
              </w:rPr>
              <w:t>2,891,816,905</w:t>
            </w:r>
          </w:p>
        </w:tc>
      </w:tr>
      <w:tr>
        <w:trPr>
          <w:trHeight w:val="286"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39" w:lineRule="exact"/>
              <w:ind w:left="660" w:right="0"/>
              <w:jc w:val="left"/>
              <w:rPr>
                <w:rFonts w:ascii="宋体" w:hAnsi="宋体" w:cs="宋体" w:eastAsia="宋体" w:hint="default"/>
                <w:sz w:val="22"/>
                <w:szCs w:val="22"/>
              </w:rPr>
            </w:pPr>
            <w:r>
              <w:rPr>
                <w:rFonts w:ascii="宋体" w:hAnsi="宋体" w:cs="宋体" w:eastAsia="宋体" w:hint="default"/>
                <w:sz w:val="22"/>
                <w:szCs w:val="22"/>
              </w:rPr>
              <w:t>长期待摊费用减少</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0"/>
              <w:jc w:val="right"/>
              <w:rPr>
                <w:rFonts w:ascii="Arial" w:hAnsi="Arial" w:cs="Arial" w:eastAsia="Arial" w:hint="default"/>
                <w:sz w:val="22"/>
                <w:szCs w:val="22"/>
              </w:rPr>
            </w:pPr>
            <w:r>
              <w:rPr>
                <w:rFonts w:ascii="Arial"/>
                <w:spacing w:val="-1"/>
                <w:sz w:val="22"/>
              </w:rPr>
              <w:t>5,081,184,303</w:t>
            </w:r>
          </w:p>
        </w:tc>
        <w:tc>
          <w:tcPr>
            <w:tcW w:w="123"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1"/>
              <w:jc w:val="right"/>
              <w:rPr>
                <w:rFonts w:ascii="Arial" w:hAnsi="Arial" w:cs="Arial" w:eastAsia="Arial" w:hint="default"/>
                <w:sz w:val="22"/>
                <w:szCs w:val="22"/>
              </w:rPr>
            </w:pPr>
            <w:r>
              <w:rPr>
                <w:rFonts w:ascii="Arial"/>
                <w:spacing w:val="-1"/>
                <w:sz w:val="22"/>
              </w:rPr>
              <w:t>4,005,027,508</w:t>
            </w:r>
          </w:p>
        </w:tc>
      </w:tr>
      <w:tr>
        <w:trPr>
          <w:trHeight w:val="284"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39" w:lineRule="exact"/>
              <w:ind w:left="660" w:right="0"/>
              <w:jc w:val="left"/>
              <w:rPr>
                <w:rFonts w:ascii="宋体" w:hAnsi="宋体" w:cs="宋体" w:eastAsia="宋体" w:hint="default"/>
                <w:sz w:val="22"/>
                <w:szCs w:val="22"/>
              </w:rPr>
            </w:pPr>
            <w:r>
              <w:rPr>
                <w:rFonts w:ascii="宋体" w:hAnsi="宋体" w:cs="宋体" w:eastAsia="宋体" w:hint="default"/>
                <w:sz w:val="22"/>
                <w:szCs w:val="22"/>
              </w:rPr>
              <w:t>长期待摊费用增加</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Arial" w:hAnsi="Arial" w:cs="Arial" w:eastAsia="Arial" w:hint="default"/>
                <w:sz w:val="22"/>
                <w:szCs w:val="22"/>
              </w:rPr>
            </w:pPr>
            <w:r>
              <w:rPr>
                <w:rFonts w:ascii="Arial"/>
                <w:spacing w:val="-1"/>
                <w:sz w:val="22"/>
              </w:rPr>
              <w:t>(5,617,787,824)</w:t>
            </w:r>
          </w:p>
        </w:tc>
        <w:tc>
          <w:tcPr>
            <w:tcW w:w="123"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
              <w:jc w:val="right"/>
              <w:rPr>
                <w:rFonts w:ascii="Arial" w:hAnsi="Arial" w:cs="Arial" w:eastAsia="Arial" w:hint="default"/>
                <w:sz w:val="22"/>
                <w:szCs w:val="22"/>
              </w:rPr>
            </w:pPr>
            <w:r>
              <w:rPr>
                <w:rFonts w:ascii="Arial"/>
                <w:spacing w:val="-1"/>
                <w:sz w:val="22"/>
              </w:rPr>
              <w:t>(4,364,562,418)</w:t>
            </w:r>
          </w:p>
        </w:tc>
      </w:tr>
      <w:tr>
        <w:trPr>
          <w:trHeight w:val="286"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54" w:lineRule="exact"/>
              <w:ind w:left="660" w:right="0"/>
              <w:jc w:val="left"/>
              <w:rPr>
                <w:rFonts w:ascii="Arial" w:hAnsi="Arial" w:cs="Arial" w:eastAsia="Arial" w:hint="default"/>
                <w:sz w:val="22"/>
                <w:szCs w:val="22"/>
              </w:rPr>
            </w:pPr>
            <w:r>
              <w:rPr>
                <w:rFonts w:ascii="宋体" w:hAnsi="宋体" w:cs="宋体" w:eastAsia="宋体" w:hint="default"/>
                <w:sz w:val="22"/>
                <w:szCs w:val="22"/>
              </w:rPr>
              <w:t>处置固定资产、无形资产的净损失</w:t>
            </w:r>
            <w:r>
              <w:rPr>
                <w:rFonts w:ascii="Arial" w:hAnsi="Arial" w:cs="Arial" w:eastAsia="Arial" w:hint="default"/>
                <w:sz w:val="22"/>
                <w:szCs w:val="22"/>
              </w:rPr>
              <w:t>/(</w:t>
            </w:r>
            <w:r>
              <w:rPr>
                <w:rFonts w:ascii="宋体" w:hAnsi="宋体" w:cs="宋体" w:eastAsia="宋体" w:hint="default"/>
                <w:sz w:val="22"/>
                <w:szCs w:val="22"/>
              </w:rPr>
              <w:t>收益</w:t>
            </w:r>
            <w:r>
              <w:rPr>
                <w:rFonts w:ascii="Arial" w:hAnsi="Arial" w:cs="Arial" w:eastAsia="Arial" w:hint="default"/>
                <w:sz w:val="22"/>
                <w:szCs w:val="22"/>
              </w:rPr>
              <w:t>)</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0"/>
              <w:jc w:val="right"/>
              <w:rPr>
                <w:rFonts w:ascii="Arial" w:hAnsi="Arial" w:cs="Arial" w:eastAsia="Arial" w:hint="default"/>
                <w:sz w:val="22"/>
                <w:szCs w:val="22"/>
              </w:rPr>
            </w:pPr>
            <w:r>
              <w:rPr>
                <w:rFonts w:ascii="Arial"/>
                <w:spacing w:val="-1"/>
                <w:sz w:val="22"/>
              </w:rPr>
              <w:t>1,048,130,721</w:t>
            </w:r>
          </w:p>
        </w:tc>
        <w:tc>
          <w:tcPr>
            <w:tcW w:w="123"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Arial" w:hAnsi="Arial" w:cs="Arial" w:eastAsia="Arial" w:hint="default"/>
                <w:sz w:val="22"/>
                <w:szCs w:val="22"/>
              </w:rPr>
            </w:pPr>
            <w:r>
              <w:rPr>
                <w:rFonts w:ascii="Arial"/>
                <w:spacing w:val="-1"/>
                <w:sz w:val="22"/>
              </w:rPr>
              <w:t>(82,467,527)</w:t>
            </w:r>
          </w:p>
        </w:tc>
      </w:tr>
      <w:tr>
        <w:trPr>
          <w:trHeight w:val="286"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38" w:lineRule="exact"/>
              <w:ind w:left="660" w:right="0"/>
              <w:jc w:val="left"/>
              <w:rPr>
                <w:rFonts w:ascii="宋体" w:hAnsi="宋体" w:cs="宋体" w:eastAsia="宋体" w:hint="default"/>
                <w:sz w:val="22"/>
                <w:szCs w:val="22"/>
              </w:rPr>
            </w:pPr>
            <w:r>
              <w:rPr>
                <w:rFonts w:ascii="宋体" w:hAnsi="宋体" w:cs="宋体" w:eastAsia="宋体" w:hint="default"/>
                <w:sz w:val="22"/>
                <w:szCs w:val="22"/>
              </w:rPr>
              <w:t>以股份为基础支付的员工薪酬</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4"/>
              <w:jc w:val="right"/>
              <w:rPr>
                <w:rFonts w:ascii="Arial" w:hAnsi="Arial" w:cs="Arial" w:eastAsia="Arial" w:hint="default"/>
                <w:sz w:val="22"/>
                <w:szCs w:val="22"/>
              </w:rPr>
            </w:pPr>
            <w:r>
              <w:rPr>
                <w:rFonts w:ascii="Arial"/>
                <w:w w:val="100"/>
                <w:sz w:val="22"/>
              </w:rPr>
              <w:t>-</w:t>
            </w:r>
          </w:p>
        </w:tc>
        <w:tc>
          <w:tcPr>
            <w:tcW w:w="123"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1"/>
              <w:jc w:val="right"/>
              <w:rPr>
                <w:rFonts w:ascii="Arial" w:hAnsi="Arial" w:cs="Arial" w:eastAsia="Arial" w:hint="default"/>
                <w:sz w:val="22"/>
                <w:szCs w:val="22"/>
              </w:rPr>
            </w:pPr>
            <w:r>
              <w:rPr>
                <w:rFonts w:ascii="Arial"/>
                <w:spacing w:val="-1"/>
                <w:sz w:val="22"/>
              </w:rPr>
              <w:t>49,954,969</w:t>
            </w:r>
          </w:p>
        </w:tc>
      </w:tr>
      <w:tr>
        <w:trPr>
          <w:trHeight w:val="286"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38" w:lineRule="exact"/>
              <w:ind w:left="660" w:right="0"/>
              <w:jc w:val="left"/>
              <w:rPr>
                <w:rFonts w:ascii="宋体" w:hAnsi="宋体" w:cs="宋体" w:eastAsia="宋体" w:hint="default"/>
                <w:sz w:val="22"/>
                <w:szCs w:val="22"/>
              </w:rPr>
            </w:pPr>
            <w:r>
              <w:rPr>
                <w:rFonts w:ascii="宋体" w:hAnsi="宋体" w:cs="宋体" w:eastAsia="宋体" w:hint="default"/>
                <w:sz w:val="22"/>
                <w:szCs w:val="22"/>
              </w:rPr>
              <w:t>公允价值变动损失</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0"/>
              <w:jc w:val="right"/>
              <w:rPr>
                <w:rFonts w:ascii="Arial" w:hAnsi="Arial" w:cs="Arial" w:eastAsia="Arial" w:hint="default"/>
                <w:sz w:val="22"/>
                <w:szCs w:val="22"/>
              </w:rPr>
            </w:pPr>
            <w:r>
              <w:rPr>
                <w:rFonts w:ascii="Arial"/>
                <w:sz w:val="22"/>
              </w:rPr>
              <w:t>7,311,523</w:t>
            </w:r>
          </w:p>
        </w:tc>
        <w:tc>
          <w:tcPr>
            <w:tcW w:w="123"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2"/>
              <w:jc w:val="right"/>
              <w:rPr>
                <w:rFonts w:ascii="Arial" w:hAnsi="Arial" w:cs="Arial" w:eastAsia="Arial" w:hint="default"/>
                <w:sz w:val="22"/>
                <w:szCs w:val="22"/>
              </w:rPr>
            </w:pPr>
            <w:r>
              <w:rPr>
                <w:rFonts w:ascii="Arial"/>
                <w:w w:val="100"/>
                <w:sz w:val="22"/>
              </w:rPr>
              <w:t>-</w:t>
            </w:r>
          </w:p>
        </w:tc>
      </w:tr>
      <w:tr>
        <w:trPr>
          <w:trHeight w:val="286"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38" w:lineRule="exact"/>
              <w:ind w:left="660"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0"/>
              <w:jc w:val="right"/>
              <w:rPr>
                <w:rFonts w:ascii="Arial" w:hAnsi="Arial" w:cs="Arial" w:eastAsia="Arial" w:hint="default"/>
                <w:sz w:val="22"/>
                <w:szCs w:val="22"/>
              </w:rPr>
            </w:pPr>
            <w:r>
              <w:rPr>
                <w:rFonts w:ascii="Arial"/>
                <w:spacing w:val="-1"/>
                <w:sz w:val="22"/>
              </w:rPr>
              <w:t>3,853,669,068</w:t>
            </w:r>
          </w:p>
        </w:tc>
        <w:tc>
          <w:tcPr>
            <w:tcW w:w="123"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1"/>
              <w:jc w:val="right"/>
              <w:rPr>
                <w:rFonts w:ascii="Arial" w:hAnsi="Arial" w:cs="Arial" w:eastAsia="Arial" w:hint="default"/>
                <w:sz w:val="22"/>
                <w:szCs w:val="22"/>
              </w:rPr>
            </w:pPr>
            <w:r>
              <w:rPr>
                <w:rFonts w:ascii="Arial"/>
                <w:spacing w:val="-1"/>
                <w:sz w:val="22"/>
              </w:rPr>
              <w:t>2,804,270,055</w:t>
            </w:r>
          </w:p>
        </w:tc>
      </w:tr>
      <w:tr>
        <w:trPr>
          <w:trHeight w:val="284"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38" w:lineRule="exact"/>
              <w:ind w:left="660" w:right="0"/>
              <w:jc w:val="left"/>
              <w:rPr>
                <w:rFonts w:ascii="宋体" w:hAnsi="宋体" w:cs="宋体" w:eastAsia="宋体" w:hint="default"/>
                <w:sz w:val="22"/>
                <w:szCs w:val="22"/>
              </w:rPr>
            </w:pPr>
            <w:r>
              <w:rPr>
                <w:rFonts w:ascii="宋体" w:hAnsi="宋体" w:cs="宋体" w:eastAsia="宋体" w:hint="default"/>
                <w:sz w:val="22"/>
                <w:szCs w:val="22"/>
              </w:rPr>
              <w:t>投资收益</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right"/>
              <w:rPr>
                <w:rFonts w:ascii="Arial" w:hAnsi="Arial" w:cs="Arial" w:eastAsia="Arial" w:hint="default"/>
                <w:sz w:val="22"/>
                <w:szCs w:val="22"/>
              </w:rPr>
            </w:pPr>
            <w:r>
              <w:rPr>
                <w:rFonts w:ascii="Arial"/>
                <w:spacing w:val="-1"/>
                <w:sz w:val="22"/>
              </w:rPr>
              <w:t>(363,528,127)</w:t>
            </w:r>
          </w:p>
        </w:tc>
        <w:tc>
          <w:tcPr>
            <w:tcW w:w="123"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right"/>
              <w:rPr>
                <w:rFonts w:ascii="Arial" w:hAnsi="Arial" w:cs="Arial" w:eastAsia="Arial" w:hint="default"/>
                <w:sz w:val="22"/>
                <w:szCs w:val="22"/>
              </w:rPr>
            </w:pPr>
            <w:r>
              <w:rPr>
                <w:rFonts w:ascii="Arial"/>
                <w:spacing w:val="-1"/>
                <w:sz w:val="22"/>
              </w:rPr>
              <w:t>(197,949,012)</w:t>
            </w:r>
          </w:p>
        </w:tc>
      </w:tr>
      <w:tr>
        <w:trPr>
          <w:trHeight w:val="286"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55" w:lineRule="exact"/>
              <w:ind w:left="660" w:right="0"/>
              <w:jc w:val="left"/>
              <w:rPr>
                <w:rFonts w:ascii="宋体" w:hAnsi="宋体" w:cs="宋体" w:eastAsia="宋体" w:hint="default"/>
                <w:sz w:val="22"/>
                <w:szCs w:val="22"/>
              </w:rPr>
            </w:pPr>
            <w:r>
              <w:rPr>
                <w:rFonts w:ascii="宋体" w:hAnsi="宋体" w:cs="宋体" w:eastAsia="宋体" w:hint="default"/>
                <w:sz w:val="22"/>
                <w:szCs w:val="22"/>
              </w:rPr>
              <w:t>递延所得税资产减少</w:t>
            </w:r>
            <w:r>
              <w:rPr>
                <w:rFonts w:ascii="Arial" w:hAnsi="Arial" w:cs="Arial" w:eastAsia="Arial" w:hint="default"/>
                <w:sz w:val="22"/>
                <w:szCs w:val="22"/>
              </w:rPr>
              <w:t>/</w:t>
            </w:r>
            <w:r>
              <w:rPr>
                <w:rFonts w:ascii="宋体" w:hAnsi="宋体" w:cs="宋体" w:eastAsia="宋体" w:hint="default"/>
                <w:sz w:val="22"/>
                <w:szCs w:val="22"/>
              </w:rPr>
              <w:t>（增加）</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2"/>
              <w:jc w:val="right"/>
              <w:rPr>
                <w:rFonts w:ascii="Arial" w:hAnsi="Arial" w:cs="Arial" w:eastAsia="Arial" w:hint="default"/>
                <w:sz w:val="22"/>
                <w:szCs w:val="22"/>
              </w:rPr>
            </w:pPr>
            <w:r>
              <w:rPr>
                <w:rFonts w:ascii="Arial"/>
                <w:spacing w:val="-1"/>
                <w:sz w:val="22"/>
              </w:rPr>
              <w:t>673,526,519</w:t>
            </w:r>
          </w:p>
        </w:tc>
        <w:tc>
          <w:tcPr>
            <w:tcW w:w="123"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Arial" w:hAnsi="Arial" w:cs="Arial" w:eastAsia="Arial" w:hint="default"/>
                <w:sz w:val="22"/>
                <w:szCs w:val="22"/>
              </w:rPr>
            </w:pPr>
            <w:r>
              <w:rPr>
                <w:rFonts w:ascii="Arial"/>
                <w:spacing w:val="-1"/>
                <w:sz w:val="22"/>
              </w:rPr>
              <w:t>(360,727,011)</w:t>
            </w:r>
          </w:p>
        </w:tc>
      </w:tr>
      <w:tr>
        <w:trPr>
          <w:trHeight w:val="286"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55" w:lineRule="exact"/>
              <w:ind w:left="660" w:right="0"/>
              <w:jc w:val="left"/>
              <w:rPr>
                <w:rFonts w:ascii="宋体" w:hAnsi="宋体" w:cs="宋体" w:eastAsia="宋体" w:hint="default"/>
                <w:sz w:val="22"/>
                <w:szCs w:val="22"/>
              </w:rPr>
            </w:pPr>
            <w:r>
              <w:rPr>
                <w:rFonts w:ascii="宋体" w:hAnsi="宋体" w:cs="宋体" w:eastAsia="宋体" w:hint="default"/>
                <w:sz w:val="22"/>
                <w:szCs w:val="22"/>
              </w:rPr>
              <w:t>递延所得税负债（减少）</w:t>
            </w:r>
            <w:r>
              <w:rPr>
                <w:rFonts w:ascii="Arial" w:hAnsi="Arial" w:cs="Arial" w:eastAsia="Arial" w:hint="default"/>
                <w:sz w:val="22"/>
                <w:szCs w:val="22"/>
              </w:rPr>
              <w:t>/</w:t>
            </w:r>
            <w:r>
              <w:rPr>
                <w:rFonts w:ascii="宋体" w:hAnsi="宋体" w:cs="宋体" w:eastAsia="宋体" w:hint="default"/>
                <w:sz w:val="22"/>
                <w:szCs w:val="22"/>
              </w:rPr>
              <w:t>增加</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Arial" w:hAnsi="Arial" w:cs="Arial" w:eastAsia="Arial" w:hint="default"/>
                <w:sz w:val="22"/>
                <w:szCs w:val="22"/>
              </w:rPr>
            </w:pPr>
            <w:r>
              <w:rPr>
                <w:rFonts w:ascii="Arial"/>
                <w:spacing w:val="-1"/>
                <w:sz w:val="22"/>
              </w:rPr>
              <w:t>(18,299,465)</w:t>
            </w:r>
          </w:p>
        </w:tc>
        <w:tc>
          <w:tcPr>
            <w:tcW w:w="123"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1"/>
              <w:jc w:val="right"/>
              <w:rPr>
                <w:rFonts w:ascii="Arial" w:hAnsi="Arial" w:cs="Arial" w:eastAsia="Arial" w:hint="default"/>
                <w:sz w:val="22"/>
                <w:szCs w:val="22"/>
              </w:rPr>
            </w:pPr>
            <w:r>
              <w:rPr>
                <w:rFonts w:ascii="Arial"/>
                <w:sz w:val="22"/>
              </w:rPr>
              <w:t>6,210,933</w:t>
            </w:r>
          </w:p>
        </w:tc>
      </w:tr>
      <w:tr>
        <w:trPr>
          <w:trHeight w:val="284"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39" w:lineRule="exact"/>
              <w:ind w:left="660" w:right="0"/>
              <w:jc w:val="left"/>
              <w:rPr>
                <w:rFonts w:ascii="宋体" w:hAnsi="宋体" w:cs="宋体" w:eastAsia="宋体" w:hint="default"/>
                <w:sz w:val="22"/>
                <w:szCs w:val="22"/>
              </w:rPr>
            </w:pPr>
            <w:r>
              <w:rPr>
                <w:rFonts w:ascii="宋体" w:hAnsi="宋体" w:cs="宋体" w:eastAsia="宋体" w:hint="default"/>
                <w:sz w:val="22"/>
                <w:szCs w:val="22"/>
              </w:rPr>
              <w:t>存货的减少</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2"/>
              <w:jc w:val="right"/>
              <w:rPr>
                <w:rFonts w:ascii="Arial" w:hAnsi="Arial" w:cs="Arial" w:eastAsia="Arial" w:hint="default"/>
                <w:sz w:val="22"/>
                <w:szCs w:val="22"/>
              </w:rPr>
            </w:pPr>
            <w:r>
              <w:rPr>
                <w:rFonts w:ascii="Arial"/>
                <w:spacing w:val="-1"/>
                <w:sz w:val="22"/>
              </w:rPr>
              <w:t>674,101,508</w:t>
            </w:r>
          </w:p>
        </w:tc>
        <w:tc>
          <w:tcPr>
            <w:tcW w:w="123"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1"/>
              <w:jc w:val="right"/>
              <w:rPr>
                <w:rFonts w:ascii="Arial" w:hAnsi="Arial" w:cs="Arial" w:eastAsia="Arial" w:hint="default"/>
                <w:sz w:val="22"/>
                <w:szCs w:val="22"/>
              </w:rPr>
            </w:pPr>
            <w:r>
              <w:rPr>
                <w:rFonts w:ascii="Arial"/>
                <w:spacing w:val="-1"/>
                <w:sz w:val="22"/>
              </w:rPr>
              <w:t>129,098,021</w:t>
            </w:r>
          </w:p>
        </w:tc>
      </w:tr>
      <w:tr>
        <w:trPr>
          <w:trHeight w:val="286"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38" w:lineRule="exact"/>
              <w:ind w:left="660" w:right="0"/>
              <w:jc w:val="left"/>
              <w:rPr>
                <w:rFonts w:ascii="宋体" w:hAnsi="宋体" w:cs="宋体" w:eastAsia="宋体" w:hint="default"/>
                <w:sz w:val="22"/>
                <w:szCs w:val="22"/>
              </w:rPr>
            </w:pPr>
            <w:r>
              <w:rPr>
                <w:rFonts w:ascii="宋体" w:hAnsi="宋体" w:cs="宋体" w:eastAsia="宋体" w:hint="default"/>
                <w:sz w:val="22"/>
                <w:szCs w:val="22"/>
              </w:rPr>
              <w:t>经营性应收项目的增加</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Arial" w:hAnsi="Arial" w:cs="Arial" w:eastAsia="Arial" w:hint="default"/>
                <w:sz w:val="22"/>
                <w:szCs w:val="22"/>
              </w:rPr>
            </w:pPr>
            <w:r>
              <w:rPr>
                <w:rFonts w:ascii="Arial"/>
                <w:spacing w:val="-1"/>
                <w:sz w:val="22"/>
              </w:rPr>
              <w:t>(7,893,196,486)</w:t>
            </w:r>
          </w:p>
        </w:tc>
        <w:tc>
          <w:tcPr>
            <w:tcW w:w="123"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
              <w:jc w:val="right"/>
              <w:rPr>
                <w:rFonts w:ascii="Arial" w:hAnsi="Arial" w:cs="Arial" w:eastAsia="Arial" w:hint="default"/>
                <w:sz w:val="22"/>
                <w:szCs w:val="22"/>
              </w:rPr>
            </w:pPr>
            <w:r>
              <w:rPr>
                <w:rFonts w:ascii="Arial"/>
                <w:spacing w:val="-1"/>
                <w:sz w:val="22"/>
              </w:rPr>
              <w:t>(8,213,760,173)</w:t>
            </w:r>
          </w:p>
        </w:tc>
      </w:tr>
      <w:tr>
        <w:trPr>
          <w:trHeight w:val="293"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38" w:lineRule="exact"/>
              <w:ind w:left="660" w:right="0"/>
              <w:jc w:val="left"/>
              <w:rPr>
                <w:rFonts w:ascii="宋体" w:hAnsi="宋体" w:cs="宋体" w:eastAsia="宋体" w:hint="default"/>
                <w:sz w:val="22"/>
                <w:szCs w:val="22"/>
              </w:rPr>
            </w:pPr>
            <w:r>
              <w:rPr>
                <w:rFonts w:ascii="宋体" w:hAnsi="宋体" w:cs="宋体" w:eastAsia="宋体" w:hint="default"/>
                <w:sz w:val="22"/>
                <w:szCs w:val="22"/>
              </w:rPr>
              <w:t>经营性应付项目的增加</w:t>
            </w:r>
          </w:p>
        </w:tc>
        <w:tc>
          <w:tcPr>
            <w:tcW w:w="2085" w:type="dxa"/>
            <w:tcBorders>
              <w:top w:val="nil" w:sz="6" w:space="0" w:color="auto"/>
              <w:left w:val="nil" w:sz="6" w:space="0" w:color="auto"/>
              <w:bottom w:val="nil" w:sz="6" w:space="0" w:color="auto"/>
              <w:right w:val="nil" w:sz="6" w:space="0" w:color="auto"/>
            </w:tcBorders>
          </w:tcPr>
          <w:p>
            <w:pPr>
              <w:pStyle w:val="TableParagraph"/>
              <w:tabs>
                <w:tab w:pos="592" w:val="left" w:leader="none"/>
                <w:tab w:pos="2080" w:val="left" w:leader="none"/>
              </w:tabs>
              <w:spacing w:line="240" w:lineRule="auto" w:before="20"/>
              <w:ind w:right="1"/>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6,322,835,433</w:t>
              <w:tab/>
            </w:r>
            <w:r>
              <w:rPr>
                <w:rFonts w:ascii="Arial"/>
                <w:spacing w:val="-1"/>
                <w:sz w:val="22"/>
              </w:rPr>
            </w:r>
          </w:p>
        </w:tc>
        <w:tc>
          <w:tcPr>
            <w:tcW w:w="123"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tabs>
                <w:tab w:pos="581" w:val="left" w:leader="none"/>
                <w:tab w:pos="2071"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7,893,617,113</w:t>
              <w:tab/>
            </w:r>
            <w:r>
              <w:rPr>
                <w:rFonts w:ascii="Arial"/>
                <w:spacing w:val="-1"/>
                <w:sz w:val="22"/>
              </w:rPr>
            </w:r>
          </w:p>
        </w:tc>
      </w:tr>
      <w:tr>
        <w:trPr>
          <w:trHeight w:val="306"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2085" w:type="dxa"/>
            <w:tcBorders>
              <w:top w:val="nil" w:sz="6" w:space="0" w:color="auto"/>
              <w:left w:val="nil" w:sz="6" w:space="0" w:color="auto"/>
              <w:bottom w:val="single" w:sz="17" w:space="0" w:color="000000"/>
              <w:right w:val="nil" w:sz="6" w:space="0" w:color="auto"/>
            </w:tcBorders>
          </w:tcPr>
          <w:p>
            <w:pPr>
              <w:pStyle w:val="TableParagraph"/>
              <w:spacing w:line="240" w:lineRule="auto" w:before="27"/>
              <w:ind w:right="83"/>
              <w:jc w:val="right"/>
              <w:rPr>
                <w:rFonts w:ascii="Arial" w:hAnsi="Arial" w:cs="Arial" w:eastAsia="Arial" w:hint="default"/>
                <w:sz w:val="22"/>
                <w:szCs w:val="22"/>
              </w:rPr>
            </w:pPr>
            <w:r>
              <w:rPr>
                <w:rFonts w:ascii="Arial"/>
                <w:spacing w:val="-1"/>
                <w:sz w:val="22"/>
              </w:rPr>
              <w:t>92,429,180,159</w:t>
            </w:r>
          </w:p>
        </w:tc>
        <w:tc>
          <w:tcPr>
            <w:tcW w:w="123"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single" w:sz="17" w:space="0" w:color="000000"/>
              <w:right w:val="nil" w:sz="6" w:space="0" w:color="auto"/>
            </w:tcBorders>
          </w:tcPr>
          <w:p>
            <w:pPr>
              <w:pStyle w:val="TableParagraph"/>
              <w:spacing w:line="240" w:lineRule="auto" w:before="27"/>
              <w:ind w:right="81"/>
              <w:jc w:val="right"/>
              <w:rPr>
                <w:rFonts w:ascii="Arial" w:hAnsi="Arial" w:cs="Arial" w:eastAsia="Arial" w:hint="default"/>
                <w:sz w:val="22"/>
                <w:szCs w:val="22"/>
              </w:rPr>
            </w:pPr>
            <w:r>
              <w:rPr>
                <w:rFonts w:ascii="Arial"/>
                <w:spacing w:val="-1"/>
                <w:sz w:val="22"/>
              </w:rPr>
              <w:t>83,369,464,367</w:t>
            </w:r>
          </w:p>
        </w:tc>
      </w:tr>
    </w:tbl>
    <w:p>
      <w:pPr>
        <w:spacing w:after="0" w:line="240" w:lineRule="auto"/>
        <w:jc w:val="right"/>
        <w:rPr>
          <w:rFonts w:ascii="Arial" w:hAnsi="Arial" w:cs="Arial" w:eastAsia="Arial" w:hint="default"/>
          <w:sz w:val="22"/>
          <w:szCs w:val="22"/>
        </w:rPr>
        <w:sectPr>
          <w:headerReference w:type="default" r:id="rId123"/>
          <w:pgSz w:w="11910" w:h="16840"/>
          <w:pgMar w:header="1185" w:footer="635" w:top="3040" w:bottom="820" w:left="1280" w:right="820"/>
        </w:sectPr>
      </w:pPr>
    </w:p>
    <w:p>
      <w:pPr>
        <w:spacing w:line="240" w:lineRule="auto" w:before="10"/>
        <w:rPr>
          <w:rFonts w:ascii="宋体" w:hAnsi="宋体" w:cs="宋体" w:eastAsia="宋体" w:hint="default"/>
          <w:sz w:val="16"/>
          <w:szCs w:val="16"/>
        </w:rPr>
      </w:pPr>
    </w:p>
    <w:p>
      <w:pPr>
        <w:pStyle w:val="BodyText"/>
        <w:spacing w:line="424" w:lineRule="auto" w:before="32"/>
        <w:ind w:left="102" w:right="6412"/>
        <w:jc w:val="left"/>
      </w:pPr>
      <w:r>
        <w:rPr>
          <w:rFonts w:ascii="Arial" w:hAnsi="Arial" w:cs="Arial" w:eastAsia="Arial" w:hint="default"/>
          <w:spacing w:val="-1"/>
        </w:rPr>
        <w:t>49</w:t>
      </w:r>
      <w:r>
        <w:rPr>
          <w:spacing w:val="-1"/>
        </w:rPr>
        <w:t>、现金流量表补充资料（续）</w:t>
      </w:r>
      <w:r>
        <w:rPr>
          <w:spacing w:val="-95"/>
        </w:rPr>
        <w:t> </w:t>
      </w:r>
      <w:r>
        <w:rPr>
          <w:spacing w:val="-95"/>
        </w:rPr>
      </w:r>
      <w:r>
        <w:rPr>
          <w:rFonts w:ascii="Arial" w:hAnsi="Arial" w:cs="Arial" w:eastAsia="Arial" w:hint="default"/>
        </w:rPr>
        <w:t>(a)  </w:t>
      </w:r>
      <w:r>
        <w:rPr>
          <w:rFonts w:ascii="Arial" w:hAnsi="Arial" w:cs="Arial" w:eastAsia="Arial" w:hint="default"/>
          <w:spacing w:val="2"/>
        </w:rPr>
        <w:t> </w:t>
      </w:r>
      <w:r>
        <w:rPr/>
        <w:t>现金流量表补充资料（续）</w:t>
      </w:r>
    </w:p>
    <w:p>
      <w:pPr>
        <w:pStyle w:val="BodyText"/>
        <w:spacing w:line="240" w:lineRule="auto" w:before="44"/>
        <w:ind w:left="578" w:right="1679"/>
        <w:jc w:val="left"/>
      </w:pPr>
      <w:r>
        <w:rPr/>
        <w:t>现金及现金等价物净变动情况</w:t>
      </w:r>
    </w:p>
    <w:p>
      <w:pPr>
        <w:spacing w:line="240" w:lineRule="auto" w:before="10"/>
        <w:rPr>
          <w:rFonts w:ascii="宋体" w:hAnsi="宋体" w:cs="宋体" w:eastAsia="宋体" w:hint="default"/>
          <w:sz w:val="18"/>
          <w:szCs w:val="18"/>
        </w:rPr>
      </w:pPr>
    </w:p>
    <w:tbl>
      <w:tblPr>
        <w:tblW w:w="0" w:type="auto"/>
        <w:jc w:val="left"/>
        <w:tblInd w:w="344" w:type="dxa"/>
        <w:tblLayout w:type="fixed"/>
        <w:tblCellMar>
          <w:top w:w="0" w:type="dxa"/>
          <w:left w:w="0" w:type="dxa"/>
          <w:bottom w:w="0" w:type="dxa"/>
          <w:right w:w="0" w:type="dxa"/>
        </w:tblCellMar>
        <w:tblLook w:val="01E0"/>
      </w:tblPr>
      <w:tblGrid>
        <w:gridCol w:w="4631"/>
        <w:gridCol w:w="2270"/>
        <w:gridCol w:w="109"/>
        <w:gridCol w:w="2081"/>
      </w:tblGrid>
      <w:tr>
        <w:trPr>
          <w:trHeight w:val="264" w:hRule="exact"/>
        </w:trPr>
        <w:tc>
          <w:tcPr>
            <w:tcW w:w="4631"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single" w:sz="6" w:space="0" w:color="000000"/>
              <w:right w:val="nil" w:sz="6" w:space="0" w:color="auto"/>
            </w:tcBorders>
          </w:tcPr>
          <w:p>
            <w:pPr>
              <w:pStyle w:val="TableParagraph"/>
              <w:spacing w:line="236" w:lineRule="exact"/>
              <w:ind w:right="45"/>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09"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single" w:sz="6" w:space="0" w:color="000000"/>
              <w:right w:val="nil" w:sz="6" w:space="0" w:color="auto"/>
            </w:tcBorders>
          </w:tcPr>
          <w:p>
            <w:pPr>
              <w:pStyle w:val="TableParagraph"/>
              <w:spacing w:line="236" w:lineRule="exact"/>
              <w:ind w:right="55"/>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57" w:hRule="exact"/>
        </w:trPr>
        <w:tc>
          <w:tcPr>
            <w:tcW w:w="463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现金的期末余额</w:t>
            </w:r>
          </w:p>
        </w:tc>
        <w:tc>
          <w:tcPr>
            <w:tcW w:w="227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69"/>
              <w:jc w:val="right"/>
              <w:rPr>
                <w:rFonts w:ascii="Arial" w:hAnsi="Arial" w:cs="Arial" w:eastAsia="Arial" w:hint="default"/>
                <w:sz w:val="22"/>
                <w:szCs w:val="22"/>
              </w:rPr>
            </w:pPr>
            <w:r>
              <w:rPr>
                <w:rFonts w:ascii="Arial"/>
                <w:spacing w:val="-1"/>
                <w:sz w:val="22"/>
              </w:rPr>
              <w:t>24,927,853,181</w:t>
            </w:r>
          </w:p>
        </w:tc>
        <w:tc>
          <w:tcPr>
            <w:tcW w:w="109" w:type="dxa"/>
            <w:tcBorders>
              <w:top w:val="nil" w:sz="6" w:space="0" w:color="auto"/>
              <w:left w:val="nil" w:sz="6" w:space="0" w:color="auto"/>
              <w:bottom w:val="nil" w:sz="6" w:space="0" w:color="auto"/>
              <w:right w:val="nil" w:sz="6" w:space="0" w:color="auto"/>
            </w:tcBorders>
          </w:tcPr>
          <w:p>
            <w:pPr/>
          </w:p>
        </w:tc>
        <w:tc>
          <w:tcPr>
            <w:tcW w:w="2081"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60"/>
              <w:jc w:val="right"/>
              <w:rPr>
                <w:rFonts w:ascii="Arial" w:hAnsi="Arial" w:cs="Arial" w:eastAsia="Arial" w:hint="default"/>
                <w:sz w:val="22"/>
                <w:szCs w:val="22"/>
              </w:rPr>
            </w:pPr>
            <w:r>
              <w:rPr>
                <w:rFonts w:ascii="Arial"/>
                <w:spacing w:val="-1"/>
                <w:sz w:val="22"/>
              </w:rPr>
              <w:t>21,222,341,732</w:t>
            </w:r>
          </w:p>
        </w:tc>
      </w:tr>
      <w:tr>
        <w:trPr>
          <w:trHeight w:val="284" w:hRule="exact"/>
        </w:trPr>
        <w:tc>
          <w:tcPr>
            <w:tcW w:w="463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减：现金的期初余额</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Arial" w:hAnsi="Arial" w:cs="Arial" w:eastAsia="Arial" w:hint="default"/>
                <w:sz w:val="22"/>
                <w:szCs w:val="22"/>
              </w:rPr>
            </w:pPr>
            <w:r>
              <w:rPr>
                <w:rFonts w:ascii="Arial"/>
                <w:spacing w:val="-1"/>
                <w:sz w:val="22"/>
              </w:rPr>
              <w:t>(21,222,341,732)</w:t>
            </w:r>
          </w:p>
        </w:tc>
        <w:tc>
          <w:tcPr>
            <w:tcW w:w="109"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
              <w:jc w:val="right"/>
              <w:rPr>
                <w:rFonts w:ascii="Arial" w:hAnsi="Arial" w:cs="Arial" w:eastAsia="Arial" w:hint="default"/>
                <w:sz w:val="22"/>
                <w:szCs w:val="22"/>
              </w:rPr>
            </w:pPr>
            <w:r>
              <w:rPr>
                <w:rFonts w:ascii="Arial"/>
                <w:spacing w:val="-1"/>
                <w:sz w:val="22"/>
              </w:rPr>
              <w:t>(17,574,448,338)</w:t>
            </w:r>
          </w:p>
        </w:tc>
      </w:tr>
      <w:tr>
        <w:trPr>
          <w:trHeight w:val="286" w:hRule="exact"/>
        </w:trPr>
        <w:tc>
          <w:tcPr>
            <w:tcW w:w="4631"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加：现金等价物的期末余额</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8"/>
              <w:jc w:val="right"/>
              <w:rPr>
                <w:rFonts w:ascii="Arial" w:hAnsi="Arial" w:cs="Arial" w:eastAsia="Arial" w:hint="default"/>
                <w:sz w:val="22"/>
                <w:szCs w:val="22"/>
              </w:rPr>
            </w:pPr>
            <w:r>
              <w:rPr>
                <w:rFonts w:ascii="Arial"/>
                <w:spacing w:val="-1"/>
                <w:sz w:val="22"/>
              </w:rPr>
              <w:t>416,260,926</w:t>
            </w:r>
          </w:p>
        </w:tc>
        <w:tc>
          <w:tcPr>
            <w:tcW w:w="109"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9"/>
              <w:jc w:val="right"/>
              <w:rPr>
                <w:rFonts w:ascii="Arial" w:hAnsi="Arial" w:cs="Arial" w:eastAsia="Arial" w:hint="default"/>
                <w:sz w:val="22"/>
                <w:szCs w:val="22"/>
              </w:rPr>
            </w:pPr>
            <w:r>
              <w:rPr>
                <w:rFonts w:ascii="Arial"/>
                <w:spacing w:val="-1"/>
                <w:sz w:val="22"/>
              </w:rPr>
              <w:t>312,513,216</w:t>
            </w:r>
          </w:p>
        </w:tc>
      </w:tr>
      <w:tr>
        <w:trPr>
          <w:trHeight w:val="293" w:hRule="exact"/>
        </w:trPr>
        <w:tc>
          <w:tcPr>
            <w:tcW w:w="4631"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减：现金等价物的期初余额</w:t>
            </w:r>
          </w:p>
        </w:tc>
        <w:tc>
          <w:tcPr>
            <w:tcW w:w="2270" w:type="dxa"/>
            <w:tcBorders>
              <w:top w:val="nil" w:sz="6" w:space="0" w:color="auto"/>
              <w:left w:val="nil" w:sz="6" w:space="0" w:color="auto"/>
              <w:bottom w:val="nil" w:sz="6" w:space="0" w:color="auto"/>
              <w:right w:val="nil" w:sz="6" w:space="0" w:color="auto"/>
            </w:tcBorders>
          </w:tcPr>
          <w:p>
            <w:pPr>
              <w:pStyle w:val="TableParagraph"/>
              <w:tabs>
                <w:tab w:pos="897"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(312,513,216)</w:t>
            </w:r>
            <w:r>
              <w:rPr>
                <w:rFonts w:ascii="Arial"/>
                <w:spacing w:val="-1"/>
                <w:sz w:val="22"/>
              </w:rPr>
            </w:r>
          </w:p>
        </w:tc>
        <w:tc>
          <w:tcPr>
            <w:tcW w:w="109"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tabs>
                <w:tab w:pos="705" w:val="left" w:leader="none"/>
              </w:tabs>
              <w:spacing w:line="240" w:lineRule="auto" w:before="20"/>
              <w:ind w:right="1"/>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(713,543,031)</w:t>
            </w:r>
            <w:r>
              <w:rPr>
                <w:rFonts w:ascii="Arial"/>
                <w:spacing w:val="-1"/>
                <w:sz w:val="22"/>
              </w:rPr>
            </w:r>
          </w:p>
        </w:tc>
      </w:tr>
      <w:tr>
        <w:trPr>
          <w:trHeight w:val="306" w:hRule="exact"/>
        </w:trPr>
        <w:tc>
          <w:tcPr>
            <w:tcW w:w="4631"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2"/>
                <w:szCs w:val="22"/>
              </w:rPr>
            </w:pPr>
            <w:r>
              <w:rPr>
                <w:rFonts w:ascii="宋体" w:hAnsi="宋体" w:cs="宋体" w:eastAsia="宋体" w:hint="default"/>
                <w:sz w:val="22"/>
                <w:szCs w:val="22"/>
              </w:rPr>
              <w:t>现金及现金等价物净增加额</w:t>
            </w:r>
          </w:p>
        </w:tc>
        <w:tc>
          <w:tcPr>
            <w:tcW w:w="2270" w:type="dxa"/>
            <w:tcBorders>
              <w:top w:val="nil" w:sz="6" w:space="0" w:color="auto"/>
              <w:left w:val="nil" w:sz="6" w:space="0" w:color="auto"/>
              <w:bottom w:val="single" w:sz="17" w:space="0" w:color="000000"/>
              <w:right w:val="nil" w:sz="6" w:space="0" w:color="auto"/>
            </w:tcBorders>
          </w:tcPr>
          <w:p>
            <w:pPr>
              <w:pStyle w:val="TableParagraph"/>
              <w:spacing w:line="240" w:lineRule="auto" w:before="27"/>
              <w:ind w:right="68"/>
              <w:jc w:val="right"/>
              <w:rPr>
                <w:rFonts w:ascii="Arial" w:hAnsi="Arial" w:cs="Arial" w:eastAsia="Arial" w:hint="default"/>
                <w:sz w:val="22"/>
                <w:szCs w:val="22"/>
              </w:rPr>
            </w:pPr>
            <w:r>
              <w:rPr>
                <w:rFonts w:ascii="Arial"/>
                <w:spacing w:val="-1"/>
                <w:sz w:val="22"/>
              </w:rPr>
              <w:t>3,809,259,159</w:t>
            </w:r>
          </w:p>
        </w:tc>
        <w:tc>
          <w:tcPr>
            <w:tcW w:w="109"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single" w:sz="17" w:space="0" w:color="000000"/>
              <w:right w:val="nil" w:sz="6" w:space="0" w:color="auto"/>
            </w:tcBorders>
          </w:tcPr>
          <w:p>
            <w:pPr>
              <w:pStyle w:val="TableParagraph"/>
              <w:spacing w:line="240" w:lineRule="auto" w:before="27"/>
              <w:ind w:right="60"/>
              <w:jc w:val="right"/>
              <w:rPr>
                <w:rFonts w:ascii="Arial" w:hAnsi="Arial" w:cs="Arial" w:eastAsia="Arial" w:hint="default"/>
                <w:sz w:val="22"/>
                <w:szCs w:val="22"/>
              </w:rPr>
            </w:pPr>
            <w:r>
              <w:rPr>
                <w:rFonts w:ascii="Arial"/>
                <w:spacing w:val="-1"/>
                <w:sz w:val="22"/>
              </w:rPr>
              <w:t>3,246,863,579</w:t>
            </w:r>
          </w:p>
        </w:tc>
      </w:tr>
    </w:tbl>
    <w:p>
      <w:pPr>
        <w:pStyle w:val="BodyText"/>
        <w:spacing w:line="265" w:lineRule="exact"/>
        <w:ind w:left="102" w:right="1679"/>
        <w:jc w:val="left"/>
      </w:pPr>
      <w:r>
        <w:rPr>
          <w:rFonts w:ascii="Arial" w:hAnsi="Arial" w:cs="Arial" w:eastAsia="Arial" w:hint="default"/>
        </w:rPr>
        <w:t>(b)  </w:t>
      </w:r>
      <w:r>
        <w:rPr>
          <w:rFonts w:ascii="Arial" w:hAnsi="Arial" w:cs="Arial" w:eastAsia="Arial" w:hint="default"/>
          <w:spacing w:val="5"/>
        </w:rPr>
        <w:t> </w:t>
      </w:r>
      <w:r>
        <w:rPr/>
        <w:t>现金及现金等价物</w:t>
      </w:r>
    </w:p>
    <w:p>
      <w:pPr>
        <w:spacing w:line="240" w:lineRule="auto" w:before="0"/>
        <w:rPr>
          <w:rFonts w:ascii="宋体" w:hAnsi="宋体" w:cs="宋体" w:eastAsia="宋体" w:hint="default"/>
          <w:sz w:val="23"/>
          <w:szCs w:val="23"/>
        </w:rPr>
      </w:pPr>
    </w:p>
    <w:tbl>
      <w:tblPr>
        <w:tblW w:w="0" w:type="auto"/>
        <w:jc w:val="left"/>
        <w:tblInd w:w="344" w:type="dxa"/>
        <w:tblLayout w:type="fixed"/>
        <w:tblCellMar>
          <w:top w:w="0" w:type="dxa"/>
          <w:left w:w="0" w:type="dxa"/>
          <w:bottom w:w="0" w:type="dxa"/>
          <w:right w:w="0" w:type="dxa"/>
        </w:tblCellMar>
        <w:tblLook w:val="01E0"/>
      </w:tblPr>
      <w:tblGrid>
        <w:gridCol w:w="4617"/>
        <w:gridCol w:w="2199"/>
        <w:gridCol w:w="142"/>
        <w:gridCol w:w="2197"/>
      </w:tblGrid>
      <w:tr>
        <w:trPr>
          <w:trHeight w:val="265" w:hRule="exact"/>
        </w:trPr>
        <w:tc>
          <w:tcPr>
            <w:tcW w:w="4617" w:type="dxa"/>
            <w:tcBorders>
              <w:top w:val="nil" w:sz="6" w:space="0" w:color="auto"/>
              <w:left w:val="nil" w:sz="6" w:space="0" w:color="auto"/>
              <w:bottom w:val="nil" w:sz="6" w:space="0" w:color="auto"/>
              <w:right w:val="nil" w:sz="6" w:space="0" w:color="auto"/>
            </w:tcBorders>
          </w:tcPr>
          <w:p>
            <w:pPr/>
          </w:p>
        </w:tc>
        <w:tc>
          <w:tcPr>
            <w:tcW w:w="2199" w:type="dxa"/>
            <w:tcBorders>
              <w:top w:val="nil" w:sz="6" w:space="0" w:color="auto"/>
              <w:left w:val="nil" w:sz="6" w:space="0" w:color="auto"/>
              <w:bottom w:val="single" w:sz="6" w:space="0" w:color="000000"/>
              <w:right w:val="nil" w:sz="6" w:space="0" w:color="auto"/>
            </w:tcBorders>
          </w:tcPr>
          <w:p>
            <w:pPr>
              <w:pStyle w:val="TableParagraph"/>
              <w:spacing w:line="236" w:lineRule="exact"/>
              <w:ind w:left="187"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42" w:type="dxa"/>
            <w:tcBorders>
              <w:top w:val="nil" w:sz="6" w:space="0" w:color="auto"/>
              <w:left w:val="nil" w:sz="6" w:space="0" w:color="auto"/>
              <w:bottom w:val="nil" w:sz="6" w:space="0" w:color="auto"/>
              <w:right w:val="nil" w:sz="6" w:space="0" w:color="auto"/>
            </w:tcBorders>
          </w:tcPr>
          <w:p>
            <w:pPr/>
          </w:p>
        </w:tc>
        <w:tc>
          <w:tcPr>
            <w:tcW w:w="2197" w:type="dxa"/>
            <w:tcBorders>
              <w:top w:val="nil" w:sz="6" w:space="0" w:color="auto"/>
              <w:left w:val="nil" w:sz="6" w:space="0" w:color="auto"/>
              <w:bottom w:val="single" w:sz="6" w:space="0" w:color="000000"/>
              <w:right w:val="nil" w:sz="6" w:space="0" w:color="auto"/>
            </w:tcBorders>
          </w:tcPr>
          <w:p>
            <w:pPr>
              <w:pStyle w:val="TableParagraph"/>
              <w:spacing w:line="236" w:lineRule="exact"/>
              <w:ind w:right="72"/>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4" w:hRule="exact"/>
        </w:trPr>
        <w:tc>
          <w:tcPr>
            <w:tcW w:w="461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现金</w:t>
            </w:r>
          </w:p>
        </w:tc>
        <w:tc>
          <w:tcPr>
            <w:tcW w:w="2199"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67"/>
              <w:jc w:val="right"/>
              <w:rPr>
                <w:rFonts w:ascii="Arial" w:hAnsi="Arial" w:cs="Arial" w:eastAsia="Arial" w:hint="default"/>
                <w:sz w:val="22"/>
                <w:szCs w:val="22"/>
              </w:rPr>
            </w:pPr>
            <w:r>
              <w:rPr>
                <w:rFonts w:ascii="Arial"/>
                <w:spacing w:val="-1"/>
                <w:sz w:val="22"/>
              </w:rPr>
              <w:t>24,927,853,181</w:t>
            </w:r>
          </w:p>
        </w:tc>
        <w:tc>
          <w:tcPr>
            <w:tcW w:w="142" w:type="dxa"/>
            <w:tcBorders>
              <w:top w:val="nil" w:sz="6" w:space="0" w:color="auto"/>
              <w:left w:val="nil" w:sz="6" w:space="0" w:color="auto"/>
              <w:bottom w:val="single" w:sz="6" w:space="0" w:color="000000"/>
              <w:right w:val="nil" w:sz="6" w:space="0" w:color="auto"/>
            </w:tcBorders>
          </w:tcPr>
          <w:p>
            <w:pPr/>
          </w:p>
        </w:tc>
        <w:tc>
          <w:tcPr>
            <w:tcW w:w="2197"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58"/>
              <w:jc w:val="right"/>
              <w:rPr>
                <w:rFonts w:ascii="Arial" w:hAnsi="Arial" w:cs="Arial" w:eastAsia="Arial" w:hint="default"/>
                <w:sz w:val="22"/>
                <w:szCs w:val="22"/>
              </w:rPr>
            </w:pPr>
            <w:r>
              <w:rPr>
                <w:rFonts w:ascii="Arial"/>
                <w:spacing w:val="-1"/>
                <w:sz w:val="22"/>
              </w:rPr>
              <w:t>21,222,341,732</w:t>
            </w:r>
          </w:p>
        </w:tc>
      </w:tr>
      <w:tr>
        <w:trPr>
          <w:trHeight w:val="304" w:hRule="exact"/>
        </w:trPr>
        <w:tc>
          <w:tcPr>
            <w:tcW w:w="4617" w:type="dxa"/>
            <w:tcBorders>
              <w:top w:val="nil" w:sz="6" w:space="0" w:color="auto"/>
              <w:left w:val="nil" w:sz="6" w:space="0" w:color="auto"/>
              <w:bottom w:val="nil" w:sz="6" w:space="0" w:color="auto"/>
              <w:right w:val="single" w:sz="6" w:space="0" w:color="000000"/>
            </w:tcBorders>
          </w:tcPr>
          <w:p>
            <w:pPr>
              <w:pStyle w:val="TableParagraph"/>
              <w:spacing w:line="257" w:lineRule="exact"/>
              <w:ind w:left="200" w:right="0"/>
              <w:jc w:val="left"/>
              <w:rPr>
                <w:rFonts w:ascii="宋体" w:hAnsi="宋体" w:cs="宋体" w:eastAsia="宋体" w:hint="default"/>
                <w:sz w:val="22"/>
                <w:szCs w:val="22"/>
              </w:rPr>
            </w:pPr>
            <w:r>
              <w:rPr>
                <w:rFonts w:ascii="宋体" w:hAnsi="宋体" w:cs="宋体" w:eastAsia="宋体" w:hint="default"/>
                <w:sz w:val="22"/>
                <w:szCs w:val="22"/>
              </w:rPr>
              <w:t>其中：库存现金</w:t>
            </w:r>
          </w:p>
        </w:tc>
        <w:tc>
          <w:tcPr>
            <w:tcW w:w="2199" w:type="dxa"/>
            <w:tcBorders>
              <w:top w:val="single" w:sz="6" w:space="0" w:color="000000"/>
              <w:left w:val="single" w:sz="6" w:space="0" w:color="000000"/>
              <w:bottom w:val="nil" w:sz="6" w:space="0" w:color="auto"/>
              <w:right w:val="nil" w:sz="6" w:space="0" w:color="auto"/>
            </w:tcBorders>
          </w:tcPr>
          <w:p>
            <w:pPr>
              <w:pStyle w:val="TableParagraph"/>
              <w:spacing w:line="240" w:lineRule="auto" w:before="31"/>
              <w:ind w:right="67"/>
              <w:jc w:val="right"/>
              <w:rPr>
                <w:rFonts w:ascii="Arial" w:hAnsi="Arial" w:cs="Arial" w:eastAsia="Arial" w:hint="default"/>
                <w:sz w:val="22"/>
                <w:szCs w:val="22"/>
              </w:rPr>
            </w:pPr>
            <w:r>
              <w:rPr>
                <w:rFonts w:ascii="Arial"/>
                <w:sz w:val="22"/>
              </w:rPr>
              <w:t>3,339,741</w:t>
            </w:r>
          </w:p>
        </w:tc>
        <w:tc>
          <w:tcPr>
            <w:tcW w:w="142" w:type="dxa"/>
            <w:tcBorders>
              <w:top w:val="single" w:sz="6" w:space="0" w:color="000000"/>
              <w:left w:val="nil" w:sz="6" w:space="0" w:color="auto"/>
              <w:bottom w:val="nil" w:sz="6" w:space="0" w:color="auto"/>
              <w:right w:val="nil" w:sz="6" w:space="0" w:color="auto"/>
            </w:tcBorders>
          </w:tcPr>
          <w:p>
            <w:pPr/>
          </w:p>
        </w:tc>
        <w:tc>
          <w:tcPr>
            <w:tcW w:w="2197" w:type="dxa"/>
            <w:tcBorders>
              <w:top w:val="single" w:sz="6" w:space="0" w:color="000000"/>
              <w:left w:val="nil" w:sz="6" w:space="0" w:color="auto"/>
              <w:bottom w:val="nil" w:sz="6" w:space="0" w:color="auto"/>
              <w:right w:val="single" w:sz="6" w:space="0" w:color="000000"/>
            </w:tcBorders>
          </w:tcPr>
          <w:p>
            <w:pPr>
              <w:pStyle w:val="TableParagraph"/>
              <w:spacing w:line="240" w:lineRule="auto" w:before="31"/>
              <w:ind w:right="57"/>
              <w:jc w:val="right"/>
              <w:rPr>
                <w:rFonts w:ascii="Arial" w:hAnsi="Arial" w:cs="Arial" w:eastAsia="Arial" w:hint="default"/>
                <w:sz w:val="22"/>
                <w:szCs w:val="22"/>
              </w:rPr>
            </w:pPr>
            <w:r>
              <w:rPr>
                <w:rFonts w:ascii="Arial"/>
                <w:sz w:val="22"/>
              </w:rPr>
              <w:t>3,124,700</w:t>
            </w:r>
          </w:p>
        </w:tc>
      </w:tr>
      <w:tr>
        <w:trPr>
          <w:trHeight w:val="282" w:hRule="exact"/>
        </w:trPr>
        <w:tc>
          <w:tcPr>
            <w:tcW w:w="4617" w:type="dxa"/>
            <w:tcBorders>
              <w:top w:val="nil" w:sz="6" w:space="0" w:color="auto"/>
              <w:left w:val="nil" w:sz="6" w:space="0" w:color="auto"/>
              <w:bottom w:val="nil" w:sz="6" w:space="0" w:color="auto"/>
              <w:right w:val="single" w:sz="6" w:space="0" w:color="000000"/>
            </w:tcBorders>
          </w:tcPr>
          <w:p>
            <w:pPr>
              <w:pStyle w:val="TableParagraph"/>
              <w:spacing w:line="238" w:lineRule="exact"/>
              <w:ind w:left="864" w:right="0"/>
              <w:jc w:val="left"/>
              <w:rPr>
                <w:rFonts w:ascii="宋体" w:hAnsi="宋体" w:cs="宋体" w:eastAsia="宋体" w:hint="default"/>
                <w:sz w:val="22"/>
                <w:szCs w:val="22"/>
              </w:rPr>
            </w:pPr>
            <w:r>
              <w:rPr>
                <w:rFonts w:ascii="宋体" w:hAnsi="宋体" w:cs="宋体" w:eastAsia="宋体" w:hint="default"/>
                <w:sz w:val="22"/>
                <w:szCs w:val="22"/>
              </w:rPr>
              <w:t>可随时用于支付的银行存款</w:t>
            </w:r>
          </w:p>
        </w:tc>
        <w:tc>
          <w:tcPr>
            <w:tcW w:w="2199" w:type="dxa"/>
            <w:tcBorders>
              <w:top w:val="nil" w:sz="6" w:space="0" w:color="auto"/>
              <w:left w:val="single" w:sz="6" w:space="0" w:color="000000"/>
              <w:bottom w:val="single" w:sz="6" w:space="0" w:color="000000"/>
              <w:right w:val="nil" w:sz="6" w:space="0" w:color="auto"/>
            </w:tcBorders>
          </w:tcPr>
          <w:p>
            <w:pPr>
              <w:pStyle w:val="TableParagraph"/>
              <w:spacing w:line="240" w:lineRule="auto" w:before="17"/>
              <w:ind w:right="67"/>
              <w:jc w:val="right"/>
              <w:rPr>
                <w:rFonts w:ascii="Arial" w:hAnsi="Arial" w:cs="Arial" w:eastAsia="Arial" w:hint="default"/>
                <w:sz w:val="22"/>
                <w:szCs w:val="22"/>
              </w:rPr>
            </w:pPr>
            <w:r>
              <w:rPr>
                <w:rFonts w:ascii="Arial"/>
                <w:spacing w:val="-1"/>
                <w:sz w:val="22"/>
              </w:rPr>
              <w:t>24,924,513,440</w:t>
            </w:r>
          </w:p>
        </w:tc>
        <w:tc>
          <w:tcPr>
            <w:tcW w:w="142" w:type="dxa"/>
            <w:tcBorders>
              <w:top w:val="nil" w:sz="6" w:space="0" w:color="auto"/>
              <w:left w:val="nil" w:sz="6" w:space="0" w:color="auto"/>
              <w:bottom w:val="single" w:sz="6" w:space="0" w:color="000000"/>
              <w:right w:val="nil" w:sz="6" w:space="0" w:color="auto"/>
            </w:tcBorders>
          </w:tcPr>
          <w:p>
            <w:pPr/>
          </w:p>
        </w:tc>
        <w:tc>
          <w:tcPr>
            <w:tcW w:w="2197" w:type="dxa"/>
            <w:tcBorders>
              <w:top w:val="nil" w:sz="6" w:space="0" w:color="auto"/>
              <w:left w:val="nil" w:sz="6" w:space="0" w:color="auto"/>
              <w:bottom w:val="single" w:sz="6" w:space="0" w:color="000000"/>
              <w:right w:val="single" w:sz="6" w:space="0" w:color="000000"/>
            </w:tcBorders>
          </w:tcPr>
          <w:p>
            <w:pPr>
              <w:pStyle w:val="TableParagraph"/>
              <w:spacing w:line="240" w:lineRule="auto" w:before="17"/>
              <w:ind w:right="58"/>
              <w:jc w:val="right"/>
              <w:rPr>
                <w:rFonts w:ascii="Arial" w:hAnsi="Arial" w:cs="Arial" w:eastAsia="Arial" w:hint="default"/>
                <w:sz w:val="22"/>
                <w:szCs w:val="22"/>
              </w:rPr>
            </w:pPr>
            <w:r>
              <w:rPr>
                <w:rFonts w:ascii="Arial"/>
                <w:spacing w:val="-1"/>
                <w:sz w:val="22"/>
              </w:rPr>
              <w:t>21,219,217,032</w:t>
            </w:r>
          </w:p>
        </w:tc>
      </w:tr>
      <w:tr>
        <w:trPr>
          <w:trHeight w:val="690" w:hRule="exact"/>
        </w:trPr>
        <w:tc>
          <w:tcPr>
            <w:tcW w:w="46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199"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tabs>
                <w:tab w:pos="902" w:val="left" w:leader="none"/>
                <w:tab w:pos="2198" w:val="left" w:leader="none"/>
              </w:tabs>
              <w:spacing w:line="240" w:lineRule="auto"/>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416,260,926</w:t>
              <w:tab/>
            </w:r>
            <w:r>
              <w:rPr>
                <w:rFonts w:ascii="Arial"/>
                <w:spacing w:val="-1"/>
                <w:sz w:val="22"/>
              </w:rPr>
            </w:r>
          </w:p>
        </w:tc>
        <w:tc>
          <w:tcPr>
            <w:tcW w:w="142" w:type="dxa"/>
            <w:tcBorders>
              <w:top w:val="single" w:sz="6" w:space="0" w:color="000000"/>
              <w:left w:val="nil" w:sz="6" w:space="0" w:color="auto"/>
              <w:bottom w:val="nil" w:sz="6" w:space="0" w:color="auto"/>
              <w:right w:val="nil" w:sz="6" w:space="0" w:color="auto"/>
            </w:tcBorders>
          </w:tcPr>
          <w:p>
            <w:pPr/>
          </w:p>
        </w:tc>
        <w:tc>
          <w:tcPr>
            <w:tcW w:w="2197"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tabs>
                <w:tab w:pos="910" w:val="left" w:leader="none"/>
              </w:tabs>
              <w:spacing w:line="240" w:lineRule="auto"/>
              <w:ind w:right="57"/>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312,513,216</w:t>
            </w:r>
            <w:r>
              <w:rPr>
                <w:rFonts w:ascii="Arial"/>
                <w:spacing w:val="-1"/>
                <w:sz w:val="22"/>
              </w:rPr>
            </w:r>
          </w:p>
        </w:tc>
      </w:tr>
      <w:tr>
        <w:trPr>
          <w:trHeight w:val="430" w:hRule="exact"/>
        </w:trPr>
        <w:tc>
          <w:tcPr>
            <w:tcW w:w="461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期末现金及现金等价物余额</w:t>
            </w:r>
          </w:p>
        </w:tc>
        <w:tc>
          <w:tcPr>
            <w:tcW w:w="2199"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67"/>
              <w:jc w:val="right"/>
              <w:rPr>
                <w:rFonts w:ascii="Arial" w:hAnsi="Arial" w:cs="Arial" w:eastAsia="Arial" w:hint="default"/>
                <w:sz w:val="22"/>
                <w:szCs w:val="22"/>
              </w:rPr>
            </w:pPr>
            <w:r>
              <w:rPr>
                <w:rFonts w:ascii="Arial"/>
                <w:spacing w:val="-1"/>
                <w:sz w:val="22"/>
              </w:rPr>
              <w:t>25,344,114,107</w:t>
            </w:r>
          </w:p>
        </w:tc>
        <w:tc>
          <w:tcPr>
            <w:tcW w:w="142" w:type="dxa"/>
            <w:tcBorders>
              <w:top w:val="nil" w:sz="6" w:space="0" w:color="auto"/>
              <w:left w:val="nil" w:sz="6" w:space="0" w:color="auto"/>
              <w:bottom w:val="nil" w:sz="6" w:space="0" w:color="auto"/>
              <w:right w:val="nil" w:sz="6" w:space="0" w:color="auto"/>
            </w:tcBorders>
          </w:tcPr>
          <w:p>
            <w:pPr/>
          </w:p>
        </w:tc>
        <w:tc>
          <w:tcPr>
            <w:tcW w:w="2197"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58"/>
              <w:jc w:val="right"/>
              <w:rPr>
                <w:rFonts w:ascii="Arial" w:hAnsi="Arial" w:cs="Arial" w:eastAsia="Arial" w:hint="default"/>
                <w:sz w:val="22"/>
                <w:szCs w:val="22"/>
              </w:rPr>
            </w:pPr>
            <w:r>
              <w:rPr>
                <w:rFonts w:ascii="Arial"/>
                <w:spacing w:val="-1"/>
                <w:sz w:val="22"/>
              </w:rPr>
              <w:t>21,534,854,948</w:t>
            </w:r>
          </w:p>
        </w:tc>
      </w:tr>
      <w:tr>
        <w:trPr>
          <w:trHeight w:val="301" w:hRule="exact"/>
        </w:trPr>
        <w:tc>
          <w:tcPr>
            <w:tcW w:w="4617" w:type="dxa"/>
            <w:tcBorders>
              <w:top w:val="nil" w:sz="6" w:space="0" w:color="auto"/>
              <w:left w:val="nil" w:sz="6" w:space="0" w:color="auto"/>
              <w:bottom w:val="nil" w:sz="6" w:space="0" w:color="auto"/>
              <w:right w:val="nil" w:sz="6" w:space="0" w:color="auto"/>
            </w:tcBorders>
          </w:tcPr>
          <w:p>
            <w:pPr>
              <w:pStyle w:val="TableParagraph"/>
              <w:spacing w:line="273" w:lineRule="exact"/>
              <w:ind w:left="200" w:right="0"/>
              <w:jc w:val="left"/>
              <w:rPr>
                <w:rFonts w:ascii="宋体" w:hAnsi="宋体" w:cs="宋体" w:eastAsia="宋体" w:hint="default"/>
                <w:sz w:val="22"/>
                <w:szCs w:val="22"/>
              </w:rPr>
            </w:pPr>
            <w:r>
              <w:rPr>
                <w:rFonts w:ascii="宋体" w:hAnsi="宋体" w:cs="宋体" w:eastAsia="宋体" w:hint="default"/>
                <w:sz w:val="22"/>
                <w:szCs w:val="22"/>
              </w:rPr>
              <w:t>其中：使用受限制的现金及现金等价物</w:t>
            </w:r>
          </w:p>
        </w:tc>
        <w:tc>
          <w:tcPr>
            <w:tcW w:w="2199" w:type="dxa"/>
            <w:tcBorders>
              <w:top w:val="single" w:sz="17" w:space="0" w:color="000000"/>
              <w:left w:val="nil" w:sz="6" w:space="0" w:color="auto"/>
              <w:bottom w:val="nil" w:sz="6" w:space="0" w:color="auto"/>
              <w:right w:val="nil" w:sz="6" w:space="0" w:color="auto"/>
            </w:tcBorders>
          </w:tcPr>
          <w:p>
            <w:pPr>
              <w:pStyle w:val="TableParagraph"/>
              <w:spacing w:line="240" w:lineRule="auto" w:before="31"/>
              <w:ind w:right="67"/>
              <w:jc w:val="right"/>
              <w:rPr>
                <w:rFonts w:ascii="Arial" w:hAnsi="Arial" w:cs="Arial" w:eastAsia="Arial" w:hint="default"/>
                <w:sz w:val="22"/>
                <w:szCs w:val="22"/>
              </w:rPr>
            </w:pPr>
            <w:r>
              <w:rPr>
                <w:rFonts w:ascii="Arial"/>
                <w:spacing w:val="-1"/>
                <w:sz w:val="22"/>
              </w:rPr>
              <w:t>25,564,467</w:t>
            </w:r>
          </w:p>
        </w:tc>
        <w:tc>
          <w:tcPr>
            <w:tcW w:w="142" w:type="dxa"/>
            <w:tcBorders>
              <w:top w:val="nil" w:sz="6" w:space="0" w:color="auto"/>
              <w:left w:val="nil" w:sz="6" w:space="0" w:color="auto"/>
              <w:bottom w:val="nil" w:sz="6" w:space="0" w:color="auto"/>
              <w:right w:val="nil" w:sz="6" w:space="0" w:color="auto"/>
            </w:tcBorders>
          </w:tcPr>
          <w:p>
            <w:pPr/>
          </w:p>
        </w:tc>
        <w:tc>
          <w:tcPr>
            <w:tcW w:w="2197" w:type="dxa"/>
            <w:tcBorders>
              <w:top w:val="single" w:sz="17" w:space="0" w:color="000000"/>
              <w:left w:val="nil" w:sz="6" w:space="0" w:color="auto"/>
              <w:bottom w:val="nil" w:sz="6" w:space="0" w:color="auto"/>
              <w:right w:val="nil" w:sz="6" w:space="0" w:color="auto"/>
            </w:tcBorders>
          </w:tcPr>
          <w:p>
            <w:pPr>
              <w:pStyle w:val="TableParagraph"/>
              <w:spacing w:line="240" w:lineRule="auto" w:before="31"/>
              <w:ind w:right="57"/>
              <w:jc w:val="right"/>
              <w:rPr>
                <w:rFonts w:ascii="Arial" w:hAnsi="Arial" w:cs="Arial" w:eastAsia="Arial" w:hint="default"/>
                <w:sz w:val="22"/>
                <w:szCs w:val="22"/>
              </w:rPr>
            </w:pPr>
            <w:r>
              <w:rPr>
                <w:rFonts w:ascii="Arial"/>
                <w:spacing w:val="-1"/>
                <w:sz w:val="22"/>
              </w:rPr>
              <w:t>24,205,573</w:t>
            </w:r>
          </w:p>
        </w:tc>
      </w:tr>
    </w:tbl>
    <w:p>
      <w:pPr>
        <w:spacing w:after="0" w:line="240" w:lineRule="auto"/>
        <w:jc w:val="right"/>
        <w:rPr>
          <w:rFonts w:ascii="Arial" w:hAnsi="Arial" w:cs="Arial" w:eastAsia="Arial" w:hint="default"/>
          <w:sz w:val="22"/>
          <w:szCs w:val="22"/>
        </w:rPr>
        <w:sectPr>
          <w:headerReference w:type="default" r:id="rId124"/>
          <w:pgSz w:w="11910" w:h="16840"/>
          <w:pgMar w:header="1185" w:footer="635" w:top="3040" w:bottom="820" w:left="1280" w:right="1000"/>
        </w:sectPr>
      </w:pPr>
    </w:p>
    <w:p>
      <w:pPr>
        <w:spacing w:line="240" w:lineRule="auto" w:before="7"/>
        <w:rPr>
          <w:rFonts w:ascii="宋体" w:hAnsi="宋体" w:cs="宋体" w:eastAsia="宋体" w:hint="default"/>
          <w:sz w:val="16"/>
          <w:szCs w:val="16"/>
        </w:rPr>
      </w:pPr>
    </w:p>
    <w:p>
      <w:pPr>
        <w:pStyle w:val="BodyText"/>
        <w:spacing w:line="240" w:lineRule="auto" w:before="32"/>
        <w:ind w:left="102" w:right="0"/>
        <w:jc w:val="left"/>
        <w:rPr>
          <w:rFonts w:ascii="黑体" w:hAnsi="黑体" w:cs="黑体" w:eastAsia="黑体" w:hint="default"/>
        </w:rPr>
      </w:pPr>
      <w:r>
        <w:rPr>
          <w:rFonts w:ascii="黑体" w:hAnsi="黑体" w:cs="黑体" w:eastAsia="黑体" w:hint="default"/>
        </w:rPr>
        <w:t>六</w:t>
      </w:r>
      <w:r>
        <w:rPr>
          <w:rFonts w:ascii="黑体" w:hAnsi="黑体" w:cs="黑体" w:eastAsia="黑体" w:hint="default"/>
          <w:spacing w:val="92"/>
        </w:rPr>
        <w:t> </w:t>
      </w:r>
      <w:r>
        <w:rPr>
          <w:rFonts w:ascii="黑体" w:hAnsi="黑体" w:cs="黑体" w:eastAsia="黑体" w:hint="default"/>
        </w:rPr>
        <w:t>合并范围的变更</w:t>
      </w:r>
    </w:p>
    <w:p>
      <w:pPr>
        <w:spacing w:line="240" w:lineRule="auto" w:before="5"/>
        <w:rPr>
          <w:rFonts w:ascii="黑体" w:hAnsi="黑体" w:cs="黑体" w:eastAsia="黑体" w:hint="default"/>
          <w:sz w:val="21"/>
          <w:szCs w:val="21"/>
        </w:rPr>
      </w:pPr>
    </w:p>
    <w:p>
      <w:pPr>
        <w:pStyle w:val="BodyText"/>
        <w:spacing w:line="286" w:lineRule="exact"/>
        <w:ind w:left="522" w:right="103"/>
        <w:jc w:val="left"/>
      </w:pPr>
      <w:r>
        <w:rPr/>
        <w:t>联通红筹公司于</w:t>
      </w:r>
      <w:r>
        <w:rPr>
          <w:spacing w:val="-48"/>
        </w:rPr>
        <w:t> </w:t>
      </w:r>
      <w:r>
        <w:rPr>
          <w:rFonts w:ascii="Arial" w:hAnsi="Arial" w:cs="Arial" w:eastAsia="Arial" w:hint="default"/>
        </w:rPr>
        <w:t>2014 </w:t>
      </w:r>
      <w:r>
        <w:rPr/>
        <w:t>年</w:t>
      </w:r>
      <w:r>
        <w:rPr>
          <w:spacing w:val="-50"/>
        </w:rPr>
        <w:t> </w:t>
      </w:r>
      <w:r>
        <w:rPr>
          <w:rFonts w:ascii="Arial" w:hAnsi="Arial" w:cs="Arial" w:eastAsia="Arial" w:hint="default"/>
        </w:rPr>
        <w:t>5 </w:t>
      </w:r>
      <w:r>
        <w:rPr/>
        <w:t>月</w:t>
      </w:r>
      <w:r>
        <w:rPr>
          <w:spacing w:val="-48"/>
        </w:rPr>
        <w:t> </w:t>
      </w:r>
      <w:r>
        <w:rPr>
          <w:rFonts w:ascii="Arial" w:hAnsi="Arial" w:cs="Arial" w:eastAsia="Arial" w:hint="default"/>
        </w:rPr>
        <w:t>27 </w:t>
      </w:r>
      <w:r>
        <w:rPr>
          <w:spacing w:val="-3"/>
        </w:rPr>
        <w:t>日出资设立中国联通（澳大利亚）运营有限公司（“联通澳大</w:t>
      </w:r>
      <w:r>
        <w:rPr>
          <w:w w:val="100"/>
        </w:rPr>
        <w:t> </w:t>
      </w:r>
      <w:r>
        <w:rPr/>
        <w:t>利亚运营”）并持有其</w:t>
      </w:r>
      <w:r>
        <w:rPr>
          <w:spacing w:val="-57"/>
        </w:rPr>
        <w:t> </w:t>
      </w:r>
      <w:r>
        <w:rPr>
          <w:rFonts w:ascii="Arial" w:hAnsi="Arial" w:cs="Arial" w:eastAsia="Arial" w:hint="default"/>
        </w:rPr>
        <w:t>100%</w:t>
      </w:r>
      <w:r>
        <w:rPr/>
        <w:t>的股权，联通澳大利亚运营本年纳入本集团合并范围。</w:t>
      </w:r>
    </w:p>
    <w:p>
      <w:pPr>
        <w:spacing w:line="240" w:lineRule="auto" w:before="3"/>
        <w:rPr>
          <w:rFonts w:ascii="宋体" w:hAnsi="宋体" w:cs="宋体" w:eastAsia="宋体" w:hint="default"/>
          <w:sz w:val="19"/>
          <w:szCs w:val="19"/>
        </w:rPr>
      </w:pPr>
    </w:p>
    <w:p>
      <w:pPr>
        <w:pStyle w:val="BodyText"/>
        <w:spacing w:line="286" w:lineRule="exact"/>
        <w:ind w:left="522" w:right="103"/>
        <w:jc w:val="left"/>
      </w:pPr>
      <w:r>
        <w:rPr/>
        <w:t>联通运营公司于</w:t>
      </w:r>
      <w:r>
        <w:rPr>
          <w:spacing w:val="-48"/>
        </w:rPr>
        <w:t> </w:t>
      </w:r>
      <w:r>
        <w:rPr>
          <w:rFonts w:ascii="Arial" w:hAnsi="Arial" w:cs="Arial" w:eastAsia="Arial" w:hint="default"/>
        </w:rPr>
        <w:t>2014 </w:t>
      </w:r>
      <w:r>
        <w:rPr/>
        <w:t>年</w:t>
      </w:r>
      <w:r>
        <w:rPr>
          <w:spacing w:val="-50"/>
        </w:rPr>
        <w:t> </w:t>
      </w:r>
      <w:r>
        <w:rPr>
          <w:rFonts w:ascii="Arial" w:hAnsi="Arial" w:cs="Arial" w:eastAsia="Arial" w:hint="default"/>
        </w:rPr>
        <w:t>4 </w:t>
      </w:r>
      <w:r>
        <w:rPr/>
        <w:t>月</w:t>
      </w:r>
      <w:r>
        <w:rPr>
          <w:spacing w:val="-48"/>
        </w:rPr>
        <w:t> </w:t>
      </w:r>
      <w:r>
        <w:rPr>
          <w:rFonts w:ascii="Arial" w:hAnsi="Arial" w:cs="Arial" w:eastAsia="Arial" w:hint="default"/>
        </w:rPr>
        <w:t>29 </w:t>
      </w:r>
      <w:r>
        <w:rPr>
          <w:spacing w:val="-3"/>
        </w:rPr>
        <w:t>日出资设立联通创新创业投资有限公司（“联通创投”）并持</w:t>
      </w:r>
      <w:r>
        <w:rPr>
          <w:w w:val="100"/>
        </w:rPr>
        <w:t> </w:t>
      </w:r>
      <w:r>
        <w:rPr/>
        <w:t>有其</w:t>
      </w:r>
      <w:r>
        <w:rPr>
          <w:spacing w:val="-58"/>
        </w:rPr>
        <w:t> </w:t>
      </w:r>
      <w:r>
        <w:rPr>
          <w:rFonts w:ascii="Arial" w:hAnsi="Arial" w:cs="Arial" w:eastAsia="Arial" w:hint="default"/>
        </w:rPr>
        <w:t>100%</w:t>
      </w:r>
      <w:r>
        <w:rPr/>
        <w:t>的股权，联通创投本年纳入本集团合并范围。</w:t>
      </w:r>
    </w:p>
    <w:p>
      <w:pPr>
        <w:spacing w:line="240" w:lineRule="auto" w:before="1"/>
        <w:rPr>
          <w:rFonts w:ascii="宋体" w:hAnsi="宋体" w:cs="宋体" w:eastAsia="宋体" w:hint="default"/>
          <w:sz w:val="17"/>
          <w:szCs w:val="17"/>
        </w:rPr>
      </w:pPr>
    </w:p>
    <w:p>
      <w:pPr>
        <w:pStyle w:val="BodyText"/>
        <w:spacing w:line="295" w:lineRule="exact"/>
        <w:ind w:left="522" w:right="0"/>
        <w:jc w:val="left"/>
        <w:rPr>
          <w:rFonts w:ascii="Arial" w:hAnsi="Arial" w:cs="Arial" w:eastAsia="Arial" w:hint="default"/>
        </w:rPr>
      </w:pPr>
      <w:r>
        <w:rPr>
          <w:w w:val="100"/>
        </w:rPr>
        <w:t>联通运</w:t>
      </w:r>
      <w:r>
        <w:rPr>
          <w:spacing w:val="-3"/>
          <w:w w:val="100"/>
        </w:rPr>
        <w:t>营</w:t>
      </w:r>
      <w:r>
        <w:rPr>
          <w:w w:val="100"/>
        </w:rPr>
        <w:t>公司于</w:t>
      </w:r>
      <w:r>
        <w:rPr>
          <w:spacing w:val="-72"/>
        </w:rPr>
        <w:t> </w:t>
      </w:r>
      <w:r>
        <w:rPr>
          <w:rFonts w:ascii="Arial" w:hAnsi="Arial" w:cs="Arial" w:eastAsia="Arial" w:hint="default"/>
          <w:spacing w:val="-1"/>
          <w:w w:val="100"/>
        </w:rPr>
        <w:t>201</w:t>
      </w:r>
      <w:r>
        <w:rPr>
          <w:rFonts w:ascii="Arial" w:hAnsi="Arial" w:cs="Arial" w:eastAsia="Arial" w:hint="default"/>
          <w:w w:val="100"/>
        </w:rPr>
        <w:t>4</w:t>
      </w:r>
      <w:r>
        <w:rPr>
          <w:rFonts w:ascii="Arial" w:hAnsi="Arial" w:cs="Arial" w:eastAsia="Arial" w:hint="default"/>
          <w:spacing w:val="-26"/>
        </w:rPr>
        <w:t> </w:t>
      </w:r>
      <w:r>
        <w:rPr>
          <w:w w:val="100"/>
        </w:rPr>
        <w:t>年</w:t>
      </w:r>
      <w:r>
        <w:rPr>
          <w:spacing w:val="-74"/>
        </w:rPr>
        <w:t> </w:t>
      </w:r>
      <w:r>
        <w:rPr>
          <w:rFonts w:ascii="Arial" w:hAnsi="Arial" w:cs="Arial" w:eastAsia="Arial" w:hint="default"/>
          <w:spacing w:val="-1"/>
          <w:w w:val="100"/>
        </w:rPr>
        <w:t>1</w:t>
      </w:r>
      <w:r>
        <w:rPr>
          <w:rFonts w:ascii="Arial" w:hAnsi="Arial" w:cs="Arial" w:eastAsia="Arial" w:hint="default"/>
          <w:w w:val="100"/>
        </w:rPr>
        <w:t>0</w:t>
      </w:r>
      <w:r>
        <w:rPr>
          <w:rFonts w:ascii="Arial" w:hAnsi="Arial" w:cs="Arial" w:eastAsia="Arial" w:hint="default"/>
          <w:spacing w:val="-24"/>
        </w:rPr>
        <w:t> </w:t>
      </w:r>
      <w:r>
        <w:rPr>
          <w:w w:val="100"/>
        </w:rPr>
        <w:t>月</w:t>
      </w:r>
      <w:r>
        <w:rPr>
          <w:spacing w:val="-72"/>
        </w:rPr>
        <w:t> </w:t>
      </w:r>
      <w:r>
        <w:rPr>
          <w:rFonts w:ascii="Arial" w:hAnsi="Arial" w:cs="Arial" w:eastAsia="Arial" w:hint="default"/>
          <w:spacing w:val="-1"/>
          <w:w w:val="100"/>
        </w:rPr>
        <w:t>2</w:t>
      </w:r>
      <w:r>
        <w:rPr>
          <w:rFonts w:ascii="Arial" w:hAnsi="Arial" w:cs="Arial" w:eastAsia="Arial" w:hint="default"/>
          <w:w w:val="100"/>
        </w:rPr>
        <w:t>4</w:t>
      </w:r>
      <w:r>
        <w:rPr>
          <w:rFonts w:ascii="Arial" w:hAnsi="Arial" w:cs="Arial" w:eastAsia="Arial" w:hint="default"/>
          <w:spacing w:val="-24"/>
        </w:rPr>
        <w:t> </w:t>
      </w:r>
      <w:r>
        <w:rPr>
          <w:w w:val="100"/>
        </w:rPr>
        <w:t>日出</w:t>
      </w:r>
      <w:r>
        <w:rPr>
          <w:spacing w:val="-3"/>
          <w:w w:val="100"/>
        </w:rPr>
        <w:t>资</w:t>
      </w:r>
      <w:r>
        <w:rPr>
          <w:w w:val="100"/>
        </w:rPr>
        <w:t>设立</w:t>
      </w:r>
      <w:r>
        <w:rPr>
          <w:spacing w:val="-3"/>
          <w:w w:val="100"/>
        </w:rPr>
        <w:t>小沃</w:t>
      </w:r>
      <w:r>
        <w:rPr>
          <w:w w:val="100"/>
        </w:rPr>
        <w:t>科技有</w:t>
      </w:r>
      <w:r>
        <w:rPr>
          <w:spacing w:val="-3"/>
          <w:w w:val="100"/>
        </w:rPr>
        <w:t>限</w:t>
      </w:r>
      <w:r>
        <w:rPr>
          <w:w w:val="100"/>
        </w:rPr>
        <w:t>公</w:t>
      </w:r>
      <w:r>
        <w:rPr>
          <w:spacing w:val="-111"/>
          <w:w w:val="100"/>
        </w:rPr>
        <w:t>司</w:t>
      </w:r>
      <w:r>
        <w:rPr>
          <w:w w:val="100"/>
        </w:rPr>
        <w:t>（</w:t>
      </w:r>
      <w:r>
        <w:rPr>
          <w:spacing w:val="-3"/>
          <w:w w:val="100"/>
        </w:rPr>
        <w:t>“</w:t>
      </w:r>
      <w:r>
        <w:rPr>
          <w:w w:val="100"/>
        </w:rPr>
        <w:t>小沃</w:t>
      </w:r>
      <w:r>
        <w:rPr>
          <w:spacing w:val="-3"/>
          <w:w w:val="100"/>
        </w:rPr>
        <w:t>科</w:t>
      </w:r>
      <w:r>
        <w:rPr>
          <w:w w:val="100"/>
        </w:rPr>
        <w:t>技”</w:t>
      </w:r>
      <w:r>
        <w:rPr>
          <w:spacing w:val="-111"/>
          <w:w w:val="100"/>
        </w:rPr>
        <w:t>）</w:t>
      </w:r>
      <w:r>
        <w:rPr>
          <w:w w:val="100"/>
        </w:rPr>
        <w:t>并</w:t>
      </w:r>
      <w:r>
        <w:rPr>
          <w:spacing w:val="-3"/>
          <w:w w:val="100"/>
        </w:rPr>
        <w:t>持</w:t>
      </w:r>
      <w:r>
        <w:rPr>
          <w:w w:val="100"/>
        </w:rPr>
        <w:t>有其</w:t>
      </w:r>
      <w:r>
        <w:rPr>
          <w:spacing w:val="-71"/>
        </w:rPr>
        <w:t> </w:t>
      </w:r>
      <w:r>
        <w:rPr>
          <w:rFonts w:ascii="Arial" w:hAnsi="Arial" w:cs="Arial" w:eastAsia="Arial" w:hint="default"/>
          <w:w w:val="100"/>
        </w:rPr>
        <w:t>1</w:t>
      </w:r>
      <w:r>
        <w:rPr>
          <w:rFonts w:ascii="Arial" w:hAnsi="Arial" w:cs="Arial" w:eastAsia="Arial" w:hint="default"/>
          <w:spacing w:val="-1"/>
          <w:w w:val="100"/>
        </w:rPr>
        <w:t>0</w:t>
      </w:r>
      <w:r>
        <w:rPr>
          <w:rFonts w:ascii="Arial" w:hAnsi="Arial" w:cs="Arial" w:eastAsia="Arial" w:hint="default"/>
          <w:spacing w:val="-3"/>
          <w:w w:val="100"/>
        </w:rPr>
        <w:t>0</w:t>
      </w:r>
      <w:r>
        <w:rPr>
          <w:rFonts w:ascii="Arial" w:hAnsi="Arial" w:cs="Arial" w:eastAsia="Arial" w:hint="default"/>
          <w:w w:val="100"/>
        </w:rPr>
        <w:t>%</w:t>
      </w:r>
    </w:p>
    <w:p>
      <w:pPr>
        <w:pStyle w:val="BodyText"/>
        <w:spacing w:line="279" w:lineRule="exact"/>
        <w:ind w:left="522" w:right="0"/>
        <w:jc w:val="left"/>
      </w:pPr>
      <w:r>
        <w:rPr/>
        <w:t>的股权，小沃科技本年纳入本集团合并范围。</w:t>
      </w:r>
    </w:p>
    <w:p>
      <w:pPr>
        <w:spacing w:line="240" w:lineRule="auto" w:before="8"/>
        <w:rPr>
          <w:rFonts w:ascii="宋体" w:hAnsi="宋体" w:cs="宋体" w:eastAsia="宋体" w:hint="default"/>
          <w:sz w:val="24"/>
          <w:szCs w:val="24"/>
        </w:rPr>
      </w:pPr>
    </w:p>
    <w:tbl>
      <w:tblPr>
        <w:tblW w:w="0" w:type="auto"/>
        <w:jc w:val="left"/>
        <w:tblInd w:w="349" w:type="dxa"/>
        <w:tblLayout w:type="fixed"/>
        <w:tblCellMar>
          <w:top w:w="0" w:type="dxa"/>
          <w:left w:w="0" w:type="dxa"/>
          <w:bottom w:w="0" w:type="dxa"/>
          <w:right w:w="0" w:type="dxa"/>
        </w:tblCellMar>
        <w:tblLook w:val="01E0"/>
      </w:tblPr>
      <w:tblGrid>
        <w:gridCol w:w="3719"/>
        <w:gridCol w:w="2578"/>
        <w:gridCol w:w="142"/>
        <w:gridCol w:w="2664"/>
      </w:tblGrid>
      <w:tr>
        <w:trPr>
          <w:trHeight w:val="262" w:hRule="exact"/>
        </w:trPr>
        <w:tc>
          <w:tcPr>
            <w:tcW w:w="3719"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22"/>
                <w:szCs w:val="22"/>
              </w:rPr>
            </w:pPr>
            <w:r>
              <w:rPr>
                <w:rFonts w:ascii="宋体" w:hAnsi="宋体" w:cs="宋体" w:eastAsia="宋体" w:hint="default"/>
                <w:sz w:val="22"/>
                <w:szCs w:val="22"/>
              </w:rPr>
              <w:t>（单位：百万元）</w:t>
            </w:r>
          </w:p>
        </w:tc>
        <w:tc>
          <w:tcPr>
            <w:tcW w:w="2578" w:type="dxa"/>
            <w:tcBorders>
              <w:top w:val="nil" w:sz="6" w:space="0" w:color="auto"/>
              <w:left w:val="nil" w:sz="6" w:space="0" w:color="auto"/>
              <w:bottom w:val="single" w:sz="4" w:space="0" w:color="000000"/>
              <w:right w:val="nil" w:sz="6" w:space="0" w:color="auto"/>
            </w:tcBorders>
          </w:tcPr>
          <w:p>
            <w:pPr>
              <w:pStyle w:val="TableParagraph"/>
              <w:spacing w:line="236" w:lineRule="exact"/>
              <w:ind w:right="59"/>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42"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single" w:sz="4" w:space="0" w:color="000000"/>
              <w:right w:val="nil" w:sz="6" w:space="0" w:color="auto"/>
            </w:tcBorders>
          </w:tcPr>
          <w:p>
            <w:pPr>
              <w:pStyle w:val="TableParagraph"/>
              <w:spacing w:line="236" w:lineRule="exact"/>
              <w:ind w:right="57"/>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385" w:hRule="exact"/>
        </w:trPr>
        <w:tc>
          <w:tcPr>
            <w:tcW w:w="3719" w:type="dxa"/>
            <w:tcBorders>
              <w:top w:val="nil" w:sz="6" w:space="0" w:color="auto"/>
              <w:left w:val="nil" w:sz="6" w:space="0" w:color="auto"/>
              <w:bottom w:val="nil" w:sz="6" w:space="0" w:color="auto"/>
              <w:right w:val="nil" w:sz="6" w:space="0" w:color="auto"/>
            </w:tcBorders>
          </w:tcPr>
          <w:p>
            <w:pPr>
              <w:pStyle w:val="TableParagraph"/>
              <w:spacing w:line="259" w:lineRule="exact"/>
              <w:ind w:left="200" w:right="0"/>
              <w:jc w:val="left"/>
              <w:rPr>
                <w:rFonts w:ascii="宋体" w:hAnsi="宋体" w:cs="宋体" w:eastAsia="宋体" w:hint="default"/>
                <w:sz w:val="22"/>
                <w:szCs w:val="22"/>
              </w:rPr>
            </w:pPr>
            <w:r>
              <w:rPr>
                <w:rFonts w:ascii="宋体" w:hAnsi="宋体" w:cs="宋体" w:eastAsia="宋体" w:hint="default"/>
                <w:sz w:val="22"/>
                <w:szCs w:val="22"/>
              </w:rPr>
              <w:t>单位名称</w:t>
            </w:r>
          </w:p>
        </w:tc>
        <w:tc>
          <w:tcPr>
            <w:tcW w:w="2578" w:type="dxa"/>
            <w:tcBorders>
              <w:top w:val="single" w:sz="4" w:space="0" w:color="000000"/>
              <w:left w:val="nil" w:sz="6" w:space="0" w:color="auto"/>
              <w:bottom w:val="nil" w:sz="6" w:space="0" w:color="auto"/>
              <w:right w:val="nil" w:sz="6" w:space="0" w:color="auto"/>
            </w:tcBorders>
          </w:tcPr>
          <w:p>
            <w:pPr>
              <w:pStyle w:val="TableParagraph"/>
              <w:spacing w:line="254" w:lineRule="exact"/>
              <w:ind w:right="59"/>
              <w:jc w:val="right"/>
              <w:rPr>
                <w:rFonts w:ascii="宋体" w:hAnsi="宋体" w:cs="宋体" w:eastAsia="宋体" w:hint="default"/>
                <w:sz w:val="22"/>
                <w:szCs w:val="22"/>
              </w:rPr>
            </w:pPr>
            <w:r>
              <w:rPr>
                <w:rFonts w:ascii="宋体" w:hAnsi="宋体" w:cs="宋体" w:eastAsia="宋体" w:hint="default"/>
                <w:sz w:val="22"/>
                <w:szCs w:val="22"/>
              </w:rPr>
              <w:t>净资产</w:t>
            </w:r>
          </w:p>
        </w:tc>
        <w:tc>
          <w:tcPr>
            <w:tcW w:w="142" w:type="dxa"/>
            <w:tcBorders>
              <w:top w:val="nil" w:sz="6" w:space="0" w:color="auto"/>
              <w:left w:val="nil" w:sz="6" w:space="0" w:color="auto"/>
              <w:bottom w:val="nil" w:sz="6" w:space="0" w:color="auto"/>
              <w:right w:val="nil" w:sz="6" w:space="0" w:color="auto"/>
            </w:tcBorders>
          </w:tcPr>
          <w:p>
            <w:pPr/>
          </w:p>
        </w:tc>
        <w:tc>
          <w:tcPr>
            <w:tcW w:w="2664" w:type="dxa"/>
            <w:tcBorders>
              <w:top w:val="single" w:sz="4" w:space="0" w:color="000000"/>
              <w:left w:val="nil" w:sz="6" w:space="0" w:color="auto"/>
              <w:bottom w:val="nil" w:sz="6" w:space="0" w:color="auto"/>
              <w:right w:val="nil" w:sz="6" w:space="0" w:color="auto"/>
            </w:tcBorders>
          </w:tcPr>
          <w:p>
            <w:pPr>
              <w:pStyle w:val="TableParagraph"/>
              <w:spacing w:line="254" w:lineRule="exact"/>
              <w:ind w:right="55"/>
              <w:jc w:val="right"/>
              <w:rPr>
                <w:rFonts w:ascii="宋体" w:hAnsi="宋体" w:cs="宋体" w:eastAsia="宋体" w:hint="default"/>
                <w:sz w:val="22"/>
                <w:szCs w:val="22"/>
              </w:rPr>
            </w:pPr>
            <w:r>
              <w:rPr>
                <w:rFonts w:ascii="宋体" w:hAnsi="宋体" w:cs="宋体" w:eastAsia="宋体" w:hint="default"/>
                <w:sz w:val="22"/>
                <w:szCs w:val="22"/>
              </w:rPr>
              <w:t>净利润</w:t>
            </w:r>
          </w:p>
        </w:tc>
      </w:tr>
      <w:tr>
        <w:trPr>
          <w:trHeight w:val="395" w:hRule="exact"/>
        </w:trPr>
        <w:tc>
          <w:tcPr>
            <w:tcW w:w="371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00" w:right="0"/>
              <w:jc w:val="left"/>
              <w:rPr>
                <w:rFonts w:ascii="宋体" w:hAnsi="宋体" w:cs="宋体" w:eastAsia="宋体" w:hint="default"/>
                <w:sz w:val="22"/>
                <w:szCs w:val="22"/>
              </w:rPr>
            </w:pPr>
            <w:r>
              <w:rPr>
                <w:rFonts w:ascii="宋体" w:hAnsi="宋体" w:cs="宋体" w:eastAsia="宋体" w:hint="default"/>
                <w:sz w:val="22"/>
                <w:szCs w:val="22"/>
              </w:rPr>
              <w:t>联通澳大利亚运营</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60"/>
              <w:jc w:val="right"/>
              <w:rPr>
                <w:rFonts w:ascii="Arial" w:hAnsi="Arial" w:cs="Arial" w:eastAsia="Arial" w:hint="default"/>
                <w:sz w:val="22"/>
                <w:szCs w:val="22"/>
              </w:rPr>
            </w:pPr>
            <w:r>
              <w:rPr>
                <w:rFonts w:ascii="Arial"/>
                <w:w w:val="100"/>
                <w:sz w:val="22"/>
              </w:rPr>
              <w:t>6</w:t>
            </w:r>
          </w:p>
        </w:tc>
        <w:tc>
          <w:tcPr>
            <w:tcW w:w="142"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56"/>
              <w:jc w:val="right"/>
              <w:rPr>
                <w:rFonts w:ascii="Arial" w:hAnsi="Arial" w:cs="Arial" w:eastAsia="Arial" w:hint="default"/>
                <w:sz w:val="22"/>
                <w:szCs w:val="22"/>
              </w:rPr>
            </w:pPr>
            <w:r>
              <w:rPr>
                <w:rFonts w:ascii="Arial"/>
                <w:sz w:val="22"/>
              </w:rPr>
              <w:t>(2)</w:t>
            </w:r>
          </w:p>
        </w:tc>
      </w:tr>
      <w:tr>
        <w:trPr>
          <w:trHeight w:val="289" w:hRule="exact"/>
        </w:trPr>
        <w:tc>
          <w:tcPr>
            <w:tcW w:w="3719" w:type="dxa"/>
            <w:tcBorders>
              <w:top w:val="nil" w:sz="6" w:space="0" w:color="auto"/>
              <w:left w:val="nil" w:sz="6" w:space="0" w:color="auto"/>
              <w:bottom w:val="nil" w:sz="6" w:space="0" w:color="auto"/>
              <w:right w:val="nil" w:sz="6" w:space="0" w:color="auto"/>
            </w:tcBorders>
          </w:tcPr>
          <w:p>
            <w:pPr>
              <w:pStyle w:val="TableParagraph"/>
              <w:spacing w:line="242" w:lineRule="exact"/>
              <w:ind w:left="200" w:right="0"/>
              <w:jc w:val="left"/>
              <w:rPr>
                <w:rFonts w:ascii="宋体" w:hAnsi="宋体" w:cs="宋体" w:eastAsia="宋体" w:hint="default"/>
                <w:sz w:val="22"/>
                <w:szCs w:val="22"/>
              </w:rPr>
            </w:pPr>
            <w:r>
              <w:rPr>
                <w:rFonts w:ascii="宋体" w:hAnsi="宋体" w:cs="宋体" w:eastAsia="宋体" w:hint="default"/>
                <w:sz w:val="22"/>
                <w:szCs w:val="22"/>
              </w:rPr>
              <w:t>联通创投</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0"/>
              <w:jc w:val="right"/>
              <w:rPr>
                <w:rFonts w:ascii="Arial" w:hAnsi="Arial" w:cs="Arial" w:eastAsia="Arial" w:hint="default"/>
                <w:sz w:val="22"/>
                <w:szCs w:val="22"/>
              </w:rPr>
            </w:pPr>
            <w:r>
              <w:rPr>
                <w:rFonts w:ascii="Arial"/>
                <w:spacing w:val="-1"/>
                <w:sz w:val="22"/>
              </w:rPr>
              <w:t>190</w:t>
            </w:r>
            <w:r>
              <w:rPr>
                <w:rFonts w:ascii="Arial"/>
                <w:sz w:val="22"/>
              </w:rPr>
            </w:r>
          </w:p>
        </w:tc>
        <w:tc>
          <w:tcPr>
            <w:tcW w:w="142"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56"/>
              <w:jc w:val="right"/>
              <w:rPr>
                <w:rFonts w:ascii="Arial" w:hAnsi="Arial" w:cs="Arial" w:eastAsia="Arial" w:hint="default"/>
                <w:sz w:val="22"/>
                <w:szCs w:val="22"/>
              </w:rPr>
            </w:pPr>
            <w:r>
              <w:rPr>
                <w:rFonts w:ascii="Arial"/>
                <w:spacing w:val="-1"/>
                <w:sz w:val="22"/>
              </w:rPr>
              <w:t>(10)</w:t>
            </w:r>
          </w:p>
        </w:tc>
      </w:tr>
      <w:tr>
        <w:trPr>
          <w:trHeight w:val="268" w:hRule="exact"/>
        </w:trPr>
        <w:tc>
          <w:tcPr>
            <w:tcW w:w="371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2"/>
                <w:szCs w:val="22"/>
              </w:rPr>
            </w:pPr>
            <w:r>
              <w:rPr>
                <w:rFonts w:ascii="宋体" w:hAnsi="宋体" w:cs="宋体" w:eastAsia="宋体" w:hint="default"/>
                <w:sz w:val="22"/>
                <w:szCs w:val="22"/>
              </w:rPr>
              <w:t>小沃科技</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0"/>
              <w:jc w:val="right"/>
              <w:rPr>
                <w:rFonts w:ascii="Arial" w:hAnsi="Arial" w:cs="Arial" w:eastAsia="Arial" w:hint="default"/>
                <w:sz w:val="22"/>
                <w:szCs w:val="22"/>
              </w:rPr>
            </w:pPr>
            <w:r>
              <w:rPr>
                <w:rFonts w:ascii="Arial"/>
                <w:spacing w:val="-1"/>
                <w:sz w:val="22"/>
              </w:rPr>
              <w:t>217</w:t>
            </w:r>
            <w:r>
              <w:rPr>
                <w:rFonts w:ascii="Arial"/>
                <w:sz w:val="22"/>
              </w:rPr>
            </w:r>
          </w:p>
        </w:tc>
        <w:tc>
          <w:tcPr>
            <w:tcW w:w="142"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8"/>
              <w:jc w:val="right"/>
              <w:rPr>
                <w:rFonts w:ascii="Arial" w:hAnsi="Arial" w:cs="Arial" w:eastAsia="Arial" w:hint="default"/>
                <w:sz w:val="22"/>
                <w:szCs w:val="22"/>
              </w:rPr>
            </w:pPr>
            <w:r>
              <w:rPr>
                <w:rFonts w:ascii="Arial"/>
                <w:spacing w:val="-1"/>
                <w:sz w:val="22"/>
              </w:rPr>
              <w:t>17</w:t>
            </w:r>
            <w:r>
              <w:rPr>
                <w:rFonts w:ascii="Arial"/>
                <w:sz w:val="22"/>
              </w:rPr>
            </w:r>
          </w:p>
        </w:tc>
      </w:tr>
    </w:tbl>
    <w:p>
      <w:pPr>
        <w:spacing w:after="0" w:line="240" w:lineRule="auto"/>
        <w:jc w:val="right"/>
        <w:rPr>
          <w:rFonts w:ascii="Arial" w:hAnsi="Arial" w:cs="Arial" w:eastAsia="Arial" w:hint="default"/>
          <w:sz w:val="22"/>
          <w:szCs w:val="22"/>
        </w:rPr>
        <w:sectPr>
          <w:headerReference w:type="default" r:id="rId125"/>
          <w:pgSz w:w="11910" w:h="16840"/>
          <w:pgMar w:header="1185" w:footer="635" w:top="2500" w:bottom="820" w:left="1280" w:right="920"/>
        </w:sectPr>
      </w:pPr>
    </w:p>
    <w:p>
      <w:pPr>
        <w:spacing w:line="240" w:lineRule="auto" w:before="7"/>
        <w:rPr>
          <w:rFonts w:ascii="宋体" w:hAnsi="宋体" w:cs="宋体" w:eastAsia="宋体" w:hint="default"/>
          <w:sz w:val="16"/>
          <w:szCs w:val="16"/>
        </w:rPr>
      </w:pPr>
    </w:p>
    <w:p>
      <w:pPr>
        <w:pStyle w:val="BodyText"/>
        <w:spacing w:line="436" w:lineRule="auto" w:before="32"/>
        <w:ind w:left="102" w:right="6810"/>
        <w:jc w:val="left"/>
      </w:pPr>
      <w:r>
        <w:rPr>
          <w:rFonts w:ascii="黑体" w:hAnsi="黑体" w:cs="黑体" w:eastAsia="黑体" w:hint="default"/>
        </w:rPr>
        <w:t>七</w:t>
      </w:r>
      <w:r>
        <w:rPr>
          <w:rFonts w:ascii="黑体" w:hAnsi="黑体" w:cs="黑体" w:eastAsia="黑体" w:hint="default"/>
          <w:spacing w:val="90"/>
        </w:rPr>
        <w:t> </w:t>
      </w:r>
      <w:r>
        <w:rPr>
          <w:rFonts w:ascii="黑体" w:hAnsi="黑体" w:cs="黑体" w:eastAsia="黑体" w:hint="default"/>
        </w:rPr>
        <w:t>在其他主体中的权益</w:t>
      </w:r>
      <w:r>
        <w:rPr>
          <w:rFonts w:ascii="黑体" w:hAnsi="黑体" w:cs="黑体" w:eastAsia="黑体" w:hint="default"/>
          <w:w w:val="100"/>
        </w:rPr>
        <w:t> </w:t>
      </w:r>
      <w:r>
        <w:rPr>
          <w:rFonts w:ascii="Arial" w:hAnsi="Arial" w:cs="Arial" w:eastAsia="Arial" w:hint="default"/>
        </w:rPr>
        <w:t>1</w:t>
      </w:r>
      <w:r>
        <w:rPr/>
        <w:t>、</w:t>
      </w:r>
      <w:r>
        <w:rPr>
          <w:spacing w:val="-65"/>
        </w:rPr>
        <w:t> </w:t>
      </w:r>
      <w:r>
        <w:rPr/>
        <w:t>在子公司中的权益</w:t>
      </w:r>
      <w:r>
        <w:rPr>
          <w:w w:val="100"/>
        </w:rPr>
        <w:t> </w:t>
      </w:r>
      <w:r>
        <w:rPr>
          <w:rFonts w:ascii="Arial" w:hAnsi="Arial" w:cs="Arial" w:eastAsia="Arial" w:hint="default"/>
        </w:rPr>
        <w:t>(a) </w:t>
      </w:r>
      <w:r>
        <w:rPr>
          <w:rFonts w:ascii="Arial" w:hAnsi="Arial" w:cs="Arial" w:eastAsia="Arial" w:hint="default"/>
          <w:spacing w:val="30"/>
        </w:rPr>
        <w:t> </w:t>
      </w:r>
      <w:r>
        <w:rPr/>
        <w:t>企业集团的构成</w:t>
      </w:r>
    </w:p>
    <w:p>
      <w:pPr>
        <w:pStyle w:val="BodyText"/>
        <w:spacing w:line="240" w:lineRule="auto" w:before="32"/>
        <w:ind w:left="102" w:right="0"/>
        <w:jc w:val="left"/>
      </w:pPr>
      <w:r>
        <w:rPr>
          <w:rFonts w:ascii="Arial" w:hAnsi="Arial" w:cs="Arial" w:eastAsia="Arial" w:hint="default"/>
        </w:rPr>
        <w:t>(1) </w:t>
      </w:r>
      <w:r>
        <w:rPr>
          <w:rFonts w:ascii="Arial" w:hAnsi="Arial" w:cs="Arial" w:eastAsia="Arial" w:hint="default"/>
          <w:spacing w:val="27"/>
        </w:rPr>
        <w:t> </w:t>
      </w:r>
      <w:r>
        <w:rPr/>
        <w:t>通过设立或投资方式取得的子公司</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tbl>
      <w:tblPr>
        <w:tblW w:w="0" w:type="auto"/>
        <w:jc w:val="left"/>
        <w:tblInd w:w="102" w:type="dxa"/>
        <w:tblLayout w:type="fixed"/>
        <w:tblCellMar>
          <w:top w:w="0" w:type="dxa"/>
          <w:left w:w="0" w:type="dxa"/>
          <w:bottom w:w="0" w:type="dxa"/>
          <w:right w:w="0" w:type="dxa"/>
        </w:tblCellMar>
        <w:tblLook w:val="01E0"/>
      </w:tblPr>
      <w:tblGrid>
        <w:gridCol w:w="2054"/>
        <w:gridCol w:w="1203"/>
        <w:gridCol w:w="1315"/>
        <w:gridCol w:w="1377"/>
        <w:gridCol w:w="1393"/>
        <w:gridCol w:w="142"/>
        <w:gridCol w:w="115"/>
        <w:gridCol w:w="401"/>
        <w:gridCol w:w="468"/>
        <w:gridCol w:w="641"/>
      </w:tblGrid>
      <w:tr>
        <w:trPr>
          <w:trHeight w:val="191" w:hRule="exact"/>
        </w:trPr>
        <w:tc>
          <w:tcPr>
            <w:tcW w:w="2054" w:type="dxa"/>
            <w:tcBorders>
              <w:top w:val="nil" w:sz="6" w:space="0" w:color="auto"/>
              <w:left w:val="nil" w:sz="6" w:space="0" w:color="auto"/>
              <w:bottom w:val="single" w:sz="4" w:space="0" w:color="000000"/>
              <w:right w:val="nil" w:sz="6" w:space="0" w:color="auto"/>
            </w:tcBorders>
          </w:tcPr>
          <w:p>
            <w:pPr>
              <w:pStyle w:val="TableParagraph"/>
              <w:spacing w:line="161" w:lineRule="exact"/>
              <w:ind w:left="76" w:right="0"/>
              <w:jc w:val="left"/>
              <w:rPr>
                <w:rFonts w:ascii="宋体" w:hAnsi="宋体" w:cs="宋体" w:eastAsia="宋体" w:hint="default"/>
                <w:sz w:val="16"/>
                <w:szCs w:val="16"/>
              </w:rPr>
            </w:pPr>
            <w:r>
              <w:rPr>
                <w:rFonts w:ascii="宋体" w:hAnsi="宋体" w:cs="宋体" w:eastAsia="宋体" w:hint="default"/>
                <w:sz w:val="16"/>
                <w:szCs w:val="16"/>
              </w:rPr>
              <w:t>子公司名称</w:t>
            </w:r>
          </w:p>
        </w:tc>
        <w:tc>
          <w:tcPr>
            <w:tcW w:w="1203" w:type="dxa"/>
            <w:tcBorders>
              <w:top w:val="nil" w:sz="6" w:space="0" w:color="auto"/>
              <w:left w:val="nil" w:sz="6" w:space="0" w:color="auto"/>
              <w:bottom w:val="single" w:sz="4" w:space="0" w:color="000000"/>
              <w:right w:val="nil" w:sz="6" w:space="0" w:color="auto"/>
            </w:tcBorders>
          </w:tcPr>
          <w:p>
            <w:pPr>
              <w:pStyle w:val="TableParagraph"/>
              <w:spacing w:line="161" w:lineRule="exact"/>
              <w:ind w:right="87"/>
              <w:jc w:val="center"/>
              <w:rPr>
                <w:rFonts w:ascii="宋体" w:hAnsi="宋体" w:cs="宋体" w:eastAsia="宋体" w:hint="default"/>
                <w:sz w:val="16"/>
                <w:szCs w:val="16"/>
              </w:rPr>
            </w:pPr>
            <w:r>
              <w:rPr>
                <w:rFonts w:ascii="宋体" w:hAnsi="宋体" w:cs="宋体" w:eastAsia="宋体" w:hint="default"/>
                <w:sz w:val="16"/>
                <w:szCs w:val="16"/>
              </w:rPr>
              <w:t>主要经营地</w:t>
            </w:r>
          </w:p>
        </w:tc>
        <w:tc>
          <w:tcPr>
            <w:tcW w:w="1315" w:type="dxa"/>
            <w:tcBorders>
              <w:top w:val="nil" w:sz="6" w:space="0" w:color="auto"/>
              <w:left w:val="nil" w:sz="6" w:space="0" w:color="auto"/>
              <w:bottom w:val="single" w:sz="4" w:space="0" w:color="000000"/>
              <w:right w:val="nil" w:sz="6" w:space="0" w:color="auto"/>
            </w:tcBorders>
          </w:tcPr>
          <w:p>
            <w:pPr>
              <w:pStyle w:val="TableParagraph"/>
              <w:spacing w:line="161" w:lineRule="exact"/>
              <w:ind w:left="509" w:right="0"/>
              <w:jc w:val="left"/>
              <w:rPr>
                <w:rFonts w:ascii="宋体" w:hAnsi="宋体" w:cs="宋体" w:eastAsia="宋体" w:hint="default"/>
                <w:sz w:val="16"/>
                <w:szCs w:val="16"/>
              </w:rPr>
            </w:pPr>
            <w:r>
              <w:rPr>
                <w:rFonts w:ascii="宋体" w:hAnsi="宋体" w:cs="宋体" w:eastAsia="宋体" w:hint="default"/>
                <w:sz w:val="16"/>
                <w:szCs w:val="16"/>
              </w:rPr>
              <w:t>注册地</w:t>
            </w:r>
          </w:p>
        </w:tc>
        <w:tc>
          <w:tcPr>
            <w:tcW w:w="1377" w:type="dxa"/>
            <w:tcBorders>
              <w:top w:val="nil" w:sz="6" w:space="0" w:color="auto"/>
              <w:left w:val="nil" w:sz="6" w:space="0" w:color="auto"/>
              <w:bottom w:val="single" w:sz="4" w:space="0" w:color="000000"/>
              <w:right w:val="nil" w:sz="6" w:space="0" w:color="auto"/>
            </w:tcBorders>
          </w:tcPr>
          <w:p>
            <w:pPr>
              <w:pStyle w:val="TableParagraph"/>
              <w:spacing w:line="161" w:lineRule="exact"/>
              <w:ind w:left="193" w:right="0"/>
              <w:jc w:val="center"/>
              <w:rPr>
                <w:rFonts w:ascii="宋体" w:hAnsi="宋体" w:cs="宋体" w:eastAsia="宋体" w:hint="default"/>
                <w:sz w:val="16"/>
                <w:szCs w:val="16"/>
              </w:rPr>
            </w:pPr>
            <w:r>
              <w:rPr>
                <w:rFonts w:ascii="宋体" w:hAnsi="宋体" w:cs="宋体" w:eastAsia="宋体" w:hint="default"/>
                <w:sz w:val="16"/>
                <w:szCs w:val="16"/>
              </w:rPr>
              <w:t>业务性质</w:t>
            </w:r>
          </w:p>
        </w:tc>
        <w:tc>
          <w:tcPr>
            <w:tcW w:w="1393" w:type="dxa"/>
            <w:tcBorders>
              <w:top w:val="nil" w:sz="6" w:space="0" w:color="auto"/>
              <w:left w:val="nil" w:sz="6" w:space="0" w:color="auto"/>
              <w:bottom w:val="single" w:sz="4" w:space="0" w:color="000000"/>
              <w:right w:val="nil" w:sz="6" w:space="0" w:color="auto"/>
            </w:tcBorders>
          </w:tcPr>
          <w:p>
            <w:pPr>
              <w:pStyle w:val="TableParagraph"/>
              <w:spacing w:line="161" w:lineRule="exact"/>
              <w:ind w:left="58" w:right="0"/>
              <w:jc w:val="center"/>
              <w:rPr>
                <w:rFonts w:ascii="宋体" w:hAnsi="宋体" w:cs="宋体" w:eastAsia="宋体" w:hint="default"/>
                <w:sz w:val="16"/>
                <w:szCs w:val="16"/>
              </w:rPr>
            </w:pPr>
            <w:r>
              <w:rPr>
                <w:rFonts w:ascii="宋体" w:hAnsi="宋体" w:cs="宋体" w:eastAsia="宋体" w:hint="default"/>
                <w:sz w:val="16"/>
                <w:szCs w:val="16"/>
              </w:rPr>
              <w:t>注册资本（千元）</w:t>
            </w:r>
          </w:p>
        </w:tc>
        <w:tc>
          <w:tcPr>
            <w:tcW w:w="1767" w:type="dxa"/>
            <w:gridSpan w:val="5"/>
            <w:tcBorders>
              <w:top w:val="nil" w:sz="6" w:space="0" w:color="auto"/>
              <w:left w:val="nil" w:sz="6" w:space="0" w:color="auto"/>
              <w:bottom w:val="single" w:sz="4" w:space="0" w:color="000000"/>
              <w:right w:val="nil" w:sz="6" w:space="0" w:color="auto"/>
            </w:tcBorders>
          </w:tcPr>
          <w:p>
            <w:pPr>
              <w:pStyle w:val="TableParagraph"/>
              <w:spacing w:line="172" w:lineRule="exact"/>
              <w:ind w:left="508" w:right="0"/>
              <w:jc w:val="left"/>
              <w:rPr>
                <w:rFonts w:ascii="Arial" w:hAnsi="Arial" w:cs="Arial" w:eastAsia="Arial" w:hint="default"/>
                <w:sz w:val="16"/>
                <w:szCs w:val="16"/>
              </w:rPr>
            </w:pPr>
            <w:r>
              <w:rPr>
                <w:rFonts w:ascii="宋体" w:hAnsi="宋体" w:cs="宋体" w:eastAsia="宋体" w:hint="default"/>
                <w:sz w:val="16"/>
                <w:szCs w:val="16"/>
              </w:rPr>
              <w:t>持股比例</w:t>
            </w:r>
            <w:r>
              <w:rPr>
                <w:rFonts w:ascii="Arial" w:hAnsi="Arial" w:cs="Arial" w:eastAsia="Arial" w:hint="default"/>
                <w:sz w:val="16"/>
                <w:szCs w:val="16"/>
              </w:rPr>
              <w:t>(%)</w:t>
            </w:r>
          </w:p>
        </w:tc>
      </w:tr>
      <w:tr>
        <w:trPr>
          <w:trHeight w:val="330" w:hRule="exact"/>
        </w:trPr>
        <w:tc>
          <w:tcPr>
            <w:tcW w:w="2054" w:type="dxa"/>
            <w:tcBorders>
              <w:top w:val="single" w:sz="4" w:space="0" w:color="000000"/>
              <w:left w:val="nil" w:sz="6" w:space="0" w:color="auto"/>
              <w:bottom w:val="nil" w:sz="6" w:space="0" w:color="auto"/>
              <w:right w:val="nil" w:sz="6" w:space="0" w:color="auto"/>
            </w:tcBorders>
          </w:tcPr>
          <w:p>
            <w:pPr/>
          </w:p>
        </w:tc>
        <w:tc>
          <w:tcPr>
            <w:tcW w:w="1203" w:type="dxa"/>
            <w:tcBorders>
              <w:top w:val="single" w:sz="4" w:space="0" w:color="000000"/>
              <w:left w:val="nil" w:sz="6" w:space="0" w:color="auto"/>
              <w:bottom w:val="nil" w:sz="6" w:space="0" w:color="auto"/>
              <w:right w:val="nil" w:sz="6" w:space="0" w:color="auto"/>
            </w:tcBorders>
          </w:tcPr>
          <w:p>
            <w:pPr/>
          </w:p>
        </w:tc>
        <w:tc>
          <w:tcPr>
            <w:tcW w:w="1315" w:type="dxa"/>
            <w:tcBorders>
              <w:top w:val="single" w:sz="4" w:space="0" w:color="000000"/>
              <w:left w:val="nil" w:sz="6" w:space="0" w:color="auto"/>
              <w:bottom w:val="nil" w:sz="6" w:space="0" w:color="auto"/>
              <w:right w:val="nil" w:sz="6" w:space="0" w:color="auto"/>
            </w:tcBorders>
          </w:tcPr>
          <w:p>
            <w:pPr/>
          </w:p>
        </w:tc>
        <w:tc>
          <w:tcPr>
            <w:tcW w:w="1377" w:type="dxa"/>
            <w:tcBorders>
              <w:top w:val="single" w:sz="4" w:space="0" w:color="000000"/>
              <w:left w:val="nil" w:sz="6" w:space="0" w:color="auto"/>
              <w:bottom w:val="nil" w:sz="6" w:space="0" w:color="auto"/>
              <w:right w:val="nil" w:sz="6" w:space="0" w:color="auto"/>
            </w:tcBorders>
          </w:tcPr>
          <w:p>
            <w:pPr/>
          </w:p>
        </w:tc>
        <w:tc>
          <w:tcPr>
            <w:tcW w:w="1393"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single" w:sz="4" w:space="0" w:color="000000"/>
              <w:left w:val="nil" w:sz="6" w:space="0" w:color="auto"/>
              <w:bottom w:val="nil" w:sz="6" w:space="0" w:color="auto"/>
              <w:right w:val="nil" w:sz="6" w:space="0" w:color="auto"/>
            </w:tcBorders>
          </w:tcPr>
          <w:p>
            <w:pPr/>
          </w:p>
        </w:tc>
        <w:tc>
          <w:tcPr>
            <w:tcW w:w="401" w:type="dxa"/>
            <w:tcBorders>
              <w:top w:val="single" w:sz="4" w:space="0" w:color="000000"/>
              <w:left w:val="nil" w:sz="6" w:space="0" w:color="auto"/>
              <w:bottom w:val="single" w:sz="3" w:space="0" w:color="000000"/>
              <w:right w:val="nil" w:sz="6" w:space="0" w:color="auto"/>
            </w:tcBorders>
          </w:tcPr>
          <w:p>
            <w:pPr>
              <w:pStyle w:val="TableParagraph"/>
              <w:spacing w:line="240" w:lineRule="auto" w:before="110"/>
              <w:ind w:left="2" w:right="0"/>
              <w:jc w:val="center"/>
              <w:rPr>
                <w:rFonts w:ascii="宋体" w:hAnsi="宋体" w:cs="宋体" w:eastAsia="宋体" w:hint="default"/>
                <w:sz w:val="16"/>
                <w:szCs w:val="16"/>
              </w:rPr>
            </w:pPr>
            <w:r>
              <w:rPr>
                <w:rFonts w:ascii="宋体" w:hAnsi="宋体" w:cs="宋体" w:eastAsia="宋体" w:hint="default"/>
                <w:sz w:val="16"/>
                <w:szCs w:val="16"/>
              </w:rPr>
              <w:t>直接</w:t>
            </w:r>
          </w:p>
        </w:tc>
        <w:tc>
          <w:tcPr>
            <w:tcW w:w="468" w:type="dxa"/>
            <w:tcBorders>
              <w:top w:val="single" w:sz="4" w:space="0" w:color="000000"/>
              <w:left w:val="nil" w:sz="6" w:space="0" w:color="auto"/>
              <w:bottom w:val="nil" w:sz="6" w:space="0" w:color="auto"/>
              <w:right w:val="nil" w:sz="6" w:space="0" w:color="auto"/>
            </w:tcBorders>
          </w:tcPr>
          <w:p>
            <w:pPr/>
          </w:p>
        </w:tc>
        <w:tc>
          <w:tcPr>
            <w:tcW w:w="641" w:type="dxa"/>
            <w:tcBorders>
              <w:top w:val="single" w:sz="4" w:space="0" w:color="000000"/>
              <w:left w:val="nil" w:sz="6" w:space="0" w:color="auto"/>
              <w:bottom w:val="single" w:sz="3" w:space="0" w:color="000000"/>
              <w:right w:val="nil" w:sz="6" w:space="0" w:color="auto"/>
            </w:tcBorders>
          </w:tcPr>
          <w:p>
            <w:pPr>
              <w:pStyle w:val="TableParagraph"/>
              <w:spacing w:line="240" w:lineRule="auto" w:before="110"/>
              <w:ind w:right="206"/>
              <w:jc w:val="center"/>
              <w:rPr>
                <w:rFonts w:ascii="宋体" w:hAnsi="宋体" w:cs="宋体" w:eastAsia="宋体" w:hint="default"/>
                <w:sz w:val="16"/>
                <w:szCs w:val="16"/>
              </w:rPr>
            </w:pPr>
            <w:r>
              <w:rPr>
                <w:rFonts w:ascii="宋体" w:hAnsi="宋体" w:cs="宋体" w:eastAsia="宋体" w:hint="default"/>
                <w:sz w:val="16"/>
                <w:szCs w:val="16"/>
              </w:rPr>
              <w:t>间接</w:t>
            </w:r>
          </w:p>
        </w:tc>
      </w:tr>
      <w:tr>
        <w:trPr>
          <w:trHeight w:val="489" w:hRule="exact"/>
        </w:trPr>
        <w:tc>
          <w:tcPr>
            <w:tcW w:w="2054" w:type="dxa"/>
            <w:tcBorders>
              <w:top w:val="nil" w:sz="6" w:space="0" w:color="auto"/>
              <w:left w:val="nil" w:sz="6" w:space="0" w:color="auto"/>
              <w:bottom w:val="nil" w:sz="6" w:space="0" w:color="auto"/>
              <w:right w:val="nil" w:sz="6" w:space="0" w:color="auto"/>
            </w:tcBorders>
          </w:tcPr>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中国联通</w:t>
            </w:r>
            <w:r>
              <w:rPr>
                <w:rFonts w:ascii="宋体" w:hAnsi="宋体" w:cs="宋体" w:eastAsia="宋体" w:hint="default"/>
                <w:spacing w:val="-42"/>
                <w:sz w:val="16"/>
                <w:szCs w:val="16"/>
              </w:rPr>
              <w:t> </w:t>
            </w:r>
            <w:r>
              <w:rPr>
                <w:rFonts w:ascii="Arial" w:hAnsi="Arial" w:cs="Arial" w:eastAsia="Arial" w:hint="default"/>
                <w:sz w:val="16"/>
                <w:szCs w:val="16"/>
              </w:rPr>
              <w:t>BVI</w:t>
            </w:r>
            <w:r>
              <w:rPr>
                <w:rFonts w:ascii="Arial" w:hAnsi="Arial" w:cs="Arial" w:eastAsia="Arial" w:hint="default"/>
                <w:spacing w:val="-5"/>
                <w:sz w:val="16"/>
                <w:szCs w:val="16"/>
              </w:rPr>
              <w:t> </w:t>
            </w:r>
            <w:r>
              <w:rPr>
                <w:rFonts w:ascii="宋体" w:hAnsi="宋体" w:cs="宋体" w:eastAsia="宋体" w:hint="default"/>
                <w:sz w:val="16"/>
                <w:szCs w:val="16"/>
              </w:rPr>
              <w:t>有限公司</w:t>
            </w:r>
          </w:p>
          <w:p>
            <w:pPr>
              <w:pStyle w:val="TableParagraph"/>
              <w:spacing w:line="202"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w:t>
            </w:r>
            <w:r>
              <w:rPr>
                <w:rFonts w:ascii="宋体" w:hAnsi="宋体" w:cs="宋体" w:eastAsia="宋体" w:hint="default"/>
                <w:spacing w:val="-42"/>
                <w:sz w:val="16"/>
                <w:szCs w:val="16"/>
              </w:rPr>
              <w:t> </w:t>
            </w:r>
            <w:r>
              <w:rPr>
                <w:rFonts w:ascii="宋体" w:hAnsi="宋体" w:cs="宋体" w:eastAsia="宋体" w:hint="default"/>
                <w:sz w:val="16"/>
                <w:szCs w:val="16"/>
              </w:rPr>
              <w:t>BVI</w:t>
            </w:r>
            <w:r>
              <w:rPr>
                <w:rFonts w:ascii="宋体" w:hAnsi="宋体" w:cs="宋体" w:eastAsia="宋体" w:hint="default"/>
                <w:spacing w:val="-40"/>
                <w:sz w:val="16"/>
                <w:szCs w:val="16"/>
              </w:rPr>
              <w:t> </w:t>
            </w:r>
            <w:r>
              <w:rPr>
                <w:rFonts w:ascii="宋体" w:hAnsi="宋体" w:cs="宋体" w:eastAsia="宋体" w:hint="default"/>
                <w:sz w:val="16"/>
                <w:szCs w:val="16"/>
              </w:rPr>
              <w:t>公司”）</w:t>
            </w:r>
          </w:p>
        </w:tc>
        <w:tc>
          <w:tcPr>
            <w:tcW w:w="1203" w:type="dxa"/>
            <w:tcBorders>
              <w:top w:val="nil" w:sz="6" w:space="0" w:color="auto"/>
              <w:left w:val="nil" w:sz="6" w:space="0" w:color="auto"/>
              <w:bottom w:val="nil" w:sz="6" w:space="0" w:color="auto"/>
              <w:right w:val="nil" w:sz="6" w:space="0" w:color="auto"/>
            </w:tcBorders>
          </w:tcPr>
          <w:p>
            <w:pPr>
              <w:pStyle w:val="TableParagraph"/>
              <w:spacing w:line="206" w:lineRule="exact" w:before="16"/>
              <w:ind w:left="136" w:right="262" w:firstLine="79"/>
              <w:jc w:val="left"/>
              <w:rPr>
                <w:rFonts w:ascii="宋体" w:hAnsi="宋体" w:cs="宋体" w:eastAsia="宋体" w:hint="default"/>
                <w:sz w:val="16"/>
                <w:szCs w:val="16"/>
              </w:rPr>
            </w:pPr>
            <w:r>
              <w:rPr>
                <w:rFonts w:ascii="宋体" w:hAnsi="宋体" w:cs="宋体" w:eastAsia="宋体" w:hint="default"/>
                <w:sz w:val="16"/>
                <w:szCs w:val="16"/>
              </w:rPr>
              <w:t>（英属）</w:t>
            </w:r>
            <w:r>
              <w:rPr>
                <w:rFonts w:ascii="宋体" w:hAnsi="宋体" w:cs="宋体" w:eastAsia="宋体" w:hint="default"/>
                <w:w w:val="100"/>
                <w:sz w:val="16"/>
                <w:szCs w:val="16"/>
              </w:rPr>
              <w:t> </w:t>
            </w:r>
            <w:r>
              <w:rPr>
                <w:rFonts w:ascii="宋体" w:hAnsi="宋体" w:cs="宋体" w:eastAsia="宋体" w:hint="default"/>
                <w:spacing w:val="-1"/>
                <w:sz w:val="16"/>
                <w:szCs w:val="16"/>
              </w:rPr>
              <w:t>维尔京群岛</w:t>
            </w:r>
          </w:p>
        </w:tc>
        <w:tc>
          <w:tcPr>
            <w:tcW w:w="1315" w:type="dxa"/>
            <w:tcBorders>
              <w:top w:val="nil" w:sz="6" w:space="0" w:color="auto"/>
              <w:left w:val="nil" w:sz="6" w:space="0" w:color="auto"/>
              <w:bottom w:val="nil" w:sz="6" w:space="0" w:color="auto"/>
              <w:right w:val="nil" w:sz="6" w:space="0" w:color="auto"/>
            </w:tcBorders>
          </w:tcPr>
          <w:p>
            <w:pPr>
              <w:pStyle w:val="TableParagraph"/>
              <w:spacing w:line="206" w:lineRule="exact" w:before="16"/>
              <w:ind w:left="266" w:right="245" w:firstLine="79"/>
              <w:jc w:val="left"/>
              <w:rPr>
                <w:rFonts w:ascii="宋体" w:hAnsi="宋体" w:cs="宋体" w:eastAsia="宋体" w:hint="default"/>
                <w:sz w:val="16"/>
                <w:szCs w:val="16"/>
              </w:rPr>
            </w:pPr>
            <w:r>
              <w:rPr>
                <w:rFonts w:ascii="宋体" w:hAnsi="宋体" w:cs="宋体" w:eastAsia="宋体" w:hint="default"/>
                <w:sz w:val="16"/>
                <w:szCs w:val="16"/>
              </w:rPr>
              <w:t>（英属）</w:t>
            </w:r>
            <w:r>
              <w:rPr>
                <w:rFonts w:ascii="宋体" w:hAnsi="宋体" w:cs="宋体" w:eastAsia="宋体" w:hint="default"/>
                <w:w w:val="100"/>
                <w:sz w:val="16"/>
                <w:szCs w:val="16"/>
              </w:rPr>
              <w:t> </w:t>
            </w:r>
            <w:r>
              <w:rPr>
                <w:rFonts w:ascii="宋体" w:hAnsi="宋体" w:cs="宋体" w:eastAsia="宋体" w:hint="default"/>
                <w:spacing w:val="-1"/>
                <w:sz w:val="16"/>
                <w:szCs w:val="16"/>
              </w:rPr>
              <w:t>维尔京群岛</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82" w:right="0"/>
              <w:jc w:val="center"/>
              <w:rPr>
                <w:rFonts w:ascii="宋体" w:hAnsi="宋体" w:cs="宋体" w:eastAsia="宋体" w:hint="default"/>
                <w:sz w:val="16"/>
                <w:szCs w:val="16"/>
              </w:rPr>
            </w:pPr>
            <w:r>
              <w:rPr>
                <w:rFonts w:ascii="宋体" w:hAnsi="宋体" w:cs="宋体" w:eastAsia="宋体" w:hint="default"/>
                <w:sz w:val="16"/>
                <w:szCs w:val="16"/>
              </w:rPr>
              <w:t>投资控股</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Arial" w:hAnsi="Arial" w:cs="Arial" w:eastAsia="Arial" w:hint="default"/>
                <w:sz w:val="16"/>
                <w:szCs w:val="16"/>
              </w:rPr>
            </w:pPr>
            <w:r>
              <w:rPr>
                <w:rFonts w:ascii="Arial"/>
                <w:sz w:val="16"/>
              </w:rPr>
              <w:t>413</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single" w:sz="3"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Arial" w:hAnsi="Arial" w:cs="Arial" w:eastAsia="Arial" w:hint="default"/>
                <w:sz w:val="16"/>
                <w:szCs w:val="16"/>
              </w:rPr>
            </w:pPr>
            <w:r>
              <w:rPr>
                <w:rFonts w:ascii="Arial"/>
                <w:spacing w:val="-1"/>
                <w:sz w:val="16"/>
              </w:rPr>
              <w:t>82.10</w:t>
            </w:r>
          </w:p>
        </w:tc>
        <w:tc>
          <w:tcPr>
            <w:tcW w:w="468" w:type="dxa"/>
            <w:tcBorders>
              <w:top w:val="nil" w:sz="6" w:space="0" w:color="auto"/>
              <w:left w:val="nil" w:sz="6" w:space="0" w:color="auto"/>
              <w:bottom w:val="nil" w:sz="6" w:space="0" w:color="auto"/>
              <w:right w:val="nil" w:sz="6" w:space="0" w:color="auto"/>
            </w:tcBorders>
          </w:tcPr>
          <w:p>
            <w:pPr/>
          </w:p>
        </w:tc>
        <w:tc>
          <w:tcPr>
            <w:tcW w:w="641" w:type="dxa"/>
            <w:tcBorders>
              <w:top w:val="single" w:sz="3"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6"/>
              <w:jc w:val="center"/>
              <w:rPr>
                <w:rFonts w:ascii="Arial" w:hAnsi="Arial" w:cs="Arial" w:eastAsia="Arial" w:hint="default"/>
                <w:sz w:val="16"/>
                <w:szCs w:val="16"/>
              </w:rPr>
            </w:pPr>
            <w:r>
              <w:rPr>
                <w:rFonts w:ascii="Arial"/>
                <w:w w:val="100"/>
                <w:sz w:val="16"/>
              </w:rPr>
              <w:t>-</w:t>
            </w:r>
          </w:p>
        </w:tc>
      </w:tr>
      <w:tr>
        <w:trPr>
          <w:trHeight w:val="715" w:hRule="exact"/>
        </w:trPr>
        <w:tc>
          <w:tcPr>
            <w:tcW w:w="2054" w:type="dxa"/>
            <w:tcBorders>
              <w:top w:val="nil" w:sz="6" w:space="0" w:color="auto"/>
              <w:left w:val="nil" w:sz="6" w:space="0" w:color="auto"/>
              <w:bottom w:val="nil" w:sz="6" w:space="0" w:color="auto"/>
              <w:right w:val="nil" w:sz="6" w:space="0" w:color="auto"/>
            </w:tcBorders>
          </w:tcPr>
          <w:p>
            <w:pPr>
              <w:pStyle w:val="TableParagraph"/>
              <w:spacing w:line="208" w:lineRule="exact" w:before="12"/>
              <w:ind w:left="76" w:right="0"/>
              <w:jc w:val="left"/>
              <w:rPr>
                <w:rFonts w:ascii="宋体" w:hAnsi="宋体" w:cs="宋体" w:eastAsia="宋体" w:hint="default"/>
                <w:sz w:val="16"/>
                <w:szCs w:val="16"/>
              </w:rPr>
            </w:pPr>
            <w:r>
              <w:rPr>
                <w:rFonts w:ascii="宋体" w:hAnsi="宋体" w:cs="宋体" w:eastAsia="宋体" w:hint="default"/>
                <w:sz w:val="16"/>
                <w:szCs w:val="16"/>
              </w:rPr>
              <w:t>中国联合网络通信</w:t>
            </w:r>
          </w:p>
          <w:p>
            <w:pPr>
              <w:pStyle w:val="TableParagraph"/>
              <w:spacing w:line="208" w:lineRule="exact"/>
              <w:ind w:left="254" w:right="0"/>
              <w:jc w:val="left"/>
              <w:rPr>
                <w:rFonts w:ascii="宋体" w:hAnsi="宋体" w:cs="宋体" w:eastAsia="宋体" w:hint="default"/>
                <w:sz w:val="16"/>
                <w:szCs w:val="16"/>
              </w:rPr>
            </w:pPr>
            <w:r>
              <w:rPr>
                <w:rFonts w:ascii="宋体" w:hAnsi="宋体" w:cs="宋体" w:eastAsia="宋体" w:hint="default"/>
                <w:sz w:val="16"/>
                <w:szCs w:val="16"/>
              </w:rPr>
              <w:t>（香港）股份有限公司</w:t>
            </w:r>
          </w:p>
          <w:p>
            <w:pPr>
              <w:pStyle w:val="TableParagraph"/>
              <w:spacing w:line="209"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（“联通红筹公司”）</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25"/>
              <w:jc w:val="center"/>
              <w:rPr>
                <w:rFonts w:ascii="宋体" w:hAnsi="宋体" w:cs="宋体" w:eastAsia="宋体" w:hint="default"/>
                <w:sz w:val="16"/>
                <w:szCs w:val="16"/>
              </w:rPr>
            </w:pPr>
            <w:r>
              <w:rPr>
                <w:rFonts w:ascii="宋体" w:hAnsi="宋体" w:cs="宋体" w:eastAsia="宋体" w:hint="default"/>
                <w:sz w:val="16"/>
                <w:szCs w:val="16"/>
              </w:rPr>
              <w:t>中国，香港</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66" w:right="0"/>
              <w:jc w:val="left"/>
              <w:rPr>
                <w:rFonts w:ascii="宋体" w:hAnsi="宋体" w:cs="宋体" w:eastAsia="宋体" w:hint="default"/>
                <w:sz w:val="16"/>
                <w:szCs w:val="16"/>
              </w:rPr>
            </w:pPr>
            <w:r>
              <w:rPr>
                <w:rFonts w:ascii="宋体" w:hAnsi="宋体" w:cs="宋体" w:eastAsia="宋体" w:hint="default"/>
                <w:sz w:val="16"/>
                <w:szCs w:val="16"/>
              </w:rPr>
              <w:t>中国，香港</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82" w:right="0"/>
              <w:jc w:val="center"/>
              <w:rPr>
                <w:rFonts w:ascii="宋体" w:hAnsi="宋体" w:cs="宋体" w:eastAsia="宋体" w:hint="default"/>
                <w:sz w:val="16"/>
                <w:szCs w:val="16"/>
              </w:rPr>
            </w:pPr>
            <w:r>
              <w:rPr>
                <w:rFonts w:ascii="宋体" w:hAnsi="宋体" w:cs="宋体" w:eastAsia="宋体" w:hint="default"/>
                <w:sz w:val="16"/>
                <w:szCs w:val="16"/>
              </w:rPr>
              <w:t>投资控股</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6" w:right="0"/>
              <w:jc w:val="center"/>
              <w:rPr>
                <w:rFonts w:ascii="Arial" w:hAnsi="Arial" w:cs="Arial" w:eastAsia="Arial" w:hint="default"/>
                <w:sz w:val="16"/>
                <w:szCs w:val="16"/>
              </w:rPr>
            </w:pPr>
            <w:r>
              <w:rPr>
                <w:rFonts w:ascii="Arial"/>
                <w:sz w:val="16"/>
              </w:rPr>
              <w:t>2,310,408</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468"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7"/>
              <w:jc w:val="center"/>
              <w:rPr>
                <w:rFonts w:ascii="Arial" w:hAnsi="Arial" w:cs="Arial" w:eastAsia="Arial" w:hint="default"/>
                <w:sz w:val="16"/>
                <w:szCs w:val="16"/>
              </w:rPr>
            </w:pPr>
            <w:r>
              <w:rPr>
                <w:rFonts w:ascii="Arial"/>
                <w:spacing w:val="-1"/>
                <w:sz w:val="16"/>
              </w:rPr>
              <w:t>33.34</w:t>
            </w:r>
          </w:p>
        </w:tc>
      </w:tr>
      <w:tr>
        <w:trPr>
          <w:trHeight w:val="713" w:hRule="exact"/>
        </w:trPr>
        <w:tc>
          <w:tcPr>
            <w:tcW w:w="2054" w:type="dxa"/>
            <w:tcBorders>
              <w:top w:val="nil" w:sz="6" w:space="0" w:color="auto"/>
              <w:left w:val="nil" w:sz="6" w:space="0" w:color="auto"/>
              <w:bottom w:val="nil" w:sz="6" w:space="0" w:color="auto"/>
              <w:right w:val="nil" w:sz="6" w:space="0" w:color="auto"/>
            </w:tcBorders>
          </w:tcPr>
          <w:p>
            <w:pPr>
              <w:pStyle w:val="TableParagraph"/>
              <w:spacing w:line="206" w:lineRule="exact" w:before="34"/>
              <w:ind w:left="251" w:right="372" w:hanging="176"/>
              <w:jc w:val="left"/>
              <w:rPr>
                <w:rFonts w:ascii="宋体" w:hAnsi="宋体" w:cs="宋体" w:eastAsia="宋体" w:hint="default"/>
                <w:sz w:val="16"/>
                <w:szCs w:val="16"/>
              </w:rPr>
            </w:pPr>
            <w:r>
              <w:rPr>
                <w:rFonts w:ascii="宋体" w:hAnsi="宋体" w:cs="宋体" w:eastAsia="宋体" w:hint="default"/>
                <w:spacing w:val="-1"/>
                <w:sz w:val="16"/>
                <w:szCs w:val="16"/>
              </w:rPr>
              <w:t>中国联合网络通信有限</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公司</w:t>
            </w:r>
          </w:p>
          <w:p>
            <w:pPr>
              <w:pStyle w:val="TableParagraph"/>
              <w:spacing w:line="188"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（“联通运营公司”）</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27"/>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85" w:right="0"/>
              <w:jc w:val="left"/>
              <w:rPr>
                <w:rFonts w:ascii="宋体" w:hAnsi="宋体" w:cs="宋体" w:eastAsia="宋体" w:hint="default"/>
                <w:sz w:val="16"/>
                <w:szCs w:val="16"/>
              </w:rPr>
            </w:pPr>
            <w:r>
              <w:rPr>
                <w:rFonts w:ascii="宋体" w:hAnsi="宋体" w:cs="宋体" w:eastAsia="宋体" w:hint="default"/>
                <w:sz w:val="16"/>
                <w:szCs w:val="16"/>
              </w:rPr>
              <w:t>中国，北京市</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82" w:right="0"/>
              <w:jc w:val="center"/>
              <w:rPr>
                <w:rFonts w:ascii="宋体" w:hAnsi="宋体" w:cs="宋体" w:eastAsia="宋体" w:hint="default"/>
                <w:sz w:val="16"/>
                <w:szCs w:val="16"/>
              </w:rPr>
            </w:pPr>
            <w:r>
              <w:rPr>
                <w:rFonts w:ascii="宋体" w:hAnsi="宋体" w:cs="宋体" w:eastAsia="宋体" w:hint="default"/>
                <w:sz w:val="16"/>
                <w:szCs w:val="16"/>
              </w:rPr>
              <w:t>电信业务</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56" w:right="0"/>
              <w:jc w:val="center"/>
              <w:rPr>
                <w:rFonts w:ascii="Arial" w:hAnsi="Arial" w:cs="Arial" w:eastAsia="Arial" w:hint="default"/>
                <w:sz w:val="16"/>
                <w:szCs w:val="16"/>
              </w:rPr>
            </w:pPr>
            <w:r>
              <w:rPr>
                <w:rFonts w:ascii="Arial"/>
                <w:sz w:val="16"/>
              </w:rPr>
              <w:t>138,091,678</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468"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08"/>
              <w:jc w:val="center"/>
              <w:rPr>
                <w:rFonts w:ascii="Arial" w:hAnsi="Arial" w:cs="Arial" w:eastAsia="Arial" w:hint="default"/>
                <w:sz w:val="16"/>
                <w:szCs w:val="16"/>
              </w:rPr>
            </w:pPr>
            <w:r>
              <w:rPr>
                <w:rFonts w:ascii="Arial"/>
                <w:sz w:val="16"/>
              </w:rPr>
              <w:t>33.34</w:t>
            </w:r>
          </w:p>
        </w:tc>
      </w:tr>
      <w:tr>
        <w:trPr>
          <w:trHeight w:val="507" w:hRule="exact"/>
        </w:trPr>
        <w:tc>
          <w:tcPr>
            <w:tcW w:w="2054" w:type="dxa"/>
            <w:tcBorders>
              <w:top w:val="nil" w:sz="6" w:space="0" w:color="auto"/>
              <w:left w:val="nil" w:sz="6" w:space="0" w:color="auto"/>
              <w:bottom w:val="nil" w:sz="6" w:space="0" w:color="auto"/>
              <w:right w:val="nil" w:sz="6" w:space="0" w:color="auto"/>
            </w:tcBorders>
          </w:tcPr>
          <w:p>
            <w:pPr>
              <w:pStyle w:val="TableParagraph"/>
              <w:spacing w:line="209" w:lineRule="exact" w:before="12"/>
              <w:ind w:left="76" w:right="0"/>
              <w:jc w:val="left"/>
              <w:rPr>
                <w:rFonts w:ascii="宋体" w:hAnsi="宋体" w:cs="宋体" w:eastAsia="宋体" w:hint="default"/>
                <w:sz w:val="16"/>
                <w:szCs w:val="16"/>
              </w:rPr>
            </w:pPr>
            <w:r>
              <w:rPr>
                <w:rFonts w:ascii="宋体" w:hAnsi="宋体" w:cs="宋体" w:eastAsia="宋体" w:hint="default"/>
                <w:sz w:val="16"/>
                <w:szCs w:val="16"/>
              </w:rPr>
              <w:t>联通华盛通信有限公司</w:t>
            </w:r>
          </w:p>
          <w:p>
            <w:pPr>
              <w:pStyle w:val="TableParagraph"/>
              <w:spacing w:line="209"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（“联通华盛”）</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27"/>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85" w:right="0"/>
              <w:jc w:val="left"/>
              <w:rPr>
                <w:rFonts w:ascii="宋体" w:hAnsi="宋体" w:cs="宋体" w:eastAsia="宋体" w:hint="default"/>
                <w:sz w:val="16"/>
                <w:szCs w:val="16"/>
              </w:rPr>
            </w:pPr>
            <w:r>
              <w:rPr>
                <w:rFonts w:ascii="宋体" w:hAnsi="宋体" w:cs="宋体" w:eastAsia="宋体" w:hint="default"/>
                <w:sz w:val="16"/>
                <w:szCs w:val="16"/>
              </w:rPr>
              <w:t>中国，北京市</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84" w:right="0"/>
              <w:jc w:val="center"/>
              <w:rPr>
                <w:rFonts w:ascii="宋体" w:hAnsi="宋体" w:cs="宋体" w:eastAsia="宋体" w:hint="default"/>
                <w:sz w:val="16"/>
                <w:szCs w:val="16"/>
              </w:rPr>
            </w:pPr>
            <w:r>
              <w:rPr>
                <w:rFonts w:ascii="宋体" w:hAnsi="宋体" w:cs="宋体" w:eastAsia="宋体" w:hint="default"/>
                <w:sz w:val="16"/>
                <w:szCs w:val="16"/>
              </w:rPr>
              <w:t>通信终端销售</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6" w:right="0"/>
              <w:jc w:val="center"/>
              <w:rPr>
                <w:rFonts w:ascii="Arial" w:hAnsi="Arial" w:cs="Arial" w:eastAsia="Arial" w:hint="default"/>
                <w:sz w:val="16"/>
                <w:szCs w:val="16"/>
              </w:rPr>
            </w:pPr>
            <w:r>
              <w:rPr>
                <w:rFonts w:ascii="Arial"/>
                <w:sz w:val="16"/>
              </w:rPr>
              <w:t>500,000</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468"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8"/>
              <w:jc w:val="center"/>
              <w:rPr>
                <w:rFonts w:ascii="Arial" w:hAnsi="Arial" w:cs="Arial" w:eastAsia="Arial" w:hint="default"/>
                <w:sz w:val="16"/>
                <w:szCs w:val="16"/>
              </w:rPr>
            </w:pPr>
            <w:r>
              <w:rPr>
                <w:rFonts w:ascii="Arial"/>
                <w:sz w:val="16"/>
              </w:rPr>
              <w:t>33.34</w:t>
            </w:r>
          </w:p>
        </w:tc>
      </w:tr>
      <w:tr>
        <w:trPr>
          <w:trHeight w:val="515" w:hRule="exact"/>
        </w:trPr>
        <w:tc>
          <w:tcPr>
            <w:tcW w:w="2054" w:type="dxa"/>
            <w:tcBorders>
              <w:top w:val="nil" w:sz="6" w:space="0" w:color="auto"/>
              <w:left w:val="nil" w:sz="6" w:space="0" w:color="auto"/>
              <w:bottom w:val="nil" w:sz="6" w:space="0" w:color="auto"/>
              <w:right w:val="nil" w:sz="6" w:space="0" w:color="auto"/>
            </w:tcBorders>
          </w:tcPr>
          <w:p>
            <w:pPr>
              <w:pStyle w:val="TableParagraph"/>
              <w:spacing w:line="209" w:lineRule="exact" w:before="12"/>
              <w:ind w:left="76" w:right="0"/>
              <w:jc w:val="left"/>
              <w:rPr>
                <w:rFonts w:ascii="宋体" w:hAnsi="宋体" w:cs="宋体" w:eastAsia="宋体" w:hint="default"/>
                <w:sz w:val="16"/>
                <w:szCs w:val="16"/>
              </w:rPr>
            </w:pPr>
            <w:r>
              <w:rPr>
                <w:rFonts w:ascii="宋体" w:hAnsi="宋体" w:cs="宋体" w:eastAsia="宋体" w:hint="default"/>
                <w:sz w:val="16"/>
                <w:szCs w:val="16"/>
              </w:rPr>
              <w:t>亿讯投资有限公司</w:t>
            </w:r>
          </w:p>
          <w:p>
            <w:pPr>
              <w:pStyle w:val="TableParagraph"/>
              <w:spacing w:line="209" w:lineRule="exact"/>
              <w:ind w:left="76" w:right="0"/>
              <w:jc w:val="left"/>
              <w:rPr>
                <w:rFonts w:ascii="宋体" w:hAnsi="宋体" w:cs="宋体" w:eastAsia="宋体" w:hint="default"/>
                <w:sz w:val="16"/>
                <w:szCs w:val="16"/>
              </w:rPr>
            </w:pPr>
            <w:r>
              <w:rPr>
                <w:rFonts w:ascii="宋体" w:hAnsi="宋体" w:cs="宋体" w:eastAsia="宋体" w:hint="default"/>
                <w:sz w:val="16"/>
                <w:szCs w:val="16"/>
              </w:rPr>
              <w:t>（“亿讯公司”）</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6" w:right="262" w:firstLine="79"/>
              <w:jc w:val="left"/>
              <w:rPr>
                <w:rFonts w:ascii="宋体" w:hAnsi="宋体" w:cs="宋体" w:eastAsia="宋体" w:hint="default"/>
                <w:sz w:val="16"/>
                <w:szCs w:val="16"/>
              </w:rPr>
            </w:pPr>
            <w:r>
              <w:rPr>
                <w:rFonts w:ascii="宋体" w:hAnsi="宋体" w:cs="宋体" w:eastAsia="宋体" w:hint="default"/>
                <w:sz w:val="16"/>
                <w:szCs w:val="16"/>
              </w:rPr>
              <w:t>（英属）</w:t>
            </w:r>
            <w:r>
              <w:rPr>
                <w:rFonts w:ascii="宋体" w:hAnsi="宋体" w:cs="宋体" w:eastAsia="宋体" w:hint="default"/>
                <w:w w:val="100"/>
                <w:sz w:val="16"/>
                <w:szCs w:val="16"/>
              </w:rPr>
              <w:t> </w:t>
            </w:r>
            <w:r>
              <w:rPr>
                <w:rFonts w:ascii="宋体" w:hAnsi="宋体" w:cs="宋体" w:eastAsia="宋体" w:hint="default"/>
                <w:spacing w:val="-1"/>
                <w:sz w:val="16"/>
                <w:szCs w:val="16"/>
              </w:rPr>
              <w:t>维尔京群岛</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6" w:right="245" w:firstLine="79"/>
              <w:jc w:val="left"/>
              <w:rPr>
                <w:rFonts w:ascii="宋体" w:hAnsi="宋体" w:cs="宋体" w:eastAsia="宋体" w:hint="default"/>
                <w:sz w:val="16"/>
                <w:szCs w:val="16"/>
              </w:rPr>
            </w:pPr>
            <w:r>
              <w:rPr>
                <w:rFonts w:ascii="宋体" w:hAnsi="宋体" w:cs="宋体" w:eastAsia="宋体" w:hint="default"/>
                <w:sz w:val="16"/>
                <w:szCs w:val="16"/>
              </w:rPr>
              <w:t>（英属）</w:t>
            </w:r>
            <w:r>
              <w:rPr>
                <w:rFonts w:ascii="宋体" w:hAnsi="宋体" w:cs="宋体" w:eastAsia="宋体" w:hint="default"/>
                <w:w w:val="100"/>
                <w:sz w:val="16"/>
                <w:szCs w:val="16"/>
              </w:rPr>
              <w:t> </w:t>
            </w:r>
            <w:r>
              <w:rPr>
                <w:rFonts w:ascii="宋体" w:hAnsi="宋体" w:cs="宋体" w:eastAsia="宋体" w:hint="default"/>
                <w:spacing w:val="-1"/>
                <w:sz w:val="16"/>
                <w:szCs w:val="16"/>
              </w:rPr>
              <w:t>维尔京群岛</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82" w:right="0"/>
              <w:jc w:val="center"/>
              <w:rPr>
                <w:rFonts w:ascii="宋体" w:hAnsi="宋体" w:cs="宋体" w:eastAsia="宋体" w:hint="default"/>
                <w:sz w:val="16"/>
                <w:szCs w:val="16"/>
              </w:rPr>
            </w:pPr>
            <w:r>
              <w:rPr>
                <w:rFonts w:ascii="宋体" w:hAnsi="宋体" w:cs="宋体" w:eastAsia="宋体" w:hint="default"/>
                <w:sz w:val="16"/>
                <w:szCs w:val="16"/>
              </w:rPr>
              <w:t>投资及融资</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59" w:right="0"/>
              <w:jc w:val="center"/>
              <w:rPr>
                <w:rFonts w:ascii="宋体" w:hAnsi="宋体" w:cs="宋体" w:eastAsia="宋体" w:hint="default"/>
                <w:sz w:val="16"/>
                <w:szCs w:val="16"/>
              </w:rPr>
            </w:pPr>
            <w:r>
              <w:rPr>
                <w:rFonts w:ascii="Arial" w:hAnsi="Arial" w:cs="Arial" w:eastAsia="Arial" w:hint="default"/>
                <w:sz w:val="16"/>
                <w:szCs w:val="16"/>
              </w:rPr>
              <w:t>1</w:t>
            </w:r>
            <w:r>
              <w:rPr>
                <w:rFonts w:ascii="Arial" w:hAnsi="Arial" w:cs="Arial" w:eastAsia="Arial" w:hint="default"/>
                <w:spacing w:val="-3"/>
                <w:sz w:val="16"/>
                <w:szCs w:val="16"/>
              </w:rPr>
              <w:t> </w:t>
            </w:r>
            <w:r>
              <w:rPr>
                <w:rFonts w:ascii="宋体" w:hAnsi="宋体" w:cs="宋体" w:eastAsia="宋体" w:hint="default"/>
                <w:sz w:val="16"/>
                <w:szCs w:val="16"/>
              </w:rPr>
              <w:t>美元</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468"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08"/>
              <w:jc w:val="center"/>
              <w:rPr>
                <w:rFonts w:ascii="Arial" w:hAnsi="Arial" w:cs="Arial" w:eastAsia="Arial" w:hint="default"/>
                <w:sz w:val="16"/>
                <w:szCs w:val="16"/>
              </w:rPr>
            </w:pPr>
            <w:r>
              <w:rPr>
                <w:rFonts w:ascii="Arial"/>
                <w:sz w:val="16"/>
              </w:rPr>
              <w:t>33.34</w:t>
            </w:r>
          </w:p>
        </w:tc>
      </w:tr>
      <w:tr>
        <w:trPr>
          <w:trHeight w:val="518" w:hRule="exact"/>
        </w:trPr>
        <w:tc>
          <w:tcPr>
            <w:tcW w:w="2054" w:type="dxa"/>
            <w:tcBorders>
              <w:top w:val="nil" w:sz="6" w:space="0" w:color="auto"/>
              <w:left w:val="nil" w:sz="6" w:space="0" w:color="auto"/>
              <w:bottom w:val="nil" w:sz="6" w:space="0" w:color="auto"/>
              <w:right w:val="nil" w:sz="6" w:space="0" w:color="auto"/>
            </w:tcBorders>
          </w:tcPr>
          <w:p>
            <w:pPr>
              <w:pStyle w:val="TableParagraph"/>
              <w:spacing w:line="208" w:lineRule="exact" w:before="18"/>
              <w:ind w:left="76" w:right="0"/>
              <w:jc w:val="left"/>
              <w:rPr>
                <w:rFonts w:ascii="宋体" w:hAnsi="宋体" w:cs="宋体" w:eastAsia="宋体" w:hint="default"/>
                <w:sz w:val="16"/>
                <w:szCs w:val="16"/>
              </w:rPr>
            </w:pPr>
            <w:r>
              <w:rPr>
                <w:rFonts w:ascii="宋体" w:hAnsi="宋体" w:cs="宋体" w:eastAsia="宋体" w:hint="default"/>
                <w:sz w:val="16"/>
                <w:szCs w:val="16"/>
              </w:rPr>
              <w:t>联通支付有限公司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（“联通支付”）</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27"/>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85" w:right="0"/>
              <w:jc w:val="left"/>
              <w:rPr>
                <w:rFonts w:ascii="宋体" w:hAnsi="宋体" w:cs="宋体" w:eastAsia="宋体" w:hint="default"/>
                <w:sz w:val="16"/>
                <w:szCs w:val="16"/>
              </w:rPr>
            </w:pPr>
            <w:r>
              <w:rPr>
                <w:rFonts w:ascii="宋体" w:hAnsi="宋体" w:cs="宋体" w:eastAsia="宋体" w:hint="default"/>
                <w:sz w:val="16"/>
                <w:szCs w:val="16"/>
              </w:rPr>
              <w:t>中国，北京市</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2" w:right="0"/>
              <w:jc w:val="center"/>
              <w:rPr>
                <w:rFonts w:ascii="宋体" w:hAnsi="宋体" w:cs="宋体" w:eastAsia="宋体" w:hint="default"/>
                <w:sz w:val="16"/>
                <w:szCs w:val="16"/>
              </w:rPr>
            </w:pPr>
            <w:r>
              <w:rPr>
                <w:rFonts w:ascii="宋体" w:hAnsi="宋体" w:cs="宋体" w:eastAsia="宋体" w:hint="default"/>
                <w:sz w:val="16"/>
                <w:szCs w:val="16"/>
              </w:rPr>
              <w:t>第三方移动支付</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56" w:right="0"/>
              <w:jc w:val="center"/>
              <w:rPr>
                <w:rFonts w:ascii="Arial" w:hAnsi="Arial" w:cs="Arial" w:eastAsia="Arial" w:hint="default"/>
                <w:sz w:val="16"/>
                <w:szCs w:val="16"/>
              </w:rPr>
            </w:pPr>
            <w:r>
              <w:rPr>
                <w:rFonts w:ascii="Arial"/>
                <w:sz w:val="16"/>
              </w:rPr>
              <w:t>250,000</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468"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8"/>
              <w:jc w:val="center"/>
              <w:rPr>
                <w:rFonts w:ascii="Arial" w:hAnsi="Arial" w:cs="Arial" w:eastAsia="Arial" w:hint="default"/>
                <w:sz w:val="16"/>
                <w:szCs w:val="16"/>
              </w:rPr>
            </w:pPr>
            <w:r>
              <w:rPr>
                <w:rFonts w:ascii="Arial"/>
                <w:sz w:val="16"/>
              </w:rPr>
              <w:t>33.34</w:t>
            </w:r>
          </w:p>
        </w:tc>
      </w:tr>
      <w:tr>
        <w:trPr>
          <w:trHeight w:val="518" w:hRule="exact"/>
        </w:trPr>
        <w:tc>
          <w:tcPr>
            <w:tcW w:w="2054" w:type="dxa"/>
            <w:tcBorders>
              <w:top w:val="nil" w:sz="6" w:space="0" w:color="auto"/>
              <w:left w:val="nil" w:sz="6" w:space="0" w:color="auto"/>
              <w:bottom w:val="nil" w:sz="6" w:space="0" w:color="auto"/>
              <w:right w:val="nil" w:sz="6" w:space="0" w:color="auto"/>
            </w:tcBorders>
          </w:tcPr>
          <w:p>
            <w:pPr>
              <w:pStyle w:val="TableParagraph"/>
              <w:spacing w:line="208" w:lineRule="exact" w:before="18"/>
              <w:ind w:left="76" w:right="0"/>
              <w:jc w:val="left"/>
              <w:rPr>
                <w:rFonts w:ascii="宋体" w:hAnsi="宋体" w:cs="宋体" w:eastAsia="宋体" w:hint="default"/>
                <w:sz w:val="16"/>
                <w:szCs w:val="16"/>
              </w:rPr>
            </w:pPr>
            <w:r>
              <w:rPr>
                <w:rFonts w:ascii="宋体" w:hAnsi="宋体" w:cs="宋体" w:eastAsia="宋体" w:hint="default"/>
                <w:sz w:val="16"/>
                <w:szCs w:val="16"/>
              </w:rPr>
              <w:t>联通新时空通信有限公司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（“联通新时空”）</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27"/>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85" w:right="0"/>
              <w:jc w:val="left"/>
              <w:rPr>
                <w:rFonts w:ascii="宋体" w:hAnsi="宋体" w:cs="宋体" w:eastAsia="宋体" w:hint="default"/>
                <w:sz w:val="16"/>
                <w:szCs w:val="16"/>
              </w:rPr>
            </w:pPr>
            <w:r>
              <w:rPr>
                <w:rFonts w:ascii="宋体" w:hAnsi="宋体" w:cs="宋体" w:eastAsia="宋体" w:hint="default"/>
                <w:sz w:val="16"/>
                <w:szCs w:val="16"/>
              </w:rPr>
              <w:t>中国，北京市</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4" w:right="0"/>
              <w:jc w:val="center"/>
              <w:rPr>
                <w:rFonts w:ascii="宋体" w:hAnsi="宋体" w:cs="宋体" w:eastAsia="宋体" w:hint="default"/>
                <w:sz w:val="16"/>
                <w:szCs w:val="16"/>
              </w:rPr>
            </w:pPr>
            <w:r>
              <w:rPr>
                <w:rFonts w:ascii="宋体" w:hAnsi="宋体" w:cs="宋体" w:eastAsia="宋体" w:hint="default"/>
                <w:sz w:val="16"/>
                <w:szCs w:val="16"/>
              </w:rPr>
              <w:t>电信网络租赁</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59" w:right="0"/>
              <w:jc w:val="center"/>
              <w:rPr>
                <w:rFonts w:ascii="Arial" w:hAnsi="Arial" w:cs="Arial" w:eastAsia="Arial" w:hint="default"/>
                <w:sz w:val="16"/>
                <w:szCs w:val="16"/>
              </w:rPr>
            </w:pPr>
            <w:r>
              <w:rPr>
                <w:rFonts w:ascii="Arial"/>
                <w:sz w:val="16"/>
              </w:rPr>
              <w:t>40,233,740</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468"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8"/>
              <w:jc w:val="center"/>
              <w:rPr>
                <w:rFonts w:ascii="Arial" w:hAnsi="Arial" w:cs="Arial" w:eastAsia="Arial" w:hint="default"/>
                <w:sz w:val="16"/>
                <w:szCs w:val="16"/>
              </w:rPr>
            </w:pPr>
            <w:r>
              <w:rPr>
                <w:rFonts w:ascii="Arial"/>
                <w:sz w:val="16"/>
              </w:rPr>
              <w:t>33.34</w:t>
            </w:r>
          </w:p>
        </w:tc>
      </w:tr>
      <w:tr>
        <w:trPr>
          <w:trHeight w:val="518" w:hRule="exact"/>
        </w:trPr>
        <w:tc>
          <w:tcPr>
            <w:tcW w:w="2054" w:type="dxa"/>
            <w:tcBorders>
              <w:top w:val="nil" w:sz="6" w:space="0" w:color="auto"/>
              <w:left w:val="nil" w:sz="6" w:space="0" w:color="auto"/>
              <w:bottom w:val="nil" w:sz="6" w:space="0" w:color="auto"/>
              <w:right w:val="nil" w:sz="6" w:space="0" w:color="auto"/>
            </w:tcBorders>
          </w:tcPr>
          <w:p>
            <w:pPr>
              <w:pStyle w:val="TableParagraph"/>
              <w:spacing w:line="208" w:lineRule="exact" w:before="18"/>
              <w:ind w:left="76" w:right="0"/>
              <w:jc w:val="left"/>
              <w:rPr>
                <w:rFonts w:ascii="宋体" w:hAnsi="宋体" w:cs="宋体" w:eastAsia="宋体" w:hint="default"/>
                <w:sz w:val="16"/>
                <w:szCs w:val="16"/>
              </w:rPr>
            </w:pPr>
            <w:r>
              <w:rPr>
                <w:rFonts w:ascii="宋体" w:hAnsi="宋体" w:cs="宋体" w:eastAsia="宋体" w:hint="default"/>
                <w:sz w:val="16"/>
                <w:szCs w:val="16"/>
              </w:rPr>
              <w:t>联通云数据有限公司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（“联通云数据”）</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27"/>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85" w:right="0"/>
              <w:jc w:val="left"/>
              <w:rPr>
                <w:rFonts w:ascii="宋体" w:hAnsi="宋体" w:cs="宋体" w:eastAsia="宋体" w:hint="default"/>
                <w:sz w:val="16"/>
                <w:szCs w:val="16"/>
              </w:rPr>
            </w:pPr>
            <w:r>
              <w:rPr>
                <w:rFonts w:ascii="宋体" w:hAnsi="宋体" w:cs="宋体" w:eastAsia="宋体" w:hint="default"/>
                <w:sz w:val="16"/>
                <w:szCs w:val="16"/>
              </w:rPr>
              <w:t>中国，北京市</w:t>
            </w:r>
          </w:p>
        </w:tc>
        <w:tc>
          <w:tcPr>
            <w:tcW w:w="1377" w:type="dxa"/>
            <w:tcBorders>
              <w:top w:val="nil" w:sz="6" w:space="0" w:color="auto"/>
              <w:left w:val="nil" w:sz="6" w:space="0" w:color="auto"/>
              <w:bottom w:val="nil" w:sz="6" w:space="0" w:color="auto"/>
              <w:right w:val="nil" w:sz="6" w:space="0" w:color="auto"/>
            </w:tcBorders>
          </w:tcPr>
          <w:p>
            <w:pPr>
              <w:pStyle w:val="TableParagraph"/>
              <w:spacing w:line="206" w:lineRule="exact" w:before="40"/>
              <w:ind w:left="328" w:right="83" w:hanging="161"/>
              <w:jc w:val="left"/>
              <w:rPr>
                <w:rFonts w:ascii="宋体" w:hAnsi="宋体" w:cs="宋体" w:eastAsia="宋体" w:hint="default"/>
                <w:sz w:val="16"/>
                <w:szCs w:val="16"/>
              </w:rPr>
            </w:pPr>
            <w:r>
              <w:rPr>
                <w:rFonts w:ascii="宋体" w:hAnsi="宋体" w:cs="宋体" w:eastAsia="宋体" w:hint="default"/>
                <w:spacing w:val="-1"/>
                <w:sz w:val="16"/>
                <w:szCs w:val="16"/>
              </w:rPr>
              <w:t>技术开发、转让</w:t>
            </w:r>
            <w:r>
              <w:rPr>
                <w:rFonts w:ascii="宋体" w:hAnsi="宋体" w:cs="宋体" w:eastAsia="宋体" w:hint="default"/>
                <w:spacing w:val="-71"/>
                <w:sz w:val="16"/>
                <w:szCs w:val="16"/>
              </w:rPr>
              <w:t> </w:t>
            </w:r>
            <w:r>
              <w:rPr>
                <w:rFonts w:ascii="宋体" w:hAnsi="宋体" w:cs="宋体" w:eastAsia="宋体" w:hint="default"/>
                <w:spacing w:val="-71"/>
                <w:sz w:val="16"/>
                <w:szCs w:val="16"/>
              </w:rPr>
            </w:r>
            <w:r>
              <w:rPr>
                <w:rFonts w:ascii="宋体" w:hAnsi="宋体" w:cs="宋体" w:eastAsia="宋体" w:hint="default"/>
                <w:sz w:val="16"/>
                <w:szCs w:val="16"/>
              </w:rPr>
              <w:t>及咨询服务</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56" w:right="0"/>
              <w:jc w:val="center"/>
              <w:rPr>
                <w:rFonts w:ascii="Arial" w:hAnsi="Arial" w:cs="Arial" w:eastAsia="Arial" w:hint="default"/>
                <w:sz w:val="16"/>
                <w:szCs w:val="16"/>
              </w:rPr>
            </w:pPr>
            <w:r>
              <w:rPr>
                <w:rFonts w:ascii="Arial"/>
                <w:sz w:val="16"/>
              </w:rPr>
              <w:t>100,000</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468"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8"/>
              <w:jc w:val="center"/>
              <w:rPr>
                <w:rFonts w:ascii="Arial" w:hAnsi="Arial" w:cs="Arial" w:eastAsia="Arial" w:hint="default"/>
                <w:sz w:val="16"/>
                <w:szCs w:val="16"/>
              </w:rPr>
            </w:pPr>
            <w:r>
              <w:rPr>
                <w:rFonts w:ascii="Arial"/>
                <w:sz w:val="16"/>
              </w:rPr>
              <w:t>33.34</w:t>
            </w:r>
          </w:p>
        </w:tc>
      </w:tr>
      <w:tr>
        <w:trPr>
          <w:trHeight w:val="728" w:hRule="exact"/>
        </w:trPr>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51" w:right="693" w:hanging="176"/>
              <w:jc w:val="left"/>
              <w:rPr>
                <w:rFonts w:ascii="宋体" w:hAnsi="宋体" w:cs="宋体" w:eastAsia="宋体" w:hint="default"/>
                <w:sz w:val="16"/>
                <w:szCs w:val="16"/>
              </w:rPr>
            </w:pPr>
            <w:r>
              <w:rPr>
                <w:rFonts w:ascii="宋体" w:hAnsi="宋体" w:cs="宋体" w:eastAsia="宋体" w:hint="default"/>
                <w:spacing w:val="-1"/>
                <w:sz w:val="16"/>
                <w:szCs w:val="16"/>
              </w:rPr>
              <w:t>中国联通（缅甸）</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运营有限公司</w:t>
            </w:r>
          </w:p>
          <w:p>
            <w:pPr>
              <w:pStyle w:val="TableParagraph"/>
              <w:spacing w:line="207"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（“联通缅甸运营”）</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25"/>
              <w:jc w:val="center"/>
              <w:rPr>
                <w:rFonts w:ascii="宋体" w:hAnsi="宋体" w:cs="宋体" w:eastAsia="宋体" w:hint="default"/>
                <w:sz w:val="16"/>
                <w:szCs w:val="16"/>
              </w:rPr>
            </w:pPr>
            <w:r>
              <w:rPr>
                <w:rFonts w:ascii="宋体" w:hAnsi="宋体" w:cs="宋体" w:eastAsia="宋体" w:hint="default"/>
                <w:sz w:val="16"/>
                <w:szCs w:val="16"/>
              </w:rPr>
              <w:t>缅甸</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6"/>
                <w:szCs w:val="16"/>
              </w:rPr>
            </w:pPr>
            <w:r>
              <w:rPr>
                <w:rFonts w:ascii="宋体" w:hAnsi="宋体" w:cs="宋体" w:eastAsia="宋体" w:hint="default"/>
                <w:sz w:val="16"/>
                <w:szCs w:val="16"/>
              </w:rPr>
              <w:t>缅甸</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4" w:right="0"/>
              <w:jc w:val="center"/>
              <w:rPr>
                <w:rFonts w:ascii="宋体" w:hAnsi="宋体" w:cs="宋体" w:eastAsia="宋体" w:hint="default"/>
                <w:sz w:val="16"/>
                <w:szCs w:val="16"/>
              </w:rPr>
            </w:pPr>
            <w:r>
              <w:rPr>
                <w:rFonts w:ascii="宋体" w:hAnsi="宋体" w:cs="宋体" w:eastAsia="宋体" w:hint="default"/>
                <w:sz w:val="16"/>
                <w:szCs w:val="16"/>
              </w:rPr>
              <w:t>通信技术培训</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1" w:right="0"/>
              <w:jc w:val="center"/>
              <w:rPr>
                <w:rFonts w:ascii="Arial" w:hAnsi="Arial" w:cs="Arial" w:eastAsia="Arial" w:hint="default"/>
                <w:sz w:val="16"/>
                <w:szCs w:val="16"/>
              </w:rPr>
            </w:pPr>
            <w:r>
              <w:rPr>
                <w:rFonts w:ascii="宋体" w:hAnsi="宋体" w:cs="宋体" w:eastAsia="宋体" w:hint="default"/>
                <w:sz w:val="16"/>
                <w:szCs w:val="16"/>
              </w:rPr>
              <w:t>美元</w:t>
            </w:r>
            <w:r>
              <w:rPr>
                <w:rFonts w:ascii="宋体" w:hAnsi="宋体" w:cs="宋体" w:eastAsia="宋体" w:hint="default"/>
                <w:spacing w:val="-40"/>
                <w:sz w:val="16"/>
                <w:szCs w:val="16"/>
              </w:rPr>
              <w:t> </w:t>
            </w:r>
            <w:r>
              <w:rPr>
                <w:rFonts w:ascii="Arial" w:hAnsi="Arial" w:cs="Arial" w:eastAsia="Arial" w:hint="default"/>
                <w:sz w:val="16"/>
                <w:szCs w:val="16"/>
              </w:rPr>
              <w:t>50</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468"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8"/>
              <w:jc w:val="center"/>
              <w:rPr>
                <w:rFonts w:ascii="Arial" w:hAnsi="Arial" w:cs="Arial" w:eastAsia="Arial" w:hint="default"/>
                <w:sz w:val="16"/>
                <w:szCs w:val="16"/>
              </w:rPr>
            </w:pPr>
            <w:r>
              <w:rPr>
                <w:rFonts w:ascii="Arial"/>
                <w:sz w:val="16"/>
              </w:rPr>
              <w:t>33.34</w:t>
            </w:r>
          </w:p>
        </w:tc>
      </w:tr>
      <w:tr>
        <w:trPr>
          <w:trHeight w:val="725" w:hRule="exact"/>
        </w:trPr>
        <w:tc>
          <w:tcPr>
            <w:tcW w:w="2054" w:type="dxa"/>
            <w:tcBorders>
              <w:top w:val="nil" w:sz="6" w:space="0" w:color="auto"/>
              <w:left w:val="nil" w:sz="6" w:space="0" w:color="auto"/>
              <w:bottom w:val="nil" w:sz="6" w:space="0" w:color="auto"/>
              <w:right w:val="nil" w:sz="6" w:space="0" w:color="auto"/>
            </w:tcBorders>
          </w:tcPr>
          <w:p>
            <w:pPr>
              <w:pStyle w:val="TableParagraph"/>
              <w:spacing w:line="206" w:lineRule="exact" w:before="40"/>
              <w:ind w:left="251" w:right="695" w:hanging="176"/>
              <w:jc w:val="left"/>
              <w:rPr>
                <w:rFonts w:ascii="宋体" w:hAnsi="宋体" w:cs="宋体" w:eastAsia="宋体" w:hint="default"/>
                <w:sz w:val="16"/>
                <w:szCs w:val="16"/>
              </w:rPr>
            </w:pPr>
            <w:r>
              <w:rPr>
                <w:rFonts w:ascii="宋体" w:hAnsi="宋体" w:cs="宋体" w:eastAsia="宋体" w:hint="default"/>
                <w:spacing w:val="-1"/>
                <w:sz w:val="16"/>
                <w:szCs w:val="16"/>
              </w:rPr>
              <w:t>中国联通</w:t>
            </w:r>
            <w:r>
              <w:rPr>
                <w:rFonts w:ascii="宋体" w:hAnsi="宋体" w:cs="宋体" w:eastAsia="宋体" w:hint="default"/>
                <w:spacing w:val="-1"/>
                <w:sz w:val="16"/>
                <w:szCs w:val="16"/>
              </w:rPr>
              <w:t>(</w:t>
            </w:r>
            <w:r>
              <w:rPr>
                <w:rFonts w:ascii="宋体" w:hAnsi="宋体" w:cs="宋体" w:eastAsia="宋体" w:hint="default"/>
                <w:spacing w:val="-1"/>
                <w:sz w:val="16"/>
                <w:szCs w:val="16"/>
              </w:rPr>
              <w:t>新加坡</w:t>
            </w:r>
            <w:r>
              <w:rPr>
                <w:rFonts w:ascii="宋体" w:hAnsi="宋体" w:cs="宋体" w:eastAsia="宋体" w:hint="default"/>
                <w:spacing w:val="-1"/>
                <w:sz w:val="16"/>
                <w:szCs w:val="16"/>
              </w:rPr>
              <w:t>)</w:t>
            </w:r>
            <w:r>
              <w:rPr>
                <w:rFonts w:ascii="宋体" w:hAnsi="宋体" w:cs="宋体" w:eastAsia="宋体" w:hint="default"/>
                <w:spacing w:val="-73"/>
                <w:sz w:val="16"/>
                <w:szCs w:val="16"/>
              </w:rPr>
              <w:t> </w:t>
            </w:r>
            <w:r>
              <w:rPr>
                <w:rFonts w:ascii="宋体" w:hAnsi="宋体" w:cs="宋体" w:eastAsia="宋体" w:hint="default"/>
                <w:sz w:val="16"/>
                <w:szCs w:val="16"/>
              </w:rPr>
              <w:t>运营有限公司</w:t>
            </w:r>
          </w:p>
          <w:p>
            <w:pPr>
              <w:pStyle w:val="TableParagraph"/>
              <w:spacing w:line="190"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（“联通新加坡运营”）</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27"/>
              <w:jc w:val="center"/>
              <w:rPr>
                <w:rFonts w:ascii="宋体" w:hAnsi="宋体" w:cs="宋体" w:eastAsia="宋体" w:hint="default"/>
                <w:sz w:val="16"/>
                <w:szCs w:val="16"/>
              </w:rPr>
            </w:pPr>
            <w:r>
              <w:rPr>
                <w:rFonts w:ascii="宋体" w:hAnsi="宋体" w:cs="宋体" w:eastAsia="宋体" w:hint="default"/>
                <w:sz w:val="16"/>
                <w:szCs w:val="16"/>
              </w:rPr>
              <w:t>新加坡</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25" w:right="0"/>
              <w:jc w:val="left"/>
              <w:rPr>
                <w:rFonts w:ascii="宋体" w:hAnsi="宋体" w:cs="宋体" w:eastAsia="宋体" w:hint="default"/>
                <w:sz w:val="16"/>
                <w:szCs w:val="16"/>
              </w:rPr>
            </w:pPr>
            <w:r>
              <w:rPr>
                <w:rFonts w:ascii="宋体" w:hAnsi="宋体" w:cs="宋体" w:eastAsia="宋体" w:hint="default"/>
                <w:sz w:val="16"/>
                <w:szCs w:val="16"/>
              </w:rPr>
              <w:t>新加坡</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82" w:right="0"/>
              <w:jc w:val="center"/>
              <w:rPr>
                <w:rFonts w:ascii="宋体" w:hAnsi="宋体" w:cs="宋体" w:eastAsia="宋体" w:hint="default"/>
                <w:sz w:val="16"/>
                <w:szCs w:val="16"/>
              </w:rPr>
            </w:pPr>
            <w:r>
              <w:rPr>
                <w:rFonts w:ascii="宋体" w:hAnsi="宋体" w:cs="宋体" w:eastAsia="宋体" w:hint="default"/>
                <w:sz w:val="16"/>
                <w:szCs w:val="16"/>
              </w:rPr>
              <w:t>电信业务</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15" w:lineRule="exact"/>
              <w:ind w:left="61" w:right="0"/>
              <w:jc w:val="center"/>
              <w:rPr>
                <w:rFonts w:ascii="宋体" w:hAnsi="宋体" w:cs="宋体" w:eastAsia="宋体" w:hint="default"/>
                <w:sz w:val="16"/>
                <w:szCs w:val="16"/>
              </w:rPr>
            </w:pPr>
            <w:r>
              <w:rPr>
                <w:rFonts w:ascii="Arial" w:hAnsi="Arial" w:cs="Arial" w:eastAsia="Arial" w:hint="default"/>
                <w:sz w:val="16"/>
                <w:szCs w:val="16"/>
              </w:rPr>
              <w:t>1</w:t>
            </w:r>
            <w:r>
              <w:rPr>
                <w:rFonts w:ascii="Arial" w:hAnsi="Arial" w:cs="Arial" w:eastAsia="Arial" w:hint="default"/>
                <w:spacing w:val="-3"/>
                <w:sz w:val="16"/>
                <w:szCs w:val="16"/>
              </w:rPr>
              <w:t> </w:t>
            </w:r>
            <w:r>
              <w:rPr>
                <w:rFonts w:ascii="宋体" w:hAnsi="宋体" w:cs="宋体" w:eastAsia="宋体" w:hint="default"/>
                <w:sz w:val="16"/>
                <w:szCs w:val="16"/>
              </w:rPr>
              <w:t>美元及人民币</w:t>
            </w:r>
          </w:p>
          <w:p>
            <w:pPr>
              <w:pStyle w:val="TableParagraph"/>
              <w:spacing w:line="215" w:lineRule="exact"/>
              <w:ind w:left="61" w:right="0"/>
              <w:jc w:val="center"/>
              <w:rPr>
                <w:rFonts w:ascii="宋体" w:hAnsi="宋体" w:cs="宋体" w:eastAsia="宋体" w:hint="default"/>
                <w:sz w:val="16"/>
                <w:szCs w:val="16"/>
              </w:rPr>
            </w:pPr>
            <w:r>
              <w:rPr>
                <w:rFonts w:ascii="Arial" w:hAnsi="Arial" w:cs="Arial" w:eastAsia="Arial" w:hint="default"/>
                <w:sz w:val="16"/>
                <w:szCs w:val="16"/>
              </w:rPr>
              <w:t>30,000</w:t>
            </w:r>
            <w:r>
              <w:rPr>
                <w:rFonts w:ascii="Arial" w:hAnsi="Arial" w:cs="Arial" w:eastAsia="Arial" w:hint="default"/>
                <w:spacing w:val="-5"/>
                <w:sz w:val="16"/>
                <w:szCs w:val="16"/>
              </w:rPr>
              <w:t> </w:t>
            </w:r>
            <w:r>
              <w:rPr>
                <w:rFonts w:ascii="宋体" w:hAnsi="宋体" w:cs="宋体" w:eastAsia="宋体" w:hint="default"/>
                <w:sz w:val="16"/>
                <w:szCs w:val="16"/>
              </w:rPr>
              <w:t>千元</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468"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08"/>
              <w:jc w:val="center"/>
              <w:rPr>
                <w:rFonts w:ascii="Arial" w:hAnsi="Arial" w:cs="Arial" w:eastAsia="Arial" w:hint="default"/>
                <w:sz w:val="16"/>
                <w:szCs w:val="16"/>
              </w:rPr>
            </w:pPr>
            <w:r>
              <w:rPr>
                <w:rFonts w:ascii="Arial"/>
                <w:sz w:val="16"/>
              </w:rPr>
              <w:t>33.34</w:t>
            </w:r>
          </w:p>
        </w:tc>
      </w:tr>
      <w:tr>
        <w:trPr>
          <w:trHeight w:val="727" w:hRule="exact"/>
        </w:trPr>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51" w:right="693" w:hanging="176"/>
              <w:jc w:val="left"/>
              <w:rPr>
                <w:rFonts w:ascii="宋体" w:hAnsi="宋体" w:cs="宋体" w:eastAsia="宋体" w:hint="default"/>
                <w:sz w:val="16"/>
                <w:szCs w:val="16"/>
              </w:rPr>
            </w:pPr>
            <w:r>
              <w:rPr>
                <w:rFonts w:ascii="宋体" w:hAnsi="宋体" w:cs="宋体" w:eastAsia="宋体" w:hint="default"/>
                <w:spacing w:val="-1"/>
                <w:sz w:val="16"/>
                <w:szCs w:val="16"/>
              </w:rPr>
              <w:t>中国联通（南非）</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运营有限公司</w:t>
            </w:r>
          </w:p>
          <w:p>
            <w:pPr>
              <w:pStyle w:val="TableParagraph"/>
              <w:spacing w:line="206"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（“联通南非运营”）</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25"/>
              <w:jc w:val="center"/>
              <w:rPr>
                <w:rFonts w:ascii="宋体" w:hAnsi="宋体" w:cs="宋体" w:eastAsia="宋体" w:hint="default"/>
                <w:sz w:val="16"/>
                <w:szCs w:val="16"/>
              </w:rPr>
            </w:pPr>
            <w:r>
              <w:rPr>
                <w:rFonts w:ascii="宋体" w:hAnsi="宋体" w:cs="宋体" w:eastAsia="宋体" w:hint="default"/>
                <w:sz w:val="16"/>
                <w:szCs w:val="16"/>
              </w:rPr>
              <w:t>南非</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6"/>
                <w:szCs w:val="16"/>
              </w:rPr>
            </w:pPr>
            <w:r>
              <w:rPr>
                <w:rFonts w:ascii="宋体" w:hAnsi="宋体" w:cs="宋体" w:eastAsia="宋体" w:hint="default"/>
                <w:sz w:val="16"/>
                <w:szCs w:val="16"/>
              </w:rPr>
              <w:t>南非</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2" w:right="0"/>
              <w:jc w:val="center"/>
              <w:rPr>
                <w:rFonts w:ascii="宋体" w:hAnsi="宋体" w:cs="宋体" w:eastAsia="宋体" w:hint="default"/>
                <w:sz w:val="16"/>
                <w:szCs w:val="16"/>
              </w:rPr>
            </w:pPr>
            <w:r>
              <w:rPr>
                <w:rFonts w:ascii="宋体" w:hAnsi="宋体" w:cs="宋体" w:eastAsia="宋体" w:hint="default"/>
                <w:sz w:val="16"/>
                <w:szCs w:val="16"/>
              </w:rPr>
              <w:t>无商业活动</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1" w:right="0"/>
              <w:jc w:val="center"/>
              <w:rPr>
                <w:rFonts w:ascii="宋体" w:hAnsi="宋体" w:cs="宋体" w:eastAsia="宋体" w:hint="default"/>
                <w:sz w:val="16"/>
                <w:szCs w:val="16"/>
              </w:rPr>
            </w:pPr>
            <w:r>
              <w:rPr>
                <w:rFonts w:ascii="宋体" w:hAnsi="宋体" w:cs="宋体" w:eastAsia="宋体" w:hint="default"/>
                <w:sz w:val="16"/>
                <w:szCs w:val="16"/>
              </w:rPr>
              <w:t>不适用</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468"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8"/>
              <w:jc w:val="center"/>
              <w:rPr>
                <w:rFonts w:ascii="Arial" w:hAnsi="Arial" w:cs="Arial" w:eastAsia="Arial" w:hint="default"/>
                <w:sz w:val="16"/>
                <w:szCs w:val="16"/>
              </w:rPr>
            </w:pPr>
            <w:r>
              <w:rPr>
                <w:rFonts w:ascii="Arial"/>
                <w:sz w:val="16"/>
              </w:rPr>
              <w:t>33.34</w:t>
            </w:r>
          </w:p>
        </w:tc>
      </w:tr>
      <w:tr>
        <w:trPr>
          <w:trHeight w:val="726" w:hRule="exact"/>
        </w:trPr>
        <w:tc>
          <w:tcPr>
            <w:tcW w:w="2054" w:type="dxa"/>
            <w:tcBorders>
              <w:top w:val="nil" w:sz="6" w:space="0" w:color="auto"/>
              <w:left w:val="nil" w:sz="6" w:space="0" w:color="auto"/>
              <w:bottom w:val="nil" w:sz="6" w:space="0" w:color="auto"/>
              <w:right w:val="nil" w:sz="6" w:space="0" w:color="auto"/>
            </w:tcBorders>
          </w:tcPr>
          <w:p>
            <w:pPr>
              <w:pStyle w:val="TableParagraph"/>
              <w:spacing w:line="206" w:lineRule="exact" w:before="40"/>
              <w:ind w:left="251" w:right="372" w:hanging="176"/>
              <w:jc w:val="left"/>
              <w:rPr>
                <w:rFonts w:ascii="宋体" w:hAnsi="宋体" w:cs="宋体" w:eastAsia="宋体" w:hint="default"/>
                <w:sz w:val="16"/>
                <w:szCs w:val="16"/>
              </w:rPr>
            </w:pPr>
            <w:r>
              <w:rPr>
                <w:rFonts w:ascii="宋体" w:hAnsi="宋体" w:cs="宋体" w:eastAsia="宋体" w:hint="default"/>
                <w:spacing w:val="-1"/>
                <w:sz w:val="16"/>
                <w:szCs w:val="16"/>
              </w:rPr>
              <w:t>中国联通（澳大利亚）</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运营有限公司</w:t>
            </w:r>
          </w:p>
          <w:p>
            <w:pPr>
              <w:pStyle w:val="TableParagraph"/>
              <w:spacing w:line="190"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（“联通澳大利亚运营”）</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25"/>
              <w:jc w:val="center"/>
              <w:rPr>
                <w:rFonts w:ascii="宋体" w:hAnsi="宋体" w:cs="宋体" w:eastAsia="宋体" w:hint="default"/>
                <w:sz w:val="16"/>
                <w:szCs w:val="16"/>
              </w:rPr>
            </w:pPr>
            <w:r>
              <w:rPr>
                <w:rFonts w:ascii="宋体" w:hAnsi="宋体" w:cs="宋体" w:eastAsia="宋体" w:hint="default"/>
                <w:sz w:val="16"/>
                <w:szCs w:val="16"/>
              </w:rPr>
              <w:t>新南威尔士</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66" w:right="0"/>
              <w:jc w:val="left"/>
              <w:rPr>
                <w:rFonts w:ascii="宋体" w:hAnsi="宋体" w:cs="宋体" w:eastAsia="宋体" w:hint="default"/>
                <w:sz w:val="16"/>
                <w:szCs w:val="16"/>
              </w:rPr>
            </w:pPr>
            <w:r>
              <w:rPr>
                <w:rFonts w:ascii="宋体" w:hAnsi="宋体" w:cs="宋体" w:eastAsia="宋体" w:hint="default"/>
                <w:sz w:val="16"/>
                <w:szCs w:val="16"/>
              </w:rPr>
              <w:t>新南威尔士</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2" w:right="0"/>
              <w:jc w:val="center"/>
              <w:rPr>
                <w:rFonts w:ascii="宋体" w:hAnsi="宋体" w:cs="宋体" w:eastAsia="宋体" w:hint="default"/>
                <w:sz w:val="16"/>
                <w:szCs w:val="16"/>
              </w:rPr>
            </w:pPr>
            <w:r>
              <w:rPr>
                <w:rFonts w:ascii="宋体" w:hAnsi="宋体" w:cs="宋体" w:eastAsia="宋体" w:hint="default"/>
                <w:sz w:val="16"/>
                <w:szCs w:val="16"/>
              </w:rPr>
              <w:t>电信业务</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9" w:right="0"/>
              <w:jc w:val="center"/>
              <w:rPr>
                <w:rFonts w:ascii="Arial" w:hAnsi="Arial" w:cs="Arial" w:eastAsia="Arial" w:hint="default"/>
                <w:sz w:val="16"/>
                <w:szCs w:val="16"/>
              </w:rPr>
            </w:pPr>
            <w:r>
              <w:rPr>
                <w:rFonts w:ascii="宋体" w:hAnsi="宋体" w:cs="宋体" w:eastAsia="宋体" w:hint="default"/>
                <w:sz w:val="16"/>
                <w:szCs w:val="16"/>
              </w:rPr>
              <w:t>澳元</w:t>
            </w:r>
            <w:r>
              <w:rPr>
                <w:rFonts w:ascii="宋体" w:hAnsi="宋体" w:cs="宋体" w:eastAsia="宋体" w:hint="default"/>
                <w:spacing w:val="-41"/>
                <w:sz w:val="16"/>
                <w:szCs w:val="16"/>
              </w:rPr>
              <w:t> </w:t>
            </w:r>
            <w:r>
              <w:rPr>
                <w:rFonts w:ascii="Arial" w:hAnsi="Arial" w:cs="Arial" w:eastAsia="Arial" w:hint="default"/>
                <w:sz w:val="16"/>
                <w:szCs w:val="16"/>
              </w:rPr>
              <w:t>150</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468"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8"/>
              <w:jc w:val="center"/>
              <w:rPr>
                <w:rFonts w:ascii="Arial" w:hAnsi="Arial" w:cs="Arial" w:eastAsia="Arial" w:hint="default"/>
                <w:sz w:val="16"/>
                <w:szCs w:val="16"/>
              </w:rPr>
            </w:pPr>
            <w:r>
              <w:rPr>
                <w:rFonts w:ascii="Arial"/>
                <w:sz w:val="16"/>
              </w:rPr>
              <w:t>33.34</w:t>
            </w:r>
          </w:p>
        </w:tc>
      </w:tr>
      <w:tr>
        <w:trPr>
          <w:trHeight w:val="726" w:hRule="exact"/>
        </w:trPr>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51" w:right="693" w:hanging="176"/>
              <w:jc w:val="left"/>
              <w:rPr>
                <w:rFonts w:ascii="宋体" w:hAnsi="宋体" w:cs="宋体" w:eastAsia="宋体" w:hint="default"/>
                <w:sz w:val="16"/>
                <w:szCs w:val="16"/>
              </w:rPr>
            </w:pPr>
            <w:r>
              <w:rPr>
                <w:rFonts w:ascii="宋体" w:hAnsi="宋体" w:cs="宋体" w:eastAsia="宋体" w:hint="default"/>
                <w:spacing w:val="-1"/>
                <w:sz w:val="16"/>
                <w:szCs w:val="16"/>
              </w:rPr>
              <w:t>联通创新创业投资</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有限公司</w:t>
            </w:r>
          </w:p>
          <w:p>
            <w:pPr>
              <w:pStyle w:val="TableParagraph"/>
              <w:spacing w:line="206"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（“联通创投”）</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27"/>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85" w:right="0"/>
              <w:jc w:val="left"/>
              <w:rPr>
                <w:rFonts w:ascii="宋体" w:hAnsi="宋体" w:cs="宋体" w:eastAsia="宋体" w:hint="default"/>
                <w:sz w:val="16"/>
                <w:szCs w:val="16"/>
              </w:rPr>
            </w:pPr>
            <w:r>
              <w:rPr>
                <w:rFonts w:ascii="宋体" w:hAnsi="宋体" w:cs="宋体" w:eastAsia="宋体" w:hint="default"/>
                <w:sz w:val="16"/>
                <w:szCs w:val="16"/>
              </w:rPr>
              <w:t>中国，北京市</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82" w:right="0"/>
              <w:jc w:val="center"/>
              <w:rPr>
                <w:rFonts w:ascii="宋体" w:hAnsi="宋体" w:cs="宋体" w:eastAsia="宋体" w:hint="default"/>
                <w:sz w:val="16"/>
                <w:szCs w:val="16"/>
              </w:rPr>
            </w:pPr>
            <w:r>
              <w:rPr>
                <w:rFonts w:ascii="宋体" w:hAnsi="宋体" w:cs="宋体" w:eastAsia="宋体" w:hint="default"/>
                <w:sz w:val="16"/>
                <w:szCs w:val="16"/>
              </w:rPr>
              <w:t>创业投资</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6" w:right="0"/>
              <w:jc w:val="center"/>
              <w:rPr>
                <w:rFonts w:ascii="Arial" w:hAnsi="Arial" w:cs="Arial" w:eastAsia="Arial" w:hint="default"/>
                <w:sz w:val="16"/>
                <w:szCs w:val="16"/>
              </w:rPr>
            </w:pPr>
            <w:r>
              <w:rPr>
                <w:rFonts w:ascii="Arial"/>
                <w:sz w:val="16"/>
              </w:rPr>
              <w:t>200,000</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468"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8"/>
              <w:jc w:val="center"/>
              <w:rPr>
                <w:rFonts w:ascii="Arial" w:hAnsi="Arial" w:cs="Arial" w:eastAsia="Arial" w:hint="default"/>
                <w:sz w:val="16"/>
                <w:szCs w:val="16"/>
              </w:rPr>
            </w:pPr>
            <w:r>
              <w:rPr>
                <w:rFonts w:ascii="Arial"/>
                <w:sz w:val="16"/>
              </w:rPr>
              <w:t>33.34</w:t>
            </w:r>
          </w:p>
        </w:tc>
      </w:tr>
      <w:tr>
        <w:trPr>
          <w:trHeight w:val="452" w:hRule="exact"/>
        </w:trPr>
        <w:tc>
          <w:tcPr>
            <w:tcW w:w="2054" w:type="dxa"/>
            <w:tcBorders>
              <w:top w:val="nil" w:sz="6" w:space="0" w:color="auto"/>
              <w:left w:val="nil" w:sz="6" w:space="0" w:color="auto"/>
              <w:bottom w:val="nil" w:sz="6" w:space="0" w:color="auto"/>
              <w:right w:val="nil" w:sz="6" w:space="0" w:color="auto"/>
            </w:tcBorders>
          </w:tcPr>
          <w:p>
            <w:pPr>
              <w:pStyle w:val="TableParagraph"/>
              <w:spacing w:line="209" w:lineRule="exact" w:before="18"/>
              <w:ind w:left="76" w:right="0"/>
              <w:jc w:val="left"/>
              <w:rPr>
                <w:rFonts w:ascii="宋体" w:hAnsi="宋体" w:cs="宋体" w:eastAsia="宋体" w:hint="default"/>
                <w:sz w:val="16"/>
                <w:szCs w:val="16"/>
              </w:rPr>
            </w:pPr>
            <w:r>
              <w:rPr>
                <w:rFonts w:ascii="宋体" w:hAnsi="宋体" w:cs="宋体" w:eastAsia="宋体" w:hint="default"/>
                <w:sz w:val="16"/>
                <w:szCs w:val="16"/>
              </w:rPr>
              <w:t>小沃科技有限公司</w:t>
            </w:r>
          </w:p>
          <w:p>
            <w:pPr>
              <w:pStyle w:val="TableParagraph"/>
              <w:spacing w:line="209" w:lineRule="exact"/>
              <w:ind w:left="76" w:right="0"/>
              <w:jc w:val="left"/>
              <w:rPr>
                <w:rFonts w:ascii="宋体" w:hAnsi="宋体" w:cs="宋体" w:eastAsia="宋体" w:hint="default"/>
                <w:sz w:val="16"/>
                <w:szCs w:val="16"/>
              </w:rPr>
            </w:pPr>
            <w:r>
              <w:rPr>
                <w:rFonts w:ascii="宋体" w:hAnsi="宋体" w:cs="宋体" w:eastAsia="宋体" w:hint="default"/>
                <w:sz w:val="16"/>
                <w:szCs w:val="16"/>
              </w:rPr>
              <w:t>（“小沃科技”）</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27"/>
              <w:jc w:val="center"/>
              <w:rPr>
                <w:rFonts w:ascii="宋体" w:hAnsi="宋体" w:cs="宋体" w:eastAsia="宋体" w:hint="default"/>
                <w:sz w:val="16"/>
                <w:szCs w:val="16"/>
              </w:rPr>
            </w:pPr>
            <w:r>
              <w:rPr>
                <w:rFonts w:ascii="宋体" w:hAnsi="宋体" w:cs="宋体" w:eastAsia="宋体" w:hint="default"/>
                <w:sz w:val="16"/>
                <w:szCs w:val="16"/>
              </w:rPr>
              <w:t>中国，上海市</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85" w:right="0"/>
              <w:jc w:val="left"/>
              <w:rPr>
                <w:rFonts w:ascii="宋体" w:hAnsi="宋体" w:cs="宋体" w:eastAsia="宋体" w:hint="default"/>
                <w:sz w:val="16"/>
                <w:szCs w:val="16"/>
              </w:rPr>
            </w:pPr>
            <w:r>
              <w:rPr>
                <w:rFonts w:ascii="宋体" w:hAnsi="宋体" w:cs="宋体" w:eastAsia="宋体" w:hint="default"/>
                <w:sz w:val="16"/>
                <w:szCs w:val="16"/>
              </w:rPr>
              <w:t>中国，上海市</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2" w:right="0"/>
              <w:jc w:val="center"/>
              <w:rPr>
                <w:rFonts w:ascii="宋体" w:hAnsi="宋体" w:cs="宋体" w:eastAsia="宋体" w:hint="default"/>
                <w:sz w:val="16"/>
                <w:szCs w:val="16"/>
              </w:rPr>
            </w:pPr>
            <w:r>
              <w:rPr>
                <w:rFonts w:ascii="宋体" w:hAnsi="宋体" w:cs="宋体" w:eastAsia="宋体" w:hint="default"/>
                <w:sz w:val="16"/>
                <w:szCs w:val="16"/>
              </w:rPr>
              <w:t>技术开发和推广</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56" w:right="0"/>
              <w:jc w:val="center"/>
              <w:rPr>
                <w:rFonts w:ascii="Arial" w:hAnsi="Arial" w:cs="Arial" w:eastAsia="Arial" w:hint="default"/>
                <w:sz w:val="16"/>
                <w:szCs w:val="16"/>
              </w:rPr>
            </w:pPr>
            <w:r>
              <w:rPr>
                <w:rFonts w:ascii="Arial"/>
                <w:sz w:val="16"/>
              </w:rPr>
              <w:t>200,000</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468"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8"/>
              <w:jc w:val="center"/>
              <w:rPr>
                <w:rFonts w:ascii="Arial" w:hAnsi="Arial" w:cs="Arial" w:eastAsia="Arial" w:hint="default"/>
                <w:sz w:val="16"/>
                <w:szCs w:val="16"/>
              </w:rPr>
            </w:pPr>
            <w:r>
              <w:rPr>
                <w:rFonts w:ascii="Arial"/>
                <w:sz w:val="16"/>
              </w:rPr>
              <w:t>33.34</w:t>
            </w:r>
          </w:p>
        </w:tc>
      </w:tr>
    </w:tbl>
    <w:p>
      <w:pPr>
        <w:spacing w:after="0" w:line="240" w:lineRule="auto"/>
        <w:jc w:val="center"/>
        <w:rPr>
          <w:rFonts w:ascii="Arial" w:hAnsi="Arial" w:cs="Arial" w:eastAsia="Arial" w:hint="default"/>
          <w:sz w:val="16"/>
          <w:szCs w:val="16"/>
        </w:rPr>
        <w:sectPr>
          <w:headerReference w:type="default" r:id="rId126"/>
          <w:footerReference w:type="default" r:id="rId127"/>
          <w:pgSz w:w="11910" w:h="16840"/>
          <w:pgMar w:header="1185" w:footer="769" w:top="2500" w:bottom="960" w:left="1280" w:right="1300"/>
          <w:pgNumType w:start="139"/>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927"/>
        <w:gridCol w:w="1254"/>
        <w:gridCol w:w="1304"/>
        <w:gridCol w:w="1489"/>
        <w:gridCol w:w="1615"/>
        <w:gridCol w:w="322"/>
        <w:gridCol w:w="589"/>
        <w:gridCol w:w="698"/>
      </w:tblGrid>
      <w:tr>
        <w:trPr>
          <w:trHeight w:val="189" w:hRule="exact"/>
        </w:trPr>
        <w:tc>
          <w:tcPr>
            <w:tcW w:w="1927" w:type="dxa"/>
            <w:tcBorders>
              <w:top w:val="nil" w:sz="6" w:space="0" w:color="auto"/>
              <w:left w:val="nil" w:sz="6" w:space="0" w:color="auto"/>
              <w:bottom w:val="single" w:sz="4" w:space="0" w:color="000000"/>
              <w:right w:val="nil" w:sz="6" w:space="0" w:color="auto"/>
            </w:tcBorders>
          </w:tcPr>
          <w:p>
            <w:pPr>
              <w:pStyle w:val="TableParagraph"/>
              <w:spacing w:line="161" w:lineRule="exact"/>
              <w:ind w:left="76" w:right="0"/>
              <w:jc w:val="left"/>
              <w:rPr>
                <w:rFonts w:ascii="宋体" w:hAnsi="宋体" w:cs="宋体" w:eastAsia="宋体" w:hint="default"/>
                <w:sz w:val="16"/>
                <w:szCs w:val="16"/>
              </w:rPr>
            </w:pPr>
            <w:r>
              <w:rPr>
                <w:rFonts w:ascii="宋体" w:hAnsi="宋体" w:cs="宋体" w:eastAsia="宋体" w:hint="default"/>
                <w:sz w:val="16"/>
                <w:szCs w:val="16"/>
              </w:rPr>
              <w:t>子公司名称</w:t>
            </w:r>
          </w:p>
        </w:tc>
        <w:tc>
          <w:tcPr>
            <w:tcW w:w="1254" w:type="dxa"/>
            <w:tcBorders>
              <w:top w:val="nil" w:sz="6" w:space="0" w:color="auto"/>
              <w:left w:val="nil" w:sz="6" w:space="0" w:color="auto"/>
              <w:bottom w:val="single" w:sz="4" w:space="0" w:color="000000"/>
              <w:right w:val="nil" w:sz="6" w:space="0" w:color="auto"/>
            </w:tcBorders>
          </w:tcPr>
          <w:p>
            <w:pPr>
              <w:pStyle w:val="TableParagraph"/>
              <w:spacing w:line="161" w:lineRule="exact"/>
              <w:ind w:right="71"/>
              <w:jc w:val="center"/>
              <w:rPr>
                <w:rFonts w:ascii="宋体" w:hAnsi="宋体" w:cs="宋体" w:eastAsia="宋体" w:hint="default"/>
                <w:sz w:val="16"/>
                <w:szCs w:val="16"/>
              </w:rPr>
            </w:pPr>
            <w:r>
              <w:rPr>
                <w:rFonts w:ascii="宋体" w:hAnsi="宋体" w:cs="宋体" w:eastAsia="宋体" w:hint="default"/>
                <w:sz w:val="16"/>
                <w:szCs w:val="16"/>
              </w:rPr>
              <w:t>主要经营地</w:t>
            </w:r>
          </w:p>
        </w:tc>
        <w:tc>
          <w:tcPr>
            <w:tcW w:w="1304" w:type="dxa"/>
            <w:tcBorders>
              <w:top w:val="nil" w:sz="6" w:space="0" w:color="auto"/>
              <w:left w:val="nil" w:sz="6" w:space="0" w:color="auto"/>
              <w:bottom w:val="single" w:sz="4" w:space="0" w:color="000000"/>
              <w:right w:val="nil" w:sz="6" w:space="0" w:color="auto"/>
            </w:tcBorders>
          </w:tcPr>
          <w:p>
            <w:pPr>
              <w:pStyle w:val="TableParagraph"/>
              <w:spacing w:line="161" w:lineRule="exact"/>
              <w:ind w:left="491" w:right="0"/>
              <w:jc w:val="left"/>
              <w:rPr>
                <w:rFonts w:ascii="宋体" w:hAnsi="宋体" w:cs="宋体" w:eastAsia="宋体" w:hint="default"/>
                <w:sz w:val="16"/>
                <w:szCs w:val="16"/>
              </w:rPr>
            </w:pPr>
            <w:r>
              <w:rPr>
                <w:rFonts w:ascii="宋体" w:hAnsi="宋体" w:cs="宋体" w:eastAsia="宋体" w:hint="default"/>
                <w:sz w:val="16"/>
                <w:szCs w:val="16"/>
              </w:rPr>
              <w:t>注册地</w:t>
            </w:r>
          </w:p>
        </w:tc>
        <w:tc>
          <w:tcPr>
            <w:tcW w:w="1489" w:type="dxa"/>
            <w:tcBorders>
              <w:top w:val="nil" w:sz="6" w:space="0" w:color="auto"/>
              <w:left w:val="nil" w:sz="6" w:space="0" w:color="auto"/>
              <w:bottom w:val="single" w:sz="4" w:space="0" w:color="000000"/>
              <w:right w:val="nil" w:sz="6" w:space="0" w:color="auto"/>
            </w:tcBorders>
          </w:tcPr>
          <w:p>
            <w:pPr>
              <w:pStyle w:val="TableParagraph"/>
              <w:spacing w:line="161" w:lineRule="exact"/>
              <w:ind w:left="178" w:right="0"/>
              <w:jc w:val="center"/>
              <w:rPr>
                <w:rFonts w:ascii="宋体" w:hAnsi="宋体" w:cs="宋体" w:eastAsia="宋体" w:hint="default"/>
                <w:sz w:val="16"/>
                <w:szCs w:val="16"/>
              </w:rPr>
            </w:pPr>
            <w:r>
              <w:rPr>
                <w:rFonts w:ascii="宋体" w:hAnsi="宋体" w:cs="宋体" w:eastAsia="宋体" w:hint="default"/>
                <w:sz w:val="16"/>
                <w:szCs w:val="16"/>
              </w:rPr>
              <w:t>业务性质</w:t>
            </w:r>
          </w:p>
        </w:tc>
        <w:tc>
          <w:tcPr>
            <w:tcW w:w="1615" w:type="dxa"/>
            <w:tcBorders>
              <w:top w:val="nil" w:sz="6" w:space="0" w:color="auto"/>
              <w:left w:val="nil" w:sz="6" w:space="0" w:color="auto"/>
              <w:bottom w:val="single" w:sz="4" w:space="0" w:color="000000"/>
              <w:right w:val="nil" w:sz="6" w:space="0" w:color="auto"/>
            </w:tcBorders>
          </w:tcPr>
          <w:p>
            <w:pPr>
              <w:pStyle w:val="TableParagraph"/>
              <w:spacing w:line="161" w:lineRule="exact"/>
              <w:ind w:right="189"/>
              <w:jc w:val="center"/>
              <w:rPr>
                <w:rFonts w:ascii="宋体" w:hAnsi="宋体" w:cs="宋体" w:eastAsia="宋体" w:hint="default"/>
                <w:sz w:val="16"/>
                <w:szCs w:val="16"/>
              </w:rPr>
            </w:pPr>
            <w:r>
              <w:rPr>
                <w:rFonts w:ascii="宋体" w:hAnsi="宋体" w:cs="宋体" w:eastAsia="宋体" w:hint="default"/>
                <w:sz w:val="16"/>
                <w:szCs w:val="16"/>
              </w:rPr>
              <w:t>注册资本（千元）</w:t>
            </w:r>
          </w:p>
        </w:tc>
        <w:tc>
          <w:tcPr>
            <w:tcW w:w="1609" w:type="dxa"/>
            <w:gridSpan w:val="3"/>
            <w:tcBorders>
              <w:top w:val="nil" w:sz="6" w:space="0" w:color="auto"/>
              <w:left w:val="nil" w:sz="6" w:space="0" w:color="auto"/>
              <w:bottom w:val="single" w:sz="4" w:space="0" w:color="000000"/>
              <w:right w:val="nil" w:sz="6" w:space="0" w:color="auto"/>
            </w:tcBorders>
          </w:tcPr>
          <w:p>
            <w:pPr>
              <w:pStyle w:val="TableParagraph"/>
              <w:spacing w:line="172" w:lineRule="exact"/>
              <w:ind w:left="211" w:right="0"/>
              <w:jc w:val="left"/>
              <w:rPr>
                <w:rFonts w:ascii="Arial" w:hAnsi="Arial" w:cs="Arial" w:eastAsia="Arial" w:hint="default"/>
                <w:sz w:val="16"/>
                <w:szCs w:val="16"/>
              </w:rPr>
            </w:pPr>
            <w:r>
              <w:rPr>
                <w:rFonts w:ascii="宋体" w:hAnsi="宋体" w:cs="宋体" w:eastAsia="宋体" w:hint="default"/>
                <w:sz w:val="16"/>
                <w:szCs w:val="16"/>
              </w:rPr>
              <w:t>持股比例</w:t>
            </w:r>
            <w:r>
              <w:rPr>
                <w:rFonts w:ascii="Arial" w:hAnsi="Arial" w:cs="Arial" w:eastAsia="Arial" w:hint="default"/>
                <w:sz w:val="16"/>
                <w:szCs w:val="16"/>
              </w:rPr>
              <w:t>(%)</w:t>
            </w:r>
          </w:p>
        </w:tc>
      </w:tr>
      <w:tr>
        <w:trPr>
          <w:trHeight w:val="332" w:hRule="exact"/>
        </w:trPr>
        <w:tc>
          <w:tcPr>
            <w:tcW w:w="1927" w:type="dxa"/>
            <w:tcBorders>
              <w:top w:val="single" w:sz="4" w:space="0" w:color="000000"/>
              <w:left w:val="nil" w:sz="6" w:space="0" w:color="auto"/>
              <w:bottom w:val="nil" w:sz="6" w:space="0" w:color="auto"/>
              <w:right w:val="nil" w:sz="6" w:space="0" w:color="auto"/>
            </w:tcBorders>
          </w:tcPr>
          <w:p>
            <w:pPr/>
          </w:p>
        </w:tc>
        <w:tc>
          <w:tcPr>
            <w:tcW w:w="1254" w:type="dxa"/>
            <w:tcBorders>
              <w:top w:val="single" w:sz="4" w:space="0" w:color="000000"/>
              <w:left w:val="nil" w:sz="6" w:space="0" w:color="auto"/>
              <w:bottom w:val="nil" w:sz="6" w:space="0" w:color="auto"/>
              <w:right w:val="nil" w:sz="6" w:space="0" w:color="auto"/>
            </w:tcBorders>
          </w:tcPr>
          <w:p>
            <w:pPr/>
          </w:p>
        </w:tc>
        <w:tc>
          <w:tcPr>
            <w:tcW w:w="1304" w:type="dxa"/>
            <w:tcBorders>
              <w:top w:val="single" w:sz="4" w:space="0" w:color="000000"/>
              <w:left w:val="nil" w:sz="6" w:space="0" w:color="auto"/>
              <w:bottom w:val="nil" w:sz="6" w:space="0" w:color="auto"/>
              <w:right w:val="nil" w:sz="6" w:space="0" w:color="auto"/>
            </w:tcBorders>
          </w:tcPr>
          <w:p>
            <w:pPr/>
          </w:p>
        </w:tc>
        <w:tc>
          <w:tcPr>
            <w:tcW w:w="1489" w:type="dxa"/>
            <w:tcBorders>
              <w:top w:val="single" w:sz="4" w:space="0" w:color="000000"/>
              <w:left w:val="nil" w:sz="6" w:space="0" w:color="auto"/>
              <w:bottom w:val="nil" w:sz="6" w:space="0" w:color="auto"/>
              <w:right w:val="nil" w:sz="6" w:space="0" w:color="auto"/>
            </w:tcBorders>
          </w:tcPr>
          <w:p>
            <w:pPr/>
          </w:p>
        </w:tc>
        <w:tc>
          <w:tcPr>
            <w:tcW w:w="1615" w:type="dxa"/>
            <w:tcBorders>
              <w:top w:val="single" w:sz="4" w:space="0" w:color="000000"/>
              <w:left w:val="nil" w:sz="6" w:space="0" w:color="auto"/>
              <w:bottom w:val="nil" w:sz="6" w:space="0" w:color="auto"/>
              <w:right w:val="nil" w:sz="6" w:space="0" w:color="auto"/>
            </w:tcBorders>
          </w:tcPr>
          <w:p>
            <w:pPr/>
          </w:p>
        </w:tc>
        <w:tc>
          <w:tcPr>
            <w:tcW w:w="322" w:type="dxa"/>
            <w:tcBorders>
              <w:top w:val="single" w:sz="4" w:space="0" w:color="000000"/>
              <w:left w:val="nil" w:sz="6" w:space="0" w:color="auto"/>
              <w:bottom w:val="single" w:sz="3" w:space="0" w:color="000000"/>
              <w:right w:val="nil" w:sz="6" w:space="0" w:color="auto"/>
            </w:tcBorders>
          </w:tcPr>
          <w:p>
            <w:pPr>
              <w:pStyle w:val="TableParagraph"/>
              <w:spacing w:line="240" w:lineRule="auto" w:before="113"/>
              <w:ind w:right="0"/>
              <w:jc w:val="center"/>
              <w:rPr>
                <w:rFonts w:ascii="宋体" w:hAnsi="宋体" w:cs="宋体" w:eastAsia="宋体" w:hint="default"/>
                <w:sz w:val="16"/>
                <w:szCs w:val="16"/>
              </w:rPr>
            </w:pPr>
            <w:r>
              <w:rPr>
                <w:rFonts w:ascii="宋体" w:hAnsi="宋体" w:cs="宋体" w:eastAsia="宋体" w:hint="default"/>
                <w:sz w:val="16"/>
                <w:szCs w:val="16"/>
              </w:rPr>
              <w:t>直接</w:t>
            </w:r>
          </w:p>
        </w:tc>
        <w:tc>
          <w:tcPr>
            <w:tcW w:w="589" w:type="dxa"/>
            <w:tcBorders>
              <w:top w:val="single" w:sz="4" w:space="0" w:color="000000"/>
              <w:left w:val="nil" w:sz="6" w:space="0" w:color="auto"/>
              <w:bottom w:val="nil" w:sz="6" w:space="0" w:color="auto"/>
              <w:right w:val="nil" w:sz="6" w:space="0" w:color="auto"/>
            </w:tcBorders>
          </w:tcPr>
          <w:p>
            <w:pPr/>
          </w:p>
        </w:tc>
        <w:tc>
          <w:tcPr>
            <w:tcW w:w="698" w:type="dxa"/>
            <w:tcBorders>
              <w:top w:val="single" w:sz="4" w:space="0" w:color="000000"/>
              <w:left w:val="nil" w:sz="6" w:space="0" w:color="auto"/>
              <w:bottom w:val="single" w:sz="3" w:space="0" w:color="000000"/>
              <w:right w:val="nil" w:sz="6" w:space="0" w:color="auto"/>
            </w:tcBorders>
          </w:tcPr>
          <w:p>
            <w:pPr>
              <w:pStyle w:val="TableParagraph"/>
              <w:spacing w:line="240" w:lineRule="auto" w:before="113"/>
              <w:ind w:left="55" w:right="0"/>
              <w:jc w:val="left"/>
              <w:rPr>
                <w:rFonts w:ascii="宋体" w:hAnsi="宋体" w:cs="宋体" w:eastAsia="宋体" w:hint="default"/>
                <w:sz w:val="16"/>
                <w:szCs w:val="16"/>
              </w:rPr>
            </w:pPr>
            <w:r>
              <w:rPr>
                <w:rFonts w:ascii="宋体" w:hAnsi="宋体" w:cs="宋体" w:eastAsia="宋体" w:hint="default"/>
                <w:sz w:val="16"/>
                <w:szCs w:val="16"/>
              </w:rPr>
              <w:t>间接</w:t>
            </w:r>
          </w:p>
        </w:tc>
      </w:tr>
      <w:tr>
        <w:trPr>
          <w:trHeight w:val="701"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08" w:lineRule="exact" w:before="12"/>
              <w:ind w:left="242" w:right="566" w:hanging="166"/>
              <w:jc w:val="left"/>
              <w:rPr>
                <w:rFonts w:ascii="宋体" w:hAnsi="宋体" w:cs="宋体" w:eastAsia="宋体" w:hint="default"/>
                <w:sz w:val="16"/>
                <w:szCs w:val="16"/>
              </w:rPr>
            </w:pPr>
            <w:r>
              <w:rPr>
                <w:rFonts w:ascii="宋体" w:hAnsi="宋体" w:cs="宋体" w:eastAsia="宋体" w:hint="default"/>
                <w:spacing w:val="-1"/>
                <w:sz w:val="16"/>
                <w:szCs w:val="16"/>
              </w:rPr>
              <w:t>联通系统集成有限</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公司</w:t>
            </w:r>
          </w:p>
          <w:p>
            <w:pPr>
              <w:pStyle w:val="TableParagraph"/>
              <w:spacing w:line="187" w:lineRule="exact"/>
              <w:ind w:left="76" w:right="0"/>
              <w:jc w:val="left"/>
              <w:rPr>
                <w:rFonts w:ascii="宋体" w:hAnsi="宋体" w:cs="宋体" w:eastAsia="宋体" w:hint="default"/>
                <w:sz w:val="16"/>
                <w:szCs w:val="16"/>
              </w:rPr>
            </w:pPr>
            <w:r>
              <w:rPr>
                <w:rFonts w:ascii="宋体" w:hAnsi="宋体" w:cs="宋体" w:eastAsia="宋体" w:hint="default"/>
                <w:sz w:val="16"/>
                <w:szCs w:val="16"/>
              </w:rPr>
              <w:t>（“系统集成公司”）</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73"/>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86" w:right="0"/>
              <w:jc w:val="left"/>
              <w:rPr>
                <w:rFonts w:ascii="宋体" w:hAnsi="宋体" w:cs="宋体" w:eastAsia="宋体" w:hint="default"/>
                <w:sz w:val="16"/>
                <w:szCs w:val="16"/>
              </w:rPr>
            </w:pPr>
            <w:r>
              <w:rPr>
                <w:rFonts w:ascii="宋体" w:hAnsi="宋体" w:cs="宋体" w:eastAsia="宋体" w:hint="default"/>
                <w:sz w:val="16"/>
                <w:szCs w:val="16"/>
              </w:rPr>
              <w:t>中国，北京市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06" w:lineRule="exact"/>
              <w:ind w:left="296" w:right="228" w:firstLine="240"/>
              <w:jc w:val="left"/>
              <w:rPr>
                <w:rFonts w:ascii="宋体" w:hAnsi="宋体" w:cs="宋体" w:eastAsia="宋体" w:hint="default"/>
                <w:sz w:val="16"/>
                <w:szCs w:val="16"/>
              </w:rPr>
            </w:pPr>
            <w:r>
              <w:rPr>
                <w:rFonts w:ascii="宋体" w:hAnsi="宋体" w:cs="宋体" w:eastAsia="宋体" w:hint="default"/>
                <w:sz w:val="16"/>
                <w:szCs w:val="16"/>
              </w:rPr>
              <w:t>信息及</w:t>
            </w:r>
            <w:r>
              <w:rPr>
                <w:rFonts w:ascii="宋体" w:hAnsi="宋体" w:cs="宋体" w:eastAsia="宋体" w:hint="default"/>
                <w:w w:val="100"/>
                <w:sz w:val="16"/>
                <w:szCs w:val="16"/>
              </w:rPr>
              <w:t> </w:t>
            </w:r>
            <w:r>
              <w:rPr>
                <w:rFonts w:ascii="宋体" w:hAnsi="宋体" w:cs="宋体" w:eastAsia="宋体" w:hint="default"/>
                <w:spacing w:val="-1"/>
                <w:sz w:val="16"/>
                <w:szCs w:val="16"/>
              </w:rPr>
              <w:t>系统集成业务</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37"/>
              <w:jc w:val="center"/>
              <w:rPr>
                <w:rFonts w:ascii="Arial" w:hAnsi="Arial" w:cs="Arial" w:eastAsia="Arial" w:hint="default"/>
                <w:sz w:val="16"/>
                <w:szCs w:val="16"/>
              </w:rPr>
            </w:pPr>
            <w:r>
              <w:rPr>
                <w:rFonts w:ascii="Arial"/>
                <w:sz w:val="16"/>
              </w:rPr>
              <w:t>550,000</w:t>
            </w:r>
          </w:p>
        </w:tc>
        <w:tc>
          <w:tcPr>
            <w:tcW w:w="322"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589" w:type="dxa"/>
            <w:tcBorders>
              <w:top w:val="nil" w:sz="6" w:space="0" w:color="auto"/>
              <w:left w:val="nil" w:sz="6" w:space="0" w:color="auto"/>
              <w:bottom w:val="nil" w:sz="6" w:space="0" w:color="auto"/>
              <w:right w:val="nil" w:sz="6" w:space="0" w:color="auto"/>
            </w:tcBorders>
          </w:tcPr>
          <w:p>
            <w:pPr/>
          </w:p>
        </w:tc>
        <w:tc>
          <w:tcPr>
            <w:tcW w:w="698"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4" w:right="0"/>
              <w:jc w:val="left"/>
              <w:rPr>
                <w:rFonts w:ascii="Arial" w:hAnsi="Arial" w:cs="Arial" w:eastAsia="Arial" w:hint="default"/>
                <w:sz w:val="16"/>
                <w:szCs w:val="16"/>
              </w:rPr>
            </w:pPr>
            <w:r>
              <w:rPr>
                <w:rFonts w:ascii="Arial"/>
                <w:sz w:val="16"/>
              </w:rPr>
              <w:t>33.34</w:t>
            </w:r>
          </w:p>
        </w:tc>
      </w:tr>
      <w:tr>
        <w:trPr>
          <w:trHeight w:val="741"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06" w:lineRule="exact" w:before="40"/>
              <w:ind w:left="242" w:right="566" w:hanging="166"/>
              <w:jc w:val="left"/>
              <w:rPr>
                <w:rFonts w:ascii="宋体" w:hAnsi="宋体" w:cs="宋体" w:eastAsia="宋体" w:hint="default"/>
                <w:sz w:val="16"/>
                <w:szCs w:val="16"/>
              </w:rPr>
            </w:pPr>
            <w:r>
              <w:rPr>
                <w:rFonts w:ascii="宋体" w:hAnsi="宋体" w:cs="宋体" w:eastAsia="宋体" w:hint="default"/>
                <w:spacing w:val="-1"/>
                <w:sz w:val="16"/>
                <w:szCs w:val="16"/>
              </w:rPr>
              <w:t>联通宽带在线有限</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公司</w:t>
            </w:r>
          </w:p>
          <w:p>
            <w:pPr>
              <w:pStyle w:val="TableParagraph"/>
              <w:spacing w:line="190" w:lineRule="exact"/>
              <w:ind w:left="76" w:right="0"/>
              <w:jc w:val="left"/>
              <w:rPr>
                <w:rFonts w:ascii="宋体" w:hAnsi="宋体" w:cs="宋体" w:eastAsia="宋体" w:hint="default"/>
                <w:sz w:val="16"/>
                <w:szCs w:val="16"/>
              </w:rPr>
            </w:pPr>
            <w:r>
              <w:rPr>
                <w:rFonts w:ascii="宋体" w:hAnsi="宋体" w:cs="宋体" w:eastAsia="宋体" w:hint="default"/>
                <w:sz w:val="16"/>
                <w:szCs w:val="16"/>
              </w:rPr>
              <w:t>（“宽带在线”）</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3"/>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6" w:right="0"/>
              <w:jc w:val="left"/>
              <w:rPr>
                <w:rFonts w:ascii="宋体" w:hAnsi="宋体" w:cs="宋体" w:eastAsia="宋体" w:hint="default"/>
                <w:sz w:val="16"/>
                <w:szCs w:val="16"/>
              </w:rPr>
            </w:pPr>
            <w:r>
              <w:rPr>
                <w:rFonts w:ascii="宋体" w:hAnsi="宋体" w:cs="宋体" w:eastAsia="宋体" w:hint="default"/>
                <w:sz w:val="16"/>
                <w:szCs w:val="16"/>
              </w:rPr>
              <w:t>中国，北京市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354" w:right="172" w:firstLine="160"/>
              <w:jc w:val="left"/>
              <w:rPr>
                <w:rFonts w:ascii="宋体" w:hAnsi="宋体" w:cs="宋体" w:eastAsia="宋体" w:hint="default"/>
                <w:sz w:val="16"/>
                <w:szCs w:val="16"/>
              </w:rPr>
            </w:pPr>
            <w:r>
              <w:rPr>
                <w:rFonts w:ascii="宋体" w:hAnsi="宋体" w:cs="宋体" w:eastAsia="宋体" w:hint="default"/>
                <w:sz w:val="16"/>
                <w:szCs w:val="16"/>
              </w:rPr>
              <w:t>互联网及</w:t>
            </w:r>
            <w:r>
              <w:rPr>
                <w:rFonts w:ascii="宋体" w:hAnsi="宋体" w:cs="宋体" w:eastAsia="宋体" w:hint="default"/>
                <w:w w:val="100"/>
                <w:sz w:val="16"/>
                <w:szCs w:val="16"/>
              </w:rPr>
              <w:t> </w:t>
            </w:r>
            <w:r>
              <w:rPr>
                <w:rFonts w:ascii="宋体" w:hAnsi="宋体" w:cs="宋体" w:eastAsia="宋体" w:hint="default"/>
                <w:spacing w:val="-1"/>
                <w:sz w:val="16"/>
                <w:szCs w:val="16"/>
              </w:rPr>
              <w:t>电信增值业务</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1"/>
              <w:ind w:right="177"/>
              <w:jc w:val="center"/>
              <w:rPr>
                <w:rFonts w:ascii="Arial" w:hAnsi="Arial" w:cs="Arial" w:eastAsia="Arial" w:hint="default"/>
                <w:sz w:val="16"/>
                <w:szCs w:val="16"/>
              </w:rPr>
            </w:pPr>
            <w:r>
              <w:rPr>
                <w:rFonts w:ascii="Arial"/>
                <w:sz w:val="16"/>
              </w:rPr>
              <w:t>30,000</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8"/>
                <w:szCs w:val="8"/>
              </w:rPr>
            </w:pPr>
          </w:p>
          <w:p>
            <w:pPr>
              <w:pStyle w:val="TableParagraph"/>
              <w:spacing w:line="240" w:lineRule="auto"/>
              <w:ind w:right="0"/>
              <w:jc w:val="left"/>
              <w:rPr>
                <w:rFonts w:ascii="Times New Roman" w:hAnsi="Times New Roman" w:cs="Times New Roman" w:eastAsia="Times New Roman" w:hint="default"/>
                <w:sz w:val="8"/>
                <w:szCs w:val="8"/>
              </w:rPr>
            </w:pPr>
          </w:p>
          <w:p>
            <w:pPr>
              <w:pStyle w:val="TableParagraph"/>
              <w:spacing w:line="240" w:lineRule="auto"/>
              <w:ind w:right="0"/>
              <w:jc w:val="left"/>
              <w:rPr>
                <w:rFonts w:ascii="Times New Roman" w:hAnsi="Times New Roman" w:cs="Times New Roman" w:eastAsia="Times New Roman" w:hint="default"/>
                <w:sz w:val="8"/>
                <w:szCs w:val="8"/>
              </w:rPr>
            </w:pPr>
          </w:p>
          <w:p>
            <w:pPr>
              <w:pStyle w:val="TableParagraph"/>
              <w:spacing w:line="240" w:lineRule="auto"/>
              <w:ind w:right="0"/>
              <w:jc w:val="left"/>
              <w:rPr>
                <w:rFonts w:ascii="Times New Roman" w:hAnsi="Times New Roman" w:cs="Times New Roman" w:eastAsia="Times New Roman" w:hint="default"/>
                <w:sz w:val="8"/>
                <w:szCs w:val="8"/>
              </w:rPr>
            </w:pPr>
          </w:p>
          <w:p>
            <w:pPr>
              <w:pStyle w:val="TableParagraph"/>
              <w:spacing w:line="240" w:lineRule="auto"/>
              <w:ind w:right="0"/>
              <w:jc w:val="left"/>
              <w:rPr>
                <w:rFonts w:ascii="Times New Roman" w:hAnsi="Times New Roman" w:cs="Times New Roman" w:eastAsia="Times New Roman" w:hint="default"/>
                <w:sz w:val="8"/>
                <w:szCs w:val="8"/>
              </w:rPr>
            </w:pPr>
          </w:p>
          <w:p>
            <w:pPr>
              <w:pStyle w:val="TableParagraph"/>
              <w:spacing w:line="240" w:lineRule="auto" w:before="11"/>
              <w:ind w:right="0"/>
              <w:jc w:val="left"/>
              <w:rPr>
                <w:rFonts w:ascii="Times New Roman" w:hAnsi="Times New Roman" w:cs="Times New Roman" w:eastAsia="Times New Roman" w:hint="default"/>
                <w:sz w:val="9"/>
                <w:szCs w:val="9"/>
              </w:rPr>
            </w:pPr>
          </w:p>
          <w:p>
            <w:pPr>
              <w:pStyle w:val="TableParagraph"/>
              <w:spacing w:line="240" w:lineRule="auto"/>
              <w:ind w:left="55" w:right="0"/>
              <w:jc w:val="center"/>
              <w:rPr>
                <w:rFonts w:ascii="Arial" w:hAnsi="Arial" w:cs="Arial" w:eastAsia="Arial" w:hint="default"/>
                <w:sz w:val="8"/>
                <w:szCs w:val="8"/>
              </w:rPr>
            </w:pPr>
            <w:r>
              <w:rPr>
                <w:rFonts w:ascii="Arial"/>
                <w:w w:val="98"/>
                <w:sz w:val="8"/>
              </w:rPr>
              <w:t>-</w:t>
            </w:r>
            <w:r>
              <w:rPr>
                <w:rFonts w:ascii="Arial"/>
                <w:sz w:val="8"/>
              </w:rPr>
            </w:r>
          </w:p>
        </w:tc>
        <w:tc>
          <w:tcPr>
            <w:tcW w:w="589"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1"/>
              <w:ind w:left="14" w:right="0"/>
              <w:jc w:val="left"/>
              <w:rPr>
                <w:rFonts w:ascii="Arial" w:hAnsi="Arial" w:cs="Arial" w:eastAsia="Arial" w:hint="default"/>
                <w:sz w:val="16"/>
                <w:szCs w:val="16"/>
              </w:rPr>
            </w:pPr>
            <w:r>
              <w:rPr>
                <w:rFonts w:ascii="Arial"/>
                <w:sz w:val="16"/>
              </w:rPr>
              <w:t>33.34</w:t>
            </w:r>
          </w:p>
        </w:tc>
      </w:tr>
      <w:tr>
        <w:trPr>
          <w:trHeight w:val="738"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42" w:right="401" w:hanging="166"/>
              <w:jc w:val="left"/>
              <w:rPr>
                <w:rFonts w:ascii="宋体" w:hAnsi="宋体" w:cs="宋体" w:eastAsia="宋体" w:hint="default"/>
                <w:sz w:val="16"/>
                <w:szCs w:val="16"/>
              </w:rPr>
            </w:pPr>
            <w:r>
              <w:rPr>
                <w:rFonts w:ascii="宋体" w:hAnsi="宋体" w:cs="宋体" w:eastAsia="宋体" w:hint="default"/>
                <w:spacing w:val="-1"/>
                <w:sz w:val="16"/>
                <w:szCs w:val="16"/>
              </w:rPr>
              <w:t>北京联通新时讯无限</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pacing w:val="-1"/>
                <w:sz w:val="16"/>
                <w:szCs w:val="16"/>
              </w:rPr>
              <w:t>传媒广告有限公司</w:t>
            </w:r>
          </w:p>
          <w:p>
            <w:pPr>
              <w:pStyle w:val="TableParagraph"/>
              <w:spacing w:line="207"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（“联通新时讯”）</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12"/>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67" w:right="0"/>
              <w:jc w:val="left"/>
              <w:rPr>
                <w:rFonts w:ascii="宋体" w:hAnsi="宋体" w:cs="宋体" w:eastAsia="宋体" w:hint="default"/>
                <w:sz w:val="16"/>
                <w:szCs w:val="16"/>
              </w:rPr>
            </w:pPr>
            <w:r>
              <w:rPr>
                <w:rFonts w:ascii="宋体" w:hAnsi="宋体" w:cs="宋体" w:eastAsia="宋体" w:hint="default"/>
                <w:sz w:val="16"/>
                <w:szCs w:val="16"/>
              </w:rPr>
              <w:t>中国，北京市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06" w:lineRule="exact"/>
              <w:ind w:left="378" w:right="67" w:hanging="240"/>
              <w:jc w:val="left"/>
              <w:rPr>
                <w:rFonts w:ascii="宋体" w:hAnsi="宋体" w:cs="宋体" w:eastAsia="宋体" w:hint="default"/>
                <w:sz w:val="16"/>
                <w:szCs w:val="16"/>
              </w:rPr>
            </w:pPr>
            <w:r>
              <w:rPr>
                <w:rFonts w:ascii="宋体" w:hAnsi="宋体" w:cs="宋体" w:eastAsia="宋体" w:hint="default"/>
                <w:spacing w:val="-1"/>
                <w:sz w:val="16"/>
                <w:szCs w:val="16"/>
              </w:rPr>
              <w:t>广告设计、制作、</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代理和发布</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2"/>
              <w:ind w:right="237"/>
              <w:jc w:val="center"/>
              <w:rPr>
                <w:rFonts w:ascii="Arial" w:hAnsi="Arial" w:cs="Arial" w:eastAsia="Arial" w:hint="default"/>
                <w:sz w:val="16"/>
                <w:szCs w:val="16"/>
              </w:rPr>
            </w:pPr>
            <w:r>
              <w:rPr>
                <w:rFonts w:ascii="Arial"/>
                <w:sz w:val="16"/>
              </w:rPr>
              <w:t>100</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2"/>
              <w:ind w:right="0"/>
              <w:jc w:val="center"/>
              <w:rPr>
                <w:rFonts w:ascii="Arial" w:hAnsi="Arial" w:cs="Arial" w:eastAsia="Arial" w:hint="default"/>
                <w:sz w:val="16"/>
                <w:szCs w:val="16"/>
              </w:rPr>
            </w:pPr>
            <w:r>
              <w:rPr>
                <w:rFonts w:ascii="Arial"/>
                <w:w w:val="100"/>
                <w:sz w:val="16"/>
              </w:rPr>
              <w:t>-</w:t>
            </w:r>
          </w:p>
        </w:tc>
        <w:tc>
          <w:tcPr>
            <w:tcW w:w="589"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2"/>
              <w:ind w:left="14" w:right="0"/>
              <w:jc w:val="left"/>
              <w:rPr>
                <w:rFonts w:ascii="Arial" w:hAnsi="Arial" w:cs="Arial" w:eastAsia="Arial" w:hint="default"/>
                <w:sz w:val="16"/>
                <w:szCs w:val="16"/>
              </w:rPr>
            </w:pPr>
            <w:r>
              <w:rPr>
                <w:rFonts w:ascii="Arial"/>
                <w:sz w:val="16"/>
              </w:rPr>
              <w:t>33.34</w:t>
            </w:r>
          </w:p>
        </w:tc>
      </w:tr>
      <w:tr>
        <w:trPr>
          <w:trHeight w:val="727"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06" w:lineRule="exact" w:before="40"/>
              <w:ind w:left="242" w:right="405" w:hanging="166"/>
              <w:jc w:val="left"/>
              <w:rPr>
                <w:rFonts w:ascii="宋体" w:hAnsi="宋体" w:cs="宋体" w:eastAsia="宋体" w:hint="default"/>
                <w:sz w:val="16"/>
                <w:szCs w:val="16"/>
              </w:rPr>
            </w:pPr>
            <w:r>
              <w:rPr>
                <w:rFonts w:ascii="宋体" w:hAnsi="宋体" w:cs="宋体" w:eastAsia="宋体" w:hint="default"/>
                <w:spacing w:val="-1"/>
                <w:sz w:val="16"/>
                <w:szCs w:val="16"/>
              </w:rPr>
              <w:t>北京电信规划设计院</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有限公司</w:t>
            </w:r>
          </w:p>
          <w:p>
            <w:pPr>
              <w:pStyle w:val="TableParagraph"/>
              <w:spacing w:line="190" w:lineRule="exact"/>
              <w:ind w:left="76" w:right="0"/>
              <w:jc w:val="left"/>
              <w:rPr>
                <w:rFonts w:ascii="宋体" w:hAnsi="宋体" w:cs="宋体" w:eastAsia="宋体" w:hint="default"/>
                <w:sz w:val="16"/>
                <w:szCs w:val="16"/>
              </w:rPr>
            </w:pPr>
            <w:r>
              <w:rPr>
                <w:rFonts w:ascii="宋体" w:hAnsi="宋体" w:cs="宋体" w:eastAsia="宋体" w:hint="default"/>
                <w:sz w:val="16"/>
                <w:szCs w:val="16"/>
              </w:rPr>
              <w:t>（“规划设计院”）</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3"/>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6" w:right="0"/>
              <w:jc w:val="left"/>
              <w:rPr>
                <w:rFonts w:ascii="宋体" w:hAnsi="宋体" w:cs="宋体" w:eastAsia="宋体" w:hint="default"/>
                <w:sz w:val="16"/>
                <w:szCs w:val="16"/>
              </w:rPr>
            </w:pPr>
            <w:r>
              <w:rPr>
                <w:rFonts w:ascii="宋体" w:hAnsi="宋体" w:cs="宋体" w:eastAsia="宋体" w:hint="default"/>
                <w:sz w:val="16"/>
                <w:szCs w:val="16"/>
              </w:rPr>
              <w:t>中国，北京市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378" w:right="307" w:firstLine="79"/>
              <w:jc w:val="left"/>
              <w:rPr>
                <w:rFonts w:ascii="宋体" w:hAnsi="宋体" w:cs="宋体" w:eastAsia="宋体" w:hint="default"/>
                <w:sz w:val="16"/>
                <w:szCs w:val="16"/>
              </w:rPr>
            </w:pPr>
            <w:r>
              <w:rPr>
                <w:rFonts w:ascii="宋体" w:hAnsi="宋体" w:cs="宋体" w:eastAsia="宋体" w:hint="default"/>
                <w:sz w:val="16"/>
                <w:szCs w:val="16"/>
              </w:rPr>
              <w:t>勘察设计</w:t>
            </w:r>
            <w:r>
              <w:rPr>
                <w:rFonts w:ascii="宋体" w:hAnsi="宋体" w:cs="宋体" w:eastAsia="宋体" w:hint="default"/>
                <w:w w:val="100"/>
                <w:sz w:val="16"/>
                <w:szCs w:val="16"/>
              </w:rPr>
              <w:t> </w:t>
            </w:r>
            <w:r>
              <w:rPr>
                <w:rFonts w:ascii="宋体" w:hAnsi="宋体" w:cs="宋体" w:eastAsia="宋体" w:hint="default"/>
                <w:spacing w:val="-1"/>
                <w:sz w:val="16"/>
                <w:szCs w:val="16"/>
              </w:rPr>
              <w:t>及咨询服务</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1"/>
              <w:ind w:right="237"/>
              <w:jc w:val="center"/>
              <w:rPr>
                <w:rFonts w:ascii="Arial" w:hAnsi="Arial" w:cs="Arial" w:eastAsia="Arial" w:hint="default"/>
                <w:sz w:val="16"/>
                <w:szCs w:val="16"/>
              </w:rPr>
            </w:pPr>
            <w:r>
              <w:rPr>
                <w:rFonts w:ascii="Arial"/>
                <w:sz w:val="16"/>
              </w:rPr>
              <w:t>264,227</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1"/>
              <w:ind w:right="0"/>
              <w:jc w:val="center"/>
              <w:rPr>
                <w:rFonts w:ascii="Arial" w:hAnsi="Arial" w:cs="Arial" w:eastAsia="Arial" w:hint="default"/>
                <w:sz w:val="16"/>
                <w:szCs w:val="16"/>
              </w:rPr>
            </w:pPr>
            <w:r>
              <w:rPr>
                <w:rFonts w:ascii="Arial"/>
                <w:w w:val="100"/>
                <w:sz w:val="16"/>
              </w:rPr>
              <w:t>-</w:t>
            </w:r>
          </w:p>
        </w:tc>
        <w:tc>
          <w:tcPr>
            <w:tcW w:w="589"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1"/>
              <w:ind w:right="0"/>
              <w:jc w:val="left"/>
              <w:rPr>
                <w:rFonts w:ascii="Arial" w:hAnsi="Arial" w:cs="Arial" w:eastAsia="Arial" w:hint="default"/>
                <w:sz w:val="16"/>
                <w:szCs w:val="16"/>
              </w:rPr>
            </w:pPr>
            <w:r>
              <w:rPr>
                <w:rFonts w:ascii="Arial"/>
                <w:sz w:val="16"/>
              </w:rPr>
              <w:t>33.34</w:t>
            </w:r>
          </w:p>
        </w:tc>
      </w:tr>
      <w:tr>
        <w:trPr>
          <w:trHeight w:val="725"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06" w:lineRule="exact" w:before="40"/>
              <w:ind w:left="242" w:right="566" w:hanging="166"/>
              <w:jc w:val="left"/>
              <w:rPr>
                <w:rFonts w:ascii="宋体" w:hAnsi="宋体" w:cs="宋体" w:eastAsia="宋体" w:hint="default"/>
                <w:sz w:val="16"/>
                <w:szCs w:val="16"/>
              </w:rPr>
            </w:pPr>
            <w:r>
              <w:rPr>
                <w:rFonts w:ascii="宋体" w:hAnsi="宋体" w:cs="宋体" w:eastAsia="宋体" w:hint="default"/>
                <w:spacing w:val="-1"/>
                <w:sz w:val="16"/>
                <w:szCs w:val="16"/>
              </w:rPr>
              <w:t>中国联通（香港）</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运营有限公司</w:t>
            </w:r>
          </w:p>
          <w:p>
            <w:pPr>
              <w:pStyle w:val="TableParagraph"/>
              <w:spacing w:line="190"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（“联通香港运营”）</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1"/>
              <w:jc w:val="center"/>
              <w:rPr>
                <w:rFonts w:ascii="宋体" w:hAnsi="宋体" w:cs="宋体" w:eastAsia="宋体" w:hint="default"/>
                <w:sz w:val="16"/>
                <w:szCs w:val="16"/>
              </w:rPr>
            </w:pPr>
            <w:r>
              <w:rPr>
                <w:rFonts w:ascii="宋体" w:hAnsi="宋体" w:cs="宋体" w:eastAsia="宋体" w:hint="default"/>
                <w:sz w:val="16"/>
                <w:szCs w:val="16"/>
              </w:rPr>
              <w:t>中国，香港</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67" w:right="0"/>
              <w:jc w:val="left"/>
              <w:rPr>
                <w:rFonts w:ascii="宋体" w:hAnsi="宋体" w:cs="宋体" w:eastAsia="宋体" w:hint="default"/>
                <w:sz w:val="16"/>
                <w:szCs w:val="16"/>
              </w:rPr>
            </w:pPr>
            <w:r>
              <w:rPr>
                <w:rFonts w:ascii="宋体" w:hAnsi="宋体" w:cs="宋体" w:eastAsia="宋体" w:hint="default"/>
                <w:sz w:val="16"/>
                <w:szCs w:val="16"/>
              </w:rPr>
              <w:t>中国，香港</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宋体" w:hAnsi="宋体" w:cs="宋体" w:eastAsia="宋体" w:hint="default"/>
                <w:sz w:val="16"/>
                <w:szCs w:val="16"/>
              </w:rPr>
            </w:pPr>
            <w:r>
              <w:rPr>
                <w:rFonts w:ascii="宋体" w:hAnsi="宋体" w:cs="宋体" w:eastAsia="宋体" w:hint="default"/>
                <w:sz w:val="16"/>
                <w:szCs w:val="16"/>
              </w:rPr>
              <w:t>电信业务</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2"/>
              <w:jc w:val="center"/>
              <w:rPr>
                <w:rFonts w:ascii="Arial" w:hAnsi="Arial" w:cs="Arial" w:eastAsia="Arial" w:hint="default"/>
                <w:sz w:val="16"/>
                <w:szCs w:val="16"/>
              </w:rPr>
            </w:pPr>
            <w:r>
              <w:rPr>
                <w:rFonts w:ascii="宋体" w:hAnsi="宋体" w:cs="宋体" w:eastAsia="宋体" w:hint="default"/>
                <w:sz w:val="16"/>
                <w:szCs w:val="16"/>
              </w:rPr>
              <w:t>港币</w:t>
            </w:r>
            <w:r>
              <w:rPr>
                <w:rFonts w:ascii="宋体" w:hAnsi="宋体" w:cs="宋体" w:eastAsia="宋体" w:hint="default"/>
                <w:spacing w:val="-41"/>
                <w:sz w:val="16"/>
                <w:szCs w:val="16"/>
              </w:rPr>
              <w:t> </w:t>
            </w:r>
            <w:r>
              <w:rPr>
                <w:rFonts w:ascii="Arial" w:hAnsi="Arial" w:cs="Arial" w:eastAsia="Arial" w:hint="default"/>
                <w:sz w:val="16"/>
                <w:szCs w:val="16"/>
              </w:rPr>
              <w:t>60,100</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9"/>
              <w:ind w:right="0"/>
              <w:jc w:val="center"/>
              <w:rPr>
                <w:rFonts w:ascii="Arial" w:hAnsi="Arial" w:cs="Arial" w:eastAsia="Arial" w:hint="default"/>
                <w:sz w:val="16"/>
                <w:szCs w:val="16"/>
              </w:rPr>
            </w:pPr>
            <w:r>
              <w:rPr>
                <w:rFonts w:ascii="Arial"/>
                <w:w w:val="100"/>
                <w:sz w:val="16"/>
              </w:rPr>
              <w:t>-</w:t>
            </w:r>
          </w:p>
        </w:tc>
        <w:tc>
          <w:tcPr>
            <w:tcW w:w="589"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9"/>
              <w:ind w:left="14" w:right="0"/>
              <w:jc w:val="left"/>
              <w:rPr>
                <w:rFonts w:ascii="Arial" w:hAnsi="Arial" w:cs="Arial" w:eastAsia="Arial" w:hint="default"/>
                <w:sz w:val="16"/>
                <w:szCs w:val="16"/>
              </w:rPr>
            </w:pPr>
            <w:r>
              <w:rPr>
                <w:rFonts w:ascii="Arial"/>
                <w:sz w:val="16"/>
              </w:rPr>
              <w:t>33.34</w:t>
            </w:r>
          </w:p>
        </w:tc>
      </w:tr>
      <w:tr>
        <w:trPr>
          <w:trHeight w:val="647"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42" w:right="566" w:hanging="166"/>
              <w:jc w:val="left"/>
              <w:rPr>
                <w:rFonts w:ascii="宋体" w:hAnsi="宋体" w:cs="宋体" w:eastAsia="宋体" w:hint="default"/>
                <w:sz w:val="16"/>
                <w:szCs w:val="16"/>
              </w:rPr>
            </w:pPr>
            <w:r>
              <w:rPr>
                <w:rFonts w:ascii="宋体" w:hAnsi="宋体" w:cs="宋体" w:eastAsia="宋体" w:hint="default"/>
                <w:spacing w:val="-1"/>
                <w:sz w:val="16"/>
                <w:szCs w:val="16"/>
              </w:rPr>
              <w:t>中国联通（美洲）</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运营有限公司</w:t>
            </w:r>
          </w:p>
          <w:p>
            <w:pPr>
              <w:pStyle w:val="TableParagraph"/>
              <w:spacing w:line="206"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（“联通美洲运营”）</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1"/>
              <w:jc w:val="center"/>
              <w:rPr>
                <w:rFonts w:ascii="宋体" w:hAnsi="宋体" w:cs="宋体" w:eastAsia="宋体" w:hint="default"/>
                <w:sz w:val="16"/>
                <w:szCs w:val="16"/>
              </w:rPr>
            </w:pPr>
            <w:r>
              <w:rPr>
                <w:rFonts w:ascii="宋体" w:hAnsi="宋体" w:cs="宋体" w:eastAsia="宋体" w:hint="default"/>
                <w:sz w:val="16"/>
                <w:szCs w:val="16"/>
              </w:rPr>
              <w:t>美国</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宋体" w:hAnsi="宋体" w:cs="宋体" w:eastAsia="宋体" w:hint="default"/>
                <w:sz w:val="16"/>
                <w:szCs w:val="16"/>
              </w:rPr>
            </w:pPr>
            <w:r>
              <w:rPr>
                <w:rFonts w:ascii="宋体" w:hAnsi="宋体" w:cs="宋体" w:eastAsia="宋体" w:hint="default"/>
                <w:sz w:val="16"/>
                <w:szCs w:val="16"/>
              </w:rPr>
              <w:t>美国</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宋体" w:hAnsi="宋体" w:cs="宋体" w:eastAsia="宋体" w:hint="default"/>
                <w:sz w:val="16"/>
                <w:szCs w:val="16"/>
              </w:rPr>
            </w:pPr>
            <w:r>
              <w:rPr>
                <w:rFonts w:ascii="宋体" w:hAnsi="宋体" w:cs="宋体" w:eastAsia="宋体" w:hint="default"/>
                <w:sz w:val="16"/>
                <w:szCs w:val="16"/>
              </w:rPr>
              <w:t>电信业务</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5"/>
              <w:jc w:val="center"/>
              <w:rPr>
                <w:rFonts w:ascii="Arial" w:hAnsi="Arial" w:cs="Arial" w:eastAsia="Arial" w:hint="default"/>
                <w:sz w:val="16"/>
                <w:szCs w:val="16"/>
              </w:rPr>
            </w:pPr>
            <w:r>
              <w:rPr>
                <w:rFonts w:ascii="宋体" w:hAnsi="宋体" w:cs="宋体" w:eastAsia="宋体" w:hint="default"/>
                <w:sz w:val="16"/>
                <w:szCs w:val="16"/>
              </w:rPr>
              <w:t>美元</w:t>
            </w:r>
            <w:r>
              <w:rPr>
                <w:rFonts w:ascii="宋体" w:hAnsi="宋体" w:cs="宋体" w:eastAsia="宋体" w:hint="default"/>
                <w:spacing w:val="-41"/>
                <w:sz w:val="16"/>
                <w:szCs w:val="16"/>
              </w:rPr>
              <w:t> </w:t>
            </w:r>
            <w:r>
              <w:rPr>
                <w:rFonts w:ascii="Arial" w:hAnsi="Arial" w:cs="Arial" w:eastAsia="Arial" w:hint="default"/>
                <w:sz w:val="16"/>
                <w:szCs w:val="16"/>
              </w:rPr>
              <w:t>500</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1"/>
              <w:ind w:right="0"/>
              <w:jc w:val="center"/>
              <w:rPr>
                <w:rFonts w:ascii="Arial" w:hAnsi="Arial" w:cs="Arial" w:eastAsia="Arial" w:hint="default"/>
                <w:sz w:val="16"/>
                <w:szCs w:val="16"/>
              </w:rPr>
            </w:pPr>
            <w:r>
              <w:rPr>
                <w:rFonts w:ascii="Arial"/>
                <w:w w:val="100"/>
                <w:sz w:val="16"/>
              </w:rPr>
              <w:t>-</w:t>
            </w:r>
          </w:p>
        </w:tc>
        <w:tc>
          <w:tcPr>
            <w:tcW w:w="589"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1"/>
              <w:ind w:left="14" w:right="0"/>
              <w:jc w:val="left"/>
              <w:rPr>
                <w:rFonts w:ascii="Arial" w:hAnsi="Arial" w:cs="Arial" w:eastAsia="Arial" w:hint="default"/>
                <w:sz w:val="16"/>
                <w:szCs w:val="16"/>
              </w:rPr>
            </w:pPr>
            <w:r>
              <w:rPr>
                <w:rFonts w:ascii="Arial"/>
                <w:sz w:val="16"/>
              </w:rPr>
              <w:t>33.34</w:t>
            </w:r>
          </w:p>
        </w:tc>
      </w:tr>
      <w:tr>
        <w:trPr>
          <w:trHeight w:val="845"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2"/>
                <w:szCs w:val="12"/>
              </w:rPr>
            </w:pPr>
          </w:p>
          <w:p>
            <w:pPr>
              <w:pStyle w:val="TableParagraph"/>
              <w:spacing w:line="206" w:lineRule="exact"/>
              <w:ind w:left="242" w:right="566" w:hanging="166"/>
              <w:jc w:val="left"/>
              <w:rPr>
                <w:rFonts w:ascii="宋体" w:hAnsi="宋体" w:cs="宋体" w:eastAsia="宋体" w:hint="default"/>
                <w:sz w:val="16"/>
                <w:szCs w:val="16"/>
              </w:rPr>
            </w:pPr>
            <w:r>
              <w:rPr>
                <w:rFonts w:ascii="宋体" w:hAnsi="宋体" w:cs="宋体" w:eastAsia="宋体" w:hint="default"/>
                <w:spacing w:val="-1"/>
                <w:sz w:val="16"/>
                <w:szCs w:val="16"/>
              </w:rPr>
              <w:t>中国联通（欧洲）</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运营有限公司</w:t>
            </w:r>
          </w:p>
          <w:p>
            <w:pPr>
              <w:pStyle w:val="TableParagraph"/>
              <w:spacing w:line="190"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（“联通欧洲运营”）</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71"/>
              <w:jc w:val="center"/>
              <w:rPr>
                <w:rFonts w:ascii="宋体" w:hAnsi="宋体" w:cs="宋体" w:eastAsia="宋体" w:hint="default"/>
                <w:sz w:val="16"/>
                <w:szCs w:val="16"/>
              </w:rPr>
            </w:pPr>
            <w:r>
              <w:rPr>
                <w:rFonts w:ascii="宋体" w:hAnsi="宋体" w:cs="宋体" w:eastAsia="宋体" w:hint="default"/>
                <w:sz w:val="16"/>
                <w:szCs w:val="16"/>
              </w:rPr>
              <w:t>英国</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33" w:right="0"/>
              <w:jc w:val="center"/>
              <w:rPr>
                <w:rFonts w:ascii="宋体" w:hAnsi="宋体" w:cs="宋体" w:eastAsia="宋体" w:hint="default"/>
                <w:sz w:val="16"/>
                <w:szCs w:val="16"/>
              </w:rPr>
            </w:pPr>
            <w:r>
              <w:rPr>
                <w:rFonts w:ascii="宋体" w:hAnsi="宋体" w:cs="宋体" w:eastAsia="宋体" w:hint="default"/>
                <w:sz w:val="16"/>
                <w:szCs w:val="16"/>
              </w:rPr>
              <w:t>英国</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68" w:right="0"/>
              <w:jc w:val="center"/>
              <w:rPr>
                <w:rFonts w:ascii="宋体" w:hAnsi="宋体" w:cs="宋体" w:eastAsia="宋体" w:hint="default"/>
                <w:sz w:val="16"/>
                <w:szCs w:val="16"/>
              </w:rPr>
            </w:pPr>
            <w:r>
              <w:rPr>
                <w:rFonts w:ascii="宋体" w:hAnsi="宋体" w:cs="宋体" w:eastAsia="宋体" w:hint="default"/>
                <w:sz w:val="16"/>
                <w:szCs w:val="16"/>
              </w:rPr>
              <w:t>电信业务</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236"/>
              <w:jc w:val="center"/>
              <w:rPr>
                <w:rFonts w:ascii="Arial" w:hAnsi="Arial" w:cs="Arial" w:eastAsia="Arial" w:hint="default"/>
                <w:sz w:val="16"/>
                <w:szCs w:val="16"/>
              </w:rPr>
            </w:pPr>
            <w:r>
              <w:rPr>
                <w:rFonts w:ascii="宋体" w:hAnsi="宋体" w:cs="宋体" w:eastAsia="宋体" w:hint="default"/>
                <w:sz w:val="16"/>
                <w:szCs w:val="16"/>
              </w:rPr>
              <w:t>英镑</w:t>
            </w:r>
            <w:r>
              <w:rPr>
                <w:rFonts w:ascii="宋体" w:hAnsi="宋体" w:cs="宋体" w:eastAsia="宋体" w:hint="default"/>
                <w:spacing w:val="-40"/>
                <w:sz w:val="16"/>
                <w:szCs w:val="16"/>
              </w:rPr>
              <w:t> </w:t>
            </w:r>
            <w:r>
              <w:rPr>
                <w:rFonts w:ascii="Arial" w:hAnsi="Arial" w:cs="Arial" w:eastAsia="Arial" w:hint="default"/>
                <w:sz w:val="16"/>
                <w:szCs w:val="16"/>
              </w:rPr>
              <w:t>4,861</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589"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4" w:right="0"/>
              <w:jc w:val="left"/>
              <w:rPr>
                <w:rFonts w:ascii="Arial" w:hAnsi="Arial" w:cs="Arial" w:eastAsia="Arial" w:hint="default"/>
                <w:sz w:val="16"/>
                <w:szCs w:val="16"/>
              </w:rPr>
            </w:pPr>
            <w:r>
              <w:rPr>
                <w:rFonts w:ascii="Arial"/>
                <w:sz w:val="16"/>
              </w:rPr>
              <w:t>33.34</w:t>
            </w:r>
          </w:p>
        </w:tc>
      </w:tr>
      <w:tr>
        <w:trPr>
          <w:trHeight w:val="792"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56" w:right="566" w:hanging="180"/>
              <w:jc w:val="left"/>
              <w:rPr>
                <w:rFonts w:ascii="宋体" w:hAnsi="宋体" w:cs="宋体" w:eastAsia="宋体" w:hint="default"/>
                <w:sz w:val="16"/>
                <w:szCs w:val="16"/>
              </w:rPr>
            </w:pPr>
            <w:r>
              <w:rPr>
                <w:rFonts w:ascii="宋体" w:hAnsi="宋体" w:cs="宋体" w:eastAsia="宋体" w:hint="default"/>
                <w:spacing w:val="-1"/>
                <w:sz w:val="16"/>
                <w:szCs w:val="16"/>
              </w:rPr>
              <w:t>中国联通（日本）</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运营有限公司</w:t>
            </w:r>
          </w:p>
          <w:p>
            <w:pPr>
              <w:pStyle w:val="TableParagraph"/>
              <w:spacing w:line="206"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（“联通日本运营”）</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42"/>
              <w:jc w:val="center"/>
              <w:rPr>
                <w:rFonts w:ascii="宋体" w:hAnsi="宋体" w:cs="宋体" w:eastAsia="宋体" w:hint="default"/>
                <w:sz w:val="16"/>
                <w:szCs w:val="16"/>
              </w:rPr>
            </w:pPr>
            <w:r>
              <w:rPr>
                <w:rFonts w:ascii="宋体" w:hAnsi="宋体" w:cs="宋体" w:eastAsia="宋体" w:hint="default"/>
                <w:sz w:val="16"/>
                <w:szCs w:val="16"/>
              </w:rPr>
              <w:t>日本</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67" w:right="0"/>
              <w:jc w:val="center"/>
              <w:rPr>
                <w:rFonts w:ascii="宋体" w:hAnsi="宋体" w:cs="宋体" w:eastAsia="宋体" w:hint="default"/>
                <w:sz w:val="16"/>
                <w:szCs w:val="16"/>
              </w:rPr>
            </w:pPr>
            <w:r>
              <w:rPr>
                <w:rFonts w:ascii="宋体" w:hAnsi="宋体" w:cs="宋体" w:eastAsia="宋体" w:hint="default"/>
                <w:sz w:val="16"/>
                <w:szCs w:val="16"/>
              </w:rPr>
              <w:t>日本</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68" w:right="0"/>
              <w:jc w:val="center"/>
              <w:rPr>
                <w:rFonts w:ascii="宋体" w:hAnsi="宋体" w:cs="宋体" w:eastAsia="宋体" w:hint="default"/>
                <w:sz w:val="16"/>
                <w:szCs w:val="16"/>
              </w:rPr>
            </w:pPr>
            <w:r>
              <w:rPr>
                <w:rFonts w:ascii="宋体" w:hAnsi="宋体" w:cs="宋体" w:eastAsia="宋体" w:hint="default"/>
                <w:sz w:val="16"/>
                <w:szCs w:val="16"/>
              </w:rPr>
              <w:t>电信业务</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35"/>
              <w:jc w:val="center"/>
              <w:rPr>
                <w:rFonts w:ascii="Arial" w:hAnsi="Arial" w:cs="Arial" w:eastAsia="Arial" w:hint="default"/>
                <w:sz w:val="16"/>
                <w:szCs w:val="16"/>
              </w:rPr>
            </w:pPr>
            <w:r>
              <w:rPr>
                <w:rFonts w:ascii="宋体" w:hAnsi="宋体" w:cs="宋体" w:eastAsia="宋体" w:hint="default"/>
                <w:sz w:val="16"/>
                <w:szCs w:val="16"/>
              </w:rPr>
              <w:t>日元</w:t>
            </w:r>
            <w:r>
              <w:rPr>
                <w:rFonts w:ascii="宋体" w:hAnsi="宋体" w:cs="宋体" w:eastAsia="宋体" w:hint="default"/>
                <w:spacing w:val="-41"/>
                <w:sz w:val="16"/>
                <w:szCs w:val="16"/>
              </w:rPr>
              <w:t> </w:t>
            </w:r>
            <w:r>
              <w:rPr>
                <w:rFonts w:ascii="Arial" w:hAnsi="Arial" w:cs="Arial" w:eastAsia="Arial" w:hint="default"/>
                <w:sz w:val="16"/>
                <w:szCs w:val="16"/>
              </w:rPr>
              <w:t>366,000</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right="0"/>
              <w:jc w:val="center"/>
              <w:rPr>
                <w:rFonts w:ascii="Arial" w:hAnsi="Arial" w:cs="Arial" w:eastAsia="Arial" w:hint="default"/>
                <w:sz w:val="16"/>
                <w:szCs w:val="16"/>
              </w:rPr>
            </w:pPr>
            <w:r>
              <w:rPr>
                <w:rFonts w:ascii="Arial"/>
                <w:w w:val="100"/>
                <w:sz w:val="16"/>
              </w:rPr>
              <w:t>-</w:t>
            </w:r>
          </w:p>
        </w:tc>
        <w:tc>
          <w:tcPr>
            <w:tcW w:w="589"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left="14" w:right="0"/>
              <w:jc w:val="left"/>
              <w:rPr>
                <w:rFonts w:ascii="Arial" w:hAnsi="Arial" w:cs="Arial" w:eastAsia="Arial" w:hint="default"/>
                <w:sz w:val="16"/>
                <w:szCs w:val="16"/>
              </w:rPr>
            </w:pPr>
            <w:r>
              <w:rPr>
                <w:rFonts w:ascii="Arial"/>
                <w:sz w:val="16"/>
              </w:rPr>
              <w:t>33.34</w:t>
            </w:r>
          </w:p>
        </w:tc>
      </w:tr>
      <w:tr>
        <w:trPr>
          <w:trHeight w:val="830"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06" w:lineRule="exact" w:before="92"/>
              <w:ind w:left="256" w:right="405" w:hanging="180"/>
              <w:jc w:val="left"/>
              <w:rPr>
                <w:rFonts w:ascii="宋体" w:hAnsi="宋体" w:cs="宋体" w:eastAsia="宋体" w:hint="default"/>
                <w:sz w:val="16"/>
                <w:szCs w:val="16"/>
              </w:rPr>
            </w:pPr>
            <w:r>
              <w:rPr>
                <w:rFonts w:ascii="宋体" w:hAnsi="宋体" w:cs="宋体" w:eastAsia="宋体" w:hint="default"/>
                <w:spacing w:val="-1"/>
                <w:sz w:val="16"/>
                <w:szCs w:val="16"/>
              </w:rPr>
              <w:t>中讯邮电咨询设计院</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有限公司</w:t>
            </w:r>
          </w:p>
          <w:p>
            <w:pPr>
              <w:pStyle w:val="TableParagraph"/>
              <w:spacing w:line="190" w:lineRule="exact"/>
              <w:ind w:left="76" w:right="0"/>
              <w:jc w:val="left"/>
              <w:rPr>
                <w:rFonts w:ascii="宋体" w:hAnsi="宋体" w:cs="宋体" w:eastAsia="宋体" w:hint="default"/>
                <w:sz w:val="16"/>
                <w:szCs w:val="16"/>
              </w:rPr>
            </w:pPr>
            <w:r>
              <w:rPr>
                <w:rFonts w:ascii="宋体" w:hAnsi="宋体" w:cs="宋体" w:eastAsia="宋体" w:hint="default"/>
                <w:sz w:val="16"/>
                <w:szCs w:val="16"/>
              </w:rPr>
              <w:t>（“中讯设计院”）</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7"/>
              <w:ind w:right="40"/>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7"/>
              <w:ind w:left="203" w:right="0"/>
              <w:jc w:val="left"/>
              <w:rPr>
                <w:rFonts w:ascii="宋体" w:hAnsi="宋体" w:cs="宋体" w:eastAsia="宋体" w:hint="default"/>
                <w:sz w:val="16"/>
                <w:szCs w:val="16"/>
              </w:rPr>
            </w:pPr>
            <w:r>
              <w:rPr>
                <w:rFonts w:ascii="宋体" w:hAnsi="宋体" w:cs="宋体" w:eastAsia="宋体" w:hint="default"/>
                <w:sz w:val="16"/>
                <w:szCs w:val="16"/>
              </w:rPr>
              <w:t>中国，北京市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2"/>
              <w:ind w:left="378" w:right="307" w:firstLine="79"/>
              <w:jc w:val="left"/>
              <w:rPr>
                <w:rFonts w:ascii="宋体" w:hAnsi="宋体" w:cs="宋体" w:eastAsia="宋体" w:hint="default"/>
                <w:sz w:val="16"/>
                <w:szCs w:val="16"/>
              </w:rPr>
            </w:pPr>
            <w:r>
              <w:rPr>
                <w:rFonts w:ascii="宋体" w:hAnsi="宋体" w:cs="宋体" w:eastAsia="宋体" w:hint="default"/>
                <w:sz w:val="16"/>
                <w:szCs w:val="16"/>
              </w:rPr>
              <w:t>勘察设计</w:t>
            </w:r>
            <w:r>
              <w:rPr>
                <w:rFonts w:ascii="宋体" w:hAnsi="宋体" w:cs="宋体" w:eastAsia="宋体" w:hint="default"/>
                <w:w w:val="100"/>
                <w:sz w:val="16"/>
                <w:szCs w:val="16"/>
              </w:rPr>
              <w:t> </w:t>
            </w:r>
            <w:r>
              <w:rPr>
                <w:rFonts w:ascii="宋体" w:hAnsi="宋体" w:cs="宋体" w:eastAsia="宋体" w:hint="default"/>
                <w:spacing w:val="-1"/>
                <w:sz w:val="16"/>
                <w:szCs w:val="16"/>
              </w:rPr>
              <w:t>及咨询服务</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37"/>
              <w:jc w:val="center"/>
              <w:rPr>
                <w:rFonts w:ascii="Arial" w:hAnsi="Arial" w:cs="Arial" w:eastAsia="Arial" w:hint="default"/>
                <w:sz w:val="16"/>
                <w:szCs w:val="16"/>
              </w:rPr>
            </w:pPr>
            <w:r>
              <w:rPr>
                <w:rFonts w:ascii="Arial"/>
                <w:sz w:val="16"/>
              </w:rPr>
              <w:t>430,000</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589"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4" w:right="0"/>
              <w:jc w:val="left"/>
              <w:rPr>
                <w:rFonts w:ascii="Arial" w:hAnsi="Arial" w:cs="Arial" w:eastAsia="Arial" w:hint="default"/>
                <w:sz w:val="16"/>
                <w:szCs w:val="16"/>
              </w:rPr>
            </w:pPr>
            <w:r>
              <w:rPr>
                <w:rFonts w:ascii="Arial"/>
                <w:sz w:val="16"/>
              </w:rPr>
              <w:t>33.34</w:t>
            </w:r>
          </w:p>
        </w:tc>
      </w:tr>
      <w:tr>
        <w:trPr>
          <w:trHeight w:val="583"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08" w:lineRule="exact" w:before="69"/>
              <w:ind w:left="76" w:right="0"/>
              <w:jc w:val="left"/>
              <w:rPr>
                <w:rFonts w:ascii="宋体" w:hAnsi="宋体" w:cs="宋体" w:eastAsia="宋体" w:hint="default"/>
                <w:sz w:val="16"/>
                <w:szCs w:val="16"/>
              </w:rPr>
            </w:pPr>
            <w:r>
              <w:rPr>
                <w:rFonts w:ascii="宋体" w:hAnsi="宋体" w:cs="宋体" w:eastAsia="宋体" w:hint="default"/>
                <w:sz w:val="16"/>
                <w:szCs w:val="16"/>
              </w:rPr>
              <w:t>联通信息导航有限公司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（“联通信息导航”）</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2"/>
              <w:ind w:right="40"/>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2"/>
              <w:ind w:left="203" w:right="0"/>
              <w:jc w:val="left"/>
              <w:rPr>
                <w:rFonts w:ascii="宋体" w:hAnsi="宋体" w:cs="宋体" w:eastAsia="宋体" w:hint="default"/>
                <w:sz w:val="16"/>
                <w:szCs w:val="16"/>
              </w:rPr>
            </w:pPr>
            <w:r>
              <w:rPr>
                <w:rFonts w:ascii="宋体" w:hAnsi="宋体" w:cs="宋体" w:eastAsia="宋体" w:hint="default"/>
                <w:sz w:val="16"/>
                <w:szCs w:val="16"/>
              </w:rPr>
              <w:t>中国，北京市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2"/>
              <w:ind w:left="65" w:right="0"/>
              <w:jc w:val="center"/>
              <w:rPr>
                <w:rFonts w:ascii="宋体" w:hAnsi="宋体" w:cs="宋体" w:eastAsia="宋体" w:hint="default"/>
                <w:sz w:val="16"/>
                <w:szCs w:val="16"/>
              </w:rPr>
            </w:pPr>
            <w:r>
              <w:rPr>
                <w:rFonts w:ascii="宋体" w:hAnsi="宋体" w:cs="宋体" w:eastAsia="宋体" w:hint="default"/>
                <w:sz w:val="16"/>
                <w:szCs w:val="16"/>
              </w:rPr>
              <w:t>电信客户服务</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8"/>
              <w:ind w:right="237"/>
              <w:jc w:val="center"/>
              <w:rPr>
                <w:rFonts w:ascii="Arial" w:hAnsi="Arial" w:cs="Arial" w:eastAsia="Arial" w:hint="default"/>
                <w:sz w:val="16"/>
                <w:szCs w:val="16"/>
              </w:rPr>
            </w:pPr>
            <w:r>
              <w:rPr>
                <w:rFonts w:ascii="Arial"/>
                <w:sz w:val="16"/>
              </w:rPr>
              <w:t>6,825,088</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8"/>
              <w:ind w:right="0"/>
              <w:jc w:val="center"/>
              <w:rPr>
                <w:rFonts w:ascii="Arial" w:hAnsi="Arial" w:cs="Arial" w:eastAsia="Arial" w:hint="default"/>
                <w:sz w:val="16"/>
                <w:szCs w:val="16"/>
              </w:rPr>
            </w:pPr>
            <w:r>
              <w:rPr>
                <w:rFonts w:ascii="Arial"/>
                <w:w w:val="100"/>
                <w:sz w:val="16"/>
              </w:rPr>
              <w:t>-</w:t>
            </w:r>
          </w:p>
        </w:tc>
        <w:tc>
          <w:tcPr>
            <w:tcW w:w="589"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8"/>
              <w:ind w:left="14" w:right="0"/>
              <w:jc w:val="left"/>
              <w:rPr>
                <w:rFonts w:ascii="Arial" w:hAnsi="Arial" w:cs="Arial" w:eastAsia="Arial" w:hint="default"/>
                <w:sz w:val="16"/>
                <w:szCs w:val="16"/>
              </w:rPr>
            </w:pPr>
            <w:r>
              <w:rPr>
                <w:rFonts w:ascii="Arial"/>
                <w:sz w:val="16"/>
              </w:rPr>
              <w:t>33.34</w:t>
            </w:r>
          </w:p>
        </w:tc>
      </w:tr>
      <w:tr>
        <w:trPr>
          <w:trHeight w:val="751"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06" w:lineRule="exact" w:before="53"/>
              <w:ind w:left="237" w:right="86" w:hanging="161"/>
              <w:jc w:val="left"/>
              <w:rPr>
                <w:rFonts w:ascii="宋体" w:hAnsi="宋体" w:cs="宋体" w:eastAsia="宋体" w:hint="default"/>
                <w:sz w:val="16"/>
                <w:szCs w:val="16"/>
              </w:rPr>
            </w:pPr>
            <w:r>
              <w:rPr>
                <w:rFonts w:ascii="宋体" w:hAnsi="宋体" w:cs="宋体" w:eastAsia="宋体" w:hint="default"/>
                <w:spacing w:val="-1"/>
                <w:sz w:val="16"/>
                <w:szCs w:val="16"/>
              </w:rPr>
              <w:t>联通兴业通信技术有限公</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司</w:t>
            </w:r>
          </w:p>
          <w:p>
            <w:pPr>
              <w:pStyle w:val="TableParagraph"/>
              <w:spacing w:line="190"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（“联通兴业”）</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40"/>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03" w:right="0"/>
              <w:jc w:val="left"/>
              <w:rPr>
                <w:rFonts w:ascii="宋体" w:hAnsi="宋体" w:cs="宋体" w:eastAsia="宋体" w:hint="default"/>
                <w:sz w:val="16"/>
                <w:szCs w:val="16"/>
              </w:rPr>
            </w:pPr>
            <w:r>
              <w:rPr>
                <w:rFonts w:ascii="宋体" w:hAnsi="宋体" w:cs="宋体" w:eastAsia="宋体" w:hint="default"/>
                <w:sz w:val="16"/>
                <w:szCs w:val="16"/>
              </w:rPr>
              <w:t>中国，北京市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65" w:right="0"/>
              <w:jc w:val="center"/>
              <w:rPr>
                <w:rFonts w:ascii="宋体" w:hAnsi="宋体" w:cs="宋体" w:eastAsia="宋体" w:hint="default"/>
                <w:sz w:val="16"/>
                <w:szCs w:val="16"/>
              </w:rPr>
            </w:pPr>
            <w:r>
              <w:rPr>
                <w:rFonts w:ascii="宋体" w:hAnsi="宋体" w:cs="宋体" w:eastAsia="宋体" w:hint="default"/>
                <w:sz w:val="16"/>
                <w:szCs w:val="16"/>
              </w:rPr>
              <w:t>通信配件销售</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2"/>
              <w:ind w:right="235"/>
              <w:jc w:val="center"/>
              <w:rPr>
                <w:rFonts w:ascii="Arial" w:hAnsi="Arial" w:cs="Arial" w:eastAsia="Arial" w:hint="default"/>
                <w:sz w:val="16"/>
                <w:szCs w:val="16"/>
              </w:rPr>
            </w:pPr>
            <w:r>
              <w:rPr>
                <w:rFonts w:ascii="Arial"/>
                <w:sz w:val="16"/>
              </w:rPr>
              <w:t>30,000</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2"/>
              <w:ind w:right="0"/>
              <w:jc w:val="center"/>
              <w:rPr>
                <w:rFonts w:ascii="Arial" w:hAnsi="Arial" w:cs="Arial" w:eastAsia="Arial" w:hint="default"/>
                <w:sz w:val="16"/>
                <w:szCs w:val="16"/>
              </w:rPr>
            </w:pPr>
            <w:r>
              <w:rPr>
                <w:rFonts w:ascii="Arial"/>
                <w:w w:val="100"/>
                <w:sz w:val="16"/>
              </w:rPr>
              <w:t>-</w:t>
            </w:r>
          </w:p>
        </w:tc>
        <w:tc>
          <w:tcPr>
            <w:tcW w:w="589"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2"/>
              <w:ind w:left="14" w:right="0"/>
              <w:jc w:val="left"/>
              <w:rPr>
                <w:rFonts w:ascii="Arial" w:hAnsi="Arial" w:cs="Arial" w:eastAsia="Arial" w:hint="default"/>
                <w:sz w:val="16"/>
                <w:szCs w:val="16"/>
              </w:rPr>
            </w:pPr>
            <w:r>
              <w:rPr>
                <w:rFonts w:ascii="Arial"/>
                <w:sz w:val="16"/>
              </w:rPr>
              <w:t>33.34</w:t>
            </w:r>
          </w:p>
        </w:tc>
      </w:tr>
      <w:tr>
        <w:trPr>
          <w:trHeight w:val="545"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09" w:lineRule="exact" w:before="31"/>
              <w:ind w:left="76" w:right="0"/>
              <w:jc w:val="left"/>
              <w:rPr>
                <w:rFonts w:ascii="宋体" w:hAnsi="宋体" w:cs="宋体" w:eastAsia="宋体" w:hint="default"/>
                <w:sz w:val="16"/>
                <w:szCs w:val="16"/>
              </w:rPr>
            </w:pPr>
            <w:r>
              <w:rPr>
                <w:rFonts w:ascii="宋体" w:hAnsi="宋体" w:cs="宋体" w:eastAsia="宋体" w:hint="default"/>
                <w:sz w:val="16"/>
                <w:szCs w:val="16"/>
              </w:rPr>
              <w:t>中国联通股份有限公司</w:t>
            </w:r>
          </w:p>
          <w:p>
            <w:pPr>
              <w:pStyle w:val="TableParagraph"/>
              <w:spacing w:line="209"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（“联通股份”）</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9"/>
              <w:jc w:val="center"/>
              <w:rPr>
                <w:rFonts w:ascii="宋体" w:hAnsi="宋体" w:cs="宋体" w:eastAsia="宋体" w:hint="default"/>
                <w:sz w:val="16"/>
                <w:szCs w:val="16"/>
              </w:rPr>
            </w:pPr>
            <w:r>
              <w:rPr>
                <w:rFonts w:ascii="宋体" w:hAnsi="宋体" w:cs="宋体" w:eastAsia="宋体" w:hint="default"/>
                <w:sz w:val="16"/>
                <w:szCs w:val="16"/>
              </w:rPr>
              <w:t>中国，香港</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8" w:right="0"/>
              <w:jc w:val="left"/>
              <w:rPr>
                <w:rFonts w:ascii="宋体" w:hAnsi="宋体" w:cs="宋体" w:eastAsia="宋体" w:hint="default"/>
                <w:sz w:val="16"/>
                <w:szCs w:val="16"/>
              </w:rPr>
            </w:pPr>
            <w:r>
              <w:rPr>
                <w:rFonts w:ascii="宋体" w:hAnsi="宋体" w:cs="宋体" w:eastAsia="宋体" w:hint="default"/>
                <w:sz w:val="16"/>
                <w:szCs w:val="16"/>
              </w:rPr>
              <w:t>中国，香港</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68" w:right="0"/>
              <w:jc w:val="center"/>
              <w:rPr>
                <w:rFonts w:ascii="宋体" w:hAnsi="宋体" w:cs="宋体" w:eastAsia="宋体" w:hint="default"/>
                <w:sz w:val="16"/>
                <w:szCs w:val="16"/>
              </w:rPr>
            </w:pPr>
            <w:r>
              <w:rPr>
                <w:rFonts w:ascii="宋体" w:hAnsi="宋体" w:cs="宋体" w:eastAsia="宋体" w:hint="default"/>
                <w:sz w:val="16"/>
                <w:szCs w:val="16"/>
              </w:rPr>
              <w:t>无商业活动</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34"/>
              <w:jc w:val="center"/>
              <w:rPr>
                <w:rFonts w:ascii="宋体" w:hAnsi="宋体" w:cs="宋体" w:eastAsia="宋体" w:hint="default"/>
                <w:sz w:val="16"/>
                <w:szCs w:val="16"/>
              </w:rPr>
            </w:pPr>
            <w:r>
              <w:rPr>
                <w:rFonts w:ascii="宋体" w:hAnsi="宋体" w:cs="宋体" w:eastAsia="宋体" w:hint="default"/>
                <w:sz w:val="16"/>
                <w:szCs w:val="16"/>
              </w:rPr>
              <w:t>港币</w:t>
            </w:r>
            <w:r>
              <w:rPr>
                <w:rFonts w:ascii="宋体" w:hAnsi="宋体" w:cs="宋体" w:eastAsia="宋体" w:hint="default"/>
                <w:spacing w:val="-39"/>
                <w:sz w:val="16"/>
                <w:szCs w:val="16"/>
              </w:rPr>
              <w:t> </w:t>
            </w:r>
            <w:r>
              <w:rPr>
                <w:rFonts w:ascii="Arial" w:hAnsi="Arial" w:cs="Arial" w:eastAsia="Arial" w:hint="default"/>
                <w:sz w:val="16"/>
                <w:szCs w:val="16"/>
              </w:rPr>
              <w:t>2</w:t>
            </w:r>
            <w:r>
              <w:rPr>
                <w:rFonts w:ascii="Arial" w:hAnsi="Arial" w:cs="Arial" w:eastAsia="Arial" w:hint="default"/>
                <w:spacing w:val="-6"/>
                <w:sz w:val="16"/>
                <w:szCs w:val="16"/>
              </w:rPr>
              <w:t> </w:t>
            </w:r>
            <w:r>
              <w:rPr>
                <w:rFonts w:ascii="宋体" w:hAnsi="宋体" w:cs="宋体" w:eastAsia="宋体" w:hint="default"/>
                <w:sz w:val="16"/>
                <w:szCs w:val="16"/>
              </w:rPr>
              <w:t>元</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0"/>
              <w:ind w:right="0"/>
              <w:jc w:val="center"/>
              <w:rPr>
                <w:rFonts w:ascii="Arial" w:hAnsi="Arial" w:cs="Arial" w:eastAsia="Arial" w:hint="default"/>
                <w:sz w:val="16"/>
                <w:szCs w:val="16"/>
              </w:rPr>
            </w:pPr>
            <w:r>
              <w:rPr>
                <w:rFonts w:ascii="Arial"/>
                <w:w w:val="100"/>
                <w:sz w:val="16"/>
              </w:rPr>
              <w:t>-</w:t>
            </w:r>
          </w:p>
        </w:tc>
        <w:tc>
          <w:tcPr>
            <w:tcW w:w="589"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0"/>
              <w:ind w:left="14" w:right="0"/>
              <w:jc w:val="left"/>
              <w:rPr>
                <w:rFonts w:ascii="Arial" w:hAnsi="Arial" w:cs="Arial" w:eastAsia="Arial" w:hint="default"/>
                <w:sz w:val="16"/>
                <w:szCs w:val="16"/>
              </w:rPr>
            </w:pPr>
            <w:r>
              <w:rPr>
                <w:rFonts w:ascii="Arial"/>
                <w:sz w:val="16"/>
              </w:rPr>
              <w:t>33.34</w:t>
            </w:r>
          </w:p>
        </w:tc>
      </w:tr>
      <w:tr>
        <w:trPr>
          <w:trHeight w:val="674"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42" w:right="407" w:hanging="166"/>
              <w:jc w:val="left"/>
              <w:rPr>
                <w:rFonts w:ascii="宋体" w:hAnsi="宋体" w:cs="宋体" w:eastAsia="宋体" w:hint="default"/>
                <w:sz w:val="16"/>
                <w:szCs w:val="16"/>
              </w:rPr>
            </w:pPr>
            <w:r>
              <w:rPr>
                <w:rFonts w:ascii="宋体" w:hAnsi="宋体" w:cs="宋体" w:eastAsia="宋体" w:hint="default"/>
                <w:spacing w:val="-1"/>
                <w:sz w:val="16"/>
                <w:szCs w:val="16"/>
              </w:rPr>
              <w:t>中国网通集团</w:t>
            </w:r>
            <w:r>
              <w:rPr>
                <w:rFonts w:ascii="宋体" w:hAnsi="宋体" w:cs="宋体" w:eastAsia="宋体" w:hint="default"/>
                <w:spacing w:val="-1"/>
                <w:sz w:val="16"/>
                <w:szCs w:val="16"/>
              </w:rPr>
              <w:t>(</w:t>
            </w:r>
            <w:r>
              <w:rPr>
                <w:rFonts w:ascii="宋体" w:hAnsi="宋体" w:cs="宋体" w:eastAsia="宋体" w:hint="default"/>
                <w:spacing w:val="-1"/>
                <w:sz w:val="16"/>
                <w:szCs w:val="16"/>
              </w:rPr>
              <w:t>香港</w:t>
            </w:r>
            <w:r>
              <w:rPr>
                <w:rFonts w:ascii="宋体" w:hAnsi="宋体" w:cs="宋体" w:eastAsia="宋体" w:hint="default"/>
                <w:spacing w:val="-1"/>
                <w:sz w:val="16"/>
                <w:szCs w:val="16"/>
              </w:rPr>
              <w:t>)</w:t>
            </w:r>
            <w:r>
              <w:rPr>
                <w:rFonts w:ascii="宋体" w:hAnsi="宋体" w:cs="宋体" w:eastAsia="宋体" w:hint="default"/>
                <w:spacing w:val="-72"/>
                <w:sz w:val="16"/>
                <w:szCs w:val="16"/>
              </w:rPr>
              <w:t> </w:t>
            </w:r>
            <w:r>
              <w:rPr>
                <w:rFonts w:ascii="宋体" w:hAnsi="宋体" w:cs="宋体" w:eastAsia="宋体" w:hint="default"/>
                <w:sz w:val="16"/>
                <w:szCs w:val="16"/>
              </w:rPr>
              <w:t>有限公司</w:t>
            </w:r>
          </w:p>
          <w:p>
            <w:pPr>
              <w:pStyle w:val="TableParagraph"/>
              <w:spacing w:line="206" w:lineRule="exact"/>
              <w:ind w:left="76" w:right="0"/>
              <w:jc w:val="left"/>
              <w:rPr>
                <w:rFonts w:ascii="宋体" w:hAnsi="宋体" w:cs="宋体" w:eastAsia="宋体" w:hint="default"/>
                <w:sz w:val="16"/>
                <w:szCs w:val="16"/>
              </w:rPr>
            </w:pPr>
            <w:r>
              <w:rPr>
                <w:rFonts w:ascii="宋体" w:hAnsi="宋体" w:cs="宋体" w:eastAsia="宋体" w:hint="default"/>
                <w:sz w:val="16"/>
                <w:szCs w:val="16"/>
              </w:rPr>
              <w:t>（“网通红筹公司”）</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9"/>
              <w:jc w:val="center"/>
              <w:rPr>
                <w:rFonts w:ascii="宋体" w:hAnsi="宋体" w:cs="宋体" w:eastAsia="宋体" w:hint="default"/>
                <w:sz w:val="16"/>
                <w:szCs w:val="16"/>
              </w:rPr>
            </w:pPr>
            <w:r>
              <w:rPr>
                <w:rFonts w:ascii="宋体" w:hAnsi="宋体" w:cs="宋体" w:eastAsia="宋体" w:hint="default"/>
                <w:sz w:val="16"/>
                <w:szCs w:val="16"/>
              </w:rPr>
              <w:t>中国，香港</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8" w:right="0"/>
              <w:jc w:val="left"/>
              <w:rPr>
                <w:rFonts w:ascii="宋体" w:hAnsi="宋体" w:cs="宋体" w:eastAsia="宋体" w:hint="default"/>
                <w:sz w:val="16"/>
                <w:szCs w:val="16"/>
              </w:rPr>
            </w:pPr>
            <w:r>
              <w:rPr>
                <w:rFonts w:ascii="宋体" w:hAnsi="宋体" w:cs="宋体" w:eastAsia="宋体" w:hint="default"/>
                <w:sz w:val="16"/>
                <w:szCs w:val="16"/>
              </w:rPr>
              <w:t>中国，香港</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68" w:right="0"/>
              <w:jc w:val="center"/>
              <w:rPr>
                <w:rFonts w:ascii="宋体" w:hAnsi="宋体" w:cs="宋体" w:eastAsia="宋体" w:hint="default"/>
                <w:sz w:val="16"/>
                <w:szCs w:val="16"/>
              </w:rPr>
            </w:pPr>
            <w:r>
              <w:rPr>
                <w:rFonts w:ascii="宋体" w:hAnsi="宋体" w:cs="宋体" w:eastAsia="宋体" w:hint="default"/>
                <w:sz w:val="16"/>
                <w:szCs w:val="16"/>
              </w:rPr>
              <w:t>无商业活动</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35"/>
              <w:jc w:val="center"/>
              <w:rPr>
                <w:rFonts w:ascii="Arial" w:hAnsi="Arial" w:cs="Arial" w:eastAsia="Arial" w:hint="default"/>
                <w:sz w:val="16"/>
                <w:szCs w:val="16"/>
              </w:rPr>
            </w:pPr>
            <w:r>
              <w:rPr>
                <w:rFonts w:ascii="宋体" w:hAnsi="宋体" w:cs="宋体" w:eastAsia="宋体" w:hint="default"/>
                <w:sz w:val="16"/>
                <w:szCs w:val="16"/>
              </w:rPr>
              <w:t>美元</w:t>
            </w:r>
            <w:r>
              <w:rPr>
                <w:rFonts w:ascii="宋体" w:hAnsi="宋体" w:cs="宋体" w:eastAsia="宋体" w:hint="default"/>
                <w:spacing w:val="-41"/>
                <w:sz w:val="16"/>
                <w:szCs w:val="16"/>
              </w:rPr>
              <w:t> </w:t>
            </w:r>
            <w:r>
              <w:rPr>
                <w:rFonts w:ascii="Arial" w:hAnsi="Arial" w:cs="Arial" w:eastAsia="Arial" w:hint="default"/>
                <w:sz w:val="16"/>
                <w:szCs w:val="16"/>
              </w:rPr>
              <w:t>267,968</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right="0"/>
              <w:jc w:val="center"/>
              <w:rPr>
                <w:rFonts w:ascii="Arial" w:hAnsi="Arial" w:cs="Arial" w:eastAsia="Arial" w:hint="default"/>
                <w:sz w:val="16"/>
                <w:szCs w:val="16"/>
              </w:rPr>
            </w:pPr>
            <w:r>
              <w:rPr>
                <w:rFonts w:ascii="Arial"/>
                <w:w w:val="100"/>
                <w:sz w:val="16"/>
              </w:rPr>
              <w:t>-</w:t>
            </w:r>
          </w:p>
        </w:tc>
        <w:tc>
          <w:tcPr>
            <w:tcW w:w="589"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left="14" w:right="0"/>
              <w:jc w:val="left"/>
              <w:rPr>
                <w:rFonts w:ascii="Arial" w:hAnsi="Arial" w:cs="Arial" w:eastAsia="Arial" w:hint="default"/>
                <w:sz w:val="16"/>
                <w:szCs w:val="16"/>
              </w:rPr>
            </w:pPr>
            <w:r>
              <w:rPr>
                <w:rFonts w:ascii="Arial"/>
                <w:sz w:val="16"/>
              </w:rPr>
              <w:t>33.34</w:t>
            </w:r>
          </w:p>
        </w:tc>
      </w:tr>
    </w:tbl>
    <w:p>
      <w:pPr>
        <w:spacing w:after="0" w:line="240" w:lineRule="auto"/>
        <w:jc w:val="left"/>
        <w:rPr>
          <w:rFonts w:ascii="Arial" w:hAnsi="Arial" w:cs="Arial" w:eastAsia="Arial" w:hint="default"/>
          <w:sz w:val="16"/>
          <w:szCs w:val="16"/>
        </w:rPr>
        <w:sectPr>
          <w:headerReference w:type="default" r:id="rId128"/>
          <w:pgSz w:w="11910" w:h="16840"/>
          <w:pgMar w:header="1181" w:footer="769" w:top="4620" w:bottom="960" w:left="1280" w:right="1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1967"/>
        <w:gridCol w:w="1276"/>
        <w:gridCol w:w="1317"/>
        <w:gridCol w:w="1384"/>
        <w:gridCol w:w="1728"/>
        <w:gridCol w:w="322"/>
        <w:gridCol w:w="632"/>
        <w:gridCol w:w="600"/>
      </w:tblGrid>
      <w:tr>
        <w:trPr>
          <w:trHeight w:val="191" w:hRule="exact"/>
        </w:trPr>
        <w:tc>
          <w:tcPr>
            <w:tcW w:w="1967" w:type="dxa"/>
            <w:tcBorders>
              <w:top w:val="nil" w:sz="6" w:space="0" w:color="auto"/>
              <w:left w:val="nil" w:sz="6" w:space="0" w:color="auto"/>
              <w:bottom w:val="single" w:sz="4" w:space="0" w:color="000000"/>
              <w:right w:val="nil" w:sz="6" w:space="0" w:color="auto"/>
            </w:tcBorders>
          </w:tcPr>
          <w:p>
            <w:pPr>
              <w:pStyle w:val="TableParagraph"/>
              <w:spacing w:line="161" w:lineRule="exact"/>
              <w:ind w:left="76" w:right="0"/>
              <w:jc w:val="left"/>
              <w:rPr>
                <w:rFonts w:ascii="宋体" w:hAnsi="宋体" w:cs="宋体" w:eastAsia="宋体" w:hint="default"/>
                <w:sz w:val="16"/>
                <w:szCs w:val="16"/>
              </w:rPr>
            </w:pPr>
            <w:r>
              <w:rPr>
                <w:rFonts w:ascii="宋体" w:hAnsi="宋体" w:cs="宋体" w:eastAsia="宋体" w:hint="default"/>
                <w:sz w:val="16"/>
                <w:szCs w:val="16"/>
              </w:rPr>
              <w:t>子公司名称</w:t>
            </w:r>
          </w:p>
        </w:tc>
        <w:tc>
          <w:tcPr>
            <w:tcW w:w="1276" w:type="dxa"/>
            <w:tcBorders>
              <w:top w:val="nil" w:sz="6" w:space="0" w:color="auto"/>
              <w:left w:val="nil" w:sz="6" w:space="0" w:color="auto"/>
              <w:bottom w:val="single" w:sz="4" w:space="0" w:color="000000"/>
              <w:right w:val="nil" w:sz="6" w:space="0" w:color="auto"/>
            </w:tcBorders>
          </w:tcPr>
          <w:p>
            <w:pPr>
              <w:pStyle w:val="TableParagraph"/>
              <w:spacing w:line="161" w:lineRule="exact"/>
              <w:ind w:left="149" w:right="0"/>
              <w:jc w:val="left"/>
              <w:rPr>
                <w:rFonts w:ascii="宋体" w:hAnsi="宋体" w:cs="宋体" w:eastAsia="宋体" w:hint="default"/>
                <w:sz w:val="16"/>
                <w:szCs w:val="16"/>
              </w:rPr>
            </w:pPr>
            <w:r>
              <w:rPr>
                <w:rFonts w:ascii="宋体" w:hAnsi="宋体" w:cs="宋体" w:eastAsia="宋体" w:hint="default"/>
                <w:sz w:val="16"/>
                <w:szCs w:val="16"/>
              </w:rPr>
              <w:t>主要经营地</w:t>
            </w:r>
          </w:p>
        </w:tc>
        <w:tc>
          <w:tcPr>
            <w:tcW w:w="1317" w:type="dxa"/>
            <w:tcBorders>
              <w:top w:val="nil" w:sz="6" w:space="0" w:color="auto"/>
              <w:left w:val="nil" w:sz="6" w:space="0" w:color="auto"/>
              <w:bottom w:val="single" w:sz="4" w:space="0" w:color="000000"/>
              <w:right w:val="nil" w:sz="6" w:space="0" w:color="auto"/>
            </w:tcBorders>
          </w:tcPr>
          <w:p>
            <w:pPr>
              <w:pStyle w:val="TableParagraph"/>
              <w:spacing w:line="161" w:lineRule="exact"/>
              <w:ind w:left="25" w:right="0"/>
              <w:jc w:val="center"/>
              <w:rPr>
                <w:rFonts w:ascii="宋体" w:hAnsi="宋体" w:cs="宋体" w:eastAsia="宋体" w:hint="default"/>
                <w:sz w:val="16"/>
                <w:szCs w:val="16"/>
              </w:rPr>
            </w:pPr>
            <w:r>
              <w:rPr>
                <w:rFonts w:ascii="宋体" w:hAnsi="宋体" w:cs="宋体" w:eastAsia="宋体" w:hint="default"/>
                <w:sz w:val="16"/>
                <w:szCs w:val="16"/>
              </w:rPr>
              <w:t>注册地</w:t>
            </w:r>
          </w:p>
        </w:tc>
        <w:tc>
          <w:tcPr>
            <w:tcW w:w="1384" w:type="dxa"/>
            <w:tcBorders>
              <w:top w:val="nil" w:sz="6" w:space="0" w:color="auto"/>
              <w:left w:val="nil" w:sz="6" w:space="0" w:color="auto"/>
              <w:bottom w:val="single" w:sz="4" w:space="0" w:color="000000"/>
              <w:right w:val="nil" w:sz="6" w:space="0" w:color="auto"/>
            </w:tcBorders>
          </w:tcPr>
          <w:p>
            <w:pPr>
              <w:pStyle w:val="TableParagraph"/>
              <w:spacing w:line="161" w:lineRule="exact"/>
              <w:ind w:left="73" w:right="0"/>
              <w:jc w:val="center"/>
              <w:rPr>
                <w:rFonts w:ascii="宋体" w:hAnsi="宋体" w:cs="宋体" w:eastAsia="宋体" w:hint="default"/>
                <w:sz w:val="16"/>
                <w:szCs w:val="16"/>
              </w:rPr>
            </w:pPr>
            <w:r>
              <w:rPr>
                <w:rFonts w:ascii="宋体" w:hAnsi="宋体" w:cs="宋体" w:eastAsia="宋体" w:hint="default"/>
                <w:sz w:val="16"/>
                <w:szCs w:val="16"/>
              </w:rPr>
              <w:t>业务性质</w:t>
            </w:r>
          </w:p>
        </w:tc>
        <w:tc>
          <w:tcPr>
            <w:tcW w:w="1728" w:type="dxa"/>
            <w:tcBorders>
              <w:top w:val="nil" w:sz="6" w:space="0" w:color="auto"/>
              <w:left w:val="nil" w:sz="6" w:space="0" w:color="auto"/>
              <w:bottom w:val="single" w:sz="4" w:space="0" w:color="000000"/>
              <w:right w:val="nil" w:sz="6" w:space="0" w:color="auto"/>
            </w:tcBorders>
          </w:tcPr>
          <w:p>
            <w:pPr>
              <w:pStyle w:val="TableParagraph"/>
              <w:spacing w:line="161" w:lineRule="exact"/>
              <w:ind w:right="261"/>
              <w:jc w:val="center"/>
              <w:rPr>
                <w:rFonts w:ascii="宋体" w:hAnsi="宋体" w:cs="宋体" w:eastAsia="宋体" w:hint="default"/>
                <w:sz w:val="16"/>
                <w:szCs w:val="16"/>
              </w:rPr>
            </w:pPr>
            <w:r>
              <w:rPr>
                <w:rFonts w:ascii="宋体" w:hAnsi="宋体" w:cs="宋体" w:eastAsia="宋体" w:hint="default"/>
                <w:sz w:val="16"/>
                <w:szCs w:val="16"/>
              </w:rPr>
              <w:t>注册资本（千元）</w:t>
            </w:r>
          </w:p>
        </w:tc>
        <w:tc>
          <w:tcPr>
            <w:tcW w:w="1553" w:type="dxa"/>
            <w:gridSpan w:val="3"/>
            <w:tcBorders>
              <w:top w:val="nil" w:sz="6" w:space="0" w:color="auto"/>
              <w:left w:val="nil" w:sz="6" w:space="0" w:color="auto"/>
              <w:bottom w:val="single" w:sz="4" w:space="0" w:color="000000"/>
              <w:right w:val="nil" w:sz="6" w:space="0" w:color="auto"/>
            </w:tcBorders>
          </w:tcPr>
          <w:p>
            <w:pPr>
              <w:pStyle w:val="TableParagraph"/>
              <w:spacing w:line="172" w:lineRule="exact"/>
              <w:ind w:left="211" w:right="0"/>
              <w:jc w:val="left"/>
              <w:rPr>
                <w:rFonts w:ascii="Arial" w:hAnsi="Arial" w:cs="Arial" w:eastAsia="Arial" w:hint="default"/>
                <w:sz w:val="16"/>
                <w:szCs w:val="16"/>
              </w:rPr>
            </w:pPr>
            <w:r>
              <w:rPr>
                <w:rFonts w:ascii="宋体" w:hAnsi="宋体" w:cs="宋体" w:eastAsia="宋体" w:hint="default"/>
                <w:sz w:val="16"/>
                <w:szCs w:val="16"/>
              </w:rPr>
              <w:t>持股比例</w:t>
            </w:r>
            <w:r>
              <w:rPr>
                <w:rFonts w:ascii="Arial" w:hAnsi="Arial" w:cs="Arial" w:eastAsia="Arial" w:hint="default"/>
                <w:sz w:val="16"/>
                <w:szCs w:val="16"/>
              </w:rPr>
              <w:t>(%)</w:t>
            </w:r>
          </w:p>
        </w:tc>
      </w:tr>
      <w:tr>
        <w:trPr>
          <w:trHeight w:val="330" w:hRule="exact"/>
        </w:trPr>
        <w:tc>
          <w:tcPr>
            <w:tcW w:w="1967" w:type="dxa"/>
            <w:tcBorders>
              <w:top w:val="single" w:sz="4" w:space="0" w:color="000000"/>
              <w:left w:val="nil" w:sz="6" w:space="0" w:color="auto"/>
              <w:bottom w:val="nil" w:sz="6" w:space="0" w:color="auto"/>
              <w:right w:val="nil" w:sz="6" w:space="0" w:color="auto"/>
            </w:tcBorders>
          </w:tcPr>
          <w:p>
            <w:pPr/>
          </w:p>
        </w:tc>
        <w:tc>
          <w:tcPr>
            <w:tcW w:w="1276" w:type="dxa"/>
            <w:tcBorders>
              <w:top w:val="single" w:sz="4" w:space="0" w:color="000000"/>
              <w:left w:val="nil" w:sz="6" w:space="0" w:color="auto"/>
              <w:bottom w:val="nil" w:sz="6" w:space="0" w:color="auto"/>
              <w:right w:val="nil" w:sz="6" w:space="0" w:color="auto"/>
            </w:tcBorders>
          </w:tcPr>
          <w:p>
            <w:pPr/>
          </w:p>
        </w:tc>
        <w:tc>
          <w:tcPr>
            <w:tcW w:w="1317" w:type="dxa"/>
            <w:tcBorders>
              <w:top w:val="single" w:sz="4" w:space="0" w:color="000000"/>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nil" w:sz="6" w:space="0" w:color="auto"/>
              <w:right w:val="nil" w:sz="6" w:space="0" w:color="auto"/>
            </w:tcBorders>
          </w:tcPr>
          <w:p>
            <w:pPr/>
          </w:p>
        </w:tc>
        <w:tc>
          <w:tcPr>
            <w:tcW w:w="1728" w:type="dxa"/>
            <w:tcBorders>
              <w:top w:val="single" w:sz="4" w:space="0" w:color="000000"/>
              <w:left w:val="nil" w:sz="6" w:space="0" w:color="auto"/>
              <w:bottom w:val="nil" w:sz="6" w:space="0" w:color="auto"/>
              <w:right w:val="nil" w:sz="6" w:space="0" w:color="auto"/>
            </w:tcBorders>
          </w:tcPr>
          <w:p>
            <w:pPr/>
          </w:p>
        </w:tc>
        <w:tc>
          <w:tcPr>
            <w:tcW w:w="322" w:type="dxa"/>
            <w:tcBorders>
              <w:top w:val="single" w:sz="4" w:space="0" w:color="000000"/>
              <w:left w:val="nil" w:sz="6" w:space="0" w:color="auto"/>
              <w:bottom w:val="single" w:sz="3" w:space="0" w:color="000000"/>
              <w:right w:val="nil" w:sz="6" w:space="0" w:color="auto"/>
            </w:tcBorders>
          </w:tcPr>
          <w:p>
            <w:pPr>
              <w:pStyle w:val="TableParagraph"/>
              <w:spacing w:line="240" w:lineRule="auto" w:before="110"/>
              <w:ind w:right="0"/>
              <w:jc w:val="center"/>
              <w:rPr>
                <w:rFonts w:ascii="宋体" w:hAnsi="宋体" w:cs="宋体" w:eastAsia="宋体" w:hint="default"/>
                <w:sz w:val="16"/>
                <w:szCs w:val="16"/>
              </w:rPr>
            </w:pPr>
            <w:r>
              <w:rPr>
                <w:rFonts w:ascii="宋体" w:hAnsi="宋体" w:cs="宋体" w:eastAsia="宋体" w:hint="default"/>
                <w:sz w:val="16"/>
                <w:szCs w:val="16"/>
              </w:rPr>
              <w:t>直接</w:t>
            </w:r>
          </w:p>
        </w:tc>
        <w:tc>
          <w:tcPr>
            <w:tcW w:w="632" w:type="dxa"/>
            <w:tcBorders>
              <w:top w:val="single" w:sz="4" w:space="0" w:color="000000"/>
              <w:left w:val="nil" w:sz="6" w:space="0" w:color="auto"/>
              <w:bottom w:val="nil" w:sz="6" w:space="0" w:color="auto"/>
              <w:right w:val="nil" w:sz="6" w:space="0" w:color="auto"/>
            </w:tcBorders>
          </w:tcPr>
          <w:p>
            <w:pPr/>
          </w:p>
        </w:tc>
        <w:tc>
          <w:tcPr>
            <w:tcW w:w="600" w:type="dxa"/>
            <w:tcBorders>
              <w:top w:val="single" w:sz="4" w:space="0" w:color="000000"/>
              <w:left w:val="nil" w:sz="6" w:space="0" w:color="auto"/>
              <w:bottom w:val="single" w:sz="3" w:space="0" w:color="000000"/>
              <w:right w:val="nil" w:sz="6" w:space="0" w:color="auto"/>
            </w:tcBorders>
          </w:tcPr>
          <w:p>
            <w:pPr>
              <w:pStyle w:val="TableParagraph"/>
              <w:spacing w:line="240" w:lineRule="auto" w:before="110"/>
              <w:ind w:left="12" w:right="0"/>
              <w:jc w:val="left"/>
              <w:rPr>
                <w:rFonts w:ascii="宋体" w:hAnsi="宋体" w:cs="宋体" w:eastAsia="宋体" w:hint="default"/>
                <w:sz w:val="16"/>
                <w:szCs w:val="16"/>
              </w:rPr>
            </w:pPr>
            <w:r>
              <w:rPr>
                <w:rFonts w:ascii="宋体" w:hAnsi="宋体" w:cs="宋体" w:eastAsia="宋体" w:hint="default"/>
                <w:sz w:val="16"/>
                <w:szCs w:val="16"/>
              </w:rPr>
              <w:t>间接</w:t>
            </w:r>
          </w:p>
        </w:tc>
      </w:tr>
      <w:tr>
        <w:trPr>
          <w:trHeight w:val="714"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06" w:lineRule="exact" w:before="16"/>
              <w:ind w:left="242" w:right="606" w:hanging="166"/>
              <w:jc w:val="left"/>
              <w:rPr>
                <w:rFonts w:ascii="宋体" w:hAnsi="宋体" w:cs="宋体" w:eastAsia="宋体" w:hint="default"/>
                <w:sz w:val="16"/>
                <w:szCs w:val="16"/>
              </w:rPr>
            </w:pPr>
            <w:r>
              <w:rPr>
                <w:rFonts w:ascii="宋体" w:hAnsi="宋体" w:cs="宋体" w:eastAsia="宋体" w:hint="default"/>
                <w:spacing w:val="-1"/>
                <w:sz w:val="16"/>
                <w:szCs w:val="16"/>
              </w:rPr>
              <w:t>华夏邮电咨询监理</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有限公司</w:t>
            </w:r>
          </w:p>
          <w:p>
            <w:pPr>
              <w:pStyle w:val="TableParagraph"/>
              <w:spacing w:line="190" w:lineRule="exact"/>
              <w:ind w:left="76" w:right="0"/>
              <w:jc w:val="left"/>
              <w:rPr>
                <w:rFonts w:ascii="宋体" w:hAnsi="宋体" w:cs="宋体" w:eastAsia="宋体" w:hint="default"/>
                <w:sz w:val="16"/>
                <w:szCs w:val="16"/>
              </w:rPr>
            </w:pPr>
            <w:r>
              <w:rPr>
                <w:rFonts w:ascii="宋体" w:hAnsi="宋体" w:cs="宋体" w:eastAsia="宋体" w:hint="default"/>
                <w:sz w:val="16"/>
                <w:szCs w:val="16"/>
              </w:rPr>
              <w:t>（“华夏邮电”）</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28" w:right="0"/>
              <w:jc w:val="left"/>
              <w:rPr>
                <w:rFonts w:ascii="宋体" w:hAnsi="宋体" w:cs="宋体" w:eastAsia="宋体" w:hint="default"/>
                <w:sz w:val="16"/>
                <w:szCs w:val="16"/>
              </w:rPr>
            </w:pPr>
            <w:r>
              <w:rPr>
                <w:rFonts w:ascii="宋体" w:hAnsi="宋体" w:cs="宋体" w:eastAsia="宋体" w:hint="default"/>
                <w:sz w:val="16"/>
                <w:szCs w:val="16"/>
              </w:rPr>
              <w:t>中国，郑州市</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5" w:right="0"/>
              <w:jc w:val="center"/>
              <w:rPr>
                <w:rFonts w:ascii="宋体" w:hAnsi="宋体" w:cs="宋体" w:eastAsia="宋体" w:hint="default"/>
                <w:sz w:val="16"/>
                <w:szCs w:val="16"/>
              </w:rPr>
            </w:pPr>
            <w:r>
              <w:rPr>
                <w:rFonts w:ascii="宋体" w:hAnsi="宋体" w:cs="宋体" w:eastAsia="宋体" w:hint="default"/>
                <w:sz w:val="16"/>
                <w:szCs w:val="16"/>
              </w:rPr>
              <w:t>中国，郑州市</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77" w:right="0"/>
              <w:jc w:val="center"/>
              <w:rPr>
                <w:rFonts w:ascii="宋体" w:hAnsi="宋体" w:cs="宋体" w:eastAsia="宋体" w:hint="default"/>
                <w:sz w:val="16"/>
                <w:szCs w:val="16"/>
              </w:rPr>
            </w:pPr>
            <w:r>
              <w:rPr>
                <w:rFonts w:ascii="宋体" w:hAnsi="宋体" w:cs="宋体" w:eastAsia="宋体" w:hint="default"/>
                <w:sz w:val="16"/>
                <w:szCs w:val="16"/>
              </w:rPr>
              <w:t>工程咨询及监理</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8"/>
              <w:jc w:val="center"/>
              <w:rPr>
                <w:rFonts w:ascii="Arial" w:hAnsi="Arial" w:cs="Arial" w:eastAsia="Arial" w:hint="default"/>
                <w:sz w:val="16"/>
                <w:szCs w:val="16"/>
              </w:rPr>
            </w:pPr>
            <w:r>
              <w:rPr>
                <w:rFonts w:ascii="Arial"/>
                <w:sz w:val="16"/>
              </w:rPr>
              <w:t>10,000</w:t>
            </w:r>
          </w:p>
        </w:tc>
        <w:tc>
          <w:tcPr>
            <w:tcW w:w="322"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53" w:right="0"/>
              <w:jc w:val="center"/>
              <w:rPr>
                <w:rFonts w:ascii="Arial" w:hAnsi="Arial" w:cs="Arial" w:eastAsia="Arial" w:hint="default"/>
                <w:sz w:val="16"/>
                <w:szCs w:val="16"/>
              </w:rPr>
            </w:pPr>
            <w:r>
              <w:rPr>
                <w:rFonts w:ascii="Arial"/>
                <w:w w:val="100"/>
                <w:sz w:val="16"/>
              </w:rPr>
              <w:t>-</w:t>
            </w:r>
          </w:p>
        </w:tc>
        <w:tc>
          <w:tcPr>
            <w:tcW w:w="632" w:type="dxa"/>
            <w:tcBorders>
              <w:top w:val="nil" w:sz="6" w:space="0" w:color="auto"/>
              <w:left w:val="nil" w:sz="6" w:space="0" w:color="auto"/>
              <w:bottom w:val="nil" w:sz="6" w:space="0" w:color="auto"/>
              <w:right w:val="nil" w:sz="6" w:space="0" w:color="auto"/>
            </w:tcBorders>
          </w:tcPr>
          <w:p>
            <w:pPr/>
          </w:p>
        </w:tc>
        <w:tc>
          <w:tcPr>
            <w:tcW w:w="600"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0"/>
              <w:jc w:val="left"/>
              <w:rPr>
                <w:rFonts w:ascii="Arial" w:hAnsi="Arial" w:cs="Arial" w:eastAsia="Arial" w:hint="default"/>
                <w:sz w:val="16"/>
                <w:szCs w:val="16"/>
              </w:rPr>
            </w:pPr>
            <w:r>
              <w:rPr>
                <w:rFonts w:ascii="Arial"/>
                <w:sz w:val="16"/>
              </w:rPr>
              <w:t>33.34</w:t>
            </w:r>
          </w:p>
        </w:tc>
      </w:tr>
      <w:tr>
        <w:trPr>
          <w:trHeight w:val="754"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42" w:right="925" w:hanging="166"/>
              <w:jc w:val="left"/>
              <w:rPr>
                <w:rFonts w:ascii="宋体" w:hAnsi="宋体" w:cs="宋体" w:eastAsia="宋体" w:hint="default"/>
                <w:sz w:val="16"/>
                <w:szCs w:val="16"/>
              </w:rPr>
            </w:pPr>
            <w:r>
              <w:rPr>
                <w:rFonts w:ascii="宋体" w:hAnsi="宋体" w:cs="宋体" w:eastAsia="宋体" w:hint="default"/>
                <w:spacing w:val="-1"/>
                <w:sz w:val="16"/>
                <w:szCs w:val="16"/>
              </w:rPr>
              <w:t>郑州凯成实业</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z w:val="16"/>
                <w:szCs w:val="16"/>
              </w:rPr>
              <w:t>有限公司</w:t>
            </w:r>
          </w:p>
          <w:p>
            <w:pPr>
              <w:pStyle w:val="TableParagraph"/>
              <w:spacing w:line="206" w:lineRule="exact"/>
              <w:ind w:left="76" w:right="0"/>
              <w:jc w:val="left"/>
              <w:rPr>
                <w:rFonts w:ascii="宋体" w:hAnsi="宋体" w:cs="宋体" w:eastAsia="宋体" w:hint="default"/>
                <w:sz w:val="16"/>
                <w:szCs w:val="16"/>
              </w:rPr>
            </w:pPr>
            <w:r>
              <w:rPr>
                <w:rFonts w:ascii="宋体" w:hAnsi="宋体" w:cs="宋体" w:eastAsia="宋体" w:hint="default"/>
                <w:sz w:val="16"/>
                <w:szCs w:val="16"/>
              </w:rPr>
              <w:t>（“郑州凯成”）</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28" w:right="0"/>
              <w:jc w:val="left"/>
              <w:rPr>
                <w:rFonts w:ascii="宋体" w:hAnsi="宋体" w:cs="宋体" w:eastAsia="宋体" w:hint="default"/>
                <w:sz w:val="16"/>
                <w:szCs w:val="16"/>
              </w:rPr>
            </w:pPr>
            <w:r>
              <w:rPr>
                <w:rFonts w:ascii="宋体" w:hAnsi="宋体" w:cs="宋体" w:eastAsia="宋体" w:hint="default"/>
                <w:sz w:val="16"/>
                <w:szCs w:val="16"/>
              </w:rPr>
              <w:t>中国，郑州市</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5" w:right="0"/>
              <w:jc w:val="center"/>
              <w:rPr>
                <w:rFonts w:ascii="宋体" w:hAnsi="宋体" w:cs="宋体" w:eastAsia="宋体" w:hint="default"/>
                <w:sz w:val="16"/>
                <w:szCs w:val="16"/>
              </w:rPr>
            </w:pPr>
            <w:r>
              <w:rPr>
                <w:rFonts w:ascii="宋体" w:hAnsi="宋体" w:cs="宋体" w:eastAsia="宋体" w:hint="default"/>
                <w:sz w:val="16"/>
                <w:szCs w:val="16"/>
              </w:rPr>
              <w:t>中国，郑州市</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77" w:right="0"/>
              <w:jc w:val="center"/>
              <w:rPr>
                <w:rFonts w:ascii="宋体" w:hAnsi="宋体" w:cs="宋体" w:eastAsia="宋体" w:hint="default"/>
                <w:sz w:val="16"/>
                <w:szCs w:val="16"/>
              </w:rPr>
            </w:pPr>
            <w:r>
              <w:rPr>
                <w:rFonts w:ascii="宋体" w:hAnsi="宋体" w:cs="宋体" w:eastAsia="宋体" w:hint="default"/>
                <w:sz w:val="16"/>
                <w:szCs w:val="16"/>
              </w:rPr>
              <w:t>物业管理</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right="206"/>
              <w:jc w:val="center"/>
              <w:rPr>
                <w:rFonts w:ascii="Arial" w:hAnsi="Arial" w:cs="Arial" w:eastAsia="Arial" w:hint="default"/>
                <w:sz w:val="16"/>
                <w:szCs w:val="16"/>
              </w:rPr>
            </w:pPr>
            <w:r>
              <w:rPr>
                <w:rFonts w:ascii="Arial"/>
                <w:sz w:val="16"/>
              </w:rPr>
              <w:t>2,200</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left="53" w:right="0"/>
              <w:jc w:val="center"/>
              <w:rPr>
                <w:rFonts w:ascii="Arial" w:hAnsi="Arial" w:cs="Arial" w:eastAsia="Arial" w:hint="default"/>
                <w:sz w:val="16"/>
                <w:szCs w:val="16"/>
              </w:rPr>
            </w:pPr>
            <w:r>
              <w:rPr>
                <w:rFonts w:ascii="Arial"/>
                <w:w w:val="100"/>
                <w:sz w:val="16"/>
              </w:rPr>
              <w:t>-</w:t>
            </w:r>
          </w:p>
        </w:tc>
        <w:tc>
          <w:tcPr>
            <w:tcW w:w="632" w:type="dxa"/>
            <w:tcBorders>
              <w:top w:val="nil" w:sz="6" w:space="0" w:color="auto"/>
              <w:left w:val="nil" w:sz="6" w:space="0" w:color="auto"/>
              <w:bottom w:val="nil" w:sz="6" w:space="0" w:color="auto"/>
              <w:right w:val="nil" w:sz="6" w:space="0" w:color="auto"/>
            </w:tcBorders>
          </w:tcPr>
          <w:p>
            <w:pP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right="0"/>
              <w:jc w:val="left"/>
              <w:rPr>
                <w:rFonts w:ascii="Arial" w:hAnsi="Arial" w:cs="Arial" w:eastAsia="Arial" w:hint="default"/>
                <w:sz w:val="16"/>
                <w:szCs w:val="16"/>
              </w:rPr>
            </w:pPr>
            <w:r>
              <w:rPr>
                <w:rFonts w:ascii="Arial"/>
                <w:sz w:val="16"/>
              </w:rPr>
              <w:t>33.34</w:t>
            </w:r>
          </w:p>
        </w:tc>
      </w:tr>
      <w:tr>
        <w:trPr>
          <w:trHeight w:val="672"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06" w:lineRule="exact" w:before="53"/>
              <w:ind w:left="251" w:right="126" w:hanging="176"/>
              <w:jc w:val="left"/>
              <w:rPr>
                <w:rFonts w:ascii="宋体" w:hAnsi="宋体" w:cs="宋体" w:eastAsia="宋体" w:hint="default"/>
                <w:sz w:val="16"/>
                <w:szCs w:val="16"/>
              </w:rPr>
            </w:pPr>
            <w:r>
              <w:rPr>
                <w:rFonts w:ascii="宋体" w:hAnsi="宋体" w:cs="宋体" w:eastAsia="宋体" w:hint="default"/>
                <w:spacing w:val="-1"/>
                <w:sz w:val="16"/>
                <w:szCs w:val="16"/>
              </w:rPr>
              <w:t>《邮电设计技术》杂志社</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有限公司</w:t>
            </w:r>
          </w:p>
          <w:p>
            <w:pPr>
              <w:pStyle w:val="TableParagraph"/>
              <w:spacing w:line="188" w:lineRule="exact"/>
              <w:ind w:left="76" w:right="0"/>
              <w:jc w:val="left"/>
              <w:rPr>
                <w:rFonts w:ascii="宋体" w:hAnsi="宋体" w:cs="宋体" w:eastAsia="宋体" w:hint="default"/>
                <w:sz w:val="16"/>
                <w:szCs w:val="16"/>
              </w:rPr>
            </w:pPr>
            <w:r>
              <w:rPr>
                <w:rFonts w:ascii="宋体" w:hAnsi="宋体" w:cs="宋体" w:eastAsia="宋体" w:hint="default"/>
                <w:sz w:val="16"/>
                <w:szCs w:val="16"/>
              </w:rPr>
              <w:t>（“邮电杂志社”）</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28" w:right="0"/>
              <w:jc w:val="left"/>
              <w:rPr>
                <w:rFonts w:ascii="宋体" w:hAnsi="宋体" w:cs="宋体" w:eastAsia="宋体" w:hint="default"/>
                <w:sz w:val="16"/>
                <w:szCs w:val="16"/>
              </w:rPr>
            </w:pPr>
            <w:r>
              <w:rPr>
                <w:rFonts w:ascii="宋体" w:hAnsi="宋体" w:cs="宋体" w:eastAsia="宋体" w:hint="default"/>
                <w:sz w:val="16"/>
                <w:szCs w:val="16"/>
              </w:rPr>
              <w:t>中国，北京市</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5" w:right="0"/>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80" w:right="0"/>
              <w:jc w:val="center"/>
              <w:rPr>
                <w:rFonts w:ascii="宋体" w:hAnsi="宋体" w:cs="宋体" w:eastAsia="宋体" w:hint="default"/>
                <w:sz w:val="16"/>
                <w:szCs w:val="16"/>
              </w:rPr>
            </w:pPr>
            <w:r>
              <w:rPr>
                <w:rFonts w:ascii="宋体" w:hAnsi="宋体" w:cs="宋体" w:eastAsia="宋体" w:hint="default"/>
                <w:sz w:val="16"/>
                <w:szCs w:val="16"/>
              </w:rPr>
              <w:t>杂志出版发行</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3"/>
              <w:ind w:right="206"/>
              <w:jc w:val="center"/>
              <w:rPr>
                <w:rFonts w:ascii="Arial" w:hAnsi="Arial" w:cs="Arial" w:eastAsia="Arial" w:hint="default"/>
                <w:sz w:val="16"/>
                <w:szCs w:val="16"/>
              </w:rPr>
            </w:pPr>
            <w:r>
              <w:rPr>
                <w:rFonts w:ascii="Arial"/>
                <w:sz w:val="16"/>
              </w:rPr>
              <w:t>300</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3"/>
              <w:ind w:left="53" w:right="0"/>
              <w:jc w:val="center"/>
              <w:rPr>
                <w:rFonts w:ascii="Arial" w:hAnsi="Arial" w:cs="Arial" w:eastAsia="Arial" w:hint="default"/>
                <w:sz w:val="16"/>
                <w:szCs w:val="16"/>
              </w:rPr>
            </w:pPr>
            <w:r>
              <w:rPr>
                <w:rFonts w:ascii="Arial"/>
                <w:w w:val="100"/>
                <w:sz w:val="16"/>
              </w:rPr>
              <w:t>-</w:t>
            </w:r>
          </w:p>
        </w:tc>
        <w:tc>
          <w:tcPr>
            <w:tcW w:w="632" w:type="dxa"/>
            <w:tcBorders>
              <w:top w:val="nil" w:sz="6" w:space="0" w:color="auto"/>
              <w:left w:val="nil" w:sz="6" w:space="0" w:color="auto"/>
              <w:bottom w:val="nil" w:sz="6" w:space="0" w:color="auto"/>
              <w:right w:val="nil" w:sz="6" w:space="0" w:color="auto"/>
            </w:tcBorders>
          </w:tcPr>
          <w:p>
            <w:pP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3"/>
              <w:ind w:right="0"/>
              <w:jc w:val="left"/>
              <w:rPr>
                <w:rFonts w:ascii="Arial" w:hAnsi="Arial" w:cs="Arial" w:eastAsia="Arial" w:hint="default"/>
                <w:sz w:val="16"/>
                <w:szCs w:val="16"/>
              </w:rPr>
            </w:pPr>
            <w:r>
              <w:rPr>
                <w:rFonts w:ascii="Arial"/>
                <w:sz w:val="16"/>
              </w:rPr>
              <w:t>33.34</w:t>
            </w:r>
          </w:p>
        </w:tc>
      </w:tr>
    </w:tbl>
    <w:p>
      <w:pPr>
        <w:spacing w:after="0" w:line="240" w:lineRule="auto"/>
        <w:jc w:val="left"/>
        <w:rPr>
          <w:rFonts w:ascii="Arial" w:hAnsi="Arial" w:cs="Arial" w:eastAsia="Arial" w:hint="default"/>
          <w:sz w:val="16"/>
          <w:szCs w:val="16"/>
        </w:rPr>
        <w:sectPr>
          <w:headerReference w:type="default" r:id="rId129"/>
          <w:footerReference w:type="default" r:id="rId130"/>
          <w:pgSz w:w="11910" w:h="16840"/>
          <w:pgMar w:header="1181" w:footer="923" w:top="4620" w:bottom="1120" w:left="1280" w:right="1200"/>
        </w:sectPr>
      </w:pPr>
    </w:p>
    <w:p>
      <w:pPr>
        <w:spacing w:line="240" w:lineRule="auto" w:before="1"/>
        <w:rPr>
          <w:rFonts w:ascii="Times New Roman" w:hAnsi="Times New Roman" w:cs="Times New Roman" w:eastAsia="Times New Roman" w:hint="default"/>
          <w:sz w:val="18"/>
          <w:szCs w:val="18"/>
        </w:rPr>
      </w:pPr>
    </w:p>
    <w:p>
      <w:pPr>
        <w:pStyle w:val="BodyText"/>
        <w:spacing w:line="240" w:lineRule="auto" w:before="32"/>
        <w:ind w:left="102" w:right="0"/>
        <w:jc w:val="left"/>
      </w:pPr>
      <w:r>
        <w:rPr>
          <w:rFonts w:ascii="Arial" w:hAnsi="Arial" w:cs="Arial" w:eastAsia="Arial" w:hint="default"/>
        </w:rPr>
        <w:t>(b) </w:t>
      </w:r>
      <w:r>
        <w:rPr>
          <w:rFonts w:ascii="Arial" w:hAnsi="Arial" w:cs="Arial" w:eastAsia="Arial" w:hint="default"/>
          <w:spacing w:val="29"/>
        </w:rPr>
        <w:t> </w:t>
      </w:r>
      <w:r>
        <w:rPr/>
        <w:t>重要的非全资子公司</w:t>
      </w:r>
    </w:p>
    <w:p>
      <w:pPr>
        <w:spacing w:line="240" w:lineRule="auto" w:before="6"/>
        <w:rPr>
          <w:rFonts w:ascii="宋体" w:hAnsi="宋体" w:cs="宋体" w:eastAsia="宋体" w:hint="default"/>
          <w:sz w:val="23"/>
          <w:szCs w:val="23"/>
        </w:rPr>
      </w:pPr>
    </w:p>
    <w:tbl>
      <w:tblPr>
        <w:tblW w:w="0" w:type="auto"/>
        <w:jc w:val="left"/>
        <w:tblInd w:w="508" w:type="dxa"/>
        <w:tblLayout w:type="fixed"/>
        <w:tblCellMar>
          <w:top w:w="0" w:type="dxa"/>
          <w:left w:w="0" w:type="dxa"/>
          <w:bottom w:w="0" w:type="dxa"/>
          <w:right w:w="0" w:type="dxa"/>
        </w:tblCellMar>
        <w:tblLook w:val="01E0"/>
      </w:tblPr>
      <w:tblGrid>
        <w:gridCol w:w="1934"/>
        <w:gridCol w:w="127"/>
        <w:gridCol w:w="1174"/>
        <w:gridCol w:w="130"/>
        <w:gridCol w:w="1620"/>
        <w:gridCol w:w="130"/>
        <w:gridCol w:w="1579"/>
        <w:gridCol w:w="132"/>
        <w:gridCol w:w="2261"/>
      </w:tblGrid>
      <w:tr>
        <w:trPr>
          <w:trHeight w:val="523" w:hRule="exact"/>
        </w:trPr>
        <w:tc>
          <w:tcPr>
            <w:tcW w:w="1934" w:type="dxa"/>
            <w:tcBorders>
              <w:top w:val="nil" w:sz="6" w:space="0" w:color="auto"/>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27"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single" w:sz="6" w:space="0" w:color="000000"/>
              <w:right w:val="nil" w:sz="6" w:space="0" w:color="auto"/>
            </w:tcBorders>
          </w:tcPr>
          <w:p>
            <w:pPr>
              <w:pStyle w:val="TableParagraph"/>
              <w:spacing w:line="210" w:lineRule="exact"/>
              <w:ind w:left="271" w:right="0" w:hanging="212"/>
              <w:jc w:val="left"/>
              <w:rPr>
                <w:rFonts w:ascii="宋体" w:hAnsi="宋体" w:cs="宋体" w:eastAsia="宋体" w:hint="default"/>
                <w:sz w:val="21"/>
                <w:szCs w:val="21"/>
              </w:rPr>
            </w:pPr>
            <w:r>
              <w:rPr>
                <w:rFonts w:ascii="宋体" w:hAnsi="宋体" w:cs="宋体" w:eastAsia="宋体" w:hint="default"/>
                <w:sz w:val="21"/>
                <w:szCs w:val="21"/>
              </w:rPr>
              <w:t>少数股东的</w:t>
            </w:r>
          </w:p>
          <w:p>
            <w:pPr>
              <w:pStyle w:val="TableParagraph"/>
              <w:spacing w:line="273" w:lineRule="exact"/>
              <w:ind w:left="271"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3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6" w:space="0" w:color="000000"/>
              <w:right w:val="nil" w:sz="6" w:space="0" w:color="auto"/>
            </w:tcBorders>
          </w:tcPr>
          <w:p>
            <w:pPr>
              <w:pStyle w:val="TableParagraph"/>
              <w:spacing w:line="210" w:lineRule="exact"/>
              <w:ind w:left="506" w:right="0" w:hanging="420"/>
              <w:jc w:val="left"/>
              <w:rPr>
                <w:rFonts w:ascii="宋体" w:hAnsi="宋体" w:cs="宋体" w:eastAsia="宋体" w:hint="default"/>
                <w:sz w:val="21"/>
                <w:szCs w:val="21"/>
              </w:rPr>
            </w:pPr>
            <w:r>
              <w:rPr>
                <w:rFonts w:ascii="宋体" w:hAnsi="宋体" w:cs="宋体" w:eastAsia="宋体" w:hint="default"/>
                <w:sz w:val="21"/>
                <w:szCs w:val="21"/>
              </w:rPr>
              <w:t>本年归属于少数</w:t>
            </w:r>
          </w:p>
          <w:p>
            <w:pPr>
              <w:pStyle w:val="TableParagraph"/>
              <w:spacing w:line="273" w:lineRule="exact"/>
              <w:ind w:left="506" w:right="0"/>
              <w:jc w:val="left"/>
              <w:rPr>
                <w:rFonts w:ascii="宋体" w:hAnsi="宋体" w:cs="宋体" w:eastAsia="宋体" w:hint="default"/>
                <w:sz w:val="21"/>
                <w:szCs w:val="21"/>
              </w:rPr>
            </w:pPr>
            <w:r>
              <w:rPr>
                <w:rFonts w:ascii="宋体" w:hAnsi="宋体" w:cs="宋体" w:eastAsia="宋体" w:hint="default"/>
                <w:sz w:val="21"/>
                <w:szCs w:val="21"/>
              </w:rPr>
              <w:t>股东的权益</w:t>
            </w:r>
          </w:p>
        </w:tc>
        <w:tc>
          <w:tcPr>
            <w:tcW w:w="1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single" w:sz="6" w:space="0" w:color="000000"/>
              <w:right w:val="nil" w:sz="6" w:space="0" w:color="auto"/>
            </w:tcBorders>
          </w:tcPr>
          <w:p>
            <w:pPr>
              <w:pStyle w:val="TableParagraph"/>
              <w:spacing w:line="210" w:lineRule="exact"/>
              <w:ind w:left="50" w:right="0"/>
              <w:jc w:val="left"/>
              <w:rPr>
                <w:rFonts w:ascii="宋体" w:hAnsi="宋体" w:cs="宋体" w:eastAsia="宋体" w:hint="default"/>
                <w:sz w:val="21"/>
                <w:szCs w:val="21"/>
              </w:rPr>
            </w:pPr>
            <w:r>
              <w:rPr>
                <w:rFonts w:ascii="宋体" w:hAnsi="宋体" w:cs="宋体" w:eastAsia="宋体" w:hint="default"/>
                <w:sz w:val="21"/>
                <w:szCs w:val="21"/>
              </w:rPr>
              <w:t>本年向少数股东</w:t>
            </w:r>
          </w:p>
          <w:p>
            <w:pPr>
              <w:pStyle w:val="TableParagraph"/>
              <w:spacing w:line="273" w:lineRule="exact"/>
              <w:ind w:left="50" w:right="0"/>
              <w:jc w:val="left"/>
              <w:rPr>
                <w:rFonts w:ascii="宋体" w:hAnsi="宋体" w:cs="宋体" w:eastAsia="宋体" w:hint="default"/>
                <w:sz w:val="21"/>
                <w:szCs w:val="21"/>
              </w:rPr>
            </w:pPr>
            <w:r>
              <w:rPr>
                <w:rFonts w:ascii="宋体" w:hAnsi="宋体" w:cs="宋体" w:eastAsia="宋体" w:hint="default"/>
                <w:sz w:val="21"/>
                <w:szCs w:val="21"/>
              </w:rPr>
              <w:t>宣告分派的股利</w:t>
            </w:r>
          </w:p>
        </w:tc>
        <w:tc>
          <w:tcPr>
            <w:tcW w:w="132"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7"/>
              <w:jc w:val="right"/>
              <w:rPr>
                <w:rFonts w:ascii="宋体" w:hAnsi="宋体" w:cs="宋体" w:eastAsia="宋体" w:hint="default"/>
                <w:sz w:val="21"/>
                <w:szCs w:val="21"/>
              </w:rPr>
            </w:pPr>
            <w:r>
              <w:rPr>
                <w:rFonts w:ascii="宋体" w:hAnsi="宋体" w:cs="宋体" w:eastAsia="宋体" w:hint="default"/>
                <w:spacing w:val="-2"/>
                <w:sz w:val="21"/>
                <w:szCs w:val="21"/>
              </w:rPr>
              <w:t>年末少数股东权益余额</w:t>
            </w:r>
          </w:p>
        </w:tc>
      </w:tr>
      <w:tr>
        <w:trPr>
          <w:trHeight w:val="569" w:hRule="exact"/>
        </w:trPr>
        <w:tc>
          <w:tcPr>
            <w:tcW w:w="1934"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3" w:right="0"/>
              <w:jc w:val="left"/>
              <w:rPr>
                <w:rFonts w:ascii="宋体" w:hAnsi="宋体" w:cs="宋体" w:eastAsia="宋体" w:hint="default"/>
                <w:sz w:val="21"/>
                <w:szCs w:val="21"/>
              </w:rPr>
            </w:pPr>
            <w:r>
              <w:rPr>
                <w:rFonts w:ascii="宋体" w:hAnsi="宋体" w:cs="宋体" w:eastAsia="宋体" w:hint="default"/>
                <w:sz w:val="21"/>
                <w:szCs w:val="21"/>
              </w:rPr>
              <w:t>联通红筹公司</w:t>
            </w:r>
          </w:p>
        </w:tc>
        <w:tc>
          <w:tcPr>
            <w:tcW w:w="127" w:type="dxa"/>
            <w:tcBorders>
              <w:top w:val="nil" w:sz="6" w:space="0" w:color="auto"/>
              <w:left w:val="nil" w:sz="6" w:space="0" w:color="auto"/>
              <w:bottom w:val="nil" w:sz="6" w:space="0" w:color="auto"/>
              <w:right w:val="nil" w:sz="6" w:space="0" w:color="auto"/>
            </w:tcBorders>
          </w:tcPr>
          <w:p>
            <w:pPr/>
          </w:p>
        </w:tc>
        <w:tc>
          <w:tcPr>
            <w:tcW w:w="1174"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57"/>
              <w:jc w:val="right"/>
              <w:rPr>
                <w:rFonts w:ascii="Arial" w:hAnsi="Arial" w:cs="Arial" w:eastAsia="Arial" w:hint="default"/>
                <w:sz w:val="21"/>
                <w:szCs w:val="21"/>
              </w:rPr>
            </w:pPr>
            <w:r>
              <w:rPr>
                <w:rFonts w:ascii="Arial"/>
                <w:spacing w:val="-1"/>
                <w:sz w:val="21"/>
              </w:rPr>
              <w:t>66.66%</w:t>
            </w:r>
          </w:p>
        </w:tc>
        <w:tc>
          <w:tcPr>
            <w:tcW w:w="130" w:type="dxa"/>
            <w:tcBorders>
              <w:top w:val="nil" w:sz="6" w:space="0" w:color="auto"/>
              <w:left w:val="nil" w:sz="6" w:space="0" w:color="auto"/>
              <w:bottom w:val="nil" w:sz="6" w:space="0" w:color="auto"/>
              <w:right w:val="nil" w:sz="6" w:space="0" w:color="auto"/>
            </w:tcBorders>
          </w:tcPr>
          <w:p>
            <w:pPr/>
          </w:p>
        </w:tc>
        <w:tc>
          <w:tcPr>
            <w:tcW w:w="1620"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87"/>
              <w:jc w:val="right"/>
              <w:rPr>
                <w:rFonts w:ascii="Arial" w:hAnsi="Arial" w:cs="Arial" w:eastAsia="Arial" w:hint="default"/>
                <w:sz w:val="21"/>
                <w:szCs w:val="21"/>
              </w:rPr>
            </w:pPr>
            <w:r>
              <w:rPr>
                <w:rFonts w:ascii="Arial"/>
                <w:spacing w:val="-1"/>
                <w:sz w:val="21"/>
              </w:rPr>
              <w:t>7,986,153,355</w:t>
            </w:r>
          </w:p>
        </w:tc>
        <w:tc>
          <w:tcPr>
            <w:tcW w:w="130" w:type="dxa"/>
            <w:tcBorders>
              <w:top w:val="nil" w:sz="6" w:space="0" w:color="auto"/>
              <w:left w:val="nil" w:sz="6" w:space="0" w:color="auto"/>
              <w:bottom w:val="nil" w:sz="6" w:space="0" w:color="auto"/>
              <w:right w:val="nil" w:sz="6" w:space="0" w:color="auto"/>
            </w:tcBorders>
          </w:tcPr>
          <w:p>
            <w:pPr/>
          </w:p>
        </w:tc>
        <w:tc>
          <w:tcPr>
            <w:tcW w:w="1579"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53"/>
              <w:jc w:val="right"/>
              <w:rPr>
                <w:rFonts w:ascii="Arial" w:hAnsi="Arial" w:cs="Arial" w:eastAsia="Arial" w:hint="default"/>
                <w:sz w:val="21"/>
                <w:szCs w:val="21"/>
              </w:rPr>
            </w:pPr>
            <w:r>
              <w:rPr>
                <w:rFonts w:ascii="Arial"/>
                <w:spacing w:val="-1"/>
                <w:sz w:val="21"/>
              </w:rPr>
              <w:t>2,528,656,586</w:t>
            </w:r>
          </w:p>
        </w:tc>
        <w:tc>
          <w:tcPr>
            <w:tcW w:w="132" w:type="dxa"/>
            <w:tcBorders>
              <w:top w:val="nil" w:sz="6" w:space="0" w:color="auto"/>
              <w:left w:val="nil" w:sz="6" w:space="0" w:color="auto"/>
              <w:bottom w:val="nil" w:sz="6" w:space="0" w:color="auto"/>
              <w:right w:val="nil" w:sz="6" w:space="0" w:color="auto"/>
            </w:tcBorders>
          </w:tcPr>
          <w:p>
            <w:pPr/>
          </w:p>
        </w:tc>
        <w:tc>
          <w:tcPr>
            <w:tcW w:w="2261"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70"/>
              <w:jc w:val="right"/>
              <w:rPr>
                <w:rFonts w:ascii="Arial" w:hAnsi="Arial" w:cs="Arial" w:eastAsia="Arial" w:hint="default"/>
                <w:sz w:val="21"/>
                <w:szCs w:val="21"/>
              </w:rPr>
            </w:pPr>
            <w:r>
              <w:rPr>
                <w:rFonts w:ascii="Arial"/>
                <w:spacing w:val="-1"/>
                <w:sz w:val="21"/>
              </w:rPr>
              <w:t>152,991,404,112</w:t>
            </w:r>
          </w:p>
        </w:tc>
      </w:tr>
      <w:tr>
        <w:trPr>
          <w:trHeight w:val="261" w:hRule="exact"/>
        </w:trPr>
        <w:tc>
          <w:tcPr>
            <w:tcW w:w="1934" w:type="dxa"/>
            <w:tcBorders>
              <w:top w:val="nil" w:sz="6" w:space="0" w:color="auto"/>
              <w:left w:val="nil" w:sz="6" w:space="0" w:color="auto"/>
              <w:bottom w:val="nil" w:sz="6" w:space="0" w:color="auto"/>
              <w:right w:val="nil" w:sz="6" w:space="0" w:color="auto"/>
            </w:tcBorders>
          </w:tcPr>
          <w:p>
            <w:pPr>
              <w:pStyle w:val="TableParagraph"/>
              <w:spacing w:line="253" w:lineRule="exact"/>
              <w:ind w:left="83" w:right="0"/>
              <w:jc w:val="left"/>
              <w:rPr>
                <w:rFonts w:ascii="宋体" w:hAnsi="宋体" w:cs="宋体" w:eastAsia="宋体" w:hint="default"/>
                <w:sz w:val="21"/>
                <w:szCs w:val="21"/>
              </w:rPr>
            </w:pPr>
            <w:r>
              <w:rPr>
                <w:rFonts w:ascii="宋体" w:hAnsi="宋体" w:cs="宋体" w:eastAsia="宋体" w:hint="default"/>
                <w:sz w:val="21"/>
                <w:szCs w:val="21"/>
              </w:rPr>
              <w:t>联通</w:t>
            </w:r>
            <w:r>
              <w:rPr>
                <w:rFonts w:ascii="宋体" w:hAnsi="宋体" w:cs="宋体" w:eastAsia="宋体" w:hint="default"/>
                <w:spacing w:val="-52"/>
                <w:sz w:val="21"/>
                <w:szCs w:val="21"/>
              </w:rPr>
              <w:t> </w:t>
            </w:r>
            <w:r>
              <w:rPr>
                <w:rFonts w:ascii="Arial" w:hAnsi="Arial" w:cs="Arial" w:eastAsia="Arial" w:hint="default"/>
                <w:sz w:val="21"/>
                <w:szCs w:val="21"/>
              </w:rPr>
              <w:t>BVI</w:t>
            </w:r>
            <w:r>
              <w:rPr>
                <w:rFonts w:ascii="Arial" w:hAnsi="Arial" w:cs="Arial" w:eastAsia="Arial" w:hint="default"/>
                <w:spacing w:val="-7"/>
                <w:sz w:val="21"/>
                <w:szCs w:val="21"/>
              </w:rPr>
              <w:t> </w:t>
            </w:r>
            <w:r>
              <w:rPr>
                <w:rFonts w:ascii="宋体" w:hAnsi="宋体" w:cs="宋体" w:eastAsia="宋体" w:hint="default"/>
                <w:sz w:val="21"/>
                <w:szCs w:val="21"/>
              </w:rPr>
              <w:t>公司</w:t>
            </w:r>
          </w:p>
        </w:tc>
        <w:tc>
          <w:tcPr>
            <w:tcW w:w="127"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7"/>
              <w:jc w:val="right"/>
              <w:rPr>
                <w:rFonts w:ascii="Arial" w:hAnsi="Arial" w:cs="Arial" w:eastAsia="Arial" w:hint="default"/>
                <w:sz w:val="21"/>
                <w:szCs w:val="21"/>
              </w:rPr>
            </w:pPr>
            <w:r>
              <w:rPr>
                <w:rFonts w:ascii="Arial"/>
                <w:spacing w:val="-1"/>
                <w:sz w:val="21"/>
              </w:rPr>
              <w:t>17.90%</w:t>
            </w:r>
          </w:p>
        </w:tc>
        <w:tc>
          <w:tcPr>
            <w:tcW w:w="13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5"/>
              <w:jc w:val="right"/>
              <w:rPr>
                <w:rFonts w:ascii="Arial" w:hAnsi="Arial" w:cs="Arial" w:eastAsia="Arial" w:hint="default"/>
                <w:sz w:val="21"/>
                <w:szCs w:val="21"/>
              </w:rPr>
            </w:pPr>
            <w:r>
              <w:rPr>
                <w:rFonts w:ascii="Arial"/>
                <w:spacing w:val="-1"/>
                <w:sz w:val="21"/>
              </w:rPr>
              <w:t>7,986,151,074</w:t>
            </w:r>
          </w:p>
        </w:tc>
        <w:tc>
          <w:tcPr>
            <w:tcW w:w="1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3"/>
              <w:jc w:val="right"/>
              <w:rPr>
                <w:rFonts w:ascii="Arial" w:hAnsi="Arial" w:cs="Arial" w:eastAsia="Arial" w:hint="default"/>
                <w:sz w:val="21"/>
                <w:szCs w:val="21"/>
              </w:rPr>
            </w:pPr>
            <w:r>
              <w:rPr>
                <w:rFonts w:ascii="Arial"/>
                <w:spacing w:val="-1"/>
                <w:sz w:val="21"/>
              </w:rPr>
              <w:t>276,861,438</w:t>
            </w:r>
          </w:p>
        </w:tc>
        <w:tc>
          <w:tcPr>
            <w:tcW w:w="132"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8"/>
              <w:jc w:val="right"/>
              <w:rPr>
                <w:rFonts w:ascii="Arial" w:hAnsi="Arial" w:cs="Arial" w:eastAsia="Arial" w:hint="default"/>
                <w:sz w:val="21"/>
                <w:szCs w:val="21"/>
              </w:rPr>
            </w:pPr>
            <w:r>
              <w:rPr>
                <w:rFonts w:ascii="Arial"/>
                <w:spacing w:val="-1"/>
                <w:sz w:val="21"/>
              </w:rPr>
              <w:t>152,991,401,830</w:t>
            </w:r>
          </w:p>
        </w:tc>
      </w:tr>
    </w:tbl>
    <w:p>
      <w:pPr>
        <w:spacing w:line="240" w:lineRule="auto" w:before="9"/>
        <w:rPr>
          <w:rFonts w:ascii="宋体" w:hAnsi="宋体" w:cs="宋体" w:eastAsia="宋体" w:hint="default"/>
          <w:sz w:val="13"/>
          <w:szCs w:val="13"/>
        </w:rPr>
      </w:pPr>
    </w:p>
    <w:p>
      <w:pPr>
        <w:pStyle w:val="BodyText"/>
        <w:spacing w:line="286" w:lineRule="exact" w:before="61"/>
        <w:ind w:left="954" w:right="110" w:hanging="425"/>
        <w:jc w:val="both"/>
      </w:pPr>
      <w:r>
        <w:rPr>
          <w:spacing w:val="-3"/>
        </w:rPr>
        <w:t>注：本公司直接持有联通</w:t>
      </w:r>
      <w:r>
        <w:rPr>
          <w:spacing w:val="-52"/>
        </w:rPr>
        <w:t> </w:t>
      </w:r>
      <w:r>
        <w:rPr>
          <w:rFonts w:ascii="Arial" w:hAnsi="Arial" w:cs="Arial" w:eastAsia="Arial" w:hint="default"/>
        </w:rPr>
        <w:t>BVI</w:t>
      </w:r>
      <w:r>
        <w:rPr>
          <w:rFonts w:ascii="Arial" w:hAnsi="Arial" w:cs="Arial" w:eastAsia="Arial" w:hint="default"/>
          <w:spacing w:val="-1"/>
        </w:rPr>
        <w:t> </w:t>
      </w:r>
      <w:r>
        <w:rPr>
          <w:rFonts w:ascii="Arial" w:hAnsi="Arial" w:cs="Arial" w:eastAsia="Arial" w:hint="default"/>
          <w:spacing w:val="-4"/>
        </w:rPr>
        <w:t>82.1%</w:t>
      </w:r>
      <w:r>
        <w:rPr>
          <w:spacing w:val="-4"/>
        </w:rPr>
        <w:t>的股份。同时，如附注二</w:t>
      </w:r>
      <w:r>
        <w:rPr>
          <w:rFonts w:ascii="Arial" w:hAnsi="Arial" w:cs="Arial" w:eastAsia="Arial" w:hint="default"/>
          <w:spacing w:val="-4"/>
        </w:rPr>
        <w:t>(1)</w:t>
      </w:r>
      <w:r>
        <w:rPr>
          <w:rFonts w:ascii="Arial" w:hAnsi="Arial" w:cs="Arial" w:eastAsia="Arial" w:hint="default"/>
          <w:spacing w:val="4"/>
        </w:rPr>
        <w:t> </w:t>
      </w:r>
      <w:r>
        <w:rPr>
          <w:spacing w:val="-6"/>
        </w:rPr>
        <w:t>所述，联通</w:t>
      </w:r>
      <w:r>
        <w:rPr>
          <w:spacing w:val="-50"/>
        </w:rPr>
        <w:t> </w:t>
      </w:r>
      <w:r>
        <w:rPr>
          <w:rFonts w:ascii="Arial" w:hAnsi="Arial" w:cs="Arial" w:eastAsia="Arial" w:hint="default"/>
        </w:rPr>
        <w:t>BVI </w:t>
      </w:r>
      <w:r>
        <w:rPr/>
        <w:t>直接持有联通</w:t>
      </w:r>
      <w:r>
        <w:rPr>
          <w:spacing w:val="-108"/>
        </w:rPr>
        <w:t> </w:t>
      </w:r>
      <w:r>
        <w:rPr>
          <w:spacing w:val="-108"/>
        </w:rPr>
      </w:r>
      <w:r>
        <w:rPr/>
        <w:t>红筹公司</w:t>
      </w:r>
      <w:r>
        <w:rPr>
          <w:spacing w:val="-39"/>
        </w:rPr>
        <w:t> </w:t>
      </w:r>
      <w:r>
        <w:rPr>
          <w:rFonts w:ascii="Arial" w:hAnsi="Arial" w:cs="Arial" w:eastAsia="Arial" w:hint="default"/>
          <w:spacing w:val="-3"/>
        </w:rPr>
        <w:t>40.61%</w:t>
      </w:r>
      <w:r>
        <w:rPr>
          <w:spacing w:val="-3"/>
        </w:rPr>
        <w:t>的股份，并通过与联通集团</w:t>
      </w:r>
      <w:r>
        <w:rPr>
          <w:spacing w:val="-39"/>
        </w:rPr>
        <w:t> </w:t>
      </w:r>
      <w:r>
        <w:rPr>
          <w:rFonts w:ascii="Arial" w:hAnsi="Arial" w:cs="Arial" w:eastAsia="Arial" w:hint="default"/>
        </w:rPr>
        <w:t>BVI</w:t>
      </w:r>
      <w:r>
        <w:rPr>
          <w:rFonts w:ascii="Arial" w:hAnsi="Arial" w:cs="Arial" w:eastAsia="Arial" w:hint="default"/>
          <w:spacing w:val="8"/>
        </w:rPr>
        <w:t> </w:t>
      </w:r>
      <w:r>
        <w:rPr>
          <w:spacing w:val="-4"/>
        </w:rPr>
        <w:t>签署《一致行动方协议》控制联通红筹公</w:t>
      </w:r>
      <w:r>
        <w:rPr>
          <w:w w:val="100"/>
        </w:rPr>
        <w:t> </w:t>
      </w:r>
      <w:r>
        <w:rPr/>
        <w:t>司。</w:t>
      </w:r>
    </w:p>
    <w:p>
      <w:pPr>
        <w:spacing w:line="240" w:lineRule="auto" w:before="2"/>
        <w:rPr>
          <w:rFonts w:ascii="宋体" w:hAnsi="宋体" w:cs="宋体" w:eastAsia="宋体" w:hint="default"/>
          <w:sz w:val="16"/>
          <w:szCs w:val="16"/>
        </w:rPr>
      </w:pPr>
    </w:p>
    <w:p>
      <w:pPr>
        <w:pStyle w:val="BodyText"/>
        <w:spacing w:line="240" w:lineRule="auto"/>
        <w:ind w:left="102" w:right="0"/>
        <w:jc w:val="left"/>
      </w:pPr>
      <w:r>
        <w:rPr>
          <w:rFonts w:ascii="Arial" w:hAnsi="Arial" w:cs="Arial" w:eastAsia="Arial" w:hint="default"/>
        </w:rPr>
        <w:t>(c) </w:t>
      </w:r>
      <w:r>
        <w:rPr>
          <w:rFonts w:ascii="Arial" w:hAnsi="Arial" w:cs="Arial" w:eastAsia="Arial" w:hint="default"/>
          <w:spacing w:val="40"/>
        </w:rPr>
        <w:t> </w:t>
      </w:r>
      <w:r>
        <w:rPr/>
        <w:t>重要非全资子公司的主要财务信息</w:t>
      </w:r>
    </w:p>
    <w:p>
      <w:pPr>
        <w:spacing w:line="240" w:lineRule="auto" w:before="5"/>
        <w:rPr>
          <w:rFonts w:ascii="宋体" w:hAnsi="宋体" w:cs="宋体" w:eastAsia="宋体" w:hint="default"/>
          <w:sz w:val="20"/>
          <w:szCs w:val="20"/>
        </w:rPr>
      </w:pPr>
    </w:p>
    <w:p>
      <w:pPr>
        <w:pStyle w:val="BodyText"/>
        <w:spacing w:line="284" w:lineRule="exact"/>
        <w:ind w:left="522" w:right="0"/>
        <w:jc w:val="left"/>
      </w:pPr>
      <w:r>
        <w:rPr/>
        <w:t>下表列示了上述子公司的主要财务信息，这些子公司的主要财务信息是集团内部交易抵销前的</w:t>
      </w:r>
      <w:r>
        <w:rPr>
          <w:spacing w:val="-28"/>
        </w:rPr>
        <w:t> </w:t>
      </w:r>
      <w:r>
        <w:rPr>
          <w:spacing w:val="-28"/>
        </w:rPr>
      </w:r>
      <w:r>
        <w:rPr/>
        <w:t>金额，但是经过了合并日公允价值以及统一会计政策的调整：</w:t>
      </w:r>
    </w:p>
    <w:p>
      <w:pPr>
        <w:spacing w:line="240" w:lineRule="auto" w:before="11"/>
        <w:rPr>
          <w:rFonts w:ascii="宋体" w:hAnsi="宋体" w:cs="宋体" w:eastAsia="宋体" w:hint="default"/>
          <w:sz w:val="21"/>
          <w:szCs w:val="21"/>
        </w:rPr>
      </w:pPr>
    </w:p>
    <w:tbl>
      <w:tblPr>
        <w:tblW w:w="0" w:type="auto"/>
        <w:jc w:val="left"/>
        <w:tblInd w:w="363" w:type="dxa"/>
        <w:tblLayout w:type="fixed"/>
        <w:tblCellMar>
          <w:top w:w="0" w:type="dxa"/>
          <w:left w:w="0" w:type="dxa"/>
          <w:bottom w:w="0" w:type="dxa"/>
          <w:right w:w="0" w:type="dxa"/>
        </w:tblCellMar>
        <w:tblLook w:val="01E0"/>
      </w:tblPr>
      <w:tblGrid>
        <w:gridCol w:w="3717"/>
        <w:gridCol w:w="2693"/>
        <w:gridCol w:w="134"/>
        <w:gridCol w:w="2664"/>
      </w:tblGrid>
      <w:tr>
        <w:trPr>
          <w:trHeight w:val="264" w:hRule="exact"/>
        </w:trPr>
        <w:tc>
          <w:tcPr>
            <w:tcW w:w="9209" w:type="dxa"/>
            <w:gridSpan w:val="4"/>
            <w:tcBorders>
              <w:top w:val="nil" w:sz="6" w:space="0" w:color="auto"/>
              <w:left w:val="nil" w:sz="6" w:space="0" w:color="auto"/>
              <w:bottom w:val="nil" w:sz="6" w:space="0" w:color="auto"/>
              <w:right w:val="nil" w:sz="6" w:space="0" w:color="auto"/>
            </w:tcBorders>
          </w:tcPr>
          <w:p>
            <w:pPr>
              <w:pStyle w:val="TableParagraph"/>
              <w:spacing w:line="221" w:lineRule="exact"/>
              <w:ind w:left="5471" w:right="0"/>
              <w:jc w:val="left"/>
              <w:rPr>
                <w:rFonts w:ascii="宋体" w:hAnsi="宋体" w:cs="宋体" w:eastAsia="宋体" w:hint="default"/>
                <w:sz w:val="22"/>
                <w:szCs w:val="22"/>
              </w:rPr>
            </w:pPr>
            <w:r>
              <w:rPr>
                <w:rFonts w:ascii="宋体" w:hAnsi="宋体" w:cs="宋体" w:eastAsia="宋体" w:hint="default"/>
                <w:sz w:val="22"/>
                <w:szCs w:val="22"/>
              </w:rPr>
              <w:t>联通红筹公司（注）</w:t>
            </w:r>
          </w:p>
        </w:tc>
      </w:tr>
      <w:tr>
        <w:trPr>
          <w:trHeight w:val="305" w:hRule="exact"/>
        </w:trPr>
        <w:tc>
          <w:tcPr>
            <w:tcW w:w="3717" w:type="dxa"/>
            <w:tcBorders>
              <w:top w:val="nil" w:sz="6" w:space="0" w:color="auto"/>
              <w:left w:val="nil" w:sz="6" w:space="0" w:color="auto"/>
              <w:bottom w:val="nil" w:sz="6" w:space="0" w:color="auto"/>
              <w:right w:val="nil" w:sz="6" w:space="0" w:color="auto"/>
            </w:tcBorders>
          </w:tcPr>
          <w:p>
            <w:pPr/>
          </w:p>
        </w:tc>
        <w:tc>
          <w:tcPr>
            <w:tcW w:w="2693" w:type="dxa"/>
            <w:tcBorders>
              <w:top w:val="single" w:sz="6" w:space="0" w:color="000000"/>
              <w:left w:val="nil" w:sz="6" w:space="0" w:color="auto"/>
              <w:bottom w:val="single" w:sz="6" w:space="0" w:color="000000"/>
              <w:right w:val="nil" w:sz="6" w:space="0" w:color="auto"/>
            </w:tcBorders>
          </w:tcPr>
          <w:p>
            <w:pPr>
              <w:pStyle w:val="TableParagraph"/>
              <w:spacing w:line="270" w:lineRule="exact"/>
              <w:ind w:right="59"/>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34" w:type="dxa"/>
            <w:tcBorders>
              <w:top w:val="single" w:sz="6" w:space="0" w:color="000000"/>
              <w:left w:val="nil" w:sz="6" w:space="0" w:color="auto"/>
              <w:bottom w:val="nil" w:sz="6" w:space="0" w:color="auto"/>
              <w:right w:val="nil" w:sz="6" w:space="0" w:color="auto"/>
            </w:tcBorders>
          </w:tcPr>
          <w:p>
            <w:pPr/>
          </w:p>
        </w:tc>
        <w:tc>
          <w:tcPr>
            <w:tcW w:w="2664" w:type="dxa"/>
            <w:tcBorders>
              <w:top w:val="single" w:sz="6" w:space="0" w:color="000000"/>
              <w:left w:val="nil" w:sz="6" w:space="0" w:color="auto"/>
              <w:bottom w:val="single" w:sz="6" w:space="0" w:color="000000"/>
              <w:right w:val="nil" w:sz="6" w:space="0" w:color="auto"/>
            </w:tcBorders>
          </w:tcPr>
          <w:p>
            <w:pPr>
              <w:pStyle w:val="TableParagraph"/>
              <w:spacing w:line="270" w:lineRule="exact"/>
              <w:ind w:right="55"/>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481"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20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693"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6"/>
              <w:jc w:val="right"/>
              <w:rPr>
                <w:rFonts w:ascii="Arial" w:hAnsi="Arial" w:cs="Arial" w:eastAsia="Arial" w:hint="default"/>
                <w:sz w:val="21"/>
                <w:szCs w:val="21"/>
              </w:rPr>
            </w:pPr>
            <w:r>
              <w:rPr>
                <w:rFonts w:ascii="Arial"/>
                <w:spacing w:val="-1"/>
                <w:sz w:val="21"/>
              </w:rPr>
              <w:t>56,584,310,495</w:t>
            </w:r>
          </w:p>
        </w:tc>
        <w:tc>
          <w:tcPr>
            <w:tcW w:w="134" w:type="dxa"/>
            <w:tcBorders>
              <w:top w:val="nil" w:sz="6" w:space="0" w:color="auto"/>
              <w:left w:val="nil" w:sz="6" w:space="0" w:color="auto"/>
              <w:bottom w:val="nil" w:sz="6" w:space="0" w:color="auto"/>
              <w:right w:val="nil" w:sz="6" w:space="0" w:color="auto"/>
            </w:tcBorders>
          </w:tcPr>
          <w:p>
            <w:pPr/>
          </w:p>
        </w:tc>
        <w:tc>
          <w:tcPr>
            <w:tcW w:w="2664"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right"/>
              <w:rPr>
                <w:rFonts w:ascii="Arial" w:hAnsi="Arial" w:cs="Arial" w:eastAsia="Arial" w:hint="default"/>
                <w:sz w:val="21"/>
                <w:szCs w:val="21"/>
              </w:rPr>
            </w:pPr>
            <w:r>
              <w:rPr>
                <w:rFonts w:ascii="Arial"/>
                <w:spacing w:val="-1"/>
                <w:sz w:val="21"/>
              </w:rPr>
              <w:t>52,303,885,594</w:t>
            </w:r>
          </w:p>
        </w:tc>
      </w:tr>
      <w:tr>
        <w:trPr>
          <w:trHeight w:val="295"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693" w:type="dxa"/>
            <w:tcBorders>
              <w:top w:val="nil" w:sz="6" w:space="0" w:color="auto"/>
              <w:left w:val="nil" w:sz="6" w:space="0" w:color="auto"/>
              <w:bottom w:val="nil" w:sz="6" w:space="0" w:color="auto"/>
              <w:right w:val="nil" w:sz="6" w:space="0" w:color="auto"/>
            </w:tcBorders>
          </w:tcPr>
          <w:p>
            <w:pPr>
              <w:pStyle w:val="TableParagraph"/>
              <w:tabs>
                <w:tab w:pos="1055" w:val="left" w:leader="none"/>
                <w:tab w:pos="2693" w:val="left" w:leader="none"/>
              </w:tabs>
              <w:spacing w:line="240" w:lineRule="auto" w:before="25"/>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490,488,903,204</w:t>
              <w:tab/>
            </w:r>
            <w:r>
              <w:rPr>
                <w:rFonts w:ascii="Arial"/>
                <w:spacing w:val="-1"/>
                <w:sz w:val="21"/>
              </w:rPr>
            </w:r>
          </w:p>
        </w:tc>
        <w:tc>
          <w:tcPr>
            <w:tcW w:w="134"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nil" w:sz="6" w:space="0" w:color="auto"/>
              <w:right w:val="nil" w:sz="6" w:space="0" w:color="auto"/>
            </w:tcBorders>
          </w:tcPr>
          <w:p>
            <w:pPr>
              <w:pStyle w:val="TableParagraph"/>
              <w:tabs>
                <w:tab w:pos="1029" w:val="left" w:leader="none"/>
              </w:tabs>
              <w:spacing w:line="240" w:lineRule="auto" w:before="25"/>
              <w:ind w:right="53"/>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479,016,168,877</w:t>
            </w:r>
            <w:r>
              <w:rPr>
                <w:rFonts w:ascii="Arial"/>
                <w:spacing w:val="-1"/>
                <w:sz w:val="21"/>
              </w:rPr>
            </w:r>
          </w:p>
        </w:tc>
      </w:tr>
      <w:tr>
        <w:trPr>
          <w:trHeight w:val="440"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44" w:lineRule="exact"/>
              <w:ind w:left="200"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6"/>
              <w:jc w:val="right"/>
              <w:rPr>
                <w:rFonts w:ascii="Arial" w:hAnsi="Arial" w:cs="Arial" w:eastAsia="Arial" w:hint="default"/>
                <w:sz w:val="21"/>
                <w:szCs w:val="21"/>
              </w:rPr>
            </w:pPr>
            <w:r>
              <w:rPr>
                <w:rFonts w:ascii="Arial"/>
                <w:spacing w:val="-1"/>
                <w:sz w:val="21"/>
              </w:rPr>
              <w:t>547,073,213,699</w:t>
            </w:r>
          </w:p>
        </w:tc>
        <w:tc>
          <w:tcPr>
            <w:tcW w:w="134"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3"/>
              <w:jc w:val="right"/>
              <w:rPr>
                <w:rFonts w:ascii="Arial" w:hAnsi="Arial" w:cs="Arial" w:eastAsia="Arial" w:hint="default"/>
                <w:sz w:val="21"/>
                <w:szCs w:val="21"/>
              </w:rPr>
            </w:pPr>
            <w:r>
              <w:rPr>
                <w:rFonts w:ascii="Arial"/>
                <w:spacing w:val="-1"/>
                <w:sz w:val="21"/>
              </w:rPr>
              <w:t>531,320,054,471</w:t>
            </w:r>
          </w:p>
        </w:tc>
      </w:tr>
      <w:tr>
        <w:trPr>
          <w:trHeight w:val="436"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0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56"/>
              <w:jc w:val="right"/>
              <w:rPr>
                <w:rFonts w:ascii="Arial" w:hAnsi="Arial" w:cs="Arial" w:eastAsia="Arial" w:hint="default"/>
                <w:sz w:val="21"/>
                <w:szCs w:val="21"/>
              </w:rPr>
            </w:pPr>
            <w:r>
              <w:rPr>
                <w:rFonts w:ascii="Arial"/>
                <w:spacing w:val="-1"/>
                <w:sz w:val="21"/>
              </w:rPr>
              <w:t>291,931,345,122</w:t>
            </w:r>
          </w:p>
        </w:tc>
        <w:tc>
          <w:tcPr>
            <w:tcW w:w="134"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53"/>
              <w:jc w:val="right"/>
              <w:rPr>
                <w:rFonts w:ascii="Arial" w:hAnsi="Arial" w:cs="Arial" w:eastAsia="Arial" w:hint="default"/>
                <w:sz w:val="21"/>
                <w:szCs w:val="21"/>
              </w:rPr>
            </w:pPr>
            <w:r>
              <w:rPr>
                <w:rFonts w:ascii="Arial"/>
                <w:spacing w:val="-1"/>
                <w:sz w:val="21"/>
              </w:rPr>
              <w:t>295,332,575,973</w:t>
            </w:r>
          </w:p>
        </w:tc>
      </w:tr>
      <w:tr>
        <w:trPr>
          <w:trHeight w:val="295"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693" w:type="dxa"/>
            <w:tcBorders>
              <w:top w:val="nil" w:sz="6" w:space="0" w:color="auto"/>
              <w:left w:val="nil" w:sz="6" w:space="0" w:color="auto"/>
              <w:bottom w:val="nil" w:sz="6" w:space="0" w:color="auto"/>
              <w:right w:val="nil" w:sz="6" w:space="0" w:color="auto"/>
            </w:tcBorders>
          </w:tcPr>
          <w:p>
            <w:pPr>
              <w:pStyle w:val="TableParagraph"/>
              <w:tabs>
                <w:tab w:pos="1173" w:val="left" w:leader="none"/>
                <w:tab w:pos="2693" w:val="left" w:leader="none"/>
              </w:tabs>
              <w:spacing w:line="240" w:lineRule="auto" w:before="25"/>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25,632,644,645</w:t>
              <w:tab/>
            </w:r>
            <w:r>
              <w:rPr>
                <w:rFonts w:ascii="Arial"/>
                <w:spacing w:val="-1"/>
                <w:sz w:val="21"/>
              </w:rPr>
            </w:r>
          </w:p>
        </w:tc>
        <w:tc>
          <w:tcPr>
            <w:tcW w:w="134"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nil" w:sz="6" w:space="0" w:color="auto"/>
              <w:right w:val="nil" w:sz="6" w:space="0" w:color="auto"/>
            </w:tcBorders>
          </w:tcPr>
          <w:p>
            <w:pPr>
              <w:pStyle w:val="TableParagraph"/>
              <w:tabs>
                <w:tab w:pos="1147" w:val="left" w:leader="none"/>
              </w:tabs>
              <w:spacing w:line="240" w:lineRule="auto" w:before="25"/>
              <w:ind w:right="53"/>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15,045,326,268</w:t>
            </w:r>
            <w:r>
              <w:rPr>
                <w:rFonts w:ascii="Arial"/>
                <w:spacing w:val="-1"/>
                <w:sz w:val="21"/>
              </w:rPr>
            </w:r>
          </w:p>
        </w:tc>
      </w:tr>
      <w:tr>
        <w:trPr>
          <w:trHeight w:val="439"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44" w:lineRule="exact"/>
              <w:ind w:left="20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6"/>
              <w:jc w:val="right"/>
              <w:rPr>
                <w:rFonts w:ascii="Arial" w:hAnsi="Arial" w:cs="Arial" w:eastAsia="Arial" w:hint="default"/>
                <w:sz w:val="21"/>
                <w:szCs w:val="21"/>
              </w:rPr>
            </w:pPr>
            <w:r>
              <w:rPr>
                <w:rFonts w:ascii="Arial"/>
                <w:spacing w:val="-1"/>
                <w:sz w:val="21"/>
              </w:rPr>
              <w:t>317,563,989,767</w:t>
            </w:r>
          </w:p>
        </w:tc>
        <w:tc>
          <w:tcPr>
            <w:tcW w:w="134"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3"/>
              <w:jc w:val="right"/>
              <w:rPr>
                <w:rFonts w:ascii="Arial" w:hAnsi="Arial" w:cs="Arial" w:eastAsia="Arial" w:hint="default"/>
                <w:sz w:val="21"/>
                <w:szCs w:val="21"/>
              </w:rPr>
            </w:pPr>
            <w:r>
              <w:rPr>
                <w:rFonts w:ascii="Arial"/>
                <w:spacing w:val="-1"/>
                <w:sz w:val="21"/>
              </w:rPr>
              <w:t>310,377,902,241</w:t>
            </w:r>
          </w:p>
        </w:tc>
      </w:tr>
      <w:tr>
        <w:trPr>
          <w:trHeight w:val="434"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56"/>
              <w:jc w:val="right"/>
              <w:rPr>
                <w:rFonts w:ascii="Arial" w:hAnsi="Arial" w:cs="Arial" w:eastAsia="Arial" w:hint="default"/>
                <w:sz w:val="21"/>
                <w:szCs w:val="21"/>
              </w:rPr>
            </w:pPr>
            <w:r>
              <w:rPr>
                <w:rFonts w:ascii="Arial"/>
                <w:spacing w:val="-1"/>
                <w:sz w:val="21"/>
              </w:rPr>
              <w:t>288,570,874,374</w:t>
            </w:r>
          </w:p>
        </w:tc>
        <w:tc>
          <w:tcPr>
            <w:tcW w:w="134"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53"/>
              <w:jc w:val="right"/>
              <w:rPr>
                <w:rFonts w:ascii="Arial" w:hAnsi="Arial" w:cs="Arial" w:eastAsia="Arial" w:hint="default"/>
                <w:sz w:val="21"/>
                <w:szCs w:val="21"/>
              </w:rPr>
            </w:pPr>
            <w:r>
              <w:rPr>
                <w:rFonts w:ascii="Arial"/>
                <w:spacing w:val="-1"/>
                <w:sz w:val="21"/>
              </w:rPr>
              <w:t>303,727,203,182</w:t>
            </w:r>
          </w:p>
        </w:tc>
      </w:tr>
      <w:tr>
        <w:trPr>
          <w:trHeight w:val="290"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6"/>
              <w:jc w:val="right"/>
              <w:rPr>
                <w:rFonts w:ascii="Arial" w:hAnsi="Arial" w:cs="Arial" w:eastAsia="Arial" w:hint="default"/>
                <w:sz w:val="21"/>
                <w:szCs w:val="21"/>
              </w:rPr>
            </w:pPr>
            <w:r>
              <w:rPr>
                <w:rFonts w:ascii="Arial"/>
                <w:spacing w:val="-1"/>
                <w:sz w:val="21"/>
              </w:rPr>
              <w:t>11,980,384,580</w:t>
            </w:r>
          </w:p>
        </w:tc>
        <w:tc>
          <w:tcPr>
            <w:tcW w:w="134"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3"/>
              <w:jc w:val="right"/>
              <w:rPr>
                <w:rFonts w:ascii="Arial" w:hAnsi="Arial" w:cs="Arial" w:eastAsia="Arial" w:hint="default"/>
                <w:sz w:val="21"/>
                <w:szCs w:val="21"/>
              </w:rPr>
            </w:pPr>
            <w:r>
              <w:rPr>
                <w:rFonts w:ascii="Arial"/>
                <w:spacing w:val="-1"/>
                <w:sz w:val="21"/>
              </w:rPr>
              <w:t>10,314,042,610</w:t>
            </w:r>
          </w:p>
        </w:tc>
      </w:tr>
      <w:tr>
        <w:trPr>
          <w:trHeight w:val="290"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6"/>
              <w:jc w:val="right"/>
              <w:rPr>
                <w:rFonts w:ascii="Arial" w:hAnsi="Arial" w:cs="Arial" w:eastAsia="Arial" w:hint="default"/>
                <w:sz w:val="21"/>
                <w:szCs w:val="21"/>
              </w:rPr>
            </w:pPr>
            <w:r>
              <w:rPr>
                <w:rFonts w:ascii="Arial"/>
                <w:spacing w:val="-1"/>
                <w:sz w:val="21"/>
              </w:rPr>
              <w:t>11,501,686,444</w:t>
            </w:r>
          </w:p>
        </w:tc>
        <w:tc>
          <w:tcPr>
            <w:tcW w:w="134"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3"/>
              <w:jc w:val="right"/>
              <w:rPr>
                <w:rFonts w:ascii="Arial" w:hAnsi="Arial" w:cs="Arial" w:eastAsia="Arial" w:hint="default"/>
                <w:sz w:val="21"/>
                <w:szCs w:val="21"/>
              </w:rPr>
            </w:pPr>
            <w:r>
              <w:rPr>
                <w:rFonts w:ascii="Arial"/>
                <w:spacing w:val="-1"/>
                <w:sz w:val="21"/>
              </w:rPr>
              <w:t>10,984,318,130</w:t>
            </w:r>
          </w:p>
        </w:tc>
      </w:tr>
      <w:tr>
        <w:trPr>
          <w:trHeight w:val="262"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1"/>
                <w:szCs w:val="21"/>
              </w:rPr>
            </w:pPr>
            <w:r>
              <w:rPr>
                <w:rFonts w:ascii="宋体" w:hAnsi="宋体" w:cs="宋体" w:eastAsia="宋体" w:hint="default"/>
                <w:sz w:val="21"/>
                <w:szCs w:val="21"/>
              </w:rPr>
              <w:t>经营活动现金流量</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6"/>
              <w:jc w:val="right"/>
              <w:rPr>
                <w:rFonts w:ascii="Arial" w:hAnsi="Arial" w:cs="Arial" w:eastAsia="Arial" w:hint="default"/>
                <w:sz w:val="21"/>
                <w:szCs w:val="21"/>
              </w:rPr>
            </w:pPr>
            <w:r>
              <w:rPr>
                <w:rFonts w:ascii="Arial"/>
                <w:spacing w:val="-1"/>
                <w:sz w:val="21"/>
              </w:rPr>
              <w:t>92,442,133,325</w:t>
            </w:r>
          </w:p>
        </w:tc>
        <w:tc>
          <w:tcPr>
            <w:tcW w:w="134"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3"/>
              <w:jc w:val="right"/>
              <w:rPr>
                <w:rFonts w:ascii="Arial" w:hAnsi="Arial" w:cs="Arial" w:eastAsia="Arial" w:hint="default"/>
                <w:sz w:val="21"/>
                <w:szCs w:val="21"/>
              </w:rPr>
            </w:pPr>
            <w:r>
              <w:rPr>
                <w:rFonts w:ascii="Arial"/>
                <w:spacing w:val="-1"/>
                <w:sz w:val="21"/>
              </w:rPr>
              <w:t>83,766,911,828</w:t>
            </w:r>
          </w:p>
        </w:tc>
      </w:tr>
    </w:tbl>
    <w:p>
      <w:pPr>
        <w:spacing w:line="240" w:lineRule="auto" w:before="8"/>
        <w:rPr>
          <w:rFonts w:ascii="宋体" w:hAnsi="宋体" w:cs="宋体" w:eastAsia="宋体" w:hint="default"/>
          <w:sz w:val="14"/>
          <w:szCs w:val="14"/>
        </w:rPr>
      </w:pPr>
    </w:p>
    <w:p>
      <w:pPr>
        <w:pStyle w:val="BodyText"/>
        <w:spacing w:line="240" w:lineRule="auto" w:before="32"/>
        <w:ind w:left="578" w:right="0"/>
        <w:jc w:val="left"/>
      </w:pPr>
      <w:r>
        <w:rPr/>
        <w:t>注：联通</w:t>
      </w:r>
      <w:r>
        <w:rPr>
          <w:spacing w:val="-60"/>
        </w:rPr>
        <w:t> </w:t>
      </w:r>
      <w:r>
        <w:rPr>
          <w:rFonts w:ascii="Arial" w:hAnsi="Arial" w:cs="Arial" w:eastAsia="Arial" w:hint="default"/>
        </w:rPr>
        <w:t>BVI</w:t>
      </w:r>
      <w:r>
        <w:rPr>
          <w:rFonts w:ascii="Arial" w:hAnsi="Arial" w:cs="Arial" w:eastAsia="Arial" w:hint="default"/>
          <w:spacing w:val="-10"/>
        </w:rPr>
        <w:t> </w:t>
      </w:r>
      <w:r>
        <w:rPr/>
        <w:t>公司并未开展实质业务，故此处仅列示联通红筹公司相关信息。</w:t>
      </w:r>
    </w:p>
    <w:p>
      <w:pPr>
        <w:spacing w:after="0" w:line="240" w:lineRule="auto"/>
        <w:jc w:val="left"/>
        <w:sectPr>
          <w:headerReference w:type="default" r:id="rId131"/>
          <w:footerReference w:type="default" r:id="rId132"/>
          <w:pgSz w:w="11910" w:h="16840"/>
          <w:pgMar w:header="1181" w:footer="923" w:top="3540" w:bottom="1120" w:left="1280" w:right="880"/>
          <w:pgNumType w:start="142"/>
        </w:sectPr>
      </w:pPr>
    </w:p>
    <w:p>
      <w:pPr>
        <w:spacing w:line="240" w:lineRule="auto" w:before="6"/>
        <w:rPr>
          <w:rFonts w:ascii="宋体" w:hAnsi="宋体" w:cs="宋体" w:eastAsia="宋体" w:hint="default"/>
          <w:sz w:val="11"/>
          <w:szCs w:val="11"/>
        </w:rPr>
      </w:pPr>
    </w:p>
    <w:p>
      <w:pPr>
        <w:pStyle w:val="BodyText"/>
        <w:spacing w:line="240" w:lineRule="auto" w:before="32"/>
        <w:ind w:left="141" w:right="106"/>
        <w:jc w:val="left"/>
      </w:pPr>
      <w:r>
        <w:rPr>
          <w:rFonts w:ascii="Arial" w:hAnsi="Arial" w:cs="Arial" w:eastAsia="Arial" w:hint="default"/>
        </w:rPr>
        <w:t>2</w:t>
      </w:r>
      <w:r>
        <w:rPr/>
        <w:t>、</w:t>
      </w:r>
      <w:r>
        <w:rPr>
          <w:spacing w:val="-42"/>
        </w:rPr>
        <w:t> </w:t>
      </w:r>
      <w:r>
        <w:rPr/>
        <w:t>在合营企业或联营企业中的权益</w:t>
      </w:r>
    </w:p>
    <w:p>
      <w:pPr>
        <w:spacing w:line="240" w:lineRule="auto" w:before="12"/>
        <w:rPr>
          <w:rFonts w:ascii="宋体" w:hAnsi="宋体" w:cs="宋体" w:eastAsia="宋体" w:hint="default"/>
          <w:sz w:val="17"/>
          <w:szCs w:val="17"/>
        </w:rPr>
      </w:pPr>
    </w:p>
    <w:tbl>
      <w:tblPr>
        <w:tblW w:w="0" w:type="auto"/>
        <w:jc w:val="left"/>
        <w:tblInd w:w="363" w:type="dxa"/>
        <w:tblLayout w:type="fixed"/>
        <w:tblCellMar>
          <w:top w:w="0" w:type="dxa"/>
          <w:left w:w="0" w:type="dxa"/>
          <w:bottom w:w="0" w:type="dxa"/>
          <w:right w:w="0" w:type="dxa"/>
        </w:tblCellMar>
        <w:tblLook w:val="01E0"/>
      </w:tblPr>
      <w:tblGrid>
        <w:gridCol w:w="3717"/>
        <w:gridCol w:w="2693"/>
        <w:gridCol w:w="134"/>
        <w:gridCol w:w="2664"/>
      </w:tblGrid>
      <w:tr>
        <w:trPr>
          <w:trHeight w:val="262"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22"/>
                <w:szCs w:val="22"/>
              </w:rPr>
            </w:pPr>
            <w:r>
              <w:rPr>
                <w:rFonts w:ascii="宋体" w:hAnsi="宋体" w:cs="宋体" w:eastAsia="宋体" w:hint="default"/>
                <w:sz w:val="22"/>
                <w:szCs w:val="22"/>
              </w:rPr>
              <w:t>项目</w:t>
            </w:r>
          </w:p>
        </w:tc>
        <w:tc>
          <w:tcPr>
            <w:tcW w:w="2693" w:type="dxa"/>
            <w:tcBorders>
              <w:top w:val="nil" w:sz="6" w:space="0" w:color="auto"/>
              <w:left w:val="nil" w:sz="6" w:space="0" w:color="auto"/>
              <w:bottom w:val="single" w:sz="4" w:space="0" w:color="000000"/>
              <w:right w:val="nil" w:sz="6" w:space="0" w:color="auto"/>
            </w:tcBorders>
          </w:tcPr>
          <w:p>
            <w:pPr>
              <w:pStyle w:val="TableParagraph"/>
              <w:spacing w:line="236" w:lineRule="exact"/>
              <w:ind w:right="59"/>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34"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single" w:sz="4" w:space="0" w:color="000000"/>
              <w:right w:val="nil" w:sz="6" w:space="0" w:color="auto"/>
            </w:tcBorders>
          </w:tcPr>
          <w:p>
            <w:pPr>
              <w:pStyle w:val="TableParagraph"/>
              <w:spacing w:line="236" w:lineRule="exact"/>
              <w:ind w:right="55"/>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480"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40" w:lineRule="auto" w:before="172"/>
              <w:ind w:left="200" w:right="0"/>
              <w:jc w:val="left"/>
              <w:rPr>
                <w:rFonts w:ascii="宋体" w:hAnsi="宋体" w:cs="宋体" w:eastAsia="宋体" w:hint="default"/>
                <w:sz w:val="20"/>
                <w:szCs w:val="20"/>
              </w:rPr>
            </w:pPr>
            <w:r>
              <w:rPr>
                <w:rFonts w:ascii="宋体" w:hAnsi="宋体" w:cs="宋体" w:eastAsia="宋体" w:hint="default"/>
                <w:sz w:val="20"/>
                <w:szCs w:val="20"/>
              </w:rPr>
              <w:t>合营企业</w:t>
            </w:r>
          </w:p>
        </w:tc>
        <w:tc>
          <w:tcPr>
            <w:tcW w:w="2693" w:type="dxa"/>
            <w:tcBorders>
              <w:top w:val="single" w:sz="4" w:space="0" w:color="000000"/>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664" w:type="dxa"/>
            <w:tcBorders>
              <w:top w:val="single" w:sz="4" w:space="0" w:color="000000"/>
              <w:left w:val="nil" w:sz="6" w:space="0" w:color="auto"/>
              <w:bottom w:val="nil" w:sz="6" w:space="0" w:color="auto"/>
              <w:right w:val="nil" w:sz="6" w:space="0" w:color="auto"/>
            </w:tcBorders>
          </w:tcPr>
          <w:p>
            <w:pPr/>
          </w:p>
        </w:tc>
      </w:tr>
      <w:tr>
        <w:trPr>
          <w:trHeight w:val="303"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59" w:lineRule="exact"/>
              <w:ind w:right="1602"/>
              <w:jc w:val="right"/>
              <w:rPr>
                <w:rFonts w:ascii="宋体" w:hAnsi="宋体" w:cs="宋体" w:eastAsia="宋体" w:hint="default"/>
                <w:sz w:val="20"/>
                <w:szCs w:val="20"/>
              </w:rPr>
            </w:pPr>
            <w:r>
              <w:rPr>
                <w:rFonts w:ascii="Arial" w:hAnsi="Arial" w:cs="Arial" w:eastAsia="Arial" w:hint="default"/>
                <w:w w:val="95"/>
                <w:sz w:val="20"/>
                <w:szCs w:val="20"/>
              </w:rPr>
              <w:t>-</w:t>
            </w:r>
            <w:r>
              <w:rPr>
                <w:rFonts w:ascii="宋体" w:hAnsi="宋体" w:cs="宋体" w:eastAsia="宋体" w:hint="default"/>
                <w:w w:val="95"/>
                <w:sz w:val="20"/>
                <w:szCs w:val="20"/>
              </w:rPr>
              <w:t>不重要的合营企业</w:t>
            </w:r>
            <w:r>
              <w:rPr>
                <w:rFonts w:ascii="宋体" w:hAnsi="宋体" w:cs="宋体" w:eastAsia="宋体" w:hint="default"/>
                <w:sz w:val="20"/>
                <w:szCs w:val="20"/>
              </w:rPr>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0"/>
              <w:jc w:val="right"/>
              <w:rPr>
                <w:rFonts w:ascii="Arial" w:hAnsi="Arial" w:cs="Arial" w:eastAsia="Arial" w:hint="default"/>
                <w:sz w:val="20"/>
                <w:szCs w:val="20"/>
              </w:rPr>
            </w:pPr>
            <w:r>
              <w:rPr>
                <w:rFonts w:ascii="Arial"/>
                <w:w w:val="95"/>
                <w:sz w:val="20"/>
              </w:rPr>
              <w:t>20,000,000</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6"/>
              <w:jc w:val="right"/>
              <w:rPr>
                <w:rFonts w:ascii="Arial" w:hAnsi="Arial" w:cs="Arial" w:eastAsia="Arial" w:hint="default"/>
                <w:sz w:val="20"/>
                <w:szCs w:val="20"/>
              </w:rPr>
            </w:pPr>
            <w:r>
              <w:rPr>
                <w:rFonts w:ascii="Arial"/>
                <w:w w:val="99"/>
                <w:sz w:val="20"/>
              </w:rPr>
              <w:t>-</w:t>
            </w:r>
            <w:r>
              <w:rPr>
                <w:rFonts w:ascii="Arial"/>
                <w:sz w:val="20"/>
              </w:rPr>
            </w:r>
          </w:p>
        </w:tc>
      </w:tr>
      <w:tr>
        <w:trPr>
          <w:trHeight w:val="278"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33" w:lineRule="exact"/>
              <w:ind w:left="200" w:right="0"/>
              <w:jc w:val="left"/>
              <w:rPr>
                <w:rFonts w:ascii="宋体" w:hAnsi="宋体" w:cs="宋体" w:eastAsia="宋体" w:hint="default"/>
                <w:sz w:val="20"/>
                <w:szCs w:val="20"/>
              </w:rPr>
            </w:pPr>
            <w:r>
              <w:rPr>
                <w:rFonts w:ascii="宋体" w:hAnsi="宋体" w:cs="宋体" w:eastAsia="宋体" w:hint="default"/>
                <w:sz w:val="20"/>
                <w:szCs w:val="20"/>
              </w:rPr>
              <w:t>联营企业</w:t>
            </w:r>
          </w:p>
        </w:tc>
        <w:tc>
          <w:tcPr>
            <w:tcW w:w="2693"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nil" w:sz="6" w:space="0" w:color="auto"/>
              <w:right w:val="nil" w:sz="6" w:space="0" w:color="auto"/>
            </w:tcBorders>
          </w:tcPr>
          <w:p>
            <w:pPr/>
          </w:p>
        </w:tc>
      </w:tr>
      <w:tr>
        <w:trPr>
          <w:trHeight w:val="301"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59" w:lineRule="exact"/>
              <w:ind w:left="449"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重要的联营企业</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0"/>
              <w:jc w:val="right"/>
              <w:rPr>
                <w:rFonts w:ascii="Arial" w:hAnsi="Arial" w:cs="Arial" w:eastAsia="Arial" w:hint="default"/>
                <w:sz w:val="20"/>
                <w:szCs w:val="20"/>
              </w:rPr>
            </w:pPr>
            <w:r>
              <w:rPr>
                <w:rFonts w:ascii="Arial"/>
                <w:w w:val="95"/>
                <w:sz w:val="20"/>
              </w:rPr>
              <w:t>2,975,645,322</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56"/>
              <w:jc w:val="right"/>
              <w:rPr>
                <w:rFonts w:ascii="Arial" w:hAnsi="Arial" w:cs="Arial" w:eastAsia="Arial" w:hint="default"/>
                <w:sz w:val="20"/>
                <w:szCs w:val="20"/>
              </w:rPr>
            </w:pPr>
            <w:r>
              <w:rPr>
                <w:rFonts w:ascii="Arial"/>
                <w:w w:val="99"/>
                <w:sz w:val="20"/>
              </w:rPr>
              <w:t>-</w:t>
            </w:r>
            <w:r>
              <w:rPr>
                <w:rFonts w:ascii="Arial"/>
                <w:sz w:val="20"/>
              </w:rPr>
            </w:r>
          </w:p>
        </w:tc>
      </w:tr>
      <w:tr>
        <w:trPr>
          <w:trHeight w:val="559"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46" w:lineRule="exact"/>
              <w:ind w:right="1602"/>
              <w:jc w:val="right"/>
              <w:rPr>
                <w:rFonts w:ascii="宋体" w:hAnsi="宋体" w:cs="宋体" w:eastAsia="宋体" w:hint="default"/>
                <w:sz w:val="20"/>
                <w:szCs w:val="20"/>
              </w:rPr>
            </w:pPr>
            <w:r>
              <w:rPr>
                <w:rFonts w:ascii="Arial" w:hAnsi="Arial" w:cs="Arial" w:eastAsia="Arial" w:hint="default"/>
                <w:w w:val="95"/>
                <w:sz w:val="20"/>
                <w:szCs w:val="20"/>
              </w:rPr>
              <w:t>-</w:t>
            </w:r>
            <w:r>
              <w:rPr>
                <w:rFonts w:ascii="宋体" w:hAnsi="宋体" w:cs="宋体" w:eastAsia="宋体" w:hint="default"/>
                <w:w w:val="95"/>
                <w:sz w:val="20"/>
                <w:szCs w:val="20"/>
              </w:rPr>
              <w:t>不重要的联营企业</w:t>
            </w:r>
            <w:r>
              <w:rPr>
                <w:rFonts w:ascii="宋体" w:hAnsi="宋体" w:cs="宋体" w:eastAsia="宋体" w:hint="default"/>
                <w:sz w:val="20"/>
                <w:szCs w:val="20"/>
              </w:rPr>
            </w:r>
          </w:p>
        </w:tc>
        <w:tc>
          <w:tcPr>
            <w:tcW w:w="2693"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58"/>
              <w:jc w:val="right"/>
              <w:rPr>
                <w:rFonts w:ascii="Arial" w:hAnsi="Arial" w:cs="Arial" w:eastAsia="Arial" w:hint="default"/>
                <w:sz w:val="20"/>
                <w:szCs w:val="20"/>
              </w:rPr>
            </w:pPr>
            <w:r>
              <w:rPr>
                <w:rFonts w:ascii="Arial"/>
                <w:w w:val="95"/>
                <w:sz w:val="20"/>
              </w:rPr>
              <w:t>60,892,656</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57"/>
              <w:jc w:val="right"/>
              <w:rPr>
                <w:rFonts w:ascii="Arial" w:hAnsi="Arial" w:cs="Arial" w:eastAsia="Arial" w:hint="default"/>
                <w:sz w:val="20"/>
                <w:szCs w:val="20"/>
              </w:rPr>
            </w:pPr>
            <w:r>
              <w:rPr>
                <w:rFonts w:ascii="Arial"/>
                <w:w w:val="95"/>
                <w:sz w:val="20"/>
              </w:rPr>
              <w:t>29,660,859</w:t>
            </w:r>
            <w:r>
              <w:rPr>
                <w:rFonts w:ascii="Arial"/>
                <w:sz w:val="20"/>
              </w:rPr>
            </w:r>
          </w:p>
        </w:tc>
      </w:tr>
      <w:tr>
        <w:trPr>
          <w:trHeight w:val="466"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19"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2693"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60"/>
              <w:jc w:val="right"/>
              <w:rPr>
                <w:rFonts w:ascii="Arial" w:hAnsi="Arial" w:cs="Arial" w:eastAsia="Arial" w:hint="default"/>
                <w:sz w:val="20"/>
                <w:szCs w:val="20"/>
              </w:rPr>
            </w:pPr>
            <w:r>
              <w:rPr>
                <w:rFonts w:ascii="Arial"/>
                <w:w w:val="95"/>
                <w:sz w:val="20"/>
              </w:rPr>
              <w:t>3,056,537,978</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2664"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57"/>
              <w:jc w:val="right"/>
              <w:rPr>
                <w:rFonts w:ascii="Arial" w:hAnsi="Arial" w:cs="Arial" w:eastAsia="Arial" w:hint="default"/>
                <w:sz w:val="20"/>
                <w:szCs w:val="20"/>
              </w:rPr>
            </w:pPr>
            <w:r>
              <w:rPr>
                <w:rFonts w:ascii="Arial"/>
                <w:w w:val="95"/>
                <w:sz w:val="20"/>
              </w:rPr>
              <w:t>29,660,859</w:t>
            </w:r>
            <w:r>
              <w:rPr>
                <w:rFonts w:ascii="Arial"/>
                <w:sz w:val="20"/>
              </w:rPr>
            </w:r>
          </w:p>
        </w:tc>
      </w:tr>
      <w:tr>
        <w:trPr>
          <w:trHeight w:val="586"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00" w:right="0"/>
              <w:jc w:val="left"/>
              <w:rPr>
                <w:rFonts w:ascii="宋体" w:hAnsi="宋体" w:cs="宋体" w:eastAsia="宋体" w:hint="default"/>
                <w:sz w:val="20"/>
                <w:szCs w:val="20"/>
              </w:rPr>
            </w:pPr>
            <w:r>
              <w:rPr>
                <w:rFonts w:ascii="宋体" w:hAnsi="宋体" w:cs="宋体" w:eastAsia="宋体" w:hint="default"/>
                <w:sz w:val="20"/>
                <w:szCs w:val="20"/>
              </w:rPr>
              <w:t>减：减值准备</w:t>
            </w:r>
          </w:p>
        </w:tc>
        <w:tc>
          <w:tcPr>
            <w:tcW w:w="2693" w:type="dxa"/>
            <w:tcBorders>
              <w:top w:val="nil" w:sz="6" w:space="0" w:color="auto"/>
              <w:left w:val="nil" w:sz="6" w:space="0" w:color="auto"/>
              <w:bottom w:val="nil" w:sz="6" w:space="0" w:color="auto"/>
              <w:right w:val="nil" w:sz="6" w:space="0" w:color="auto"/>
            </w:tcBorders>
          </w:tcPr>
          <w:p>
            <w:pPr>
              <w:pStyle w:val="TableParagraph"/>
              <w:tabs>
                <w:tab w:pos="2565" w:val="left" w:leader="none"/>
                <w:tab w:pos="2693" w:val="left" w:leader="none"/>
              </w:tabs>
              <w:spacing w:line="240" w:lineRule="auto" w:before="176"/>
              <w:ind w:right="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sz w:val="20"/>
                <w:u w:val="single" w:color="000000"/>
              </w:rPr>
              <w:tab/>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nil" w:sz="6" w:space="0" w:color="auto"/>
              <w:right w:val="nil" w:sz="6" w:space="0" w:color="auto"/>
            </w:tcBorders>
          </w:tcPr>
          <w:p>
            <w:pPr>
              <w:pStyle w:val="TableParagraph"/>
              <w:tabs>
                <w:tab w:pos="2539" w:val="left" w:leader="none"/>
                <w:tab w:pos="2664" w:val="left" w:leader="none"/>
              </w:tabs>
              <w:spacing w:line="240" w:lineRule="auto" w:before="176"/>
              <w:ind w:right="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sz w:val="20"/>
                <w:u w:val="single" w:color="000000"/>
              </w:rPr>
              <w:tab/>
            </w:r>
            <w:r>
              <w:rPr>
                <w:rFonts w:ascii="Arial"/>
                <w:sz w:val="20"/>
              </w:rPr>
            </w:r>
          </w:p>
        </w:tc>
      </w:tr>
      <w:tr>
        <w:trPr>
          <w:trHeight w:val="407"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219"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1353" w:val="left" w:leader="none"/>
                <w:tab w:pos="2693" w:val="left" w:leader="none"/>
              </w:tabs>
              <w:spacing w:line="240" w:lineRule="auto"/>
              <w:ind w:left="-15" w:right="0"/>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3,056,537,978</w:t>
            </w:r>
            <w:r>
              <w:rPr>
                <w:rFonts w:ascii="Arial"/>
                <w:sz w:val="20"/>
                <w:u w:val="thick" w:color="000000"/>
              </w:rPr>
              <w:tab/>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1606" w:val="left" w:leader="none"/>
                <w:tab w:pos="2664" w:val="left" w:leader="none"/>
              </w:tabs>
              <w:spacing w:line="240" w:lineRule="auto"/>
              <w:ind w:left="-15" w:right="0"/>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29,660,859</w:t>
            </w:r>
            <w:r>
              <w:rPr>
                <w:rFonts w:ascii="Arial"/>
                <w:sz w:val="20"/>
                <w:u w:val="thick" w:color="000000"/>
              </w:rPr>
              <w:tab/>
            </w:r>
            <w:r>
              <w:rPr>
                <w:rFonts w:ascii="Arial"/>
                <w:sz w:val="20"/>
              </w:rPr>
            </w:r>
          </w:p>
        </w:tc>
      </w:tr>
    </w:tbl>
    <w:p>
      <w:pPr>
        <w:spacing w:line="240" w:lineRule="auto" w:before="2"/>
        <w:rPr>
          <w:rFonts w:ascii="宋体" w:hAnsi="宋体" w:cs="宋体" w:eastAsia="宋体" w:hint="default"/>
          <w:sz w:val="13"/>
          <w:szCs w:val="13"/>
        </w:rPr>
      </w:pPr>
    </w:p>
    <w:p>
      <w:pPr>
        <w:pStyle w:val="BodyText"/>
        <w:spacing w:line="240" w:lineRule="auto" w:before="32"/>
        <w:ind w:left="102" w:right="106"/>
        <w:jc w:val="left"/>
      </w:pPr>
      <w:r>
        <w:rPr>
          <w:rFonts w:ascii="Arial" w:hAnsi="Arial" w:cs="Arial" w:eastAsia="Arial" w:hint="default"/>
        </w:rPr>
        <w:t>3</w:t>
      </w:r>
      <w:r>
        <w:rPr/>
        <w:t>、</w:t>
      </w:r>
      <w:r>
        <w:rPr>
          <w:spacing w:val="-35"/>
        </w:rPr>
        <w:t> </w:t>
      </w:r>
      <w:r>
        <w:rPr/>
        <w:t>重要联营企业的主要财务信息：</w:t>
      </w:r>
    </w:p>
    <w:p>
      <w:pPr>
        <w:spacing w:line="240" w:lineRule="auto" w:before="9"/>
        <w:rPr>
          <w:rFonts w:ascii="宋体" w:hAnsi="宋体" w:cs="宋体" w:eastAsia="宋体" w:hint="default"/>
          <w:sz w:val="20"/>
          <w:szCs w:val="20"/>
        </w:rPr>
      </w:pPr>
    </w:p>
    <w:tbl>
      <w:tblPr>
        <w:tblW w:w="0" w:type="auto"/>
        <w:jc w:val="left"/>
        <w:tblInd w:w="404" w:type="dxa"/>
        <w:tblLayout w:type="fixed"/>
        <w:tblCellMar>
          <w:top w:w="0" w:type="dxa"/>
          <w:left w:w="0" w:type="dxa"/>
          <w:bottom w:w="0" w:type="dxa"/>
          <w:right w:w="0" w:type="dxa"/>
        </w:tblCellMar>
        <w:tblLook w:val="01E0"/>
      </w:tblPr>
      <w:tblGrid>
        <w:gridCol w:w="6362"/>
        <w:gridCol w:w="2758"/>
      </w:tblGrid>
      <w:tr>
        <w:trPr>
          <w:trHeight w:val="251" w:hRule="exact"/>
        </w:trPr>
        <w:tc>
          <w:tcPr>
            <w:tcW w:w="6362" w:type="dxa"/>
            <w:tcBorders>
              <w:top w:val="nil" w:sz="6" w:space="0" w:color="auto"/>
              <w:left w:val="nil" w:sz="6" w:space="0" w:color="auto"/>
              <w:bottom w:val="nil" w:sz="6" w:space="0" w:color="auto"/>
              <w:right w:val="nil" w:sz="6" w:space="0" w:color="auto"/>
            </w:tcBorders>
          </w:tcPr>
          <w:p>
            <w:pPr/>
          </w:p>
        </w:tc>
        <w:tc>
          <w:tcPr>
            <w:tcW w:w="2758" w:type="dxa"/>
            <w:tcBorders>
              <w:top w:val="nil" w:sz="6" w:space="0" w:color="auto"/>
              <w:left w:val="nil" w:sz="6" w:space="0" w:color="auto"/>
              <w:bottom w:val="single" w:sz="6" w:space="0" w:color="000000"/>
              <w:right w:val="nil" w:sz="6" w:space="0" w:color="auto"/>
            </w:tcBorders>
          </w:tcPr>
          <w:p>
            <w:pPr>
              <w:pStyle w:val="TableParagraph"/>
              <w:spacing w:line="21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铁塔公司</w:t>
            </w:r>
          </w:p>
        </w:tc>
      </w:tr>
      <w:tr>
        <w:trPr>
          <w:trHeight w:val="300" w:hRule="exact"/>
        </w:trPr>
        <w:tc>
          <w:tcPr>
            <w:tcW w:w="6362" w:type="dxa"/>
            <w:tcBorders>
              <w:top w:val="nil" w:sz="6" w:space="0" w:color="auto"/>
              <w:left w:val="nil" w:sz="6" w:space="0" w:color="auto"/>
              <w:bottom w:val="nil" w:sz="6" w:space="0" w:color="auto"/>
              <w:right w:val="nil" w:sz="6" w:space="0" w:color="auto"/>
            </w:tcBorders>
          </w:tcPr>
          <w:p>
            <w:pPr/>
          </w:p>
        </w:tc>
        <w:tc>
          <w:tcPr>
            <w:tcW w:w="2758" w:type="dxa"/>
            <w:tcBorders>
              <w:top w:val="single" w:sz="6" w:space="0" w:color="000000"/>
              <w:left w:val="nil" w:sz="6" w:space="0" w:color="auto"/>
              <w:bottom w:val="single" w:sz="6" w:space="0" w:color="000000"/>
              <w:right w:val="nil" w:sz="6" w:space="0" w:color="auto"/>
            </w:tcBorders>
          </w:tcPr>
          <w:p>
            <w:pPr>
              <w:pStyle w:val="TableParagraph"/>
              <w:spacing w:line="270" w:lineRule="exact"/>
              <w:ind w:right="103"/>
              <w:jc w:val="right"/>
              <w:rPr>
                <w:rFonts w:ascii="宋体" w:hAnsi="宋体" w:cs="宋体" w:eastAsia="宋体" w:hint="default"/>
                <w:sz w:val="21"/>
                <w:szCs w:val="21"/>
              </w:rPr>
            </w:pPr>
            <w:r>
              <w:rPr>
                <w:rFonts w:ascii="Arial" w:hAnsi="Arial" w:cs="Arial" w:eastAsia="Arial" w:hint="default"/>
                <w:spacing w:val="-1"/>
                <w:sz w:val="21"/>
                <w:szCs w:val="21"/>
              </w:rPr>
              <w:t>2014</w:t>
            </w:r>
            <w:r>
              <w:rPr>
                <w:rFonts w:ascii="宋体" w:hAnsi="宋体" w:cs="宋体" w:eastAsia="宋体" w:hint="default"/>
                <w:spacing w:val="-1"/>
                <w:sz w:val="21"/>
                <w:szCs w:val="21"/>
              </w:rPr>
              <w:t>年</w:t>
            </w:r>
          </w:p>
        </w:tc>
      </w:tr>
      <w:tr>
        <w:trPr>
          <w:trHeight w:val="561" w:hRule="exact"/>
        </w:trPr>
        <w:tc>
          <w:tcPr>
            <w:tcW w:w="63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2758"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07"/>
              <w:jc w:val="right"/>
              <w:rPr>
                <w:rFonts w:ascii="Arial" w:hAnsi="Arial" w:cs="Arial" w:eastAsia="Arial" w:hint="default"/>
                <w:sz w:val="20"/>
                <w:szCs w:val="20"/>
              </w:rPr>
            </w:pPr>
            <w:r>
              <w:rPr>
                <w:rFonts w:ascii="Arial"/>
                <w:w w:val="95"/>
                <w:sz w:val="20"/>
              </w:rPr>
              <w:t>9,676,033,459</w:t>
            </w:r>
            <w:r>
              <w:rPr>
                <w:rFonts w:ascii="Arial"/>
                <w:sz w:val="20"/>
              </w:rPr>
            </w:r>
          </w:p>
        </w:tc>
      </w:tr>
      <w:tr>
        <w:trPr>
          <w:trHeight w:val="433" w:hRule="exact"/>
        </w:trPr>
        <w:tc>
          <w:tcPr>
            <w:tcW w:w="6362"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2758" w:type="dxa"/>
            <w:tcBorders>
              <w:top w:val="nil" w:sz="6" w:space="0" w:color="auto"/>
              <w:left w:val="nil" w:sz="6" w:space="0" w:color="auto"/>
              <w:bottom w:val="nil" w:sz="6" w:space="0" w:color="auto"/>
              <w:right w:val="nil" w:sz="6" w:space="0" w:color="auto"/>
            </w:tcBorders>
          </w:tcPr>
          <w:p>
            <w:pPr>
              <w:pStyle w:val="TableParagraph"/>
              <w:tabs>
                <w:tab w:pos="1538" w:val="left" w:leader="none"/>
                <w:tab w:pos="2757" w:val="left" w:leader="none"/>
              </w:tabs>
              <w:spacing w:line="240" w:lineRule="auto" w:before="43"/>
              <w:ind w:right="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sz w:val="20"/>
                <w:u w:val="single" w:color="000000"/>
              </w:rPr>
              <w:t>453,516,188</w:t>
              <w:tab/>
            </w:r>
            <w:r>
              <w:rPr>
                <w:rFonts w:ascii="Arial"/>
                <w:spacing w:val="-1"/>
                <w:sz w:val="20"/>
              </w:rPr>
            </w:r>
          </w:p>
        </w:tc>
      </w:tr>
      <w:tr>
        <w:trPr>
          <w:trHeight w:val="554" w:hRule="exact"/>
        </w:trPr>
        <w:tc>
          <w:tcPr>
            <w:tcW w:w="6362"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00" w:right="0"/>
              <w:jc w:val="left"/>
              <w:rPr>
                <w:rFonts w:ascii="宋体" w:hAnsi="宋体" w:cs="宋体" w:eastAsia="宋体" w:hint="default"/>
                <w:sz w:val="20"/>
                <w:szCs w:val="20"/>
              </w:rPr>
            </w:pPr>
            <w:r>
              <w:rPr>
                <w:rFonts w:ascii="宋体" w:hAnsi="宋体" w:cs="宋体" w:eastAsia="宋体" w:hint="default"/>
                <w:sz w:val="20"/>
                <w:szCs w:val="20"/>
              </w:rPr>
              <w:t>资产合计</w:t>
            </w:r>
          </w:p>
        </w:tc>
        <w:tc>
          <w:tcPr>
            <w:tcW w:w="2758" w:type="dxa"/>
            <w:tcBorders>
              <w:top w:val="nil" w:sz="6" w:space="0" w:color="auto"/>
              <w:left w:val="nil" w:sz="6" w:space="0" w:color="auto"/>
              <w:bottom w:val="nil" w:sz="6" w:space="0" w:color="auto"/>
              <w:right w:val="nil" w:sz="6" w:space="0" w:color="auto"/>
            </w:tcBorders>
          </w:tcPr>
          <w:p>
            <w:pPr>
              <w:pStyle w:val="TableParagraph"/>
              <w:tabs>
                <w:tab w:pos="1259" w:val="left" w:leader="none"/>
                <w:tab w:pos="2757" w:val="left" w:leader="none"/>
              </w:tabs>
              <w:spacing w:line="240" w:lineRule="auto" w:before="162"/>
              <w:ind w:right="0"/>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10,129,549,647</w:t>
            </w:r>
            <w:r>
              <w:rPr>
                <w:rFonts w:ascii="Arial"/>
                <w:sz w:val="20"/>
                <w:u w:val="thick" w:color="000000"/>
              </w:rPr>
              <w:tab/>
            </w:r>
            <w:r>
              <w:rPr>
                <w:rFonts w:ascii="Arial"/>
                <w:sz w:val="20"/>
              </w:rPr>
            </w:r>
          </w:p>
        </w:tc>
      </w:tr>
      <w:tr>
        <w:trPr>
          <w:trHeight w:val="423" w:hRule="exact"/>
        </w:trPr>
        <w:tc>
          <w:tcPr>
            <w:tcW w:w="636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00"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108"/>
              <w:jc w:val="right"/>
              <w:rPr>
                <w:rFonts w:ascii="Arial" w:hAnsi="Arial" w:cs="Arial" w:eastAsia="Arial" w:hint="default"/>
                <w:sz w:val="20"/>
                <w:szCs w:val="20"/>
              </w:rPr>
            </w:pPr>
            <w:r>
              <w:rPr>
                <w:rFonts w:ascii="Arial"/>
                <w:spacing w:val="-1"/>
                <w:sz w:val="20"/>
              </w:rPr>
              <w:t>243,684,788</w:t>
            </w:r>
          </w:p>
        </w:tc>
      </w:tr>
      <w:tr>
        <w:trPr>
          <w:trHeight w:val="419" w:hRule="exact"/>
        </w:trPr>
        <w:tc>
          <w:tcPr>
            <w:tcW w:w="6362" w:type="dxa"/>
            <w:tcBorders>
              <w:top w:val="nil" w:sz="6" w:space="0" w:color="auto"/>
              <w:left w:val="nil" w:sz="6" w:space="0" w:color="auto"/>
              <w:bottom w:val="nil" w:sz="6" w:space="0" w:color="auto"/>
              <w:right w:val="nil" w:sz="6" w:space="0" w:color="auto"/>
            </w:tcBorders>
          </w:tcPr>
          <w:p>
            <w:pPr>
              <w:pStyle w:val="TableParagraph"/>
              <w:spacing w:line="232" w:lineRule="exact"/>
              <w:ind w:left="200"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2758" w:type="dxa"/>
            <w:tcBorders>
              <w:top w:val="nil" w:sz="6" w:space="0" w:color="auto"/>
              <w:left w:val="nil" w:sz="6" w:space="0" w:color="auto"/>
              <w:bottom w:val="nil" w:sz="6" w:space="0" w:color="auto"/>
              <w:right w:val="nil" w:sz="6" w:space="0" w:color="auto"/>
            </w:tcBorders>
          </w:tcPr>
          <w:p>
            <w:pPr>
              <w:pStyle w:val="TableParagraph"/>
              <w:tabs>
                <w:tab w:pos="2582" w:val="left" w:leader="none"/>
                <w:tab w:pos="2757" w:val="left" w:leader="none"/>
              </w:tabs>
              <w:spacing w:line="240" w:lineRule="auto" w:before="28"/>
              <w:ind w:right="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sz w:val="20"/>
                <w:u w:val="single" w:color="000000"/>
              </w:rPr>
              <w:tab/>
            </w:r>
            <w:r>
              <w:rPr>
                <w:rFonts w:ascii="Arial"/>
                <w:sz w:val="20"/>
              </w:rPr>
            </w:r>
          </w:p>
        </w:tc>
      </w:tr>
      <w:tr>
        <w:trPr>
          <w:trHeight w:val="409" w:hRule="exact"/>
        </w:trPr>
        <w:tc>
          <w:tcPr>
            <w:tcW w:w="636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2758" w:type="dxa"/>
            <w:tcBorders>
              <w:top w:val="nil" w:sz="6" w:space="0" w:color="auto"/>
              <w:left w:val="nil" w:sz="6" w:space="0" w:color="auto"/>
              <w:bottom w:val="single" w:sz="12" w:space="0" w:color="000000"/>
              <w:right w:val="nil" w:sz="6" w:space="0" w:color="auto"/>
            </w:tcBorders>
          </w:tcPr>
          <w:p>
            <w:pPr>
              <w:pStyle w:val="TableParagraph"/>
              <w:spacing w:line="240" w:lineRule="auto" w:before="161"/>
              <w:ind w:right="108"/>
              <w:jc w:val="right"/>
              <w:rPr>
                <w:rFonts w:ascii="Arial" w:hAnsi="Arial" w:cs="Arial" w:eastAsia="Arial" w:hint="default"/>
                <w:sz w:val="20"/>
                <w:szCs w:val="20"/>
              </w:rPr>
            </w:pPr>
            <w:r>
              <w:rPr>
                <w:rFonts w:ascii="Arial"/>
                <w:spacing w:val="-1"/>
                <w:sz w:val="20"/>
              </w:rPr>
              <w:t>243,684,788</w:t>
            </w:r>
          </w:p>
        </w:tc>
      </w:tr>
      <w:tr>
        <w:trPr>
          <w:trHeight w:val="545" w:hRule="exact"/>
        </w:trPr>
        <w:tc>
          <w:tcPr>
            <w:tcW w:w="63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0"/>
                <w:szCs w:val="20"/>
              </w:rPr>
            </w:pPr>
            <w:r>
              <w:rPr>
                <w:rFonts w:ascii="宋体" w:hAnsi="宋体" w:cs="宋体" w:eastAsia="宋体" w:hint="default"/>
                <w:sz w:val="20"/>
                <w:szCs w:val="20"/>
              </w:rPr>
              <w:t>净资产</w:t>
            </w:r>
          </w:p>
        </w:tc>
        <w:tc>
          <w:tcPr>
            <w:tcW w:w="27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7"/>
              <w:jc w:val="right"/>
              <w:rPr>
                <w:rFonts w:ascii="Arial" w:hAnsi="Arial" w:cs="Arial" w:eastAsia="Arial" w:hint="default"/>
                <w:sz w:val="20"/>
                <w:szCs w:val="20"/>
              </w:rPr>
            </w:pPr>
            <w:r>
              <w:rPr>
                <w:rFonts w:ascii="Arial"/>
                <w:w w:val="95"/>
                <w:sz w:val="20"/>
              </w:rPr>
              <w:t>9,885,864,859</w:t>
            </w:r>
            <w:r>
              <w:rPr>
                <w:rFonts w:ascii="Arial"/>
                <w:sz w:val="20"/>
              </w:rPr>
            </w:r>
          </w:p>
        </w:tc>
      </w:tr>
      <w:tr>
        <w:trPr>
          <w:trHeight w:val="527" w:hRule="exact"/>
        </w:trPr>
        <w:tc>
          <w:tcPr>
            <w:tcW w:w="636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2758" w:type="dxa"/>
            <w:tcBorders>
              <w:top w:val="single" w:sz="12"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Arial" w:hAnsi="Arial" w:cs="Arial" w:eastAsia="Arial" w:hint="default"/>
                <w:sz w:val="20"/>
                <w:szCs w:val="20"/>
              </w:rPr>
            </w:pPr>
            <w:r>
              <w:rPr>
                <w:rFonts w:ascii="Arial"/>
                <w:w w:val="99"/>
                <w:sz w:val="20"/>
              </w:rPr>
              <w:t>-</w:t>
            </w:r>
            <w:r>
              <w:rPr>
                <w:rFonts w:ascii="Arial"/>
                <w:sz w:val="20"/>
              </w:rPr>
            </w:r>
          </w:p>
        </w:tc>
      </w:tr>
      <w:tr>
        <w:trPr>
          <w:trHeight w:val="380" w:hRule="exact"/>
        </w:trPr>
        <w:tc>
          <w:tcPr>
            <w:tcW w:w="6362"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宋体" w:hAnsi="宋体" w:cs="宋体" w:eastAsia="宋体" w:hint="default"/>
                <w:sz w:val="20"/>
                <w:szCs w:val="20"/>
              </w:rPr>
            </w:pPr>
            <w:r>
              <w:rPr>
                <w:rFonts w:ascii="宋体" w:hAnsi="宋体" w:cs="宋体" w:eastAsia="宋体" w:hint="default"/>
                <w:sz w:val="20"/>
                <w:szCs w:val="20"/>
              </w:rPr>
              <w:t>归属于母公司股东权益</w:t>
            </w:r>
          </w:p>
        </w:tc>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8"/>
              <w:jc w:val="right"/>
              <w:rPr>
                <w:rFonts w:ascii="Arial" w:hAnsi="Arial" w:cs="Arial" w:eastAsia="Arial" w:hint="default"/>
                <w:sz w:val="20"/>
                <w:szCs w:val="20"/>
              </w:rPr>
            </w:pPr>
            <w:r>
              <w:rPr>
                <w:rFonts w:ascii="Arial"/>
                <w:spacing w:val="-1"/>
                <w:sz w:val="20"/>
              </w:rPr>
              <w:t>9,885,864,859</w:t>
            </w:r>
          </w:p>
        </w:tc>
      </w:tr>
      <w:tr>
        <w:trPr>
          <w:trHeight w:val="380" w:hRule="exact"/>
        </w:trPr>
        <w:tc>
          <w:tcPr>
            <w:tcW w:w="636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0" w:right="0"/>
              <w:jc w:val="left"/>
              <w:rPr>
                <w:rFonts w:ascii="宋体" w:hAnsi="宋体" w:cs="宋体" w:eastAsia="宋体" w:hint="default"/>
                <w:sz w:val="20"/>
                <w:szCs w:val="20"/>
              </w:rPr>
            </w:pPr>
            <w:r>
              <w:rPr>
                <w:rFonts w:ascii="宋体" w:hAnsi="宋体" w:cs="宋体" w:eastAsia="宋体" w:hint="default"/>
                <w:sz w:val="20"/>
                <w:szCs w:val="20"/>
              </w:rPr>
              <w:t>按持股比例计算的净资产份额</w:t>
            </w:r>
          </w:p>
        </w:tc>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7"/>
              <w:jc w:val="right"/>
              <w:rPr>
                <w:rFonts w:ascii="Arial" w:hAnsi="Arial" w:cs="Arial" w:eastAsia="Arial" w:hint="default"/>
                <w:sz w:val="20"/>
                <w:szCs w:val="20"/>
              </w:rPr>
            </w:pPr>
            <w:r>
              <w:rPr>
                <w:rFonts w:ascii="Arial"/>
                <w:w w:val="95"/>
                <w:sz w:val="20"/>
              </w:rPr>
              <w:t>2,975,645,322</w:t>
            </w:r>
            <w:r>
              <w:rPr>
                <w:rFonts w:ascii="Arial"/>
                <w:sz w:val="20"/>
              </w:rPr>
            </w:r>
          </w:p>
        </w:tc>
      </w:tr>
      <w:tr>
        <w:trPr>
          <w:trHeight w:val="384" w:hRule="exact"/>
        </w:trPr>
        <w:tc>
          <w:tcPr>
            <w:tcW w:w="6362"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宋体" w:hAnsi="宋体" w:cs="宋体" w:eastAsia="宋体" w:hint="default"/>
                <w:sz w:val="20"/>
                <w:szCs w:val="20"/>
              </w:rPr>
            </w:pPr>
            <w:r>
              <w:rPr>
                <w:rFonts w:ascii="宋体" w:hAnsi="宋体" w:cs="宋体" w:eastAsia="宋体" w:hint="default"/>
                <w:sz w:val="20"/>
                <w:szCs w:val="20"/>
              </w:rPr>
              <w:t>减：减值准备</w:t>
            </w:r>
          </w:p>
        </w:tc>
        <w:tc>
          <w:tcPr>
            <w:tcW w:w="2758" w:type="dxa"/>
            <w:tcBorders>
              <w:top w:val="nil" w:sz="6" w:space="0" w:color="auto"/>
              <w:left w:val="nil" w:sz="6" w:space="0" w:color="auto"/>
              <w:bottom w:val="nil" w:sz="6" w:space="0" w:color="auto"/>
              <w:right w:val="nil" w:sz="6" w:space="0" w:color="auto"/>
            </w:tcBorders>
          </w:tcPr>
          <w:p>
            <w:pPr>
              <w:pStyle w:val="TableParagraph"/>
              <w:tabs>
                <w:tab w:pos="2582" w:val="left" w:leader="none"/>
                <w:tab w:pos="2757" w:val="left" w:leader="none"/>
              </w:tabs>
              <w:spacing w:line="240" w:lineRule="auto" w:before="14"/>
              <w:ind w:right="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sz w:val="20"/>
                <w:u w:val="single" w:color="000000"/>
              </w:rPr>
              <w:tab/>
            </w:r>
            <w:r>
              <w:rPr>
                <w:rFonts w:ascii="Arial"/>
                <w:sz w:val="20"/>
              </w:rPr>
            </w:r>
          </w:p>
        </w:tc>
      </w:tr>
      <w:tr>
        <w:trPr>
          <w:trHeight w:val="521" w:hRule="exact"/>
        </w:trPr>
        <w:tc>
          <w:tcPr>
            <w:tcW w:w="6362"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00" w:right="0"/>
              <w:jc w:val="left"/>
              <w:rPr>
                <w:rFonts w:ascii="宋体" w:hAnsi="宋体" w:cs="宋体" w:eastAsia="宋体" w:hint="default"/>
                <w:sz w:val="20"/>
                <w:szCs w:val="20"/>
              </w:rPr>
            </w:pPr>
            <w:r>
              <w:rPr>
                <w:rFonts w:ascii="宋体" w:hAnsi="宋体" w:cs="宋体" w:eastAsia="宋体" w:hint="default"/>
                <w:sz w:val="20"/>
                <w:szCs w:val="20"/>
              </w:rPr>
              <w:t>对联营其他投资的账面价值</w:t>
            </w:r>
          </w:p>
        </w:tc>
        <w:tc>
          <w:tcPr>
            <w:tcW w:w="2758" w:type="dxa"/>
            <w:tcBorders>
              <w:top w:val="nil" w:sz="6" w:space="0" w:color="auto"/>
              <w:left w:val="nil" w:sz="6" w:space="0" w:color="auto"/>
              <w:bottom w:val="nil" w:sz="6" w:space="0" w:color="auto"/>
              <w:right w:val="nil" w:sz="6" w:space="0" w:color="auto"/>
            </w:tcBorders>
          </w:tcPr>
          <w:p>
            <w:pPr>
              <w:pStyle w:val="TableParagraph"/>
              <w:tabs>
                <w:tab w:pos="1370" w:val="left" w:leader="none"/>
                <w:tab w:pos="2757" w:val="left" w:leader="none"/>
              </w:tabs>
              <w:spacing w:line="240" w:lineRule="auto" w:before="142"/>
              <w:ind w:right="0"/>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2,975,645,322</w:t>
            </w:r>
            <w:r>
              <w:rPr>
                <w:rFonts w:ascii="Arial"/>
                <w:sz w:val="20"/>
                <w:u w:val="thick" w:color="000000"/>
              </w:rPr>
              <w:tab/>
            </w:r>
            <w:r>
              <w:rPr>
                <w:rFonts w:ascii="Arial"/>
                <w:sz w:val="20"/>
              </w:rPr>
            </w:r>
          </w:p>
        </w:tc>
      </w:tr>
      <w:tr>
        <w:trPr>
          <w:trHeight w:val="395" w:hRule="exact"/>
        </w:trPr>
        <w:tc>
          <w:tcPr>
            <w:tcW w:w="636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0"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08"/>
              <w:jc w:val="right"/>
              <w:rPr>
                <w:rFonts w:ascii="Arial" w:hAnsi="Arial" w:cs="Arial" w:eastAsia="Arial" w:hint="default"/>
                <w:sz w:val="20"/>
                <w:szCs w:val="20"/>
              </w:rPr>
            </w:pPr>
            <w:r>
              <w:rPr>
                <w:rFonts w:ascii="Arial"/>
                <w:spacing w:val="-1"/>
                <w:sz w:val="20"/>
              </w:rPr>
              <w:t>156,310</w:t>
            </w:r>
          </w:p>
        </w:tc>
      </w:tr>
      <w:tr>
        <w:trPr>
          <w:trHeight w:val="259" w:hRule="exact"/>
        </w:trPr>
        <w:tc>
          <w:tcPr>
            <w:tcW w:w="6362"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20"/>
                <w:szCs w:val="20"/>
              </w:rPr>
            </w:pPr>
            <w:r>
              <w:rPr>
                <w:rFonts w:ascii="宋体" w:hAnsi="宋体" w:cs="宋体" w:eastAsia="宋体" w:hint="default"/>
                <w:sz w:val="20"/>
                <w:szCs w:val="20"/>
              </w:rPr>
              <w:t>净亏损</w:t>
            </w:r>
          </w:p>
        </w:tc>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9"/>
              <w:jc w:val="right"/>
              <w:rPr>
                <w:rFonts w:ascii="Arial" w:hAnsi="Arial" w:cs="Arial" w:eastAsia="Arial" w:hint="default"/>
                <w:sz w:val="20"/>
                <w:szCs w:val="20"/>
              </w:rPr>
            </w:pPr>
            <w:r>
              <w:rPr>
                <w:rFonts w:ascii="Arial"/>
                <w:w w:val="95"/>
                <w:sz w:val="20"/>
              </w:rPr>
              <w:t>(114,135,141)</w:t>
            </w:r>
            <w:r>
              <w:rPr>
                <w:rFonts w:ascii="Arial"/>
                <w:sz w:val="20"/>
              </w:rPr>
            </w:r>
          </w:p>
        </w:tc>
      </w:tr>
      <w:tr>
        <w:trPr>
          <w:trHeight w:val="260" w:hRule="exact"/>
        </w:trPr>
        <w:tc>
          <w:tcPr>
            <w:tcW w:w="6362"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20"/>
                <w:szCs w:val="20"/>
              </w:rPr>
            </w:pPr>
            <w:r>
              <w:rPr>
                <w:rFonts w:ascii="Arial"/>
                <w:w w:val="99"/>
                <w:sz w:val="20"/>
              </w:rPr>
              <w:t>-</w:t>
            </w:r>
            <w:r>
              <w:rPr>
                <w:rFonts w:ascii="Arial"/>
                <w:sz w:val="20"/>
              </w:rPr>
            </w:r>
          </w:p>
        </w:tc>
      </w:tr>
      <w:tr>
        <w:trPr>
          <w:trHeight w:val="259" w:hRule="exact"/>
        </w:trPr>
        <w:tc>
          <w:tcPr>
            <w:tcW w:w="6362"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宋体" w:hAnsi="宋体" w:cs="宋体" w:eastAsia="宋体" w:hint="default"/>
                <w:sz w:val="20"/>
                <w:szCs w:val="20"/>
              </w:rPr>
            </w:pPr>
            <w:r>
              <w:rPr>
                <w:rFonts w:ascii="宋体" w:hAnsi="宋体" w:cs="宋体" w:eastAsia="宋体" w:hint="default"/>
                <w:sz w:val="20"/>
                <w:szCs w:val="20"/>
              </w:rPr>
              <w:t>综合收益总额</w:t>
            </w:r>
          </w:p>
        </w:tc>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
              <w:jc w:val="right"/>
              <w:rPr>
                <w:rFonts w:ascii="Arial" w:hAnsi="Arial" w:cs="Arial" w:eastAsia="Arial" w:hint="default"/>
                <w:sz w:val="20"/>
                <w:szCs w:val="20"/>
              </w:rPr>
            </w:pPr>
            <w:r>
              <w:rPr>
                <w:rFonts w:ascii="Arial"/>
                <w:w w:val="95"/>
                <w:sz w:val="20"/>
              </w:rPr>
              <w:t>(114,135,141)</w:t>
            </w:r>
            <w:r>
              <w:rPr>
                <w:rFonts w:ascii="Arial"/>
                <w:sz w:val="20"/>
              </w:rPr>
            </w:r>
          </w:p>
        </w:tc>
      </w:tr>
      <w:tr>
        <w:trPr>
          <w:trHeight w:val="250" w:hRule="exact"/>
        </w:trPr>
        <w:tc>
          <w:tcPr>
            <w:tcW w:w="6362"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宋体" w:hAnsi="宋体" w:cs="宋体" w:eastAsia="宋体" w:hint="default"/>
                <w:sz w:val="21"/>
                <w:szCs w:val="21"/>
              </w:rPr>
            </w:pPr>
            <w:r>
              <w:rPr>
                <w:rFonts w:ascii="宋体" w:hAnsi="宋体" w:cs="宋体" w:eastAsia="宋体" w:hint="default"/>
                <w:sz w:val="21"/>
                <w:szCs w:val="21"/>
              </w:rPr>
              <w:t>本期收到的来自联营企业的股利</w:t>
            </w:r>
          </w:p>
        </w:tc>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Arial" w:hAnsi="Arial" w:cs="Arial" w:eastAsia="Arial" w:hint="default"/>
                <w:sz w:val="21"/>
                <w:szCs w:val="21"/>
              </w:rPr>
            </w:pPr>
            <w:r>
              <w:rPr>
                <w:rFonts w:ascii="Arial"/>
                <w:w w:val="100"/>
                <w:sz w:val="21"/>
              </w:rPr>
              <w:t>-</w:t>
            </w:r>
          </w:p>
        </w:tc>
      </w:tr>
    </w:tbl>
    <w:p>
      <w:pPr>
        <w:spacing w:after="0" w:line="240" w:lineRule="auto"/>
        <w:jc w:val="right"/>
        <w:rPr>
          <w:rFonts w:ascii="Arial" w:hAnsi="Arial" w:cs="Arial" w:eastAsia="Arial" w:hint="default"/>
          <w:sz w:val="21"/>
          <w:szCs w:val="21"/>
        </w:rPr>
        <w:sectPr>
          <w:headerReference w:type="default" r:id="rId133"/>
          <w:pgSz w:w="11910" w:h="16840"/>
          <w:pgMar w:header="1181" w:footer="923" w:top="3000" w:bottom="1120" w:left="1280" w:right="940"/>
        </w:sectPr>
      </w:pPr>
    </w:p>
    <w:p>
      <w:pPr>
        <w:spacing w:line="240" w:lineRule="auto" w:before="0"/>
        <w:rPr>
          <w:rFonts w:ascii="宋体" w:hAnsi="宋体" w:cs="宋体" w:eastAsia="宋体" w:hint="default"/>
          <w:sz w:val="18"/>
          <w:szCs w:val="18"/>
        </w:rPr>
      </w:pPr>
    </w:p>
    <w:p>
      <w:pPr>
        <w:pStyle w:val="BodyText"/>
        <w:spacing w:line="240" w:lineRule="auto" w:before="32"/>
        <w:ind w:left="102" w:right="0"/>
        <w:jc w:val="left"/>
        <w:rPr>
          <w:rFonts w:ascii="黑体" w:hAnsi="黑体" w:cs="黑体" w:eastAsia="黑体" w:hint="default"/>
        </w:rPr>
      </w:pPr>
      <w:r>
        <w:rPr>
          <w:rFonts w:ascii="黑体" w:hAnsi="黑体" w:cs="黑体" w:eastAsia="黑体" w:hint="default"/>
        </w:rPr>
        <w:t>八</w:t>
      </w:r>
      <w:r>
        <w:rPr>
          <w:rFonts w:ascii="黑体" w:hAnsi="黑体" w:cs="黑体" w:eastAsia="黑体" w:hint="default"/>
          <w:spacing w:val="90"/>
        </w:rPr>
        <w:t> </w:t>
      </w:r>
      <w:r>
        <w:rPr>
          <w:rFonts w:ascii="黑体" w:hAnsi="黑体" w:cs="黑体" w:eastAsia="黑体" w:hint="default"/>
        </w:rPr>
        <w:t>金融工具及其风险</w:t>
      </w:r>
    </w:p>
    <w:p>
      <w:pPr>
        <w:spacing w:line="240" w:lineRule="auto" w:before="3"/>
        <w:rPr>
          <w:rFonts w:ascii="黑体" w:hAnsi="黑体" w:cs="黑体" w:eastAsia="黑体" w:hint="default"/>
          <w:sz w:val="19"/>
          <w:szCs w:val="19"/>
        </w:rPr>
      </w:pPr>
    </w:p>
    <w:p>
      <w:pPr>
        <w:pStyle w:val="BodyText"/>
        <w:spacing w:line="240" w:lineRule="auto"/>
        <w:ind w:left="102" w:right="0"/>
        <w:jc w:val="left"/>
      </w:pPr>
      <w:r>
        <w:rPr>
          <w:rFonts w:ascii="Arial" w:hAnsi="Arial" w:cs="Arial" w:eastAsia="Arial" w:hint="default"/>
        </w:rPr>
        <w:t>1</w:t>
      </w:r>
      <w:r>
        <w:rPr/>
        <w:t>、 金融风险因素</w:t>
      </w:r>
    </w:p>
    <w:p>
      <w:pPr>
        <w:spacing w:line="240" w:lineRule="auto" w:before="1"/>
        <w:rPr>
          <w:rFonts w:ascii="宋体" w:hAnsi="宋体" w:cs="宋体" w:eastAsia="宋体" w:hint="default"/>
          <w:sz w:val="18"/>
          <w:szCs w:val="18"/>
        </w:rPr>
      </w:pPr>
    </w:p>
    <w:p>
      <w:pPr>
        <w:pStyle w:val="BodyText"/>
        <w:spacing w:line="237" w:lineRule="auto"/>
        <w:ind w:left="580" w:right="113"/>
        <w:jc w:val="both"/>
      </w:pPr>
      <w:r>
        <w:rPr/>
        <w:t>本集团的经营活动会涉及各种金融风险，包括：市场风险（包括外汇风险、价格风险、现金流</w:t>
      </w:r>
      <w:r>
        <w:rPr>
          <w:spacing w:val="-78"/>
        </w:rPr>
        <w:t> </w:t>
      </w:r>
      <w:r>
        <w:rPr/>
        <w:t>量利率风险及公允价值利率风险），信用风险和流动性风险。本集团整体风险管理计划是针对</w:t>
      </w:r>
      <w:r>
        <w:rPr>
          <w:spacing w:val="-79"/>
        </w:rPr>
        <w:t> </w:t>
      </w:r>
      <w:r>
        <w:rPr>
          <w:spacing w:val="-79"/>
        </w:rPr>
      </w:r>
      <w:r>
        <w:rPr/>
        <w:t>金融市场的不可预见性，尽可能减少对本集团财务业绩的潜在不利影响。</w:t>
      </w:r>
    </w:p>
    <w:p>
      <w:pPr>
        <w:spacing w:line="240" w:lineRule="auto" w:before="1"/>
        <w:rPr>
          <w:rFonts w:ascii="宋体" w:hAnsi="宋体" w:cs="宋体" w:eastAsia="宋体" w:hint="default"/>
          <w:sz w:val="19"/>
          <w:szCs w:val="19"/>
        </w:rPr>
      </w:pPr>
    </w:p>
    <w:p>
      <w:pPr>
        <w:pStyle w:val="BodyText"/>
        <w:tabs>
          <w:tab w:pos="580" w:val="left" w:leader="none"/>
        </w:tabs>
        <w:spacing w:line="240" w:lineRule="auto"/>
        <w:ind w:left="102" w:right="0"/>
        <w:jc w:val="left"/>
      </w:pPr>
      <w:r>
        <w:rPr>
          <w:rFonts w:ascii="Arial" w:hAnsi="Arial" w:cs="Arial" w:eastAsia="Arial" w:hint="default"/>
        </w:rPr>
        <w:t>(a)</w:t>
        <w:tab/>
      </w:r>
      <w:r>
        <w:rPr/>
        <w:t>市场风险</w:t>
      </w:r>
    </w:p>
    <w:p>
      <w:pPr>
        <w:spacing w:line="240" w:lineRule="auto" w:before="12"/>
        <w:rPr>
          <w:rFonts w:ascii="宋体" w:hAnsi="宋体" w:cs="宋体" w:eastAsia="宋体" w:hint="default"/>
          <w:sz w:val="17"/>
          <w:szCs w:val="17"/>
        </w:rPr>
      </w:pPr>
    </w:p>
    <w:p>
      <w:pPr>
        <w:pStyle w:val="BodyText"/>
        <w:spacing w:line="240" w:lineRule="auto"/>
        <w:ind w:left="148" w:right="0"/>
        <w:jc w:val="left"/>
      </w:pPr>
      <w:r>
        <w:rPr>
          <w:rFonts w:ascii="Arial" w:hAnsi="Arial" w:cs="Arial" w:eastAsia="Arial" w:hint="default"/>
        </w:rPr>
        <w:t>(1) </w:t>
      </w:r>
      <w:r>
        <w:rPr>
          <w:rFonts w:ascii="Arial" w:hAnsi="Arial" w:cs="Arial" w:eastAsia="Arial" w:hint="default"/>
          <w:spacing w:val="43"/>
        </w:rPr>
        <w:t> </w:t>
      </w:r>
      <w:r>
        <w:rPr/>
        <w:t>汇率风险</w:t>
      </w:r>
    </w:p>
    <w:p>
      <w:pPr>
        <w:spacing w:line="240" w:lineRule="auto" w:before="3"/>
        <w:rPr>
          <w:rFonts w:ascii="宋体" w:hAnsi="宋体" w:cs="宋体" w:eastAsia="宋体" w:hint="default"/>
          <w:sz w:val="18"/>
          <w:szCs w:val="18"/>
        </w:rPr>
      </w:pPr>
    </w:p>
    <w:p>
      <w:pPr>
        <w:pStyle w:val="BodyText"/>
        <w:spacing w:line="237" w:lineRule="auto"/>
        <w:ind w:left="580" w:right="113"/>
        <w:jc w:val="both"/>
      </w:pPr>
      <w:r>
        <w:rPr/>
        <w:t>本集团的主要经营位于中国境内，主要业务也以人民币结算。但本集团承受因多种不同货币产</w:t>
      </w:r>
      <w:r>
        <w:rPr>
          <w:spacing w:val="-78"/>
        </w:rPr>
        <w:t> </w:t>
      </w:r>
      <w:r>
        <w:rPr/>
        <w:t>生的外汇风险，主要涉及美元、港币和欧元等，如以外币支付款项予设备供货商和承办商或贷</w:t>
      </w:r>
      <w:r>
        <w:rPr>
          <w:spacing w:val="-78"/>
        </w:rPr>
        <w:t> </w:t>
      </w:r>
      <w:r>
        <w:rPr/>
        <w:t>款人等情况下，即存在外汇风险。</w:t>
      </w:r>
    </w:p>
    <w:p>
      <w:pPr>
        <w:spacing w:line="240" w:lineRule="auto" w:before="1"/>
        <w:rPr>
          <w:rFonts w:ascii="宋体" w:hAnsi="宋体" w:cs="宋体" w:eastAsia="宋体" w:hint="default"/>
          <w:sz w:val="20"/>
          <w:szCs w:val="20"/>
        </w:rPr>
      </w:pPr>
    </w:p>
    <w:p>
      <w:pPr>
        <w:pStyle w:val="BodyText"/>
        <w:spacing w:line="230" w:lineRule="auto"/>
        <w:ind w:left="580" w:right="113"/>
        <w:jc w:val="both"/>
      </w:pPr>
      <w:r>
        <w:rPr/>
        <w:t>本集团总部财务部门负责监管集团外币资产及负债规模。本集团可能签署远期外汇合约或货币</w:t>
      </w:r>
      <w:r>
        <w:rPr>
          <w:spacing w:val="-78"/>
        </w:rPr>
        <w:t> </w:t>
      </w:r>
      <w:r>
        <w:rPr>
          <w:spacing w:val="-3"/>
        </w:rPr>
        <w:t>掉期合约以规避外汇风险。于</w:t>
      </w:r>
      <w:r>
        <w:rPr>
          <w:rFonts w:ascii="Arial" w:hAnsi="Arial" w:cs="Arial" w:eastAsia="Arial" w:hint="default"/>
          <w:spacing w:val="-3"/>
        </w:rPr>
        <w:t>2014</w:t>
      </w:r>
      <w:r>
        <w:rPr>
          <w:spacing w:val="-3"/>
        </w:rPr>
        <w:t>年度及</w:t>
      </w:r>
      <w:r>
        <w:rPr>
          <w:rFonts w:ascii="Arial" w:hAnsi="Arial" w:cs="Arial" w:eastAsia="Arial" w:hint="default"/>
          <w:spacing w:val="-3"/>
        </w:rPr>
        <w:t>2013</w:t>
      </w:r>
      <w:r>
        <w:rPr>
          <w:spacing w:val="-3"/>
        </w:rPr>
        <w:t>年度，本集团未签署任何远期外汇合约或货币掉</w:t>
      </w:r>
      <w:r>
        <w:rPr>
          <w:spacing w:val="-53"/>
        </w:rPr>
        <w:t> </w:t>
      </w:r>
      <w:r>
        <w:rPr>
          <w:spacing w:val="-53"/>
        </w:rPr>
      </w:r>
      <w:r>
        <w:rPr/>
        <w:t>期合约。</w:t>
      </w:r>
    </w:p>
    <w:p>
      <w:pPr>
        <w:spacing w:line="240" w:lineRule="auto" w:before="5"/>
        <w:rPr>
          <w:rFonts w:ascii="宋体" w:hAnsi="宋体" w:cs="宋体" w:eastAsia="宋体" w:hint="default"/>
          <w:sz w:val="19"/>
          <w:szCs w:val="19"/>
        </w:rPr>
      </w:pPr>
    </w:p>
    <w:p>
      <w:pPr>
        <w:pStyle w:val="BodyText"/>
        <w:spacing w:line="240" w:lineRule="auto"/>
        <w:ind w:left="580" w:right="0"/>
        <w:jc w:val="both"/>
      </w:pPr>
      <w:r>
        <w:rPr/>
        <w:t>本集团适用的折算汇率分析如下：</w:t>
      </w:r>
    </w:p>
    <w:p>
      <w:pPr>
        <w:spacing w:line="240" w:lineRule="auto" w:before="8"/>
        <w:rPr>
          <w:rFonts w:ascii="宋体" w:hAnsi="宋体" w:cs="宋体" w:eastAsia="宋体" w:hint="default"/>
          <w:sz w:val="24"/>
          <w:szCs w:val="24"/>
        </w:rPr>
      </w:pPr>
    </w:p>
    <w:tbl>
      <w:tblPr>
        <w:tblW w:w="0" w:type="auto"/>
        <w:jc w:val="left"/>
        <w:tblInd w:w="363" w:type="dxa"/>
        <w:tblLayout w:type="fixed"/>
        <w:tblCellMar>
          <w:top w:w="0" w:type="dxa"/>
          <w:left w:w="0" w:type="dxa"/>
          <w:bottom w:w="0" w:type="dxa"/>
          <w:right w:w="0" w:type="dxa"/>
        </w:tblCellMar>
        <w:tblLook w:val="01E0"/>
      </w:tblPr>
      <w:tblGrid>
        <w:gridCol w:w="3717"/>
        <w:gridCol w:w="2693"/>
        <w:gridCol w:w="134"/>
        <w:gridCol w:w="2664"/>
      </w:tblGrid>
      <w:tr>
        <w:trPr>
          <w:trHeight w:val="262"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22"/>
                <w:szCs w:val="22"/>
              </w:rPr>
            </w:pPr>
            <w:r>
              <w:rPr>
                <w:rFonts w:ascii="宋体" w:hAnsi="宋体" w:cs="宋体" w:eastAsia="宋体" w:hint="default"/>
                <w:sz w:val="22"/>
                <w:szCs w:val="22"/>
              </w:rPr>
              <w:t>币种</w:t>
            </w:r>
          </w:p>
        </w:tc>
        <w:tc>
          <w:tcPr>
            <w:tcW w:w="2693" w:type="dxa"/>
            <w:tcBorders>
              <w:top w:val="nil" w:sz="6" w:space="0" w:color="auto"/>
              <w:left w:val="nil" w:sz="6" w:space="0" w:color="auto"/>
              <w:bottom w:val="single" w:sz="4" w:space="0" w:color="000000"/>
              <w:right w:val="nil" w:sz="6" w:space="0" w:color="auto"/>
            </w:tcBorders>
          </w:tcPr>
          <w:p>
            <w:pPr>
              <w:pStyle w:val="TableParagraph"/>
              <w:spacing w:line="236" w:lineRule="exact"/>
              <w:ind w:right="55"/>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34"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single" w:sz="4" w:space="0" w:color="000000"/>
              <w:right w:val="nil" w:sz="6" w:space="0" w:color="auto"/>
            </w:tcBorders>
          </w:tcPr>
          <w:p>
            <w:pPr>
              <w:pStyle w:val="TableParagraph"/>
              <w:spacing w:line="236" w:lineRule="exact"/>
              <w:ind w:right="54"/>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478"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20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693" w:type="dxa"/>
            <w:tcBorders>
              <w:top w:val="single" w:sz="4" w:space="0" w:color="000000"/>
              <w:left w:val="nil" w:sz="6" w:space="0" w:color="auto"/>
              <w:bottom w:val="nil" w:sz="6" w:space="0" w:color="auto"/>
              <w:right w:val="nil" w:sz="6" w:space="0" w:color="auto"/>
            </w:tcBorders>
          </w:tcPr>
          <w:p>
            <w:pPr>
              <w:pStyle w:val="TableParagraph"/>
              <w:spacing w:line="240" w:lineRule="auto" w:before="153"/>
              <w:ind w:right="55"/>
              <w:jc w:val="right"/>
              <w:rPr>
                <w:rFonts w:ascii="宋体" w:hAnsi="宋体" w:cs="宋体" w:eastAsia="宋体" w:hint="default"/>
                <w:sz w:val="21"/>
                <w:szCs w:val="21"/>
              </w:rPr>
            </w:pPr>
            <w:r>
              <w:rPr>
                <w:rFonts w:ascii="Arial" w:hAnsi="Arial" w:cs="Arial" w:eastAsia="Arial" w:hint="default"/>
                <w:sz w:val="21"/>
                <w:szCs w:val="21"/>
              </w:rPr>
              <w:t>1 </w:t>
            </w:r>
            <w:r>
              <w:rPr>
                <w:rFonts w:ascii="宋体" w:hAnsi="宋体" w:cs="宋体" w:eastAsia="宋体" w:hint="default"/>
                <w:sz w:val="21"/>
                <w:szCs w:val="21"/>
              </w:rPr>
              <w:t>美元</w:t>
            </w:r>
            <w:r>
              <w:rPr>
                <w:rFonts w:ascii="Arial" w:hAnsi="Arial" w:cs="Arial" w:eastAsia="Arial" w:hint="default"/>
                <w:sz w:val="21"/>
                <w:szCs w:val="21"/>
              </w:rPr>
              <w:t>=6.1190</w:t>
            </w:r>
            <w:r>
              <w:rPr>
                <w:rFonts w:ascii="Arial" w:hAnsi="Arial" w:cs="Arial" w:eastAsia="Arial" w:hint="default"/>
                <w:spacing w:val="-11"/>
                <w:sz w:val="21"/>
                <w:szCs w:val="21"/>
              </w:rPr>
              <w:t> </w:t>
            </w:r>
            <w:r>
              <w:rPr>
                <w:rFonts w:ascii="宋体" w:hAnsi="宋体" w:cs="宋体" w:eastAsia="宋体" w:hint="default"/>
                <w:sz w:val="21"/>
                <w:szCs w:val="21"/>
              </w:rPr>
              <w:t>人民币</w:t>
            </w:r>
          </w:p>
        </w:tc>
        <w:tc>
          <w:tcPr>
            <w:tcW w:w="134" w:type="dxa"/>
            <w:tcBorders>
              <w:top w:val="nil" w:sz="6" w:space="0" w:color="auto"/>
              <w:left w:val="nil" w:sz="6" w:space="0" w:color="auto"/>
              <w:bottom w:val="nil" w:sz="6" w:space="0" w:color="auto"/>
              <w:right w:val="nil" w:sz="6" w:space="0" w:color="auto"/>
            </w:tcBorders>
          </w:tcPr>
          <w:p>
            <w:pPr/>
          </w:p>
        </w:tc>
        <w:tc>
          <w:tcPr>
            <w:tcW w:w="2664" w:type="dxa"/>
            <w:tcBorders>
              <w:top w:val="single" w:sz="4" w:space="0" w:color="000000"/>
              <w:left w:val="nil" w:sz="6" w:space="0" w:color="auto"/>
              <w:bottom w:val="nil" w:sz="6" w:space="0" w:color="auto"/>
              <w:right w:val="nil" w:sz="6" w:space="0" w:color="auto"/>
            </w:tcBorders>
          </w:tcPr>
          <w:p>
            <w:pPr>
              <w:pStyle w:val="TableParagraph"/>
              <w:spacing w:line="240" w:lineRule="auto" w:before="153"/>
              <w:ind w:right="52"/>
              <w:jc w:val="right"/>
              <w:rPr>
                <w:rFonts w:ascii="宋体" w:hAnsi="宋体" w:cs="宋体" w:eastAsia="宋体" w:hint="default"/>
                <w:sz w:val="21"/>
                <w:szCs w:val="21"/>
              </w:rPr>
            </w:pPr>
            <w:r>
              <w:rPr>
                <w:rFonts w:ascii="Arial" w:hAnsi="Arial" w:cs="Arial" w:eastAsia="Arial" w:hint="default"/>
                <w:sz w:val="21"/>
                <w:szCs w:val="21"/>
              </w:rPr>
              <w:t>1 </w:t>
            </w:r>
            <w:r>
              <w:rPr>
                <w:rFonts w:ascii="宋体" w:hAnsi="宋体" w:cs="宋体" w:eastAsia="宋体" w:hint="default"/>
                <w:sz w:val="21"/>
                <w:szCs w:val="21"/>
              </w:rPr>
              <w:t>美元</w:t>
            </w:r>
            <w:r>
              <w:rPr>
                <w:rFonts w:ascii="Arial" w:hAnsi="Arial" w:cs="Arial" w:eastAsia="Arial" w:hint="default"/>
                <w:sz w:val="21"/>
                <w:szCs w:val="21"/>
              </w:rPr>
              <w:t>=6.0969</w:t>
            </w:r>
            <w:r>
              <w:rPr>
                <w:rFonts w:ascii="Arial" w:hAnsi="Arial" w:cs="Arial" w:eastAsia="Arial" w:hint="default"/>
                <w:spacing w:val="-11"/>
                <w:sz w:val="21"/>
                <w:szCs w:val="21"/>
              </w:rPr>
              <w:t> </w:t>
            </w:r>
            <w:r>
              <w:rPr>
                <w:rFonts w:ascii="宋体" w:hAnsi="宋体" w:cs="宋体" w:eastAsia="宋体" w:hint="default"/>
                <w:sz w:val="21"/>
                <w:szCs w:val="21"/>
              </w:rPr>
              <w:t>人民币</w:t>
            </w:r>
          </w:p>
        </w:tc>
      </w:tr>
      <w:tr>
        <w:trPr>
          <w:trHeight w:val="290"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693" w:type="dxa"/>
            <w:tcBorders>
              <w:top w:val="nil" w:sz="6" w:space="0" w:color="auto"/>
              <w:left w:val="nil" w:sz="6" w:space="0" w:color="auto"/>
              <w:bottom w:val="nil" w:sz="6" w:space="0" w:color="auto"/>
              <w:right w:val="nil" w:sz="6" w:space="0" w:color="auto"/>
            </w:tcBorders>
          </w:tcPr>
          <w:p>
            <w:pPr>
              <w:pStyle w:val="TableParagraph"/>
              <w:spacing w:line="260" w:lineRule="exact"/>
              <w:ind w:right="55"/>
              <w:jc w:val="right"/>
              <w:rPr>
                <w:rFonts w:ascii="宋体" w:hAnsi="宋体" w:cs="宋体" w:eastAsia="宋体" w:hint="default"/>
                <w:sz w:val="21"/>
                <w:szCs w:val="21"/>
              </w:rPr>
            </w:pPr>
            <w:r>
              <w:rPr>
                <w:rFonts w:ascii="Arial" w:hAnsi="Arial" w:cs="Arial" w:eastAsia="Arial" w:hint="default"/>
                <w:sz w:val="21"/>
                <w:szCs w:val="21"/>
              </w:rPr>
              <w:t>1 </w:t>
            </w:r>
            <w:r>
              <w:rPr>
                <w:rFonts w:ascii="宋体" w:hAnsi="宋体" w:cs="宋体" w:eastAsia="宋体" w:hint="default"/>
                <w:sz w:val="21"/>
                <w:szCs w:val="21"/>
              </w:rPr>
              <w:t>港币</w:t>
            </w:r>
            <w:r>
              <w:rPr>
                <w:rFonts w:ascii="Arial" w:hAnsi="Arial" w:cs="Arial" w:eastAsia="Arial" w:hint="default"/>
                <w:sz w:val="21"/>
                <w:szCs w:val="21"/>
              </w:rPr>
              <w:t>=0.7889</w:t>
            </w:r>
            <w:r>
              <w:rPr>
                <w:rFonts w:ascii="Arial" w:hAnsi="Arial" w:cs="Arial" w:eastAsia="Arial" w:hint="default"/>
                <w:spacing w:val="-11"/>
                <w:sz w:val="21"/>
                <w:szCs w:val="21"/>
              </w:rPr>
              <w:t> </w:t>
            </w:r>
            <w:r>
              <w:rPr>
                <w:rFonts w:ascii="宋体" w:hAnsi="宋体" w:cs="宋体" w:eastAsia="宋体" w:hint="default"/>
                <w:sz w:val="21"/>
                <w:szCs w:val="21"/>
              </w:rPr>
              <w:t>人民币</w:t>
            </w:r>
          </w:p>
        </w:tc>
        <w:tc>
          <w:tcPr>
            <w:tcW w:w="134"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nil" w:sz="6" w:space="0" w:color="auto"/>
              <w:right w:val="nil" w:sz="6" w:space="0" w:color="auto"/>
            </w:tcBorders>
          </w:tcPr>
          <w:p>
            <w:pPr>
              <w:pStyle w:val="TableParagraph"/>
              <w:spacing w:line="260" w:lineRule="exact"/>
              <w:ind w:right="52"/>
              <w:jc w:val="right"/>
              <w:rPr>
                <w:rFonts w:ascii="宋体" w:hAnsi="宋体" w:cs="宋体" w:eastAsia="宋体" w:hint="default"/>
                <w:sz w:val="21"/>
                <w:szCs w:val="21"/>
              </w:rPr>
            </w:pPr>
            <w:r>
              <w:rPr>
                <w:rFonts w:ascii="Arial" w:hAnsi="Arial" w:cs="Arial" w:eastAsia="Arial" w:hint="default"/>
                <w:sz w:val="21"/>
                <w:szCs w:val="21"/>
              </w:rPr>
              <w:t>1 </w:t>
            </w:r>
            <w:r>
              <w:rPr>
                <w:rFonts w:ascii="宋体" w:hAnsi="宋体" w:cs="宋体" w:eastAsia="宋体" w:hint="default"/>
                <w:sz w:val="21"/>
                <w:szCs w:val="21"/>
              </w:rPr>
              <w:t>港币</w:t>
            </w:r>
            <w:r>
              <w:rPr>
                <w:rFonts w:ascii="Arial" w:hAnsi="Arial" w:cs="Arial" w:eastAsia="Arial" w:hint="default"/>
                <w:sz w:val="21"/>
                <w:szCs w:val="21"/>
              </w:rPr>
              <w:t>=0.7862</w:t>
            </w:r>
            <w:r>
              <w:rPr>
                <w:rFonts w:ascii="Arial" w:hAnsi="Arial" w:cs="Arial" w:eastAsia="Arial" w:hint="default"/>
                <w:spacing w:val="-11"/>
                <w:sz w:val="21"/>
                <w:szCs w:val="21"/>
              </w:rPr>
              <w:t> </w:t>
            </w:r>
            <w:r>
              <w:rPr>
                <w:rFonts w:ascii="宋体" w:hAnsi="宋体" w:cs="宋体" w:eastAsia="宋体" w:hint="default"/>
                <w:sz w:val="21"/>
                <w:szCs w:val="21"/>
              </w:rPr>
              <w:t>人民币</w:t>
            </w:r>
          </w:p>
        </w:tc>
      </w:tr>
      <w:tr>
        <w:trPr>
          <w:trHeight w:val="290"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693" w:type="dxa"/>
            <w:tcBorders>
              <w:top w:val="nil" w:sz="6" w:space="0" w:color="auto"/>
              <w:left w:val="nil" w:sz="6" w:space="0" w:color="auto"/>
              <w:bottom w:val="nil" w:sz="6" w:space="0" w:color="auto"/>
              <w:right w:val="nil" w:sz="6" w:space="0" w:color="auto"/>
            </w:tcBorders>
          </w:tcPr>
          <w:p>
            <w:pPr>
              <w:pStyle w:val="TableParagraph"/>
              <w:spacing w:line="260" w:lineRule="exact"/>
              <w:ind w:right="55"/>
              <w:jc w:val="right"/>
              <w:rPr>
                <w:rFonts w:ascii="宋体" w:hAnsi="宋体" w:cs="宋体" w:eastAsia="宋体" w:hint="default"/>
                <w:sz w:val="21"/>
                <w:szCs w:val="21"/>
              </w:rPr>
            </w:pPr>
            <w:r>
              <w:rPr>
                <w:rFonts w:ascii="Arial" w:hAnsi="Arial" w:cs="Arial" w:eastAsia="Arial" w:hint="default"/>
                <w:sz w:val="21"/>
                <w:szCs w:val="21"/>
              </w:rPr>
              <w:t>1 </w:t>
            </w:r>
            <w:r>
              <w:rPr>
                <w:rFonts w:ascii="宋体" w:hAnsi="宋体" w:cs="宋体" w:eastAsia="宋体" w:hint="default"/>
                <w:sz w:val="21"/>
                <w:szCs w:val="21"/>
              </w:rPr>
              <w:t>欧元</w:t>
            </w:r>
            <w:r>
              <w:rPr>
                <w:rFonts w:ascii="Arial" w:hAnsi="Arial" w:cs="Arial" w:eastAsia="Arial" w:hint="default"/>
                <w:sz w:val="21"/>
                <w:szCs w:val="21"/>
              </w:rPr>
              <w:t>=7.4556</w:t>
            </w:r>
            <w:r>
              <w:rPr>
                <w:rFonts w:ascii="Arial" w:hAnsi="Arial" w:cs="Arial" w:eastAsia="Arial" w:hint="default"/>
                <w:spacing w:val="-11"/>
                <w:sz w:val="21"/>
                <w:szCs w:val="21"/>
              </w:rPr>
              <w:t> </w:t>
            </w:r>
            <w:r>
              <w:rPr>
                <w:rFonts w:ascii="宋体" w:hAnsi="宋体" w:cs="宋体" w:eastAsia="宋体" w:hint="default"/>
                <w:sz w:val="21"/>
                <w:szCs w:val="21"/>
              </w:rPr>
              <w:t>人民币</w:t>
            </w:r>
          </w:p>
        </w:tc>
        <w:tc>
          <w:tcPr>
            <w:tcW w:w="134"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nil" w:sz="6" w:space="0" w:color="auto"/>
              <w:right w:val="nil" w:sz="6" w:space="0" w:color="auto"/>
            </w:tcBorders>
          </w:tcPr>
          <w:p>
            <w:pPr>
              <w:pStyle w:val="TableParagraph"/>
              <w:spacing w:line="260" w:lineRule="exact"/>
              <w:ind w:right="52"/>
              <w:jc w:val="righ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欧元</w:t>
            </w:r>
            <w:r>
              <w:rPr>
                <w:rFonts w:ascii="宋体" w:hAnsi="宋体" w:cs="宋体" w:eastAsia="宋体" w:hint="default"/>
                <w:spacing w:val="-52"/>
                <w:sz w:val="21"/>
                <w:szCs w:val="21"/>
              </w:rPr>
              <w:t> </w:t>
            </w:r>
            <w:r>
              <w:rPr>
                <w:rFonts w:ascii="Arial" w:hAnsi="Arial" w:cs="Arial" w:eastAsia="Arial" w:hint="default"/>
                <w:sz w:val="21"/>
                <w:szCs w:val="21"/>
              </w:rPr>
              <w:t>8.4189</w:t>
            </w:r>
            <w:r>
              <w:rPr>
                <w:rFonts w:ascii="Arial" w:hAnsi="Arial" w:cs="Arial" w:eastAsia="Arial" w:hint="default"/>
                <w:spacing w:val="-8"/>
                <w:sz w:val="21"/>
                <w:szCs w:val="21"/>
              </w:rPr>
              <w:t> </w:t>
            </w:r>
            <w:r>
              <w:rPr>
                <w:rFonts w:ascii="宋体" w:hAnsi="宋体" w:cs="宋体" w:eastAsia="宋体" w:hint="default"/>
                <w:sz w:val="21"/>
                <w:szCs w:val="21"/>
              </w:rPr>
              <w:t>人民币</w:t>
            </w:r>
          </w:p>
        </w:tc>
      </w:tr>
      <w:tr>
        <w:trPr>
          <w:trHeight w:val="290"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693" w:type="dxa"/>
            <w:tcBorders>
              <w:top w:val="nil" w:sz="6" w:space="0" w:color="auto"/>
              <w:left w:val="nil" w:sz="6" w:space="0" w:color="auto"/>
              <w:bottom w:val="nil" w:sz="6" w:space="0" w:color="auto"/>
              <w:right w:val="nil" w:sz="6" w:space="0" w:color="auto"/>
            </w:tcBorders>
          </w:tcPr>
          <w:p>
            <w:pPr>
              <w:pStyle w:val="TableParagraph"/>
              <w:spacing w:line="260" w:lineRule="exact"/>
              <w:ind w:right="55"/>
              <w:jc w:val="right"/>
              <w:rPr>
                <w:rFonts w:ascii="宋体" w:hAnsi="宋体" w:cs="宋体" w:eastAsia="宋体" w:hint="default"/>
                <w:sz w:val="21"/>
                <w:szCs w:val="21"/>
              </w:rPr>
            </w:pPr>
            <w:r>
              <w:rPr>
                <w:rFonts w:ascii="Arial" w:hAnsi="Arial" w:cs="Arial" w:eastAsia="Arial" w:hint="default"/>
                <w:sz w:val="21"/>
                <w:szCs w:val="21"/>
              </w:rPr>
              <w:t>1 </w:t>
            </w:r>
            <w:r>
              <w:rPr>
                <w:rFonts w:ascii="宋体" w:hAnsi="宋体" w:cs="宋体" w:eastAsia="宋体" w:hint="default"/>
                <w:sz w:val="21"/>
                <w:szCs w:val="21"/>
              </w:rPr>
              <w:t>日元</w:t>
            </w:r>
            <w:r>
              <w:rPr>
                <w:rFonts w:ascii="Arial" w:hAnsi="Arial" w:cs="Arial" w:eastAsia="Arial" w:hint="default"/>
                <w:sz w:val="21"/>
                <w:szCs w:val="21"/>
              </w:rPr>
              <w:t>=0.0514</w:t>
            </w:r>
            <w:r>
              <w:rPr>
                <w:rFonts w:ascii="Arial" w:hAnsi="Arial" w:cs="Arial" w:eastAsia="Arial" w:hint="default"/>
                <w:spacing w:val="-11"/>
                <w:sz w:val="21"/>
                <w:szCs w:val="21"/>
              </w:rPr>
              <w:t> </w:t>
            </w:r>
            <w:r>
              <w:rPr>
                <w:rFonts w:ascii="宋体" w:hAnsi="宋体" w:cs="宋体" w:eastAsia="宋体" w:hint="default"/>
                <w:sz w:val="21"/>
                <w:szCs w:val="21"/>
              </w:rPr>
              <w:t>人民币</w:t>
            </w:r>
          </w:p>
        </w:tc>
        <w:tc>
          <w:tcPr>
            <w:tcW w:w="134"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nil" w:sz="6" w:space="0" w:color="auto"/>
              <w:right w:val="nil" w:sz="6" w:space="0" w:color="auto"/>
            </w:tcBorders>
          </w:tcPr>
          <w:p>
            <w:pPr>
              <w:pStyle w:val="TableParagraph"/>
              <w:spacing w:line="260" w:lineRule="exact"/>
              <w:ind w:right="52"/>
              <w:jc w:val="right"/>
              <w:rPr>
                <w:rFonts w:ascii="宋体" w:hAnsi="宋体" w:cs="宋体" w:eastAsia="宋体" w:hint="default"/>
                <w:sz w:val="21"/>
                <w:szCs w:val="21"/>
              </w:rPr>
            </w:pPr>
            <w:r>
              <w:rPr>
                <w:rFonts w:ascii="Arial" w:hAnsi="Arial" w:cs="Arial" w:eastAsia="Arial" w:hint="default"/>
                <w:sz w:val="21"/>
                <w:szCs w:val="21"/>
              </w:rPr>
              <w:t>1 </w:t>
            </w:r>
            <w:r>
              <w:rPr>
                <w:rFonts w:ascii="宋体" w:hAnsi="宋体" w:cs="宋体" w:eastAsia="宋体" w:hint="default"/>
                <w:sz w:val="21"/>
                <w:szCs w:val="21"/>
              </w:rPr>
              <w:t>日元</w:t>
            </w:r>
            <w:r>
              <w:rPr>
                <w:rFonts w:ascii="Arial" w:hAnsi="Arial" w:cs="Arial" w:eastAsia="Arial" w:hint="default"/>
                <w:sz w:val="21"/>
                <w:szCs w:val="21"/>
              </w:rPr>
              <w:t>=0.0578</w:t>
            </w:r>
            <w:r>
              <w:rPr>
                <w:rFonts w:ascii="Arial" w:hAnsi="Arial" w:cs="Arial" w:eastAsia="Arial" w:hint="default"/>
                <w:spacing w:val="-11"/>
                <w:sz w:val="21"/>
                <w:szCs w:val="21"/>
              </w:rPr>
              <w:t> </w:t>
            </w:r>
            <w:r>
              <w:rPr>
                <w:rFonts w:ascii="宋体" w:hAnsi="宋体" w:cs="宋体" w:eastAsia="宋体" w:hint="default"/>
                <w:sz w:val="21"/>
                <w:szCs w:val="21"/>
              </w:rPr>
              <w:t>人民币</w:t>
            </w:r>
          </w:p>
        </w:tc>
      </w:tr>
      <w:tr>
        <w:trPr>
          <w:trHeight w:val="256"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693" w:type="dxa"/>
            <w:tcBorders>
              <w:top w:val="nil" w:sz="6" w:space="0" w:color="auto"/>
              <w:left w:val="nil" w:sz="6" w:space="0" w:color="auto"/>
              <w:bottom w:val="nil" w:sz="6" w:space="0" w:color="auto"/>
              <w:right w:val="nil" w:sz="6" w:space="0" w:color="auto"/>
            </w:tcBorders>
          </w:tcPr>
          <w:p>
            <w:pPr>
              <w:pStyle w:val="TableParagraph"/>
              <w:spacing w:line="260" w:lineRule="exact"/>
              <w:ind w:right="55"/>
              <w:jc w:val="right"/>
              <w:rPr>
                <w:rFonts w:ascii="宋体" w:hAnsi="宋体" w:cs="宋体" w:eastAsia="宋体" w:hint="default"/>
                <w:sz w:val="21"/>
                <w:szCs w:val="21"/>
              </w:rPr>
            </w:pPr>
            <w:r>
              <w:rPr>
                <w:rFonts w:ascii="Arial" w:hAnsi="Arial" w:cs="Arial" w:eastAsia="Arial" w:hint="default"/>
                <w:sz w:val="21"/>
                <w:szCs w:val="21"/>
              </w:rPr>
              <w:t>1 </w:t>
            </w:r>
            <w:r>
              <w:rPr>
                <w:rFonts w:ascii="宋体" w:hAnsi="宋体" w:cs="宋体" w:eastAsia="宋体" w:hint="default"/>
                <w:sz w:val="21"/>
                <w:szCs w:val="21"/>
              </w:rPr>
              <w:t>英镑</w:t>
            </w:r>
            <w:r>
              <w:rPr>
                <w:rFonts w:ascii="Arial" w:hAnsi="Arial" w:cs="Arial" w:eastAsia="Arial" w:hint="default"/>
                <w:sz w:val="21"/>
                <w:szCs w:val="21"/>
              </w:rPr>
              <w:t>=9.5437</w:t>
            </w:r>
            <w:r>
              <w:rPr>
                <w:rFonts w:ascii="Arial" w:hAnsi="Arial" w:cs="Arial" w:eastAsia="Arial" w:hint="default"/>
                <w:spacing w:val="-11"/>
                <w:sz w:val="21"/>
                <w:szCs w:val="21"/>
              </w:rPr>
              <w:t> </w:t>
            </w:r>
            <w:r>
              <w:rPr>
                <w:rFonts w:ascii="宋体" w:hAnsi="宋体" w:cs="宋体" w:eastAsia="宋体" w:hint="default"/>
                <w:sz w:val="21"/>
                <w:szCs w:val="21"/>
              </w:rPr>
              <w:t>人民币</w:t>
            </w:r>
          </w:p>
        </w:tc>
        <w:tc>
          <w:tcPr>
            <w:tcW w:w="134"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nil" w:sz="6" w:space="0" w:color="auto"/>
              <w:right w:val="nil" w:sz="6" w:space="0" w:color="auto"/>
            </w:tcBorders>
          </w:tcPr>
          <w:p>
            <w:pPr>
              <w:pStyle w:val="TableParagraph"/>
              <w:spacing w:line="260" w:lineRule="exact"/>
              <w:ind w:right="52"/>
              <w:jc w:val="right"/>
              <w:rPr>
                <w:rFonts w:ascii="宋体" w:hAnsi="宋体" w:cs="宋体" w:eastAsia="宋体" w:hint="default"/>
                <w:sz w:val="21"/>
                <w:szCs w:val="21"/>
              </w:rPr>
            </w:pPr>
            <w:r>
              <w:rPr>
                <w:rFonts w:ascii="Arial" w:hAnsi="Arial" w:cs="Arial" w:eastAsia="Arial" w:hint="default"/>
                <w:sz w:val="21"/>
                <w:szCs w:val="21"/>
              </w:rPr>
              <w:t>1 </w:t>
            </w:r>
            <w:r>
              <w:rPr>
                <w:rFonts w:ascii="宋体" w:hAnsi="宋体" w:cs="宋体" w:eastAsia="宋体" w:hint="default"/>
                <w:sz w:val="21"/>
                <w:szCs w:val="21"/>
              </w:rPr>
              <w:t>英镑</w:t>
            </w:r>
            <w:r>
              <w:rPr>
                <w:rFonts w:ascii="Arial" w:hAnsi="Arial" w:cs="Arial" w:eastAsia="Arial" w:hint="default"/>
                <w:sz w:val="21"/>
                <w:szCs w:val="21"/>
              </w:rPr>
              <w:t>=10.0556</w:t>
            </w:r>
            <w:r>
              <w:rPr>
                <w:rFonts w:ascii="Arial" w:hAnsi="Arial" w:cs="Arial" w:eastAsia="Arial" w:hint="default"/>
                <w:spacing w:val="-13"/>
                <w:sz w:val="21"/>
                <w:szCs w:val="21"/>
              </w:rPr>
              <w:t> </w:t>
            </w:r>
            <w:r>
              <w:rPr>
                <w:rFonts w:ascii="宋体" w:hAnsi="宋体" w:cs="宋体" w:eastAsia="宋体" w:hint="default"/>
                <w:sz w:val="21"/>
                <w:szCs w:val="21"/>
              </w:rPr>
              <w:t>人民币</w:t>
            </w:r>
          </w:p>
        </w:tc>
      </w:tr>
    </w:tbl>
    <w:p>
      <w:pPr>
        <w:spacing w:after="0" w:line="260" w:lineRule="exact"/>
        <w:jc w:val="right"/>
        <w:rPr>
          <w:rFonts w:ascii="宋体" w:hAnsi="宋体" w:cs="宋体" w:eastAsia="宋体" w:hint="default"/>
          <w:sz w:val="21"/>
          <w:szCs w:val="21"/>
        </w:rPr>
        <w:sectPr>
          <w:headerReference w:type="default" r:id="rId134"/>
          <w:pgSz w:w="11910" w:h="16840"/>
          <w:pgMar w:header="1181" w:footer="923" w:top="2500" w:bottom="1120" w:left="1280" w:right="880"/>
        </w:sectPr>
      </w:pPr>
    </w:p>
    <w:p>
      <w:pPr>
        <w:spacing w:line="240" w:lineRule="auto" w:before="10"/>
        <w:rPr>
          <w:rFonts w:ascii="宋体" w:hAnsi="宋体" w:cs="宋体" w:eastAsia="宋体" w:hint="default"/>
          <w:sz w:val="16"/>
          <w:szCs w:val="16"/>
        </w:rPr>
      </w:pPr>
    </w:p>
    <w:p>
      <w:pPr>
        <w:pStyle w:val="BodyText"/>
        <w:spacing w:line="240" w:lineRule="auto" w:before="32"/>
        <w:ind w:left="102" w:right="0"/>
        <w:jc w:val="left"/>
      </w:pPr>
      <w:r>
        <w:rPr>
          <w:rFonts w:ascii="Arial" w:hAnsi="Arial" w:cs="Arial" w:eastAsia="Arial" w:hint="default"/>
        </w:rPr>
        <w:t>1</w:t>
      </w:r>
      <w:r>
        <w:rPr/>
        <w:t>、</w:t>
      </w:r>
      <w:r>
        <w:rPr>
          <w:spacing w:val="-1"/>
        </w:rPr>
        <w:t> </w:t>
      </w:r>
      <w:r>
        <w:rPr/>
        <w:t>金融风险因素（续）</w:t>
      </w:r>
    </w:p>
    <w:p>
      <w:pPr>
        <w:spacing w:line="240" w:lineRule="auto" w:before="12"/>
        <w:rPr>
          <w:rFonts w:ascii="宋体" w:hAnsi="宋体" w:cs="宋体" w:eastAsia="宋体" w:hint="default"/>
          <w:sz w:val="17"/>
          <w:szCs w:val="17"/>
        </w:rPr>
      </w:pPr>
    </w:p>
    <w:p>
      <w:pPr>
        <w:pStyle w:val="BodyText"/>
        <w:tabs>
          <w:tab w:pos="580" w:val="left" w:leader="none"/>
        </w:tabs>
        <w:spacing w:line="240" w:lineRule="auto"/>
        <w:ind w:left="102" w:right="0"/>
        <w:jc w:val="left"/>
      </w:pPr>
      <w:r>
        <w:rPr>
          <w:rFonts w:ascii="Arial" w:hAnsi="Arial" w:cs="Arial" w:eastAsia="Arial" w:hint="default"/>
        </w:rPr>
        <w:t>(a)</w:t>
        <w:tab/>
      </w:r>
      <w:r>
        <w:rPr/>
        <w:t>市场风险（续）</w:t>
      </w:r>
    </w:p>
    <w:p>
      <w:pPr>
        <w:spacing w:line="240" w:lineRule="auto" w:before="12"/>
        <w:rPr>
          <w:rFonts w:ascii="宋体" w:hAnsi="宋体" w:cs="宋体" w:eastAsia="宋体" w:hint="default"/>
          <w:sz w:val="17"/>
          <w:szCs w:val="17"/>
        </w:rPr>
      </w:pPr>
    </w:p>
    <w:p>
      <w:pPr>
        <w:pStyle w:val="BodyText"/>
        <w:spacing w:line="240" w:lineRule="auto"/>
        <w:ind w:left="148" w:right="0"/>
        <w:jc w:val="left"/>
      </w:pPr>
      <w:r>
        <w:rPr>
          <w:rFonts w:ascii="Arial" w:hAnsi="Arial" w:cs="Arial" w:eastAsia="Arial" w:hint="default"/>
        </w:rPr>
        <w:t>(1)</w:t>
      </w:r>
      <w:r>
        <w:rPr>
          <w:rFonts w:ascii="Arial" w:hAnsi="Arial" w:cs="Arial" w:eastAsia="Arial" w:hint="default"/>
          <w:spacing w:val="45"/>
        </w:rPr>
        <w:t> </w:t>
      </w:r>
      <w:r>
        <w:rPr/>
        <w:t>汇率风险（续）</w:t>
      </w:r>
    </w:p>
    <w:p>
      <w:pPr>
        <w:spacing w:line="240" w:lineRule="auto" w:before="4"/>
        <w:rPr>
          <w:rFonts w:ascii="宋体" w:hAnsi="宋体" w:cs="宋体" w:eastAsia="宋体" w:hint="default"/>
          <w:sz w:val="20"/>
          <w:szCs w:val="20"/>
        </w:rPr>
      </w:pPr>
    </w:p>
    <w:p>
      <w:pPr>
        <w:pStyle w:val="BodyText"/>
        <w:spacing w:line="284" w:lineRule="exact"/>
        <w:ind w:left="590" w:right="0"/>
        <w:jc w:val="left"/>
      </w:pPr>
      <w:r>
        <w:rPr>
          <w:spacing w:val="-2"/>
        </w:rPr>
        <w:t>本集团于</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日的各外币资产负债项目汇率风险敞口如下。出于列报考虑，风险敞口金额以</w:t>
      </w:r>
      <w:r>
        <w:rPr>
          <w:spacing w:val="-63"/>
        </w:rPr>
        <w:t> </w:t>
      </w:r>
      <w:r>
        <w:rPr>
          <w:spacing w:val="-63"/>
        </w:rPr>
      </w:r>
      <w:r>
        <w:rPr/>
        <w:t>人民币列示，以资产负债表日即期汇率折算。外币报表折算差额未包括在内。</w:t>
      </w:r>
    </w:p>
    <w:p>
      <w:pPr>
        <w:spacing w:line="240" w:lineRule="auto" w:before="8"/>
        <w:rPr>
          <w:rFonts w:ascii="宋体" w:hAnsi="宋体" w:cs="宋体" w:eastAsia="宋体" w:hint="default"/>
          <w:sz w:val="17"/>
          <w:szCs w:val="17"/>
        </w:rPr>
      </w:pPr>
    </w:p>
    <w:p>
      <w:pPr>
        <w:tabs>
          <w:tab w:pos="4701" w:val="left" w:leader="none"/>
          <w:tab w:pos="6341" w:val="left" w:leader="none"/>
          <w:tab w:pos="7394" w:val="left" w:leader="none"/>
          <w:tab w:pos="9176" w:val="left" w:leader="none"/>
        </w:tabs>
        <w:spacing w:line="280" w:lineRule="exact" w:before="0"/>
        <w:ind w:left="3648" w:right="0" w:firstLine="0"/>
        <w:jc w:val="left"/>
        <w:rPr>
          <w:rFonts w:ascii="宋体" w:hAnsi="宋体" w:cs="宋体" w:eastAsia="宋体" w:hint="default"/>
          <w:sz w:val="21"/>
          <w:szCs w:val="21"/>
        </w:rPr>
      </w:pPr>
      <w:r>
        <w:rPr>
          <w:rFonts w:ascii="Arial" w:hAnsi="Arial" w:cs="Arial" w:eastAsia="Arial" w:hint="default"/>
          <w:w w:val="100"/>
          <w:sz w:val="21"/>
          <w:szCs w:val="21"/>
        </w:rPr>
      </w:r>
      <w:r>
        <w:rPr>
          <w:rFonts w:ascii="Arial" w:hAnsi="Arial" w:cs="Arial" w:eastAsia="Arial" w:hint="default"/>
          <w:w w:val="100"/>
          <w:sz w:val="21"/>
          <w:szCs w:val="21"/>
          <w:u w:val="single" w:color="000000"/>
        </w:rPr>
        <w:t> </w:t>
      </w:r>
      <w:r>
        <w:rPr>
          <w:rFonts w:ascii="Arial" w:hAnsi="Arial" w:cs="Arial" w:eastAsia="Arial" w:hint="default"/>
          <w:sz w:val="21"/>
          <w:szCs w:val="21"/>
          <w:u w:val="single" w:color="000000"/>
        </w:rPr>
        <w:tab/>
        <w:t>2014</w:t>
      </w:r>
      <w:r>
        <w:rPr>
          <w:rFonts w:ascii="Arial" w:hAnsi="Arial" w:cs="Arial" w:eastAsia="Arial" w:hint="default"/>
          <w:spacing w:val="-5"/>
          <w:sz w:val="21"/>
          <w:szCs w:val="21"/>
          <w:u w:val="single" w:color="000000"/>
        </w:rPr>
        <w:t> </w:t>
      </w:r>
      <w:r>
        <w:rPr>
          <w:rFonts w:ascii="宋体" w:hAnsi="宋体" w:cs="宋体" w:eastAsia="宋体" w:hint="default"/>
          <w:sz w:val="21"/>
          <w:szCs w:val="21"/>
          <w:u w:val="single" w:color="000000"/>
        </w:rPr>
        <w:t>年</w:t>
        <w:tab/>
      </w:r>
      <w:r>
        <w:rPr>
          <w:rFonts w:ascii="宋体" w:hAnsi="宋体" w:cs="宋体" w:eastAsia="宋体" w:hint="default"/>
          <w:sz w:val="21"/>
          <w:szCs w:val="21"/>
        </w:rPr>
      </w:r>
      <w:r>
        <w:rPr>
          <w:rFonts w:ascii="Arial" w:hAnsi="Arial" w:cs="Arial" w:eastAsia="Arial" w:hint="default"/>
          <w:sz w:val="21"/>
          <w:szCs w:val="21"/>
        </w:rPr>
      </w:r>
      <w:r>
        <w:rPr>
          <w:rFonts w:ascii="Arial" w:hAnsi="Arial" w:cs="Arial" w:eastAsia="Arial" w:hint="default"/>
          <w:sz w:val="21"/>
          <w:szCs w:val="21"/>
          <w:u w:val="single" w:color="000000"/>
        </w:rPr>
        <w:t> </w:t>
        <w:tab/>
        <w:t>2013</w:t>
      </w:r>
      <w:r>
        <w:rPr>
          <w:rFonts w:ascii="Arial" w:hAnsi="Arial" w:cs="Arial" w:eastAsia="Arial" w:hint="default"/>
          <w:spacing w:val="-5"/>
          <w:sz w:val="21"/>
          <w:szCs w:val="21"/>
          <w:u w:val="single" w:color="000000"/>
        </w:rPr>
        <w:t> </w:t>
      </w:r>
      <w:r>
        <w:rPr>
          <w:rFonts w:ascii="宋体" w:hAnsi="宋体" w:cs="宋体" w:eastAsia="宋体" w:hint="default"/>
          <w:sz w:val="21"/>
          <w:szCs w:val="21"/>
          <w:u w:val="single" w:color="000000"/>
        </w:rPr>
        <w:t>年</w:t>
        <w:tab/>
      </w:r>
      <w:r>
        <w:rPr>
          <w:rFonts w:ascii="宋体" w:hAnsi="宋体" w:cs="宋体" w:eastAsia="宋体" w:hint="default"/>
          <w:sz w:val="21"/>
          <w:szCs w:val="21"/>
        </w:rPr>
      </w:r>
    </w:p>
    <w:p>
      <w:pPr>
        <w:tabs>
          <w:tab w:pos="8756" w:val="left" w:leader="none"/>
        </w:tabs>
        <w:spacing w:line="265" w:lineRule="exact" w:before="0"/>
        <w:ind w:left="5921" w:right="0" w:firstLine="0"/>
        <w:jc w:val="left"/>
        <w:rPr>
          <w:rFonts w:ascii="宋体" w:hAnsi="宋体" w:cs="宋体" w:eastAsia="宋体" w:hint="default"/>
          <w:sz w:val="21"/>
          <w:szCs w:val="21"/>
        </w:rPr>
      </w:pPr>
      <w:r>
        <w:rPr>
          <w:rFonts w:ascii="宋体" w:hAnsi="宋体" w:cs="宋体" w:eastAsia="宋体" w:hint="default"/>
          <w:sz w:val="21"/>
          <w:szCs w:val="21"/>
        </w:rPr>
        <w:t>折算</w:t>
        <w:tab/>
        <w:t>折算</w:t>
      </w:r>
    </w:p>
    <w:p>
      <w:pPr>
        <w:tabs>
          <w:tab w:pos="3940" w:val="left" w:leader="none"/>
          <w:tab w:pos="5289" w:val="left" w:leader="none"/>
          <w:tab w:pos="6919" w:val="left" w:leader="none"/>
          <w:tab w:pos="8125" w:val="left" w:leader="none"/>
        </w:tabs>
        <w:spacing w:line="274" w:lineRule="exact" w:before="0"/>
        <w:ind w:left="954" w:right="0" w:firstLine="0"/>
        <w:jc w:val="left"/>
        <w:rPr>
          <w:rFonts w:ascii="宋体" w:hAnsi="宋体" w:cs="宋体" w:eastAsia="宋体" w:hint="default"/>
          <w:sz w:val="21"/>
          <w:szCs w:val="21"/>
        </w:rPr>
      </w:pPr>
      <w:r>
        <w:rPr>
          <w:rFonts w:ascii="宋体" w:hAnsi="宋体" w:cs="宋体" w:eastAsia="宋体" w:hint="default"/>
          <w:spacing w:val="-2"/>
          <w:sz w:val="21"/>
          <w:szCs w:val="21"/>
        </w:rPr>
        <w:t>（单位：人民币百万元）</w:t>
        <w:tab/>
      </w:r>
      <w:r>
        <w:rPr>
          <w:rFonts w:ascii="宋体" w:hAnsi="宋体" w:cs="宋体" w:eastAsia="宋体" w:hint="default"/>
          <w:spacing w:val="-1"/>
          <w:sz w:val="21"/>
          <w:szCs w:val="21"/>
          <w:u w:val="single" w:color="000000"/>
        </w:rPr>
        <w:t>外币余额</w:t>
      </w:r>
      <w:r>
        <w:rPr>
          <w:rFonts w:ascii="宋体" w:hAnsi="宋体" w:cs="宋体" w:eastAsia="宋体" w:hint="default"/>
          <w:spacing w:val="-1"/>
          <w:sz w:val="21"/>
          <w:szCs w:val="21"/>
        </w:rPr>
        <w:tab/>
      </w:r>
      <w:r>
        <w:rPr>
          <w:rFonts w:ascii="宋体" w:hAnsi="宋体" w:cs="宋体" w:eastAsia="宋体" w:hint="default"/>
          <w:spacing w:val="-1"/>
          <w:sz w:val="21"/>
          <w:szCs w:val="21"/>
          <w:u w:val="single" w:color="000000"/>
        </w:rPr>
        <w:t>人民币余额</w:t>
      </w:r>
      <w:r>
        <w:rPr>
          <w:rFonts w:ascii="宋体" w:hAnsi="宋体" w:cs="宋体" w:eastAsia="宋体" w:hint="default"/>
          <w:spacing w:val="-1"/>
          <w:sz w:val="21"/>
          <w:szCs w:val="21"/>
        </w:rPr>
        <w:tab/>
      </w:r>
      <w:r>
        <w:rPr>
          <w:rFonts w:ascii="宋体" w:hAnsi="宋体" w:cs="宋体" w:eastAsia="宋体" w:hint="default"/>
          <w:spacing w:val="-1"/>
          <w:sz w:val="21"/>
          <w:szCs w:val="21"/>
          <w:u w:val="single" w:color="000000"/>
        </w:rPr>
        <w:t>外币余额</w:t>
      </w:r>
      <w:r>
        <w:rPr>
          <w:rFonts w:ascii="宋体" w:hAnsi="宋体" w:cs="宋体" w:eastAsia="宋体" w:hint="default"/>
          <w:spacing w:val="-1"/>
          <w:sz w:val="21"/>
          <w:szCs w:val="21"/>
        </w:rPr>
        <w:tab/>
      </w:r>
      <w:r>
        <w:rPr>
          <w:rFonts w:ascii="宋体" w:hAnsi="宋体" w:cs="宋体" w:eastAsia="宋体" w:hint="default"/>
          <w:spacing w:val="-1"/>
          <w:sz w:val="21"/>
          <w:szCs w:val="21"/>
          <w:u w:val="single" w:color="000000"/>
        </w:rPr>
        <w:t>人民币余额</w:t>
      </w:r>
      <w:r>
        <w:rPr>
          <w:rFonts w:ascii="宋体" w:hAnsi="宋体" w:cs="宋体" w:eastAsia="宋体" w:hint="default"/>
          <w:spacing w:val="-1"/>
          <w:sz w:val="21"/>
          <w:szCs w:val="21"/>
        </w:rPr>
      </w:r>
    </w:p>
    <w:p>
      <w:pPr>
        <w:spacing w:line="240" w:lineRule="auto" w:before="11"/>
        <w:rPr>
          <w:rFonts w:ascii="宋体" w:hAnsi="宋体" w:cs="宋体" w:eastAsia="宋体" w:hint="default"/>
          <w:sz w:val="13"/>
          <w:szCs w:val="13"/>
        </w:rPr>
      </w:pPr>
    </w:p>
    <w:tbl>
      <w:tblPr>
        <w:tblW w:w="0" w:type="auto"/>
        <w:jc w:val="left"/>
        <w:tblInd w:w="919" w:type="dxa"/>
        <w:tblLayout w:type="fixed"/>
        <w:tblCellMar>
          <w:top w:w="0" w:type="dxa"/>
          <w:left w:w="0" w:type="dxa"/>
          <w:bottom w:w="0" w:type="dxa"/>
          <w:right w:w="0" w:type="dxa"/>
        </w:tblCellMar>
        <w:tblLook w:val="01E0"/>
      </w:tblPr>
      <w:tblGrid>
        <w:gridCol w:w="3242"/>
        <w:gridCol w:w="1079"/>
        <w:gridCol w:w="1489"/>
        <w:gridCol w:w="1504"/>
        <w:gridCol w:w="980"/>
      </w:tblGrid>
      <w:tr>
        <w:trPr>
          <w:trHeight w:val="619" w:hRule="exact"/>
        </w:trPr>
        <w:tc>
          <w:tcPr>
            <w:tcW w:w="3242" w:type="dxa"/>
            <w:tcBorders>
              <w:top w:val="nil" w:sz="6" w:space="0" w:color="auto"/>
              <w:left w:val="nil" w:sz="6" w:space="0" w:color="auto"/>
              <w:bottom w:val="nil" w:sz="6" w:space="0" w:color="auto"/>
              <w:right w:val="nil" w:sz="6" w:space="0" w:color="auto"/>
            </w:tcBorders>
          </w:tcPr>
          <w:p>
            <w:pPr>
              <w:pStyle w:val="TableParagraph"/>
              <w:spacing w:line="273" w:lineRule="exact" w:before="36"/>
              <w:ind w:right="2327"/>
              <w:jc w:val="center"/>
              <w:rPr>
                <w:rFonts w:ascii="宋体" w:hAnsi="宋体" w:cs="宋体" w:eastAsia="宋体" w:hint="default"/>
                <w:sz w:val="21"/>
                <w:szCs w:val="21"/>
              </w:rPr>
            </w:pPr>
            <w:r>
              <w:rPr>
                <w:rFonts w:ascii="宋体" w:hAnsi="宋体" w:cs="宋体" w:eastAsia="宋体" w:hint="default"/>
                <w:sz w:val="21"/>
                <w:szCs w:val="21"/>
              </w:rPr>
              <w:t>货币资金</w:t>
            </w:r>
          </w:p>
          <w:p>
            <w:pPr>
              <w:pStyle w:val="TableParagraph"/>
              <w:spacing w:line="288" w:lineRule="exact"/>
              <w:ind w:right="2202"/>
              <w:jc w:val="center"/>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美元</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455"/>
              <w:jc w:val="right"/>
              <w:rPr>
                <w:rFonts w:ascii="Arial" w:hAnsi="Arial" w:cs="Arial" w:eastAsia="Arial" w:hint="default"/>
                <w:sz w:val="21"/>
                <w:szCs w:val="21"/>
              </w:rPr>
            </w:pPr>
            <w:r>
              <w:rPr>
                <w:rFonts w:ascii="Arial"/>
                <w:sz w:val="21"/>
              </w:rPr>
              <w:t>107</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384"/>
              <w:jc w:val="right"/>
              <w:rPr>
                <w:rFonts w:ascii="Arial" w:hAnsi="Arial" w:cs="Arial" w:eastAsia="Arial" w:hint="default"/>
                <w:sz w:val="21"/>
                <w:szCs w:val="21"/>
              </w:rPr>
            </w:pPr>
            <w:r>
              <w:rPr>
                <w:rFonts w:ascii="Arial"/>
                <w:sz w:val="21"/>
              </w:rPr>
              <w:t>657</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679" w:right="0"/>
              <w:jc w:val="left"/>
              <w:rPr>
                <w:rFonts w:ascii="Arial" w:hAnsi="Arial" w:cs="Arial" w:eastAsia="Arial" w:hint="default"/>
                <w:sz w:val="21"/>
                <w:szCs w:val="21"/>
              </w:rPr>
            </w:pPr>
            <w:r>
              <w:rPr>
                <w:rFonts w:ascii="Arial"/>
                <w:sz w:val="21"/>
              </w:rPr>
              <w:t>106</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33"/>
              <w:jc w:val="right"/>
              <w:rPr>
                <w:rFonts w:ascii="Arial" w:hAnsi="Arial" w:cs="Arial" w:eastAsia="Arial" w:hint="default"/>
                <w:sz w:val="21"/>
                <w:szCs w:val="21"/>
              </w:rPr>
            </w:pPr>
            <w:r>
              <w:rPr>
                <w:rFonts w:ascii="Arial"/>
                <w:sz w:val="21"/>
              </w:rPr>
              <w:t>646</w:t>
            </w:r>
          </w:p>
        </w:tc>
      </w:tr>
      <w:tr>
        <w:trPr>
          <w:trHeight w:val="273" w:hRule="exact"/>
        </w:trPr>
        <w:tc>
          <w:tcPr>
            <w:tcW w:w="3242" w:type="dxa"/>
            <w:tcBorders>
              <w:top w:val="nil" w:sz="6" w:space="0" w:color="auto"/>
              <w:left w:val="nil" w:sz="6" w:space="0" w:color="auto"/>
              <w:bottom w:val="nil" w:sz="6" w:space="0" w:color="auto"/>
              <w:right w:val="nil" w:sz="6" w:space="0" w:color="auto"/>
            </w:tcBorders>
          </w:tcPr>
          <w:p>
            <w:pPr>
              <w:pStyle w:val="TableParagraph"/>
              <w:spacing w:line="252" w:lineRule="exact"/>
              <w:ind w:left="272"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港币</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55"/>
              <w:jc w:val="right"/>
              <w:rPr>
                <w:rFonts w:ascii="Arial" w:hAnsi="Arial" w:cs="Arial" w:eastAsia="Arial" w:hint="default"/>
                <w:sz w:val="21"/>
                <w:szCs w:val="21"/>
              </w:rPr>
            </w:pPr>
            <w:r>
              <w:rPr>
                <w:rFonts w:ascii="Arial"/>
                <w:spacing w:val="-1"/>
                <w:sz w:val="21"/>
              </w:rPr>
              <w:t>1,286</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4"/>
              <w:jc w:val="right"/>
              <w:rPr>
                <w:rFonts w:ascii="Arial" w:hAnsi="Arial" w:cs="Arial" w:eastAsia="Arial" w:hint="default"/>
                <w:sz w:val="21"/>
                <w:szCs w:val="21"/>
              </w:rPr>
            </w:pPr>
            <w:r>
              <w:rPr>
                <w:rFonts w:ascii="Arial"/>
                <w:spacing w:val="-1"/>
                <w:sz w:val="21"/>
              </w:rPr>
              <w:t>1,016</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79" w:right="0"/>
              <w:jc w:val="left"/>
              <w:rPr>
                <w:rFonts w:ascii="Arial" w:hAnsi="Arial" w:cs="Arial" w:eastAsia="Arial" w:hint="default"/>
                <w:sz w:val="21"/>
                <w:szCs w:val="21"/>
              </w:rPr>
            </w:pPr>
            <w:r>
              <w:rPr>
                <w:rFonts w:ascii="Arial"/>
                <w:sz w:val="21"/>
              </w:rPr>
              <w:t>794</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1"/>
                <w:szCs w:val="21"/>
              </w:rPr>
            </w:pPr>
            <w:r>
              <w:rPr>
                <w:rFonts w:ascii="Arial"/>
                <w:sz w:val="21"/>
              </w:rPr>
              <w:t>627</w:t>
            </w:r>
          </w:p>
        </w:tc>
      </w:tr>
      <w:tr>
        <w:trPr>
          <w:trHeight w:val="273" w:hRule="exact"/>
        </w:trPr>
        <w:tc>
          <w:tcPr>
            <w:tcW w:w="3242" w:type="dxa"/>
            <w:tcBorders>
              <w:top w:val="nil" w:sz="6" w:space="0" w:color="auto"/>
              <w:left w:val="nil" w:sz="6" w:space="0" w:color="auto"/>
              <w:bottom w:val="nil" w:sz="6" w:space="0" w:color="auto"/>
              <w:right w:val="nil" w:sz="6" w:space="0" w:color="auto"/>
            </w:tcBorders>
          </w:tcPr>
          <w:p>
            <w:pPr>
              <w:pStyle w:val="TableParagraph"/>
              <w:spacing w:line="251" w:lineRule="exact"/>
              <w:ind w:left="272"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欧元</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57"/>
              <w:jc w:val="right"/>
              <w:rPr>
                <w:rFonts w:ascii="Arial" w:hAnsi="Arial" w:cs="Arial" w:eastAsia="Arial" w:hint="default"/>
                <w:sz w:val="21"/>
                <w:szCs w:val="21"/>
              </w:rPr>
            </w:pPr>
            <w:r>
              <w:rPr>
                <w:rFonts w:ascii="Arial"/>
                <w:w w:val="100"/>
                <w:sz w:val="21"/>
              </w:rPr>
              <w:t>5</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84"/>
              <w:jc w:val="right"/>
              <w:rPr>
                <w:rFonts w:ascii="Arial" w:hAnsi="Arial" w:cs="Arial" w:eastAsia="Arial" w:hint="default"/>
                <w:sz w:val="21"/>
                <w:szCs w:val="21"/>
              </w:rPr>
            </w:pPr>
            <w:r>
              <w:rPr>
                <w:rFonts w:ascii="Arial"/>
                <w:sz w:val="21"/>
              </w:rPr>
              <w:t>39</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9"/>
              <w:ind w:left="911" w:right="0"/>
              <w:jc w:val="left"/>
              <w:rPr>
                <w:rFonts w:ascii="Arial" w:hAnsi="Arial" w:cs="Arial" w:eastAsia="Arial" w:hint="default"/>
                <w:sz w:val="21"/>
                <w:szCs w:val="21"/>
              </w:rPr>
            </w:pPr>
            <w:r>
              <w:rPr>
                <w:rFonts w:ascii="Arial"/>
                <w:w w:val="100"/>
                <w:sz w:val="21"/>
              </w:rPr>
              <w:t>2</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1"/>
                <w:szCs w:val="21"/>
              </w:rPr>
            </w:pPr>
            <w:r>
              <w:rPr>
                <w:rFonts w:ascii="Arial"/>
                <w:sz w:val="21"/>
              </w:rPr>
              <w:t>14</w:t>
            </w:r>
          </w:p>
        </w:tc>
      </w:tr>
      <w:tr>
        <w:trPr>
          <w:trHeight w:val="272" w:hRule="exact"/>
        </w:trPr>
        <w:tc>
          <w:tcPr>
            <w:tcW w:w="3242" w:type="dxa"/>
            <w:tcBorders>
              <w:top w:val="nil" w:sz="6" w:space="0" w:color="auto"/>
              <w:left w:val="nil" w:sz="6" w:space="0" w:color="auto"/>
              <w:bottom w:val="nil" w:sz="6" w:space="0" w:color="auto"/>
              <w:right w:val="nil" w:sz="6" w:space="0" w:color="auto"/>
            </w:tcBorders>
          </w:tcPr>
          <w:p>
            <w:pPr>
              <w:pStyle w:val="TableParagraph"/>
              <w:spacing w:line="252" w:lineRule="exact"/>
              <w:ind w:left="272"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日元</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55"/>
              <w:jc w:val="right"/>
              <w:rPr>
                <w:rFonts w:ascii="Arial" w:hAnsi="Arial" w:cs="Arial" w:eastAsia="Arial" w:hint="default"/>
                <w:sz w:val="21"/>
                <w:szCs w:val="21"/>
              </w:rPr>
            </w:pPr>
            <w:r>
              <w:rPr>
                <w:rFonts w:ascii="Arial"/>
                <w:sz w:val="21"/>
              </w:rPr>
              <w:t>44</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6"/>
              <w:jc w:val="right"/>
              <w:rPr>
                <w:rFonts w:ascii="Arial" w:hAnsi="Arial" w:cs="Arial" w:eastAsia="Arial" w:hint="default"/>
                <w:sz w:val="21"/>
                <w:szCs w:val="21"/>
              </w:rPr>
            </w:pPr>
            <w:r>
              <w:rPr>
                <w:rFonts w:ascii="Arial"/>
                <w:w w:val="100"/>
                <w:sz w:val="21"/>
              </w:rPr>
              <w:t>2</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96" w:right="0"/>
              <w:jc w:val="left"/>
              <w:rPr>
                <w:rFonts w:ascii="Arial" w:hAnsi="Arial" w:cs="Arial" w:eastAsia="Arial" w:hint="default"/>
                <w:sz w:val="21"/>
                <w:szCs w:val="21"/>
              </w:rPr>
            </w:pPr>
            <w:r>
              <w:rPr>
                <w:rFonts w:ascii="Arial"/>
                <w:sz w:val="21"/>
              </w:rPr>
              <w:t>33</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Arial" w:hAnsi="Arial" w:cs="Arial" w:eastAsia="Arial" w:hint="default"/>
                <w:sz w:val="21"/>
                <w:szCs w:val="21"/>
              </w:rPr>
            </w:pPr>
            <w:r>
              <w:rPr>
                <w:rFonts w:ascii="Arial"/>
                <w:w w:val="100"/>
                <w:sz w:val="21"/>
              </w:rPr>
              <w:t>2</w:t>
            </w:r>
          </w:p>
        </w:tc>
      </w:tr>
      <w:tr>
        <w:trPr>
          <w:trHeight w:val="246" w:hRule="exact"/>
        </w:trPr>
        <w:tc>
          <w:tcPr>
            <w:tcW w:w="3242" w:type="dxa"/>
            <w:tcBorders>
              <w:top w:val="nil" w:sz="6" w:space="0" w:color="auto"/>
              <w:left w:val="nil" w:sz="6" w:space="0" w:color="auto"/>
              <w:bottom w:val="nil" w:sz="6" w:space="0" w:color="auto"/>
              <w:right w:val="nil" w:sz="6" w:space="0" w:color="auto"/>
            </w:tcBorders>
          </w:tcPr>
          <w:p>
            <w:pPr>
              <w:pStyle w:val="TableParagraph"/>
              <w:spacing w:line="251" w:lineRule="exact"/>
              <w:ind w:left="272"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英镑</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59"/>
              <w:jc w:val="right"/>
              <w:rPr>
                <w:rFonts w:ascii="Arial" w:hAnsi="Arial" w:cs="Arial" w:eastAsia="Arial" w:hint="default"/>
                <w:sz w:val="21"/>
                <w:szCs w:val="21"/>
              </w:rPr>
            </w:pPr>
            <w:r>
              <w:rPr>
                <w:rFonts w:ascii="Arial"/>
                <w:spacing w:val="-2"/>
                <w:sz w:val="21"/>
              </w:rPr>
              <w:t>1.2</w:t>
            </w:r>
            <w:r>
              <w:rPr>
                <w:rFonts w:ascii="Arial"/>
                <w:sz w:val="21"/>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84"/>
              <w:jc w:val="right"/>
              <w:rPr>
                <w:rFonts w:ascii="Arial" w:hAnsi="Arial" w:cs="Arial" w:eastAsia="Arial" w:hint="default"/>
                <w:sz w:val="21"/>
                <w:szCs w:val="21"/>
              </w:rPr>
            </w:pPr>
            <w:r>
              <w:rPr>
                <w:rFonts w:ascii="Arial"/>
                <w:sz w:val="21"/>
              </w:rPr>
              <w:t>11</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9"/>
              <w:ind w:left="911" w:right="0"/>
              <w:jc w:val="left"/>
              <w:rPr>
                <w:rFonts w:ascii="Arial" w:hAnsi="Arial" w:cs="Arial" w:eastAsia="Arial" w:hint="default"/>
                <w:sz w:val="21"/>
                <w:szCs w:val="21"/>
              </w:rPr>
            </w:pPr>
            <w:r>
              <w:rPr>
                <w:rFonts w:ascii="Arial"/>
                <w:sz w:val="21"/>
              </w:rPr>
              <w:t>0.1</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21"/>
                <w:szCs w:val="21"/>
              </w:rPr>
            </w:pPr>
            <w:r>
              <w:rPr>
                <w:rFonts w:ascii="Arial"/>
                <w:w w:val="100"/>
                <w:sz w:val="21"/>
              </w:rPr>
              <w:t>1</w:t>
            </w:r>
          </w:p>
        </w:tc>
      </w:tr>
      <w:tr>
        <w:trPr>
          <w:trHeight w:val="534" w:hRule="exact"/>
        </w:trPr>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79"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r>
      <w:tr>
        <w:trPr>
          <w:trHeight w:val="399" w:hRule="exact"/>
        </w:trPr>
        <w:tc>
          <w:tcPr>
            <w:tcW w:w="3242" w:type="dxa"/>
            <w:tcBorders>
              <w:top w:val="nil" w:sz="6" w:space="0" w:color="auto"/>
              <w:left w:val="nil" w:sz="6" w:space="0" w:color="auto"/>
              <w:bottom w:val="nil" w:sz="6" w:space="0" w:color="auto"/>
              <w:right w:val="nil" w:sz="6" w:space="0" w:color="auto"/>
            </w:tcBorders>
          </w:tcPr>
          <w:p>
            <w:pPr>
              <w:pStyle w:val="TableParagraph"/>
              <w:spacing w:line="257" w:lineRule="exact"/>
              <w:ind w:left="272"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欧元</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55"/>
              <w:jc w:val="right"/>
              <w:rPr>
                <w:rFonts w:ascii="Arial" w:hAnsi="Arial" w:cs="Arial" w:eastAsia="Arial" w:hint="default"/>
                <w:sz w:val="21"/>
                <w:szCs w:val="21"/>
              </w:rPr>
            </w:pPr>
            <w:r>
              <w:rPr>
                <w:rFonts w:ascii="Arial"/>
                <w:sz w:val="21"/>
              </w:rPr>
              <w:t>765</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84"/>
              <w:jc w:val="right"/>
              <w:rPr>
                <w:rFonts w:ascii="Arial" w:hAnsi="Arial" w:cs="Arial" w:eastAsia="Arial" w:hint="default"/>
                <w:sz w:val="21"/>
                <w:szCs w:val="21"/>
              </w:rPr>
            </w:pPr>
            <w:r>
              <w:rPr>
                <w:rFonts w:ascii="Arial"/>
                <w:spacing w:val="-1"/>
                <w:sz w:val="21"/>
              </w:rPr>
              <w:t>5,706</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79" w:right="0"/>
              <w:jc w:val="left"/>
              <w:rPr>
                <w:rFonts w:ascii="Arial" w:hAnsi="Arial" w:cs="Arial" w:eastAsia="Arial" w:hint="default"/>
                <w:sz w:val="21"/>
                <w:szCs w:val="21"/>
              </w:rPr>
            </w:pPr>
            <w:r>
              <w:rPr>
                <w:rFonts w:ascii="Arial"/>
                <w:sz w:val="21"/>
              </w:rPr>
              <w:t>760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21"/>
                <w:szCs w:val="21"/>
              </w:rPr>
            </w:pPr>
            <w:r>
              <w:rPr>
                <w:rFonts w:ascii="Arial"/>
                <w:spacing w:val="-1"/>
                <w:sz w:val="21"/>
              </w:rPr>
              <w:t>6,400</w:t>
            </w:r>
          </w:p>
        </w:tc>
      </w:tr>
      <w:tr>
        <w:trPr>
          <w:trHeight w:val="387" w:hRule="exact"/>
        </w:trPr>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79"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r>
      <w:tr>
        <w:trPr>
          <w:trHeight w:val="398" w:hRule="exact"/>
        </w:trPr>
        <w:tc>
          <w:tcPr>
            <w:tcW w:w="3242" w:type="dxa"/>
            <w:tcBorders>
              <w:top w:val="nil" w:sz="6" w:space="0" w:color="auto"/>
              <w:left w:val="nil" w:sz="6" w:space="0" w:color="auto"/>
              <w:bottom w:val="nil" w:sz="6" w:space="0" w:color="auto"/>
              <w:right w:val="nil" w:sz="6" w:space="0" w:color="auto"/>
            </w:tcBorders>
          </w:tcPr>
          <w:p>
            <w:pPr>
              <w:pStyle w:val="TableParagraph"/>
              <w:spacing w:line="256" w:lineRule="exact"/>
              <w:ind w:left="272"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港币</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4" w:right="455"/>
              <w:jc w:val="right"/>
              <w:rPr>
                <w:rFonts w:ascii="Arial" w:hAnsi="Arial" w:cs="Arial" w:eastAsia="Arial" w:hint="default"/>
                <w:sz w:val="21"/>
                <w:szCs w:val="21"/>
              </w:rPr>
            </w:pPr>
            <w:r>
              <w:rPr>
                <w:rFonts w:ascii="Arial"/>
                <w:spacing w:val="-1"/>
                <w:sz w:val="21"/>
              </w:rPr>
              <w:t>62,686</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84"/>
              <w:jc w:val="right"/>
              <w:rPr>
                <w:rFonts w:ascii="Arial" w:hAnsi="Arial" w:cs="Arial" w:eastAsia="Arial" w:hint="default"/>
                <w:sz w:val="21"/>
                <w:szCs w:val="21"/>
              </w:rPr>
            </w:pPr>
            <w:r>
              <w:rPr>
                <w:rFonts w:ascii="Arial"/>
                <w:spacing w:val="-1"/>
                <w:sz w:val="21"/>
              </w:rPr>
              <w:t>49,452</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86" w:right="0"/>
              <w:jc w:val="left"/>
              <w:rPr>
                <w:rFonts w:ascii="Arial" w:hAnsi="Arial" w:cs="Arial" w:eastAsia="Arial" w:hint="default"/>
                <w:sz w:val="21"/>
                <w:szCs w:val="21"/>
              </w:rPr>
            </w:pPr>
            <w:r>
              <w:rPr>
                <w:rFonts w:ascii="Arial"/>
                <w:sz w:val="21"/>
              </w:rPr>
              <w:t>48,650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21"/>
                <w:szCs w:val="21"/>
              </w:rPr>
            </w:pPr>
            <w:r>
              <w:rPr>
                <w:rFonts w:ascii="Arial"/>
                <w:spacing w:val="-1"/>
                <w:sz w:val="21"/>
              </w:rPr>
              <w:t>38,249</w:t>
            </w:r>
          </w:p>
        </w:tc>
      </w:tr>
      <w:tr>
        <w:trPr>
          <w:trHeight w:val="388" w:hRule="exact"/>
        </w:trPr>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79"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r>
      <w:tr>
        <w:trPr>
          <w:trHeight w:val="278" w:hRule="exact"/>
        </w:trPr>
        <w:tc>
          <w:tcPr>
            <w:tcW w:w="3242" w:type="dxa"/>
            <w:tcBorders>
              <w:top w:val="nil" w:sz="6" w:space="0" w:color="auto"/>
              <w:left w:val="nil" w:sz="6" w:space="0" w:color="auto"/>
              <w:bottom w:val="nil" w:sz="6" w:space="0" w:color="auto"/>
              <w:right w:val="nil" w:sz="6" w:space="0" w:color="auto"/>
            </w:tcBorders>
          </w:tcPr>
          <w:p>
            <w:pPr>
              <w:pStyle w:val="TableParagraph"/>
              <w:spacing w:line="257" w:lineRule="exact"/>
              <w:ind w:left="272"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美元</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55"/>
              <w:jc w:val="right"/>
              <w:rPr>
                <w:rFonts w:ascii="Arial" w:hAnsi="Arial" w:cs="Arial" w:eastAsia="Arial" w:hint="default"/>
                <w:sz w:val="21"/>
                <w:szCs w:val="21"/>
              </w:rPr>
            </w:pPr>
            <w:r>
              <w:rPr>
                <w:rFonts w:ascii="Arial"/>
                <w:sz w:val="21"/>
              </w:rPr>
              <w:t>54</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84"/>
              <w:jc w:val="right"/>
              <w:rPr>
                <w:rFonts w:ascii="Arial" w:hAnsi="Arial" w:cs="Arial" w:eastAsia="Arial" w:hint="default"/>
                <w:sz w:val="21"/>
                <w:szCs w:val="21"/>
              </w:rPr>
            </w:pPr>
            <w:r>
              <w:rPr>
                <w:rFonts w:ascii="Arial"/>
                <w:sz w:val="21"/>
              </w:rPr>
              <w:t>329</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96" w:right="0"/>
              <w:jc w:val="left"/>
              <w:rPr>
                <w:rFonts w:ascii="Arial" w:hAnsi="Arial" w:cs="Arial" w:eastAsia="Arial" w:hint="default"/>
                <w:sz w:val="21"/>
                <w:szCs w:val="21"/>
              </w:rPr>
            </w:pPr>
            <w:r>
              <w:rPr>
                <w:rFonts w:ascii="Arial"/>
                <w:sz w:val="21"/>
              </w:rPr>
              <w:t>58</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21"/>
                <w:szCs w:val="21"/>
              </w:rPr>
            </w:pPr>
            <w:r>
              <w:rPr>
                <w:rFonts w:ascii="Arial"/>
                <w:sz w:val="21"/>
              </w:rPr>
              <w:t>351</w:t>
            </w:r>
          </w:p>
        </w:tc>
      </w:tr>
      <w:tr>
        <w:trPr>
          <w:trHeight w:val="393" w:hRule="exact"/>
        </w:trPr>
        <w:tc>
          <w:tcPr>
            <w:tcW w:w="3242" w:type="dxa"/>
            <w:tcBorders>
              <w:top w:val="nil" w:sz="6" w:space="0" w:color="auto"/>
              <w:left w:val="nil" w:sz="6" w:space="0" w:color="auto"/>
              <w:bottom w:val="nil" w:sz="6" w:space="0" w:color="auto"/>
              <w:right w:val="nil" w:sz="6" w:space="0" w:color="auto"/>
            </w:tcBorders>
          </w:tcPr>
          <w:p>
            <w:pPr>
              <w:pStyle w:val="TableParagraph"/>
              <w:spacing w:line="251" w:lineRule="exact"/>
              <w:ind w:left="272"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欧元</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55"/>
              <w:jc w:val="right"/>
              <w:rPr>
                <w:rFonts w:ascii="Arial" w:hAnsi="Arial" w:cs="Arial" w:eastAsia="Arial" w:hint="default"/>
                <w:sz w:val="21"/>
                <w:szCs w:val="21"/>
              </w:rPr>
            </w:pPr>
            <w:r>
              <w:rPr>
                <w:rFonts w:ascii="Arial"/>
                <w:sz w:val="21"/>
              </w:rPr>
              <w:t>18</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84"/>
              <w:jc w:val="right"/>
              <w:rPr>
                <w:rFonts w:ascii="Arial" w:hAnsi="Arial" w:cs="Arial" w:eastAsia="Arial" w:hint="default"/>
                <w:sz w:val="21"/>
                <w:szCs w:val="21"/>
              </w:rPr>
            </w:pPr>
            <w:r>
              <w:rPr>
                <w:rFonts w:ascii="Arial"/>
                <w:sz w:val="21"/>
              </w:rPr>
              <w:t>136</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9"/>
              <w:ind w:left="796" w:right="0"/>
              <w:jc w:val="left"/>
              <w:rPr>
                <w:rFonts w:ascii="Arial" w:hAnsi="Arial" w:cs="Arial" w:eastAsia="Arial" w:hint="default"/>
                <w:sz w:val="21"/>
                <w:szCs w:val="21"/>
              </w:rPr>
            </w:pPr>
            <w:r>
              <w:rPr>
                <w:rFonts w:ascii="Arial"/>
                <w:sz w:val="21"/>
              </w:rPr>
              <w:t>21</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1"/>
                <w:szCs w:val="21"/>
              </w:rPr>
            </w:pPr>
            <w:r>
              <w:rPr>
                <w:rFonts w:ascii="Arial"/>
                <w:sz w:val="21"/>
              </w:rPr>
              <w:t>178</w:t>
            </w:r>
          </w:p>
        </w:tc>
      </w:tr>
      <w:tr>
        <w:trPr>
          <w:trHeight w:val="394" w:hRule="exact"/>
        </w:trPr>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21"/>
                <w:szCs w:val="21"/>
              </w:rPr>
            </w:pPr>
            <w:r>
              <w:rPr>
                <w:rFonts w:ascii="宋体" w:hAnsi="宋体" w:cs="宋体" w:eastAsia="宋体" w:hint="default"/>
                <w:sz w:val="21"/>
                <w:szCs w:val="21"/>
              </w:rPr>
              <w:t>可转换债券</w:t>
            </w:r>
          </w:p>
        </w:tc>
        <w:tc>
          <w:tcPr>
            <w:tcW w:w="1079"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r>
      <w:tr>
        <w:trPr>
          <w:trHeight w:val="348" w:hRule="exact"/>
        </w:trPr>
        <w:tc>
          <w:tcPr>
            <w:tcW w:w="4321" w:type="dxa"/>
            <w:gridSpan w:val="2"/>
            <w:tcBorders>
              <w:top w:val="nil" w:sz="6" w:space="0" w:color="auto"/>
              <w:left w:val="nil" w:sz="6" w:space="0" w:color="auto"/>
              <w:bottom w:val="nil" w:sz="6" w:space="0" w:color="auto"/>
              <w:right w:val="nil" w:sz="6" w:space="0" w:color="auto"/>
            </w:tcBorders>
          </w:tcPr>
          <w:p>
            <w:pPr>
              <w:pStyle w:val="TableParagraph"/>
              <w:tabs>
                <w:tab w:pos="3335" w:val="left" w:leader="none"/>
              </w:tabs>
              <w:spacing w:line="252" w:lineRule="exact"/>
              <w:ind w:left="272" w:right="0"/>
              <w:jc w:val="left"/>
              <w:rPr>
                <w:rFonts w:ascii="Arial" w:hAnsi="Arial" w:cs="Arial" w:eastAsia="Arial" w:hint="default"/>
                <w:sz w:val="21"/>
                <w:szCs w:val="21"/>
              </w:rPr>
            </w:pPr>
            <w:r>
              <w:rPr>
                <w:rFonts w:ascii="Arial" w:hAnsi="Arial" w:cs="Arial" w:eastAsia="Arial" w:hint="default"/>
                <w:spacing w:val="-1"/>
                <w:sz w:val="21"/>
                <w:szCs w:val="21"/>
              </w:rPr>
              <w:t>-</w:t>
            </w:r>
            <w:r>
              <w:rPr>
                <w:rFonts w:ascii="宋体" w:hAnsi="宋体" w:cs="宋体" w:eastAsia="宋体" w:hint="default"/>
                <w:spacing w:val="-1"/>
                <w:sz w:val="21"/>
                <w:szCs w:val="21"/>
              </w:rPr>
              <w:t>美元</w:t>
              <w:tab/>
            </w:r>
            <w:r>
              <w:rPr>
                <w:rFonts w:ascii="Arial" w:hAnsi="Arial" w:cs="Arial" w:eastAsia="Arial" w:hint="default"/>
                <w:spacing w:val="-1"/>
                <w:sz w:val="21"/>
                <w:szCs w:val="21"/>
              </w:rPr>
              <w:t>1,825</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6"/>
              <w:jc w:val="right"/>
              <w:rPr>
                <w:rFonts w:ascii="Arial" w:hAnsi="Arial" w:cs="Arial" w:eastAsia="Arial" w:hint="default"/>
                <w:sz w:val="21"/>
                <w:szCs w:val="21"/>
              </w:rPr>
            </w:pPr>
            <w:r>
              <w:rPr>
                <w:rFonts w:ascii="Arial"/>
                <w:spacing w:val="-1"/>
                <w:sz w:val="21"/>
              </w:rPr>
              <w:t>11,167</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03" w:right="0"/>
              <w:jc w:val="left"/>
              <w:rPr>
                <w:rFonts w:ascii="Arial" w:hAnsi="Arial" w:cs="Arial" w:eastAsia="Arial" w:hint="default"/>
                <w:sz w:val="21"/>
                <w:szCs w:val="21"/>
              </w:rPr>
            </w:pPr>
            <w:r>
              <w:rPr>
                <w:rFonts w:ascii="Arial"/>
                <w:sz w:val="21"/>
              </w:rPr>
              <w:t>1,804</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1"/>
                <w:szCs w:val="21"/>
              </w:rPr>
            </w:pPr>
            <w:r>
              <w:rPr>
                <w:rFonts w:ascii="Arial"/>
                <w:spacing w:val="-1"/>
                <w:sz w:val="21"/>
              </w:rPr>
              <w:t>11,002</w:t>
            </w:r>
          </w:p>
        </w:tc>
      </w:tr>
    </w:tbl>
    <w:p>
      <w:pPr>
        <w:spacing w:line="240" w:lineRule="auto" w:before="0"/>
        <w:rPr>
          <w:rFonts w:ascii="宋体" w:hAnsi="宋体" w:cs="宋体" w:eastAsia="宋体" w:hint="default"/>
          <w:sz w:val="7"/>
          <w:szCs w:val="7"/>
        </w:rPr>
      </w:pPr>
    </w:p>
    <w:p>
      <w:pPr>
        <w:spacing w:line="274" w:lineRule="exact" w:before="36"/>
        <w:ind w:left="954" w:right="0" w:firstLine="0"/>
        <w:jc w:val="left"/>
        <w:rPr>
          <w:rFonts w:ascii="宋体" w:hAnsi="宋体" w:cs="宋体" w:eastAsia="宋体" w:hint="default"/>
          <w:sz w:val="21"/>
          <w:szCs w:val="21"/>
        </w:rPr>
      </w:pPr>
      <w:r>
        <w:rPr>
          <w:rFonts w:ascii="宋体" w:hAnsi="宋体" w:cs="宋体" w:eastAsia="宋体" w:hint="default"/>
          <w:sz w:val="21"/>
          <w:szCs w:val="21"/>
        </w:rPr>
        <w:t>应付融资租赁款</w:t>
      </w:r>
    </w:p>
    <w:p>
      <w:pPr>
        <w:tabs>
          <w:tab w:pos="4548" w:val="left" w:leader="none"/>
          <w:tab w:pos="5990" w:val="left" w:leader="none"/>
          <w:tab w:pos="7526" w:val="left" w:leader="none"/>
          <w:tab w:pos="9178" w:val="right" w:leader="none"/>
        </w:tabs>
        <w:spacing w:line="289" w:lineRule="exact" w:before="0"/>
        <w:ind w:left="1192" w:right="0" w:firstLine="0"/>
        <w:jc w:val="left"/>
        <w:rPr>
          <w:rFonts w:ascii="Arial" w:hAnsi="Arial" w:cs="Arial" w:eastAsia="Arial" w:hint="default"/>
          <w:sz w:val="21"/>
          <w:szCs w:val="21"/>
        </w:rPr>
      </w:pPr>
      <w:r>
        <w:rPr/>
        <w:pict>
          <v:group style="position:absolute;margin-left:253.490005pt;margin-top:20.753567pt;width:56.65pt;height:.1pt;mso-position-horizontal-relative:page;mso-position-vertical-relative:paragraph;z-index:1672" coordorigin="5070,415" coordsize="1133,2">
            <v:shape style="position:absolute;left:5070;top:415;width:1133;height:2" coordorigin="5070,415" coordsize="1133,0" path="m5070,415l6203,415e" filled="false" stroked="true" strokeweight=".47998pt" strokecolor="#000000">
              <v:path arrowok="t"/>
            </v:shape>
            <w10:wrap type="none"/>
          </v:group>
        </w:pict>
      </w:r>
      <w:r>
        <w:rPr/>
        <w:pict>
          <v:group style="position:absolute;margin-left:324.290009pt;margin-top:20.753567pt;width:56.8pt;height:.1pt;mso-position-horizontal-relative:page;mso-position-vertical-relative:paragraph;z-index:1696" coordorigin="6486,415" coordsize="1136,2">
            <v:shape style="position:absolute;left:6486;top:415;width:1136;height:2" coordorigin="6486,415" coordsize="1136,0" path="m6486,415l7621,415e" filled="false" stroked="true" strokeweight=".47998pt" strokecolor="#000000">
              <v:path arrowok="t"/>
            </v:shape>
            <w10:wrap type="none"/>
          </v:group>
        </w:pict>
      </w:r>
      <w:r>
        <w:rPr/>
        <w:pict>
          <v:group style="position:absolute;margin-left:395.230011pt;margin-top:20.753567pt;width:56.8pt;height:.1pt;mso-position-horizontal-relative:page;mso-position-vertical-relative:paragraph;z-index:1720" coordorigin="7905,415" coordsize="1136,2">
            <v:shape style="position:absolute;left:7905;top:415;width:1136;height:2" coordorigin="7905,415" coordsize="1136,0" path="m7905,415l9040,415e" filled="false" stroked="true" strokeweight=".47998pt" strokecolor="#000000">
              <v:path arrowok="t"/>
            </v:shape>
            <w10:wrap type="none"/>
          </v:group>
        </w:pict>
      </w:r>
      <w:r>
        <w:rPr/>
        <w:pict>
          <v:group style="position:absolute;margin-left:466.029999pt;margin-top:20.753567pt;width:56.8pt;height:.1pt;mso-position-horizontal-relative:page;mso-position-vertical-relative:paragraph;z-index:1744" coordorigin="9321,415" coordsize="1136,2">
            <v:shape style="position:absolute;left:9321;top:415;width:1136;height:2" coordorigin="9321,415" coordsize="1136,0" path="m9321,415l10456,415e" filled="false" stroked="true" strokeweight=".47998pt" strokecolor="#000000">
              <v:path arrowok="t"/>
            </v:shape>
            <w10:wrap type="none"/>
          </v:group>
        </w:pict>
      </w:r>
      <w:r>
        <w:rPr>
          <w:rFonts w:ascii="Arial" w:hAnsi="Arial" w:cs="Arial" w:eastAsia="Arial" w:hint="default"/>
          <w:spacing w:val="-1"/>
          <w:sz w:val="21"/>
          <w:szCs w:val="21"/>
        </w:rPr>
        <w:t>-</w:t>
      </w:r>
      <w:r>
        <w:rPr>
          <w:rFonts w:ascii="宋体" w:hAnsi="宋体" w:cs="宋体" w:eastAsia="宋体" w:hint="default"/>
          <w:spacing w:val="-1"/>
          <w:sz w:val="21"/>
          <w:szCs w:val="21"/>
        </w:rPr>
        <w:t>美元</w:t>
        <w:tab/>
      </w:r>
      <w:r>
        <w:rPr>
          <w:rFonts w:ascii="Arial" w:hAnsi="Arial" w:cs="Arial" w:eastAsia="Arial" w:hint="default"/>
          <w:sz w:val="21"/>
          <w:szCs w:val="21"/>
        </w:rPr>
        <w:t>47</w:t>
        <w:tab/>
        <w:t>286</w:t>
        <w:tab/>
        <w:t>52</w:t>
        <w:tab/>
        <w:t>317</w:t>
      </w:r>
    </w:p>
    <w:p>
      <w:pPr>
        <w:spacing w:before="224"/>
        <w:ind w:left="954" w:right="0" w:firstLine="0"/>
        <w:jc w:val="left"/>
        <w:rPr>
          <w:rFonts w:ascii="宋体" w:hAnsi="宋体" w:cs="宋体" w:eastAsia="宋体" w:hint="default"/>
          <w:sz w:val="21"/>
          <w:szCs w:val="21"/>
        </w:rPr>
      </w:pPr>
      <w:r>
        <w:rPr>
          <w:rFonts w:ascii="宋体" w:hAnsi="宋体" w:cs="宋体" w:eastAsia="宋体" w:hint="default"/>
          <w:sz w:val="21"/>
          <w:szCs w:val="21"/>
        </w:rPr>
        <w:t>资产负债表敞口总额</w:t>
      </w:r>
    </w:p>
    <w:p>
      <w:pPr>
        <w:spacing w:line="240" w:lineRule="auto" w:before="1"/>
        <w:rPr>
          <w:rFonts w:ascii="宋体" w:hAnsi="宋体" w:cs="宋体" w:eastAsia="宋体" w:hint="default"/>
          <w:sz w:val="3"/>
          <w:szCs w:val="3"/>
        </w:rPr>
      </w:pPr>
    </w:p>
    <w:tbl>
      <w:tblPr>
        <w:tblW w:w="0" w:type="auto"/>
        <w:jc w:val="left"/>
        <w:tblInd w:w="1157" w:type="dxa"/>
        <w:tblLayout w:type="fixed"/>
        <w:tblCellMar>
          <w:top w:w="0" w:type="dxa"/>
          <w:left w:w="0" w:type="dxa"/>
          <w:bottom w:w="0" w:type="dxa"/>
          <w:right w:w="0" w:type="dxa"/>
        </w:tblCellMar>
        <w:tblLook w:val="01E0"/>
      </w:tblPr>
      <w:tblGrid>
        <w:gridCol w:w="1684"/>
        <w:gridCol w:w="2364"/>
        <w:gridCol w:w="1523"/>
        <w:gridCol w:w="1418"/>
        <w:gridCol w:w="1136"/>
      </w:tblGrid>
      <w:tr>
        <w:trPr>
          <w:trHeight w:val="268" w:hRule="exact"/>
        </w:trPr>
        <w:tc>
          <w:tcPr>
            <w:tcW w:w="1684"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美元</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19"/>
              <w:jc w:val="right"/>
              <w:rPr>
                <w:rFonts w:ascii="Arial" w:hAnsi="Arial" w:cs="Arial" w:eastAsia="Arial" w:hint="default"/>
                <w:sz w:val="21"/>
                <w:szCs w:val="21"/>
              </w:rPr>
            </w:pPr>
            <w:r>
              <w:rPr>
                <w:rFonts w:ascii="Arial"/>
                <w:spacing w:val="-1"/>
                <w:sz w:val="21"/>
              </w:rPr>
              <w:t>(1,819)</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14"/>
              <w:jc w:val="right"/>
              <w:rPr>
                <w:rFonts w:ascii="Arial" w:hAnsi="Arial" w:cs="Arial" w:eastAsia="Arial" w:hint="default"/>
                <w:sz w:val="21"/>
                <w:szCs w:val="21"/>
              </w:rPr>
            </w:pPr>
            <w:r>
              <w:rPr>
                <w:rFonts w:ascii="Arial"/>
                <w:spacing w:val="-1"/>
                <w:sz w:val="21"/>
              </w:rPr>
              <w:t>(11,125)</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13"/>
              <w:jc w:val="right"/>
              <w:rPr>
                <w:rFonts w:ascii="Arial" w:hAnsi="Arial" w:cs="Arial" w:eastAsia="Arial" w:hint="default"/>
                <w:sz w:val="21"/>
                <w:szCs w:val="21"/>
              </w:rPr>
            </w:pPr>
            <w:r>
              <w:rPr>
                <w:rFonts w:ascii="Arial"/>
                <w:spacing w:val="-1"/>
                <w:sz w:val="21"/>
              </w:rPr>
              <w:t>(1,808)</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Arial" w:hAnsi="Arial" w:cs="Arial" w:eastAsia="Arial" w:hint="default"/>
                <w:sz w:val="21"/>
                <w:szCs w:val="21"/>
              </w:rPr>
            </w:pPr>
            <w:r>
              <w:rPr>
                <w:rFonts w:ascii="Arial"/>
                <w:spacing w:val="-1"/>
                <w:sz w:val="21"/>
              </w:rPr>
              <w:t>(11,024)</w:t>
            </w:r>
          </w:p>
        </w:tc>
      </w:tr>
      <w:tr>
        <w:trPr>
          <w:trHeight w:val="273" w:hRule="exact"/>
        </w:trPr>
        <w:tc>
          <w:tcPr>
            <w:tcW w:w="1684"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港币</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19"/>
              <w:jc w:val="right"/>
              <w:rPr>
                <w:rFonts w:ascii="Arial" w:hAnsi="Arial" w:cs="Arial" w:eastAsia="Arial" w:hint="default"/>
                <w:sz w:val="21"/>
                <w:szCs w:val="21"/>
              </w:rPr>
            </w:pPr>
            <w:r>
              <w:rPr>
                <w:rFonts w:ascii="Arial"/>
                <w:spacing w:val="-1"/>
                <w:sz w:val="21"/>
              </w:rPr>
              <w:t>(61,400)</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4"/>
              <w:jc w:val="right"/>
              <w:rPr>
                <w:rFonts w:ascii="Arial" w:hAnsi="Arial" w:cs="Arial" w:eastAsia="Arial" w:hint="default"/>
                <w:sz w:val="21"/>
                <w:szCs w:val="21"/>
              </w:rPr>
            </w:pPr>
            <w:r>
              <w:rPr>
                <w:rFonts w:ascii="Arial"/>
                <w:spacing w:val="-1"/>
                <w:sz w:val="21"/>
              </w:rPr>
              <w:t>(48,436)</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3"/>
              <w:jc w:val="right"/>
              <w:rPr>
                <w:rFonts w:ascii="Arial" w:hAnsi="Arial" w:cs="Arial" w:eastAsia="Arial" w:hint="default"/>
                <w:sz w:val="21"/>
                <w:szCs w:val="21"/>
              </w:rPr>
            </w:pPr>
            <w:r>
              <w:rPr>
                <w:rFonts w:ascii="Arial"/>
                <w:spacing w:val="-1"/>
                <w:sz w:val="21"/>
              </w:rPr>
              <w:t>(47,856)</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1"/>
                <w:szCs w:val="21"/>
              </w:rPr>
            </w:pPr>
            <w:r>
              <w:rPr>
                <w:rFonts w:ascii="Arial"/>
                <w:spacing w:val="-1"/>
                <w:sz w:val="21"/>
              </w:rPr>
              <w:t>(37,622)</w:t>
            </w:r>
          </w:p>
        </w:tc>
      </w:tr>
      <w:tr>
        <w:trPr>
          <w:trHeight w:val="273" w:hRule="exact"/>
        </w:trPr>
        <w:tc>
          <w:tcPr>
            <w:tcW w:w="1684" w:type="dxa"/>
            <w:tcBorders>
              <w:top w:val="nil" w:sz="6" w:space="0" w:color="auto"/>
              <w:left w:val="nil" w:sz="6" w:space="0" w:color="auto"/>
              <w:bottom w:val="nil" w:sz="6" w:space="0" w:color="auto"/>
              <w:right w:val="nil" w:sz="6" w:space="0" w:color="auto"/>
            </w:tcBorders>
          </w:tcPr>
          <w:p>
            <w:pPr>
              <w:pStyle w:val="TableParagraph"/>
              <w:spacing w:line="251" w:lineRule="exact"/>
              <w:ind w:left="35"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欧元</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91"/>
              <w:jc w:val="right"/>
              <w:rPr>
                <w:rFonts w:ascii="Arial" w:hAnsi="Arial" w:cs="Arial" w:eastAsia="Arial" w:hint="default"/>
                <w:sz w:val="21"/>
                <w:szCs w:val="21"/>
              </w:rPr>
            </w:pPr>
            <w:r>
              <w:rPr>
                <w:rFonts w:ascii="Arial"/>
                <w:sz w:val="21"/>
              </w:rPr>
              <w:t>752</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9"/>
              <w:ind w:left="610" w:right="0"/>
              <w:jc w:val="left"/>
              <w:rPr>
                <w:rFonts w:ascii="Arial" w:hAnsi="Arial" w:cs="Arial" w:eastAsia="Arial" w:hint="default"/>
                <w:sz w:val="21"/>
                <w:szCs w:val="21"/>
              </w:rPr>
            </w:pPr>
            <w:r>
              <w:rPr>
                <w:rFonts w:ascii="Arial"/>
                <w:sz w:val="21"/>
              </w:rPr>
              <w:t>5,609</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83"/>
              <w:jc w:val="right"/>
              <w:rPr>
                <w:rFonts w:ascii="Arial" w:hAnsi="Arial" w:cs="Arial" w:eastAsia="Arial" w:hint="default"/>
                <w:sz w:val="21"/>
                <w:szCs w:val="21"/>
              </w:rPr>
            </w:pPr>
            <w:r>
              <w:rPr>
                <w:rFonts w:ascii="Arial"/>
                <w:sz w:val="21"/>
              </w:rPr>
              <w:t>741</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3"/>
              <w:jc w:val="right"/>
              <w:rPr>
                <w:rFonts w:ascii="Arial" w:hAnsi="Arial" w:cs="Arial" w:eastAsia="Arial" w:hint="default"/>
                <w:sz w:val="21"/>
                <w:szCs w:val="21"/>
              </w:rPr>
            </w:pPr>
            <w:r>
              <w:rPr>
                <w:rFonts w:ascii="Arial"/>
                <w:spacing w:val="-1"/>
                <w:sz w:val="21"/>
              </w:rPr>
              <w:t>6,236</w:t>
            </w:r>
          </w:p>
        </w:tc>
      </w:tr>
      <w:tr>
        <w:trPr>
          <w:trHeight w:val="272" w:hRule="exact"/>
        </w:trPr>
        <w:tc>
          <w:tcPr>
            <w:tcW w:w="1684"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日元</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4"/>
              <w:jc w:val="right"/>
              <w:rPr>
                <w:rFonts w:ascii="Arial" w:hAnsi="Arial" w:cs="Arial" w:eastAsia="Arial" w:hint="default"/>
                <w:sz w:val="21"/>
                <w:szCs w:val="21"/>
              </w:rPr>
            </w:pPr>
            <w:r>
              <w:rPr>
                <w:rFonts w:ascii="Arial"/>
                <w:sz w:val="21"/>
              </w:rPr>
              <w:t>44</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4"/>
              <w:jc w:val="right"/>
              <w:rPr>
                <w:rFonts w:ascii="Arial" w:hAnsi="Arial" w:cs="Arial" w:eastAsia="Arial" w:hint="default"/>
                <w:sz w:val="21"/>
                <w:szCs w:val="21"/>
              </w:rPr>
            </w:pPr>
            <w:r>
              <w:rPr>
                <w:rFonts w:ascii="Arial"/>
                <w:w w:val="100"/>
                <w:sz w:val="21"/>
              </w:rPr>
              <w:t>2</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3"/>
              <w:jc w:val="right"/>
              <w:rPr>
                <w:rFonts w:ascii="Arial" w:hAnsi="Arial" w:cs="Arial" w:eastAsia="Arial" w:hint="default"/>
                <w:sz w:val="21"/>
                <w:szCs w:val="21"/>
              </w:rPr>
            </w:pPr>
            <w:r>
              <w:rPr>
                <w:rFonts w:ascii="Arial"/>
                <w:sz w:val="21"/>
              </w:rPr>
              <w:t>33</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Arial" w:hAnsi="Arial" w:cs="Arial" w:eastAsia="Arial" w:hint="default"/>
                <w:sz w:val="21"/>
                <w:szCs w:val="21"/>
              </w:rPr>
            </w:pPr>
            <w:r>
              <w:rPr>
                <w:rFonts w:ascii="Arial"/>
                <w:w w:val="100"/>
                <w:sz w:val="21"/>
              </w:rPr>
              <w:t>2</w:t>
            </w:r>
          </w:p>
        </w:tc>
      </w:tr>
      <w:tr>
        <w:trPr>
          <w:trHeight w:val="346" w:hRule="exact"/>
        </w:trPr>
        <w:tc>
          <w:tcPr>
            <w:tcW w:w="1684" w:type="dxa"/>
            <w:tcBorders>
              <w:top w:val="nil" w:sz="6" w:space="0" w:color="auto"/>
              <w:left w:val="nil" w:sz="6" w:space="0" w:color="auto"/>
              <w:bottom w:val="nil" w:sz="6" w:space="0" w:color="auto"/>
              <w:right w:val="nil" w:sz="6" w:space="0" w:color="auto"/>
            </w:tcBorders>
          </w:tcPr>
          <w:p>
            <w:pPr>
              <w:pStyle w:val="TableParagraph"/>
              <w:spacing w:line="251" w:lineRule="exact"/>
              <w:ind w:left="35"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英镑</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94"/>
              <w:jc w:val="right"/>
              <w:rPr>
                <w:rFonts w:ascii="Arial" w:hAnsi="Arial" w:cs="Arial" w:eastAsia="Arial" w:hint="default"/>
                <w:sz w:val="21"/>
                <w:szCs w:val="21"/>
              </w:rPr>
            </w:pPr>
            <w:r>
              <w:rPr>
                <w:rFonts w:ascii="Arial"/>
                <w:spacing w:val="-1"/>
                <w:sz w:val="21"/>
              </w:rPr>
              <w:t>1.2</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84"/>
              <w:jc w:val="right"/>
              <w:rPr>
                <w:rFonts w:ascii="Arial" w:hAnsi="Arial" w:cs="Arial" w:eastAsia="Arial" w:hint="default"/>
                <w:sz w:val="21"/>
                <w:szCs w:val="21"/>
              </w:rPr>
            </w:pPr>
            <w:r>
              <w:rPr>
                <w:rFonts w:ascii="Arial"/>
                <w:sz w:val="21"/>
              </w:rPr>
              <w:t>11</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7"/>
              <w:jc w:val="right"/>
              <w:rPr>
                <w:rFonts w:ascii="Arial" w:hAnsi="Arial" w:cs="Arial" w:eastAsia="Arial" w:hint="default"/>
                <w:sz w:val="21"/>
                <w:szCs w:val="21"/>
              </w:rPr>
            </w:pPr>
            <w:r>
              <w:rPr>
                <w:rFonts w:ascii="Arial"/>
                <w:spacing w:val="-1"/>
                <w:sz w:val="21"/>
              </w:rPr>
              <w:t>0.1</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3"/>
              <w:jc w:val="right"/>
              <w:rPr>
                <w:rFonts w:ascii="Arial" w:hAnsi="Arial" w:cs="Arial" w:eastAsia="Arial" w:hint="default"/>
                <w:sz w:val="21"/>
                <w:szCs w:val="21"/>
              </w:rPr>
            </w:pPr>
            <w:r>
              <w:rPr>
                <w:rFonts w:ascii="Arial"/>
                <w:w w:val="100"/>
                <w:sz w:val="21"/>
              </w:rPr>
              <w:t>1</w:t>
            </w:r>
          </w:p>
        </w:tc>
      </w:tr>
    </w:tbl>
    <w:p>
      <w:pPr>
        <w:tabs>
          <w:tab w:pos="5202" w:val="left" w:leader="none"/>
          <w:tab w:pos="6621" w:val="left" w:leader="none"/>
          <w:tab w:pos="8037" w:val="left" w:leader="none"/>
        </w:tabs>
        <w:spacing w:line="33" w:lineRule="exact"/>
        <w:ind w:left="3787" w:right="0" w:firstLine="0"/>
        <w:rPr>
          <w:rFonts w:ascii="宋体" w:hAnsi="宋体" w:cs="宋体" w:eastAsia="宋体" w:hint="default"/>
          <w:sz w:val="3"/>
          <w:szCs w:val="3"/>
        </w:rPr>
      </w:pPr>
      <w:r>
        <w:rPr>
          <w:rFonts w:ascii="宋体"/>
          <w:sz w:val="2"/>
        </w:rPr>
        <w:pict>
          <v:group style="width:49.8pt;height:1.45pt;mso-position-horizontal-relative:char;mso-position-vertical-relative:line" coordorigin="0,0" coordsize="996,29">
            <v:group style="position:absolute;left:2;top:2;width:992;height:2" coordorigin="2,2" coordsize="992,2">
              <v:shape style="position:absolute;left:2;top:2;width:992;height:2" coordorigin="2,2" coordsize="992,0" path="m2,2l994,2e" filled="false" stroked="true" strokeweight=".24005pt" strokecolor="#000000">
                <v:path arrowok="t"/>
              </v:shape>
            </v:group>
            <v:group style="position:absolute;left:2;top:26;width:992;height:2" coordorigin="2,26" coordsize="992,2">
              <v:shape style="position:absolute;left:2;top:26;width:992;height:2" coordorigin="2,26" coordsize="992,0" path="m2,26l994,26e" filled="false" stroked="true" strokeweight=".23999pt" strokecolor="#000000">
                <v:path arrowok="t"/>
              </v:shape>
            </v:group>
          </v:group>
        </w:pict>
      </w:r>
      <w:r>
        <w:rPr>
          <w:rFonts w:ascii="宋体"/>
          <w:sz w:val="2"/>
        </w:rPr>
      </w:r>
      <w:r>
        <w:rPr>
          <w:rFonts w:ascii="宋体"/>
          <w:sz w:val="2"/>
        </w:rPr>
        <w:tab/>
      </w:r>
      <w:r>
        <w:rPr>
          <w:rFonts w:ascii="宋体"/>
          <w:position w:val="0"/>
          <w:sz w:val="3"/>
        </w:rPr>
        <w:pict>
          <v:group style="width:60.3pt;height:1.7pt;mso-position-horizontal-relative:char;mso-position-vertical-relative:line" coordorigin="0,0" coordsize="1206,34">
            <v:group style="position:absolute;left:4;top:4;width:1199;height:2" coordorigin="4,4" coordsize="1199,2">
              <v:shape style="position:absolute;left:4;top:4;width:1199;height:2" coordorigin="4,4" coordsize="1199,0" path="m4,4l1202,4e" filled="false" stroked="true" strokeweight=".36005pt" strokecolor="#000000">
                <v:path arrowok="t"/>
              </v:shape>
            </v:group>
            <v:group style="position:absolute;left:4;top:30;width:1199;height:2" coordorigin="4,30" coordsize="1199,2">
              <v:shape style="position:absolute;left:4;top:30;width:1199;height:2" coordorigin="4,30" coordsize="1199,0" path="m4,30l1202,30e" filled="false" stroked="true" strokeweight=".35999pt" strokecolor="#000000">
                <v:path arrowok="t"/>
              </v:shape>
            </v:group>
          </v:group>
        </w:pict>
      </w:r>
      <w:r>
        <w:rPr>
          <w:rFonts w:ascii="宋体"/>
          <w:position w:val="0"/>
          <w:sz w:val="3"/>
        </w:rPr>
      </w:r>
      <w:r>
        <w:rPr>
          <w:rFonts w:ascii="宋体"/>
          <w:position w:val="0"/>
          <w:sz w:val="3"/>
        </w:rPr>
        <w:tab/>
      </w:r>
      <w:r>
        <w:rPr>
          <w:rFonts w:ascii="宋体"/>
          <w:position w:val="0"/>
          <w:sz w:val="3"/>
        </w:rPr>
        <w:pict>
          <v:group style="width:60pt;height:1.7pt;mso-position-horizontal-relative:char;mso-position-vertical-relative:line" coordorigin="0,0" coordsize="1200,34">
            <v:group style="position:absolute;left:4;top:4;width:1193;height:2" coordorigin="4,4" coordsize="1193,2">
              <v:shape style="position:absolute;left:4;top:4;width:1193;height:2" coordorigin="4,4" coordsize="1193,0" path="m4,4l1196,4e" filled="false" stroked="true" strokeweight=".36005pt" strokecolor="#000000">
                <v:path arrowok="t"/>
              </v:shape>
            </v:group>
            <v:group style="position:absolute;left:4;top:30;width:1193;height:2" coordorigin="4,30" coordsize="1193,2">
              <v:shape style="position:absolute;left:4;top:30;width:1193;height:2" coordorigin="4,30" coordsize="1193,0" path="m4,30l1196,30e" filled="false" stroked="true" strokeweight=".35999pt" strokecolor="#000000">
                <v:path arrowok="t"/>
              </v:shape>
            </v:group>
          </v:group>
        </w:pict>
      </w:r>
      <w:r>
        <w:rPr>
          <w:rFonts w:ascii="宋体"/>
          <w:position w:val="0"/>
          <w:sz w:val="3"/>
        </w:rPr>
      </w:r>
      <w:r>
        <w:rPr>
          <w:rFonts w:ascii="宋体"/>
          <w:position w:val="0"/>
          <w:sz w:val="3"/>
        </w:rPr>
        <w:tab/>
      </w:r>
      <w:r>
        <w:rPr>
          <w:rFonts w:ascii="宋体"/>
          <w:position w:val="0"/>
          <w:sz w:val="3"/>
        </w:rPr>
        <w:pict>
          <v:group style="width:59.2pt;height:1.7pt;mso-position-horizontal-relative:char;mso-position-vertical-relative:line" coordorigin="0,0" coordsize="1184,34">
            <v:group style="position:absolute;left:4;top:4;width:1177;height:2" coordorigin="4,4" coordsize="1177,2">
              <v:shape style="position:absolute;left:4;top:4;width:1177;height:2" coordorigin="4,4" coordsize="1177,0" path="m4,4l1180,4e" filled="false" stroked="true" strokeweight=".36005pt" strokecolor="#000000">
                <v:path arrowok="t"/>
              </v:shape>
            </v:group>
            <v:group style="position:absolute;left:4;top:30;width:1177;height:2" coordorigin="4,30" coordsize="1177,2">
              <v:shape style="position:absolute;left:4;top:30;width:1177;height:2" coordorigin="4,30" coordsize="1177,0" path="m4,30l1180,30e" filled="false" stroked="true" strokeweight=".35999pt" strokecolor="#000000">
                <v:path arrowok="t"/>
              </v:shape>
            </v:group>
          </v:group>
        </w:pict>
      </w:r>
      <w:r>
        <w:rPr>
          <w:rFonts w:ascii="宋体"/>
          <w:position w:val="0"/>
          <w:sz w:val="3"/>
        </w:rPr>
      </w:r>
    </w:p>
    <w:p>
      <w:pPr>
        <w:spacing w:after="0" w:line="33" w:lineRule="exact"/>
        <w:rPr>
          <w:rFonts w:ascii="宋体" w:hAnsi="宋体" w:cs="宋体" w:eastAsia="宋体" w:hint="default"/>
          <w:sz w:val="3"/>
          <w:szCs w:val="3"/>
        </w:rPr>
        <w:sectPr>
          <w:headerReference w:type="default" r:id="rId135"/>
          <w:pgSz w:w="11910" w:h="16840"/>
          <w:pgMar w:header="1181" w:footer="923" w:top="3060" w:bottom="1120" w:left="1280" w:right="880"/>
        </w:sectPr>
      </w:pPr>
    </w:p>
    <w:p>
      <w:pPr>
        <w:spacing w:line="240" w:lineRule="auto" w:before="10"/>
        <w:rPr>
          <w:rFonts w:ascii="宋体" w:hAnsi="宋体" w:cs="宋体" w:eastAsia="宋体" w:hint="default"/>
          <w:sz w:val="16"/>
          <w:szCs w:val="16"/>
        </w:rPr>
      </w:pPr>
    </w:p>
    <w:p>
      <w:pPr>
        <w:pStyle w:val="BodyText"/>
        <w:tabs>
          <w:tab w:pos="580" w:val="left" w:leader="none"/>
        </w:tabs>
        <w:spacing w:line="240" w:lineRule="auto" w:before="32"/>
        <w:ind w:left="102" w:right="0"/>
        <w:jc w:val="left"/>
      </w:pPr>
      <w:r>
        <w:rPr>
          <w:rFonts w:ascii="Arial" w:hAnsi="Arial" w:cs="Arial" w:eastAsia="Arial" w:hint="default"/>
        </w:rPr>
        <w:t>(a)</w:t>
        <w:tab/>
      </w:r>
      <w:r>
        <w:rPr/>
        <w:t>市场风险（续）</w:t>
      </w:r>
    </w:p>
    <w:p>
      <w:pPr>
        <w:spacing w:line="240" w:lineRule="auto" w:before="12"/>
        <w:rPr>
          <w:rFonts w:ascii="宋体" w:hAnsi="宋体" w:cs="宋体" w:eastAsia="宋体" w:hint="default"/>
          <w:sz w:val="17"/>
          <w:szCs w:val="17"/>
        </w:rPr>
      </w:pPr>
    </w:p>
    <w:p>
      <w:pPr>
        <w:pStyle w:val="BodyText"/>
        <w:spacing w:line="240" w:lineRule="auto"/>
        <w:ind w:left="148" w:right="0"/>
        <w:jc w:val="left"/>
      </w:pPr>
      <w:r>
        <w:rPr>
          <w:rFonts w:ascii="Arial" w:hAnsi="Arial" w:cs="Arial" w:eastAsia="Arial" w:hint="default"/>
        </w:rPr>
        <w:t>(1)</w:t>
      </w:r>
      <w:r>
        <w:rPr>
          <w:rFonts w:ascii="Arial" w:hAnsi="Arial" w:cs="Arial" w:eastAsia="Arial" w:hint="default"/>
          <w:spacing w:val="45"/>
        </w:rPr>
        <w:t> </w:t>
      </w:r>
      <w:r>
        <w:rPr/>
        <w:t>汇率风险（续）</w:t>
      </w:r>
    </w:p>
    <w:p>
      <w:pPr>
        <w:spacing w:line="240" w:lineRule="auto" w:before="1"/>
        <w:rPr>
          <w:rFonts w:ascii="宋体" w:hAnsi="宋体" w:cs="宋体" w:eastAsia="宋体" w:hint="default"/>
          <w:sz w:val="20"/>
          <w:szCs w:val="20"/>
        </w:rPr>
      </w:pPr>
    </w:p>
    <w:p>
      <w:pPr>
        <w:pStyle w:val="BodyText"/>
        <w:spacing w:line="286" w:lineRule="exact"/>
        <w:ind w:left="580" w:right="113"/>
        <w:jc w:val="both"/>
      </w:pPr>
      <w:r>
        <w:rPr>
          <w:spacing w:val="-3"/>
        </w:rPr>
        <w:t>于</w:t>
      </w:r>
      <w:r>
        <w:rPr>
          <w:rFonts w:ascii="Arial" w:hAnsi="Arial" w:cs="Arial" w:eastAsia="Arial" w:hint="default"/>
          <w:spacing w:val="-3"/>
        </w:rPr>
        <w:t>2014</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日，对于本集团以外币计价的货币资金、可转换债券、银行借款及应付融资租</w:t>
      </w:r>
      <w:r>
        <w:rPr>
          <w:spacing w:val="-58"/>
        </w:rPr>
        <w:t> </w:t>
      </w:r>
      <w:r>
        <w:rPr>
          <w:spacing w:val="-58"/>
        </w:rPr>
      </w:r>
      <w:r>
        <w:rPr/>
        <w:t>赁款，假设人民币对外币（主要为对美元、港币和欧元）升值或贬值</w:t>
      </w:r>
      <w:r>
        <w:rPr>
          <w:rFonts w:ascii="Arial" w:hAnsi="Arial" w:cs="Arial" w:eastAsia="Arial" w:hint="default"/>
        </w:rPr>
        <w:t>10%</w:t>
      </w:r>
      <w:r>
        <w:rPr/>
        <w:t>，而其他因素保持不</w:t>
      </w:r>
      <w:r>
        <w:rPr>
          <w:spacing w:val="-83"/>
        </w:rPr>
        <w:t> </w:t>
      </w:r>
      <w:r>
        <w:rPr>
          <w:spacing w:val="-83"/>
        </w:rPr>
      </w:r>
      <w:r>
        <w:rPr/>
        <w:t>变，则会导致本集团股东权益及净利润均增加或减少约人民币</w:t>
      </w:r>
      <w:r>
        <w:rPr>
          <w:rFonts w:ascii="Arial" w:hAnsi="Arial" w:cs="Arial" w:eastAsia="Arial" w:hint="default"/>
        </w:rPr>
        <w:t>44.73</w:t>
      </w:r>
      <w:r>
        <w:rPr/>
        <w:t>亿元（</w:t>
      </w:r>
      <w:r>
        <w:rPr>
          <w:rFonts w:ascii="Arial" w:hAnsi="Arial" w:cs="Arial" w:eastAsia="Arial" w:hint="default"/>
        </w:rPr>
        <w:t>2013</w:t>
      </w:r>
      <w:r>
        <w:rPr/>
        <w:t>年</w:t>
      </w:r>
      <w:r>
        <w:rPr>
          <w:rFonts w:ascii="Arial" w:hAnsi="Arial" w:cs="Arial" w:eastAsia="Arial" w:hint="default"/>
        </w:rPr>
        <w:t>12</w:t>
      </w:r>
      <w:r>
        <w:rPr/>
        <w:t>月</w:t>
      </w:r>
      <w:r>
        <w:rPr>
          <w:rFonts w:ascii="Arial" w:hAnsi="Arial" w:cs="Arial" w:eastAsia="Arial" w:hint="default"/>
        </w:rPr>
        <w:t>31</w:t>
      </w:r>
      <w:r>
        <w:rPr/>
        <w:t>日：</w:t>
      </w:r>
      <w:r>
        <w:rPr>
          <w:spacing w:val="-77"/>
        </w:rPr>
        <w:t> </w:t>
      </w:r>
      <w:r>
        <w:rPr>
          <w:spacing w:val="-3"/>
        </w:rPr>
        <w:t>约人民币</w:t>
      </w:r>
      <w:r>
        <w:rPr>
          <w:rFonts w:ascii="Arial" w:hAnsi="Arial" w:cs="Arial" w:eastAsia="Arial" w:hint="default"/>
          <w:spacing w:val="-3"/>
        </w:rPr>
        <w:t>36.61</w:t>
      </w:r>
      <w:r>
        <w:rPr>
          <w:spacing w:val="-3"/>
        </w:rPr>
        <w:t>亿元）。对于本集团以外币计价的可供出售金融资产，假设人民币对外币（主要</w:t>
      </w:r>
      <w:r>
        <w:rPr>
          <w:spacing w:val="-66"/>
        </w:rPr>
        <w:t> </w:t>
      </w:r>
      <w:r>
        <w:rPr>
          <w:spacing w:val="-66"/>
        </w:rPr>
      </w:r>
      <w:r>
        <w:rPr/>
        <w:t>为对欧元）增加或减少</w:t>
      </w:r>
      <w:r>
        <w:rPr>
          <w:rFonts w:ascii="Arial" w:hAnsi="Arial" w:cs="Arial" w:eastAsia="Arial" w:hint="default"/>
        </w:rPr>
        <w:t>10%</w:t>
      </w:r>
      <w:r>
        <w:rPr/>
        <w:t>，而其他因素保持不变，则会导致本集团股东权益及其他综合收益</w:t>
      </w:r>
      <w:r>
        <w:rPr>
          <w:spacing w:val="-83"/>
        </w:rPr>
        <w:t> </w:t>
      </w:r>
      <w:r>
        <w:rPr>
          <w:spacing w:val="-83"/>
        </w:rPr>
      </w:r>
      <w:r>
        <w:rPr/>
        <w:t>均减少或增加约人民币</w:t>
      </w:r>
      <w:r>
        <w:rPr>
          <w:rFonts w:ascii="Arial" w:hAnsi="Arial" w:cs="Arial" w:eastAsia="Arial" w:hint="default"/>
        </w:rPr>
        <w:t>4.28</w:t>
      </w:r>
      <w:r>
        <w:rPr/>
        <w:t>亿元（</w:t>
      </w:r>
      <w:r>
        <w:rPr>
          <w:rFonts w:ascii="Arial" w:hAnsi="Arial" w:cs="Arial" w:eastAsia="Arial" w:hint="default"/>
        </w:rPr>
        <w:t>2013</w:t>
      </w:r>
      <w:r>
        <w:rPr/>
        <w:t>年</w:t>
      </w:r>
      <w:r>
        <w:rPr>
          <w:rFonts w:ascii="Arial" w:hAnsi="Arial" w:cs="Arial" w:eastAsia="Arial" w:hint="default"/>
        </w:rPr>
        <w:t>12</w:t>
      </w:r>
      <w:r>
        <w:rPr/>
        <w:t>月</w:t>
      </w:r>
      <w:r>
        <w:rPr>
          <w:rFonts w:ascii="Arial" w:hAnsi="Arial" w:cs="Arial" w:eastAsia="Arial" w:hint="default"/>
        </w:rPr>
        <w:t>31</w:t>
      </w:r>
      <w:r>
        <w:rPr/>
        <w:t>日：约人民币</w:t>
      </w:r>
      <w:r>
        <w:rPr>
          <w:rFonts w:ascii="Arial" w:hAnsi="Arial" w:cs="Arial" w:eastAsia="Arial" w:hint="default"/>
        </w:rPr>
        <w:t>4.80</w:t>
      </w:r>
      <w:r>
        <w:rPr/>
        <w:t>亿元）。</w:t>
      </w:r>
    </w:p>
    <w:p>
      <w:pPr>
        <w:spacing w:line="240" w:lineRule="auto" w:before="3"/>
        <w:rPr>
          <w:rFonts w:ascii="宋体" w:hAnsi="宋体" w:cs="宋体" w:eastAsia="宋体" w:hint="default"/>
          <w:sz w:val="19"/>
          <w:szCs w:val="19"/>
        </w:rPr>
      </w:pPr>
    </w:p>
    <w:p>
      <w:pPr>
        <w:pStyle w:val="BodyText"/>
        <w:spacing w:line="286" w:lineRule="exact"/>
        <w:ind w:left="580" w:right="113"/>
        <w:jc w:val="both"/>
      </w:pPr>
      <w:r>
        <w:rPr/>
        <w:t>上述敏感性分析是假设资产负债表日汇率发生变动，以变动后的汇率对资产负债表日本集团或</w:t>
      </w:r>
      <w:r>
        <w:rPr>
          <w:spacing w:val="-78"/>
        </w:rPr>
        <w:t> </w:t>
      </w:r>
      <w:r>
        <w:rPr/>
        <w:t>本公司持有的、面临汇率风险的金融工具进行重新计量得出的。上述分析不包括外币报表折算</w:t>
      </w:r>
      <w:r>
        <w:rPr>
          <w:spacing w:val="-78"/>
        </w:rPr>
        <w:t> </w:t>
      </w:r>
      <w:r>
        <w:rPr/>
        <w:t>差异。上一年度的分析基于同样的假设和方法。</w:t>
      </w:r>
    </w:p>
    <w:p>
      <w:pPr>
        <w:spacing w:line="240" w:lineRule="auto" w:before="1"/>
        <w:rPr>
          <w:rFonts w:ascii="宋体" w:hAnsi="宋体" w:cs="宋体" w:eastAsia="宋体" w:hint="default"/>
          <w:sz w:val="17"/>
          <w:szCs w:val="17"/>
        </w:rPr>
      </w:pPr>
    </w:p>
    <w:p>
      <w:pPr>
        <w:pStyle w:val="BodyText"/>
        <w:tabs>
          <w:tab w:pos="580" w:val="left" w:leader="none"/>
        </w:tabs>
        <w:spacing w:line="240" w:lineRule="auto"/>
        <w:ind w:left="102" w:right="0"/>
        <w:jc w:val="left"/>
      </w:pPr>
      <w:r>
        <w:rPr>
          <w:rFonts w:ascii="Arial" w:hAnsi="Arial" w:cs="Arial" w:eastAsia="Arial" w:hint="default"/>
        </w:rPr>
        <w:t>(2)</w:t>
        <w:tab/>
      </w:r>
      <w:r>
        <w:rPr/>
        <w:t>价格风险</w:t>
      </w:r>
    </w:p>
    <w:p>
      <w:pPr>
        <w:spacing w:line="240" w:lineRule="auto" w:before="1"/>
        <w:rPr>
          <w:rFonts w:ascii="宋体" w:hAnsi="宋体" w:cs="宋体" w:eastAsia="宋体" w:hint="default"/>
          <w:sz w:val="20"/>
          <w:szCs w:val="20"/>
        </w:rPr>
      </w:pPr>
    </w:p>
    <w:p>
      <w:pPr>
        <w:pStyle w:val="BodyText"/>
        <w:spacing w:line="286" w:lineRule="exact"/>
        <w:ind w:left="580" w:right="113"/>
        <w:jc w:val="both"/>
      </w:pPr>
      <w:r>
        <w:rPr/>
        <w:t>本集团在资产负债表中被分类为可供出售金融资产的股票投资主要为西班牙电信的股票，因此</w:t>
      </w:r>
      <w:r>
        <w:rPr>
          <w:spacing w:val="-78"/>
        </w:rPr>
        <w:t> </w:t>
      </w:r>
      <w:r>
        <w:rPr/>
        <w:t>本集团承受权益证券的市场价格风险。</w:t>
      </w:r>
    </w:p>
    <w:p>
      <w:pPr>
        <w:spacing w:line="240" w:lineRule="auto" w:before="3"/>
        <w:rPr>
          <w:rFonts w:ascii="宋体" w:hAnsi="宋体" w:cs="宋体" w:eastAsia="宋体" w:hint="default"/>
          <w:sz w:val="19"/>
          <w:szCs w:val="19"/>
        </w:rPr>
      </w:pPr>
    </w:p>
    <w:p>
      <w:pPr>
        <w:pStyle w:val="BodyText"/>
        <w:spacing w:line="286" w:lineRule="exact"/>
        <w:ind w:left="580" w:right="113"/>
        <w:jc w:val="both"/>
      </w:pPr>
      <w:r>
        <w:rPr>
          <w:spacing w:val="-3"/>
        </w:rPr>
        <w:t>于</w:t>
      </w:r>
      <w:r>
        <w:rPr>
          <w:rFonts w:ascii="Arial" w:hAnsi="Arial" w:cs="Arial" w:eastAsia="Arial" w:hint="default"/>
          <w:spacing w:val="-3"/>
        </w:rPr>
        <w:t>2014</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日，假设西班牙电信的股票价格上升或下降</w:t>
      </w:r>
      <w:r>
        <w:rPr>
          <w:rFonts w:ascii="Arial" w:hAnsi="Arial" w:cs="Arial" w:eastAsia="Arial" w:hint="default"/>
          <w:spacing w:val="-3"/>
        </w:rPr>
        <w:t>10%</w:t>
      </w:r>
      <w:r>
        <w:rPr>
          <w:spacing w:val="-3"/>
        </w:rPr>
        <w:t>，而其他因素保持不变，则会</w:t>
      </w:r>
      <w:r>
        <w:rPr>
          <w:spacing w:val="-56"/>
        </w:rPr>
        <w:t> </w:t>
      </w:r>
      <w:r>
        <w:rPr>
          <w:spacing w:val="-56"/>
        </w:rPr>
      </w:r>
      <w:r>
        <w:rPr>
          <w:spacing w:val="-3"/>
        </w:rPr>
        <w:t>导致本集团股东权益及其他综合收益均增加或减少约人民币</w:t>
      </w:r>
      <w:r>
        <w:rPr>
          <w:rFonts w:ascii="Arial" w:hAnsi="Arial" w:cs="Arial" w:eastAsia="Arial" w:hint="default"/>
          <w:spacing w:val="-3"/>
        </w:rPr>
        <w:t>4.28</w:t>
      </w:r>
      <w:r>
        <w:rPr>
          <w:spacing w:val="-3"/>
        </w:rPr>
        <w:t>亿元（</w:t>
      </w:r>
      <w:r>
        <w:rPr>
          <w:rFonts w:ascii="Arial" w:hAnsi="Arial" w:cs="Arial" w:eastAsia="Arial" w:hint="default"/>
          <w:spacing w:val="-3"/>
        </w:rPr>
        <w:t>2013</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日：约人</w:t>
      </w:r>
      <w:r>
        <w:rPr>
          <w:spacing w:val="-38"/>
        </w:rPr>
        <w:t> </w:t>
      </w:r>
      <w:r>
        <w:rPr>
          <w:spacing w:val="-38"/>
        </w:rPr>
      </w:r>
      <w:r>
        <w:rPr/>
        <w:t>民币</w:t>
      </w:r>
      <w:r>
        <w:rPr>
          <w:rFonts w:ascii="Arial" w:hAnsi="Arial" w:cs="Arial" w:eastAsia="Arial" w:hint="default"/>
        </w:rPr>
        <w:t>4.80</w:t>
      </w:r>
      <w:r>
        <w:rPr/>
        <w:t>亿元）。</w:t>
      </w:r>
    </w:p>
    <w:p>
      <w:pPr>
        <w:spacing w:line="240" w:lineRule="auto" w:before="7"/>
        <w:rPr>
          <w:rFonts w:ascii="宋体" w:hAnsi="宋体" w:cs="宋体" w:eastAsia="宋体" w:hint="default"/>
          <w:sz w:val="19"/>
          <w:szCs w:val="19"/>
        </w:rPr>
      </w:pPr>
    </w:p>
    <w:p>
      <w:pPr>
        <w:pStyle w:val="BodyText"/>
        <w:spacing w:line="284" w:lineRule="exact"/>
        <w:ind w:left="580" w:right="113"/>
        <w:jc w:val="both"/>
      </w:pPr>
      <w:r>
        <w:rPr/>
        <w:t>上述敏感性分析是假设资产负债表日西班牙电信股票价格发生变动，以变动后的价格对西班牙</w:t>
      </w:r>
      <w:r>
        <w:rPr>
          <w:spacing w:val="-78"/>
        </w:rPr>
        <w:t> </w:t>
      </w:r>
      <w:r>
        <w:rPr/>
        <w:t>电信的股票投资进行重新计量得出的。上一年度的分析基于同样的假设和方法。</w:t>
      </w:r>
    </w:p>
    <w:p>
      <w:pPr>
        <w:spacing w:line="240" w:lineRule="auto" w:before="4"/>
        <w:rPr>
          <w:rFonts w:ascii="宋体" w:hAnsi="宋体" w:cs="宋体" w:eastAsia="宋体" w:hint="default"/>
          <w:sz w:val="17"/>
          <w:szCs w:val="17"/>
        </w:rPr>
      </w:pPr>
    </w:p>
    <w:p>
      <w:pPr>
        <w:pStyle w:val="BodyText"/>
        <w:tabs>
          <w:tab w:pos="580" w:val="left" w:leader="none"/>
        </w:tabs>
        <w:spacing w:line="240" w:lineRule="auto"/>
        <w:ind w:left="102" w:right="0"/>
        <w:jc w:val="left"/>
      </w:pPr>
      <w:r>
        <w:rPr>
          <w:rFonts w:ascii="Arial" w:hAnsi="Arial" w:cs="Arial" w:eastAsia="Arial" w:hint="default"/>
        </w:rPr>
        <w:t>(3)</w:t>
        <w:tab/>
      </w:r>
      <w:r>
        <w:rPr/>
        <w:t>现金流量和公允价值利率风险</w:t>
      </w:r>
    </w:p>
    <w:p>
      <w:pPr>
        <w:spacing w:line="240" w:lineRule="auto" w:before="0"/>
        <w:rPr>
          <w:rFonts w:ascii="宋体" w:hAnsi="宋体" w:cs="宋体" w:eastAsia="宋体" w:hint="default"/>
          <w:sz w:val="16"/>
          <w:szCs w:val="16"/>
        </w:rPr>
      </w:pPr>
    </w:p>
    <w:p>
      <w:pPr>
        <w:pStyle w:val="BodyText"/>
        <w:spacing w:line="286" w:lineRule="exact"/>
        <w:ind w:left="580" w:right="113"/>
        <w:jc w:val="both"/>
      </w:pPr>
      <w:r>
        <w:rPr/>
        <w:t>本集团的带息资产主要为银行存款。由于主要的银行存款皆为短期性质并且所涉及的利息金额</w:t>
      </w:r>
      <w:r>
        <w:rPr>
          <w:spacing w:val="-78"/>
        </w:rPr>
        <w:t> </w:t>
      </w:r>
      <w:r>
        <w:rPr/>
        <w:t>并不重大，管理层认为市场存款利率的波动对财务报表的影响并不重大。</w:t>
      </w:r>
    </w:p>
    <w:p>
      <w:pPr>
        <w:spacing w:line="240" w:lineRule="auto" w:before="3"/>
        <w:rPr>
          <w:rFonts w:ascii="宋体" w:hAnsi="宋体" w:cs="宋体" w:eastAsia="宋体" w:hint="default"/>
          <w:sz w:val="19"/>
          <w:szCs w:val="19"/>
        </w:rPr>
      </w:pPr>
    </w:p>
    <w:p>
      <w:pPr>
        <w:pStyle w:val="BodyText"/>
        <w:spacing w:line="286" w:lineRule="exact"/>
        <w:ind w:left="580" w:right="113"/>
        <w:jc w:val="both"/>
      </w:pPr>
      <w:r>
        <w:rPr/>
        <w:t>本集团的利率风险产生于包括银行借款、长短期债券及关联方借款等在内的计息借款。浮动利</w:t>
      </w:r>
      <w:r>
        <w:rPr>
          <w:spacing w:val="-78"/>
        </w:rPr>
        <w:t> </w:t>
      </w:r>
      <w:r>
        <w:rPr/>
        <w:t>率计息的借款、循环贷款额度范围内的固定利率短期借款及短期融资券导致本集团产生现金流</w:t>
      </w:r>
      <w:r>
        <w:rPr>
          <w:spacing w:val="-78"/>
        </w:rPr>
        <w:t> </w:t>
      </w:r>
      <w:r>
        <w:rPr/>
        <w:t>量利率风险，而固定利率计息的长期借款导致本集团产生公允价值利率风险。本集团主要根据</w:t>
      </w:r>
      <w:r>
        <w:rPr>
          <w:spacing w:val="-78"/>
        </w:rPr>
        <w:t> </w:t>
      </w:r>
      <w:r>
        <w:rPr/>
        <w:t>当时的市场环境来决定使用固定利率或浮动利率借款的政策。</w:t>
      </w:r>
    </w:p>
    <w:p>
      <w:pPr>
        <w:spacing w:line="240" w:lineRule="auto" w:before="4"/>
        <w:rPr>
          <w:rFonts w:ascii="宋体" w:hAnsi="宋体" w:cs="宋体" w:eastAsia="宋体" w:hint="default"/>
          <w:sz w:val="17"/>
          <w:szCs w:val="17"/>
        </w:rPr>
      </w:pPr>
    </w:p>
    <w:p>
      <w:pPr>
        <w:pStyle w:val="BodyText"/>
        <w:spacing w:line="237" w:lineRule="auto"/>
        <w:ind w:left="580" w:right="113"/>
        <w:jc w:val="both"/>
      </w:pPr>
      <w:r>
        <w:rPr>
          <w:spacing w:val="3"/>
        </w:rPr>
        <w:t>如果利率上升会增加新增借款的成本以及本集团尚未偿还的以浮动利率计息的借款的利息支</w:t>
      </w:r>
      <w:r>
        <w:rPr>
          <w:spacing w:val="-3"/>
        </w:rPr>
        <w:t> </w:t>
      </w:r>
      <w:r>
        <w:rPr>
          <w:spacing w:val="-3"/>
        </w:rPr>
      </w:r>
      <w:r>
        <w:rPr/>
        <w:t>出，对本集团的财务状况产生重大的不利影响。管理层持续监控本集团利率水平并依据最新的</w:t>
      </w:r>
      <w:r>
        <w:rPr>
          <w:spacing w:val="-78"/>
        </w:rPr>
        <w:t> </w:t>
      </w:r>
      <w:r>
        <w:rPr/>
        <w:t>市场状况及时做出调整。本集团可能采用利率掉期安排以降低浮动利率计息的借款产生的利率</w:t>
      </w:r>
      <w:r>
        <w:rPr>
          <w:spacing w:val="-78"/>
        </w:rPr>
        <w:t> </w:t>
      </w:r>
      <w:r>
        <w:rPr/>
        <w:t>风险，但本集团认为在</w:t>
      </w:r>
      <w:r>
        <w:rPr>
          <w:rFonts w:ascii="Arial" w:hAnsi="Arial" w:cs="Arial" w:eastAsia="Arial" w:hint="default"/>
        </w:rPr>
        <w:t>2014</w:t>
      </w:r>
      <w:r>
        <w:rPr/>
        <w:t>年度并无该等安排的需要。</w:t>
      </w:r>
    </w:p>
    <w:p>
      <w:pPr>
        <w:spacing w:after="0" w:line="237" w:lineRule="auto"/>
        <w:jc w:val="both"/>
        <w:sectPr>
          <w:headerReference w:type="default" r:id="rId136"/>
          <w:pgSz w:w="11910" w:h="16840"/>
          <w:pgMar w:header="1181" w:footer="923" w:top="3060" w:bottom="1120" w:left="1280" w:right="880"/>
        </w:sectPr>
      </w:pPr>
    </w:p>
    <w:p>
      <w:pPr>
        <w:spacing w:line="240" w:lineRule="auto" w:before="10"/>
        <w:rPr>
          <w:rFonts w:ascii="宋体" w:hAnsi="宋体" w:cs="宋体" w:eastAsia="宋体" w:hint="default"/>
          <w:sz w:val="15"/>
          <w:szCs w:val="15"/>
        </w:rPr>
      </w:pPr>
    </w:p>
    <w:p>
      <w:pPr>
        <w:pStyle w:val="BodyText"/>
        <w:tabs>
          <w:tab w:pos="580" w:val="left" w:leader="none"/>
        </w:tabs>
        <w:spacing w:line="240" w:lineRule="auto" w:before="32"/>
        <w:ind w:left="102" w:right="1307"/>
        <w:jc w:val="left"/>
      </w:pPr>
      <w:r>
        <w:rPr>
          <w:rFonts w:ascii="Arial" w:hAnsi="Arial" w:cs="Arial" w:eastAsia="Arial" w:hint="default"/>
          <w:spacing w:val="-1"/>
        </w:rPr>
        <w:t>(a)</w:t>
        <w:tab/>
      </w:r>
      <w:r>
        <w:rPr>
          <w:spacing w:val="-1"/>
        </w:rPr>
        <w:t>市场风险（续）</w:t>
      </w:r>
    </w:p>
    <w:p>
      <w:pPr>
        <w:spacing w:line="240" w:lineRule="auto" w:before="1"/>
        <w:rPr>
          <w:rFonts w:ascii="宋体" w:hAnsi="宋体" w:cs="宋体" w:eastAsia="宋体" w:hint="default"/>
          <w:sz w:val="18"/>
          <w:szCs w:val="18"/>
        </w:rPr>
      </w:pPr>
    </w:p>
    <w:p>
      <w:pPr>
        <w:pStyle w:val="BodyText"/>
        <w:tabs>
          <w:tab w:pos="580" w:val="left" w:leader="none"/>
        </w:tabs>
        <w:spacing w:line="240" w:lineRule="auto"/>
        <w:ind w:left="102" w:right="1307"/>
        <w:jc w:val="left"/>
      </w:pPr>
      <w:r>
        <w:rPr>
          <w:rFonts w:ascii="Arial" w:hAnsi="Arial" w:cs="Arial" w:eastAsia="Arial" w:hint="default"/>
          <w:spacing w:val="-1"/>
        </w:rPr>
        <w:t>(3)</w:t>
        <w:tab/>
      </w:r>
      <w:r>
        <w:rPr>
          <w:spacing w:val="-1"/>
        </w:rPr>
        <w:t>现金流量和公允价值利率风险（续）</w:t>
      </w:r>
    </w:p>
    <w:p>
      <w:pPr>
        <w:spacing w:line="240" w:lineRule="auto" w:before="0"/>
        <w:rPr>
          <w:rFonts w:ascii="宋体" w:hAnsi="宋体" w:cs="宋体" w:eastAsia="宋体" w:hint="default"/>
          <w:sz w:val="20"/>
          <w:szCs w:val="20"/>
        </w:rPr>
      </w:pPr>
    </w:p>
    <w:p>
      <w:pPr>
        <w:pStyle w:val="BodyText"/>
        <w:spacing w:line="286" w:lineRule="exact"/>
        <w:ind w:left="580" w:right="212"/>
        <w:jc w:val="both"/>
      </w:pPr>
      <w:r>
        <w:rPr>
          <w:spacing w:val="-3"/>
        </w:rPr>
        <w:t>于</w:t>
      </w:r>
      <w:r>
        <w:rPr>
          <w:rFonts w:ascii="Arial" w:hAnsi="Arial" w:cs="Arial" w:eastAsia="Arial" w:hint="default"/>
          <w:spacing w:val="-3"/>
        </w:rPr>
        <w:t>2014</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日，本集团以浮动利率计息的借款、循环贷款额度范围内的固定利率短期借款</w:t>
      </w:r>
      <w:r>
        <w:rPr>
          <w:spacing w:val="-56"/>
        </w:rPr>
        <w:t> </w:t>
      </w:r>
      <w:r>
        <w:rPr>
          <w:spacing w:val="-56"/>
        </w:rPr>
      </w:r>
      <w:r>
        <w:rPr>
          <w:spacing w:val="-2"/>
        </w:rPr>
        <w:t>及短期融资券等约为人民币</w:t>
      </w:r>
      <w:r>
        <w:rPr>
          <w:rFonts w:ascii="Arial" w:hAnsi="Arial" w:cs="Arial" w:eastAsia="Arial" w:hint="default"/>
          <w:spacing w:val="-2"/>
        </w:rPr>
        <w:t>1,035.86</w:t>
      </w:r>
      <w:r>
        <w:rPr>
          <w:spacing w:val="-2"/>
        </w:rPr>
        <w:t>亿元（</w:t>
      </w:r>
      <w:r>
        <w:rPr>
          <w:rFonts w:ascii="Arial" w:hAnsi="Arial" w:cs="Arial" w:eastAsia="Arial" w:hint="default"/>
          <w:spacing w:val="-2"/>
        </w:rPr>
        <w:t>2013</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日：约人民币</w:t>
      </w:r>
      <w:r>
        <w:rPr>
          <w:rFonts w:ascii="Arial" w:hAnsi="Arial" w:cs="Arial" w:eastAsia="Arial" w:hint="default"/>
          <w:spacing w:val="-2"/>
        </w:rPr>
        <w:t>1,312.52</w:t>
      </w:r>
      <w:r>
        <w:rPr>
          <w:spacing w:val="-2"/>
        </w:rPr>
        <w:t>亿元），固定</w:t>
      </w:r>
      <w:r>
        <w:rPr>
          <w:spacing w:val="-36"/>
        </w:rPr>
        <w:t> </w:t>
      </w:r>
      <w:r>
        <w:rPr>
          <w:spacing w:val="-36"/>
        </w:rPr>
      </w:r>
      <w:r>
        <w:rPr/>
        <w:t>利率计息的长期借款约为人民币</w:t>
      </w:r>
      <w:r>
        <w:rPr>
          <w:rFonts w:ascii="Arial" w:hAnsi="Arial" w:cs="Arial" w:eastAsia="Arial" w:hint="default"/>
        </w:rPr>
        <w:t>350.92</w:t>
      </w:r>
      <w:r>
        <w:rPr/>
        <w:t>亿元（</w:t>
      </w:r>
      <w:r>
        <w:rPr>
          <w:rFonts w:ascii="Arial" w:hAnsi="Arial" w:cs="Arial" w:eastAsia="Arial" w:hint="default"/>
        </w:rPr>
        <w:t>2013</w:t>
      </w:r>
      <w:r>
        <w:rPr/>
        <w:t>年</w:t>
      </w:r>
      <w:r>
        <w:rPr>
          <w:rFonts w:ascii="Arial" w:hAnsi="Arial" w:cs="Arial" w:eastAsia="Arial" w:hint="default"/>
        </w:rPr>
        <w:t>12</w:t>
      </w:r>
      <w:r>
        <w:rPr/>
        <w:t>月</w:t>
      </w:r>
      <w:r>
        <w:rPr>
          <w:rFonts w:ascii="Arial" w:hAnsi="Arial" w:cs="Arial" w:eastAsia="Arial" w:hint="default"/>
        </w:rPr>
        <w:t>31</w:t>
      </w:r>
      <w:r>
        <w:rPr/>
        <w:t>日：约人民币</w:t>
      </w:r>
      <w:r>
        <w:rPr>
          <w:rFonts w:ascii="Arial" w:hAnsi="Arial" w:cs="Arial" w:eastAsia="Arial" w:hint="default"/>
        </w:rPr>
        <w:t>133.63</w:t>
      </w:r>
      <w:r>
        <w:rPr/>
        <w:t>亿元）。</w:t>
      </w:r>
    </w:p>
    <w:p>
      <w:pPr>
        <w:spacing w:line="240" w:lineRule="auto" w:before="3"/>
        <w:rPr>
          <w:rFonts w:ascii="宋体" w:hAnsi="宋体" w:cs="宋体" w:eastAsia="宋体" w:hint="default"/>
          <w:sz w:val="19"/>
          <w:szCs w:val="19"/>
        </w:rPr>
      </w:pPr>
    </w:p>
    <w:p>
      <w:pPr>
        <w:pStyle w:val="BodyText"/>
        <w:spacing w:line="286" w:lineRule="exact"/>
        <w:ind w:left="580" w:right="212"/>
        <w:jc w:val="both"/>
      </w:pPr>
      <w:r>
        <w:rPr>
          <w:spacing w:val="-3"/>
        </w:rPr>
        <w:t>于</w:t>
      </w:r>
      <w:r>
        <w:rPr>
          <w:rFonts w:ascii="Arial" w:hAnsi="Arial" w:cs="Arial" w:eastAsia="Arial" w:hint="default"/>
          <w:spacing w:val="-3"/>
        </w:rPr>
        <w:t>2014</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日，假设以浮动利率计息的借款、循环贷款额度范围内的固定利率短期借款及</w:t>
      </w:r>
      <w:r>
        <w:rPr>
          <w:spacing w:val="-56"/>
        </w:rPr>
        <w:t> </w:t>
      </w:r>
      <w:r>
        <w:rPr>
          <w:spacing w:val="-56"/>
        </w:rPr>
      </w:r>
      <w:r>
        <w:rPr>
          <w:spacing w:val="-1"/>
        </w:rPr>
        <w:t>短期融资券利率变动</w:t>
      </w:r>
      <w:r>
        <w:rPr>
          <w:rFonts w:ascii="Arial" w:hAnsi="Arial" w:cs="Arial" w:eastAsia="Arial" w:hint="default"/>
          <w:spacing w:val="-1"/>
        </w:rPr>
        <w:t>50</w:t>
      </w:r>
      <w:r>
        <w:rPr>
          <w:spacing w:val="-1"/>
        </w:rPr>
        <w:t>个基点，而其他因素保持不变，则会导致本集团的股东权益及净利润均</w:t>
      </w:r>
      <w:r>
        <w:rPr>
          <w:spacing w:val="-68"/>
        </w:rPr>
        <w:t> </w:t>
      </w:r>
      <w:r>
        <w:rPr>
          <w:spacing w:val="-68"/>
        </w:rPr>
      </w:r>
      <w:r>
        <w:rPr/>
        <w:t>会增加或减少约人民币</w:t>
      </w:r>
      <w:r>
        <w:rPr>
          <w:rFonts w:ascii="Arial" w:hAnsi="Arial" w:cs="Arial" w:eastAsia="Arial" w:hint="default"/>
        </w:rPr>
        <w:t>3.88</w:t>
      </w:r>
      <w:r>
        <w:rPr/>
        <w:t>亿元（</w:t>
      </w:r>
      <w:r>
        <w:rPr>
          <w:rFonts w:ascii="Arial" w:hAnsi="Arial" w:cs="Arial" w:eastAsia="Arial" w:hint="default"/>
        </w:rPr>
        <w:t>2013</w:t>
      </w:r>
      <w:r>
        <w:rPr/>
        <w:t>年</w:t>
      </w:r>
      <w:r>
        <w:rPr>
          <w:rFonts w:ascii="Arial" w:hAnsi="Arial" w:cs="Arial" w:eastAsia="Arial" w:hint="default"/>
        </w:rPr>
        <w:t>12</w:t>
      </w:r>
      <w:r>
        <w:rPr/>
        <w:t>月</w:t>
      </w:r>
      <w:r>
        <w:rPr>
          <w:rFonts w:ascii="Arial" w:hAnsi="Arial" w:cs="Arial" w:eastAsia="Arial" w:hint="default"/>
        </w:rPr>
        <w:t>31</w:t>
      </w:r>
      <w:r>
        <w:rPr/>
        <w:t>日：约人民币</w:t>
      </w:r>
      <w:r>
        <w:rPr>
          <w:rFonts w:ascii="Arial" w:hAnsi="Arial" w:cs="Arial" w:eastAsia="Arial" w:hint="default"/>
        </w:rPr>
        <w:t>4.92</w:t>
      </w:r>
      <w:r>
        <w:rPr/>
        <w:t>亿元）。</w:t>
      </w:r>
    </w:p>
    <w:p>
      <w:pPr>
        <w:spacing w:line="240" w:lineRule="auto" w:before="4"/>
        <w:rPr>
          <w:rFonts w:ascii="宋体" w:hAnsi="宋体" w:cs="宋体" w:eastAsia="宋体" w:hint="default"/>
          <w:sz w:val="17"/>
          <w:szCs w:val="17"/>
        </w:rPr>
      </w:pPr>
    </w:p>
    <w:p>
      <w:pPr>
        <w:pStyle w:val="BodyText"/>
        <w:spacing w:line="237" w:lineRule="auto"/>
        <w:ind w:left="580" w:right="212"/>
        <w:jc w:val="both"/>
      </w:pPr>
      <w:r>
        <w:rPr/>
        <w:t>对于资产负债表日持有的、使本集团或本公司面临现金流量利率风险的非衍生工具，上述敏感</w:t>
      </w:r>
      <w:r>
        <w:rPr>
          <w:spacing w:val="-78"/>
        </w:rPr>
        <w:t> </w:t>
      </w:r>
      <w:r>
        <w:rPr/>
        <w:t>性分析中的股东权益及净利润的影响是上述利率变动对按年度估算的利息费用或收入的影响。</w:t>
      </w:r>
      <w:r>
        <w:rPr>
          <w:spacing w:val="-79"/>
        </w:rPr>
        <w:t> </w:t>
      </w:r>
      <w:r>
        <w:rPr>
          <w:spacing w:val="-79"/>
        </w:rPr>
      </w:r>
      <w:r>
        <w:rPr/>
        <w:t>上一年度的分析基于同样的假设和方法。</w:t>
      </w:r>
    </w:p>
    <w:p>
      <w:pPr>
        <w:spacing w:line="240" w:lineRule="auto" w:before="1"/>
        <w:rPr>
          <w:rFonts w:ascii="宋体" w:hAnsi="宋体" w:cs="宋体" w:eastAsia="宋体" w:hint="default"/>
          <w:sz w:val="19"/>
          <w:szCs w:val="19"/>
        </w:rPr>
      </w:pPr>
    </w:p>
    <w:p>
      <w:pPr>
        <w:pStyle w:val="BodyText"/>
        <w:spacing w:line="240" w:lineRule="auto"/>
        <w:ind w:left="102" w:right="1307"/>
        <w:jc w:val="left"/>
      </w:pPr>
      <w:r>
        <w:rPr>
          <w:rFonts w:ascii="Arial" w:hAnsi="Arial" w:cs="Arial" w:eastAsia="Arial" w:hint="default"/>
        </w:rPr>
        <w:t>(b)  </w:t>
      </w:r>
      <w:r>
        <w:rPr>
          <w:rFonts w:ascii="Arial" w:hAnsi="Arial" w:cs="Arial" w:eastAsia="Arial" w:hint="default"/>
          <w:spacing w:val="18"/>
        </w:rPr>
        <w:t> </w:t>
      </w:r>
      <w:r>
        <w:rPr/>
        <w:t>信用风险</w:t>
      </w:r>
    </w:p>
    <w:p>
      <w:pPr>
        <w:spacing w:line="240" w:lineRule="auto" w:before="0"/>
        <w:rPr>
          <w:rFonts w:ascii="宋体" w:hAnsi="宋体" w:cs="宋体" w:eastAsia="宋体" w:hint="default"/>
          <w:sz w:val="20"/>
          <w:szCs w:val="20"/>
        </w:rPr>
      </w:pPr>
    </w:p>
    <w:p>
      <w:pPr>
        <w:pStyle w:val="BodyText"/>
        <w:spacing w:line="286" w:lineRule="exact"/>
        <w:ind w:left="580" w:right="0"/>
        <w:jc w:val="left"/>
      </w:pPr>
      <w:r>
        <w:rPr>
          <w:spacing w:val="-3"/>
        </w:rPr>
        <w:t>本集团对信用风险按组合分类进行管理。本集团的货币资金，以及提供给企业客户、个人客户、</w:t>
      </w:r>
      <w:r>
        <w:rPr>
          <w:spacing w:val="-74"/>
        </w:rPr>
        <w:t> </w:t>
      </w:r>
      <w:r>
        <w:rPr>
          <w:spacing w:val="-74"/>
        </w:rPr>
      </w:r>
      <w:r>
        <w:rPr/>
        <w:t>关联公司及其它电信运营商的信用额度均会产生信用风险。</w:t>
      </w:r>
    </w:p>
    <w:p>
      <w:pPr>
        <w:spacing w:line="240" w:lineRule="auto" w:before="6"/>
        <w:rPr>
          <w:rFonts w:ascii="宋体" w:hAnsi="宋体" w:cs="宋体" w:eastAsia="宋体" w:hint="default"/>
          <w:sz w:val="17"/>
          <w:szCs w:val="17"/>
        </w:rPr>
      </w:pPr>
    </w:p>
    <w:p>
      <w:pPr>
        <w:pStyle w:val="BodyText"/>
        <w:spacing w:line="237" w:lineRule="auto"/>
        <w:ind w:left="590" w:right="217"/>
        <w:jc w:val="both"/>
      </w:pPr>
      <w:r>
        <w:rPr>
          <w:spacing w:val="-1"/>
        </w:rPr>
        <w:t>本集团除现金以外的货币资金主要存放于信用良好的国有及其他银行。由于国有银行受到政府</w:t>
      </w:r>
      <w:r>
        <w:rPr>
          <w:spacing w:val="-55"/>
        </w:rPr>
        <w:t> </w:t>
      </w:r>
      <w:r>
        <w:rPr>
          <w:spacing w:val="-55"/>
        </w:rPr>
      </w:r>
      <w:r>
        <w:rPr>
          <w:spacing w:val="-1"/>
        </w:rPr>
        <w:t>的支持，而且其它银行均为大中型的上市银行，管理层认为存放于国有银行和其它大中型上市</w:t>
      </w:r>
      <w:r>
        <w:rPr>
          <w:spacing w:val="-55"/>
        </w:rPr>
        <w:t> </w:t>
      </w:r>
      <w:r>
        <w:rPr>
          <w:spacing w:val="-55"/>
        </w:rPr>
      </w:r>
      <w:r>
        <w:rPr>
          <w:spacing w:val="-1"/>
        </w:rPr>
        <w:t>银行的现金及现金等价物及银行存款其不存在重大的信用风险，预期不会因为对方违约而给本</w:t>
      </w:r>
      <w:r>
        <w:rPr>
          <w:spacing w:val="-55"/>
        </w:rPr>
        <w:t> </w:t>
      </w:r>
      <w:r>
        <w:rPr>
          <w:spacing w:val="-55"/>
        </w:rPr>
      </w:r>
      <w:r>
        <w:rPr/>
        <w:t>集团造成损失。</w:t>
      </w:r>
    </w:p>
    <w:p>
      <w:pPr>
        <w:spacing w:line="240" w:lineRule="auto" w:before="10"/>
        <w:rPr>
          <w:rFonts w:ascii="宋体" w:hAnsi="宋体" w:cs="宋体" w:eastAsia="宋体" w:hint="default"/>
          <w:sz w:val="19"/>
          <w:szCs w:val="19"/>
        </w:rPr>
      </w:pPr>
    </w:p>
    <w:p>
      <w:pPr>
        <w:pStyle w:val="BodyText"/>
        <w:spacing w:line="235" w:lineRule="auto"/>
        <w:ind w:left="590" w:right="217"/>
        <w:jc w:val="both"/>
      </w:pPr>
      <w:r>
        <w:rPr>
          <w:spacing w:val="-1"/>
        </w:rPr>
        <w:t>此外，本集团于企业客户及个人用户方面并无重大集中性的信用风险。本集团的信用风险敞口</w:t>
      </w:r>
      <w:r>
        <w:rPr>
          <w:spacing w:val="-55"/>
        </w:rPr>
        <w:t> </w:t>
      </w:r>
      <w:r>
        <w:rPr>
          <w:spacing w:val="-55"/>
        </w:rPr>
      </w:r>
      <w:r>
        <w:rPr>
          <w:spacing w:val="-1"/>
        </w:rPr>
        <w:t>主要表现为应收服务款项以及应收合约用户通信终端款的公允价值。本集团设定相关政策以限</w:t>
      </w:r>
      <w:r>
        <w:rPr>
          <w:spacing w:val="-55"/>
        </w:rPr>
        <w:t> </w:t>
      </w:r>
      <w:r>
        <w:rPr>
          <w:spacing w:val="-55"/>
        </w:rPr>
      </w:r>
      <w:r>
        <w:rPr>
          <w:spacing w:val="-1"/>
        </w:rPr>
        <w:t>制该信用风险敞口。本集团基于对客户的财务状况、从第三方获取担保的可能性、信用记录及</w:t>
      </w:r>
      <w:r>
        <w:rPr>
          <w:spacing w:val="-55"/>
        </w:rPr>
        <w:t> </w:t>
      </w:r>
      <w:r>
        <w:rPr>
          <w:spacing w:val="-55"/>
        </w:rPr>
      </w:r>
      <w:r>
        <w:rPr>
          <w:spacing w:val="-1"/>
        </w:rPr>
        <w:t>其他因素诸如目前市场状况等评估了信用资质并设置信用额度。本集团授予通信服务用户的信</w:t>
      </w:r>
      <w:r>
        <w:rPr>
          <w:spacing w:val="-55"/>
        </w:rPr>
        <w:t> </w:t>
      </w:r>
      <w:r>
        <w:rPr>
          <w:spacing w:val="-55"/>
        </w:rPr>
      </w:r>
      <w:r>
        <w:rPr>
          <w:spacing w:val="-2"/>
        </w:rPr>
        <w:t>用期一般为自账单日起平均</w:t>
      </w:r>
      <w:r>
        <w:rPr>
          <w:rFonts w:ascii="Arial" w:hAnsi="Arial" w:cs="Arial" w:eastAsia="Arial" w:hint="default"/>
          <w:spacing w:val="-2"/>
        </w:rPr>
        <w:t>30</w:t>
      </w:r>
      <w:r>
        <w:rPr>
          <w:spacing w:val="-2"/>
        </w:rPr>
        <w:t>天。本集团定期对客户使用其信用额度的状况以及结算惯例进行</w:t>
      </w:r>
      <w:r>
        <w:rPr>
          <w:spacing w:val="-43"/>
        </w:rPr>
        <w:t> </w:t>
      </w:r>
      <w:r>
        <w:rPr>
          <w:spacing w:val="-43"/>
        </w:rPr>
      </w:r>
      <w:r>
        <w:rPr/>
        <w:t>监控。</w:t>
      </w:r>
    </w:p>
    <w:p>
      <w:pPr>
        <w:spacing w:line="240" w:lineRule="auto" w:before="4"/>
        <w:rPr>
          <w:rFonts w:ascii="宋体" w:hAnsi="宋体" w:cs="宋体" w:eastAsia="宋体" w:hint="default"/>
          <w:sz w:val="21"/>
          <w:szCs w:val="21"/>
        </w:rPr>
      </w:pPr>
    </w:p>
    <w:p>
      <w:pPr>
        <w:pStyle w:val="BodyText"/>
        <w:spacing w:line="286" w:lineRule="exact"/>
        <w:ind w:left="590" w:right="217"/>
        <w:jc w:val="both"/>
      </w:pPr>
      <w:r>
        <w:rPr>
          <w:spacing w:val="-1"/>
        </w:rPr>
        <w:t>由于关联方及其它电信运营商具有良好的信誉，并且应收此等公司的款项均定期结算，相关的</w:t>
      </w:r>
      <w:r>
        <w:rPr>
          <w:spacing w:val="-55"/>
        </w:rPr>
        <w:t> </w:t>
      </w:r>
      <w:r>
        <w:rPr>
          <w:spacing w:val="-55"/>
        </w:rPr>
      </w:r>
      <w:r>
        <w:rPr/>
        <w:t>信用风险并不重大。</w:t>
      </w:r>
    </w:p>
    <w:p>
      <w:pPr>
        <w:spacing w:line="240" w:lineRule="auto" w:before="1"/>
        <w:rPr>
          <w:rFonts w:ascii="宋体" w:hAnsi="宋体" w:cs="宋体" w:eastAsia="宋体" w:hint="default"/>
          <w:sz w:val="17"/>
          <w:szCs w:val="17"/>
        </w:rPr>
      </w:pPr>
    </w:p>
    <w:p>
      <w:pPr>
        <w:pStyle w:val="BodyText"/>
        <w:tabs>
          <w:tab w:pos="570" w:val="left" w:leader="none"/>
        </w:tabs>
        <w:spacing w:line="240" w:lineRule="auto"/>
        <w:ind w:left="102" w:right="1307"/>
        <w:jc w:val="left"/>
      </w:pPr>
      <w:r>
        <w:rPr>
          <w:rFonts w:ascii="Arial" w:hAnsi="Arial" w:cs="Arial" w:eastAsia="Arial" w:hint="default"/>
        </w:rPr>
        <w:t>(c)</w:t>
        <w:tab/>
      </w:r>
      <w:r>
        <w:rPr/>
        <w:t>流动性风险</w:t>
      </w:r>
    </w:p>
    <w:p>
      <w:pPr>
        <w:spacing w:line="240" w:lineRule="auto" w:before="3"/>
        <w:rPr>
          <w:rFonts w:ascii="宋体" w:hAnsi="宋体" w:cs="宋体" w:eastAsia="宋体" w:hint="default"/>
          <w:sz w:val="18"/>
          <w:szCs w:val="18"/>
        </w:rPr>
      </w:pPr>
    </w:p>
    <w:p>
      <w:pPr>
        <w:pStyle w:val="BodyText"/>
        <w:spacing w:line="237" w:lineRule="auto"/>
        <w:ind w:left="570" w:right="216"/>
        <w:jc w:val="both"/>
      </w:pPr>
      <w:r>
        <w:rPr/>
        <w:t>谨慎的流动性风险管理指通过不同资金渠道来维持充足的现金和资金获取能力，包括借入银行</w:t>
      </w:r>
      <w:r>
        <w:rPr>
          <w:spacing w:val="-72"/>
        </w:rPr>
        <w:t> </w:t>
      </w:r>
      <w:r>
        <w:rPr>
          <w:spacing w:val="-72"/>
        </w:rPr>
      </w:r>
      <w:r>
        <w:rPr/>
        <w:t>借款及发行债券。由于业务本身的多变性，本集团总部的财务部门通过维持充足的现金及现金</w:t>
      </w:r>
      <w:r>
        <w:rPr>
          <w:spacing w:val="-72"/>
        </w:rPr>
        <w:t> </w:t>
      </w:r>
      <w:r>
        <w:rPr>
          <w:spacing w:val="-72"/>
        </w:rPr>
      </w:r>
      <w:r>
        <w:rPr/>
        <w:t>等价物和通过保持不同的融资渠道来保持营运资金的灵活性。本集团以持续经营基准编制其财</w:t>
      </w:r>
      <w:r>
        <w:rPr>
          <w:spacing w:val="-72"/>
        </w:rPr>
        <w:t> </w:t>
      </w:r>
      <w:r>
        <w:rPr>
          <w:spacing w:val="-72"/>
        </w:rPr>
      </w:r>
      <w:r>
        <w:rPr/>
        <w:t>务报表，请详见附注二</w:t>
      </w:r>
      <w:r>
        <w:rPr>
          <w:rFonts w:ascii="Arial" w:hAnsi="Arial" w:cs="Arial" w:eastAsia="Arial" w:hint="default"/>
        </w:rPr>
        <w:t>(2)</w:t>
      </w:r>
      <w:r>
        <w:rPr/>
        <w:t>的说明。</w:t>
      </w:r>
    </w:p>
    <w:p>
      <w:pPr>
        <w:spacing w:after="0" w:line="237" w:lineRule="auto"/>
        <w:jc w:val="both"/>
        <w:sectPr>
          <w:headerReference w:type="default" r:id="rId137"/>
          <w:pgSz w:w="11910" w:h="16840"/>
          <w:pgMar w:header="1181" w:footer="923" w:top="3640" w:bottom="1120" w:left="1280" w:right="780"/>
        </w:sectPr>
      </w:pPr>
    </w:p>
    <w:p>
      <w:pPr>
        <w:spacing w:line="240" w:lineRule="auto" w:before="10"/>
        <w:rPr>
          <w:rFonts w:ascii="宋体" w:hAnsi="宋体" w:cs="宋体" w:eastAsia="宋体" w:hint="default"/>
          <w:sz w:val="15"/>
          <w:szCs w:val="15"/>
        </w:rPr>
      </w:pPr>
    </w:p>
    <w:p>
      <w:pPr>
        <w:pStyle w:val="BodyText"/>
        <w:tabs>
          <w:tab w:pos="570" w:val="left" w:leader="none"/>
        </w:tabs>
        <w:spacing w:line="427" w:lineRule="auto" w:before="32"/>
        <w:ind w:left="570" w:right="155" w:hanging="468"/>
        <w:jc w:val="left"/>
      </w:pPr>
      <w:r>
        <w:rPr>
          <w:rFonts w:ascii="Arial" w:hAnsi="Arial" w:cs="Arial" w:eastAsia="Arial" w:hint="default"/>
        </w:rPr>
        <w:t>(c)</w:t>
        <w:tab/>
      </w:r>
      <w:r>
        <w:rPr/>
        <w:t>流动性风险（续）</w:t>
      </w:r>
      <w:r>
        <w:rPr>
          <w:w w:val="100"/>
        </w:rPr>
        <w:t> </w:t>
      </w:r>
      <w:r>
        <w:rPr>
          <w:spacing w:val="-1"/>
        </w:rPr>
        <w:t>本集团于资产负债日的金融负债（含利息费用）以未折现金额按合约规定的到期日列示如下：</w:t>
      </w:r>
    </w:p>
    <w:p>
      <w:pPr>
        <w:spacing w:line="240" w:lineRule="auto" w:before="1"/>
        <w:rPr>
          <w:rFonts w:ascii="宋体" w:hAnsi="宋体" w:cs="宋体" w:eastAsia="宋体" w:hint="default"/>
          <w:sz w:val="11"/>
          <w:szCs w:val="11"/>
        </w:rPr>
      </w:pPr>
    </w:p>
    <w:tbl>
      <w:tblPr>
        <w:tblW w:w="0" w:type="auto"/>
        <w:jc w:val="left"/>
        <w:tblInd w:w="291" w:type="dxa"/>
        <w:tblLayout w:type="fixed"/>
        <w:tblCellMar>
          <w:top w:w="0" w:type="dxa"/>
          <w:left w:w="0" w:type="dxa"/>
          <w:bottom w:w="0" w:type="dxa"/>
          <w:right w:w="0" w:type="dxa"/>
        </w:tblCellMar>
        <w:tblLook w:val="01E0"/>
      </w:tblPr>
      <w:tblGrid>
        <w:gridCol w:w="2656"/>
        <w:gridCol w:w="1135"/>
        <w:gridCol w:w="235"/>
        <w:gridCol w:w="1088"/>
        <w:gridCol w:w="235"/>
        <w:gridCol w:w="1051"/>
        <w:gridCol w:w="235"/>
        <w:gridCol w:w="1025"/>
        <w:gridCol w:w="236"/>
        <w:gridCol w:w="1260"/>
      </w:tblGrid>
      <w:tr>
        <w:trPr>
          <w:trHeight w:val="264" w:hRule="exact"/>
        </w:trPr>
        <w:tc>
          <w:tcPr>
            <w:tcW w:w="9156" w:type="dxa"/>
            <w:gridSpan w:val="10"/>
            <w:tcBorders>
              <w:top w:val="nil" w:sz="6" w:space="0" w:color="auto"/>
              <w:left w:val="nil" w:sz="6" w:space="0" w:color="auto"/>
              <w:bottom w:val="nil" w:sz="6" w:space="0" w:color="auto"/>
              <w:right w:val="nil" w:sz="6" w:space="0" w:color="auto"/>
            </w:tcBorders>
          </w:tcPr>
          <w:p>
            <w:pPr>
              <w:pStyle w:val="TableParagraph"/>
              <w:spacing w:line="236" w:lineRule="exact"/>
              <w:ind w:left="5108" w:right="0"/>
              <w:jc w:val="left"/>
              <w:rPr>
                <w:rFonts w:ascii="宋体" w:hAnsi="宋体" w:cs="宋体" w:eastAsia="宋体" w:hint="default"/>
                <w:sz w:val="22"/>
                <w:szCs w:val="22"/>
              </w:rPr>
            </w:pPr>
            <w:r>
              <w:rPr>
                <w:rFonts w:ascii="Arial" w:hAnsi="Arial" w:cs="Arial" w:eastAsia="Arial" w:hint="default"/>
                <w:sz w:val="22"/>
                <w:szCs w:val="22"/>
              </w:rPr>
              <w:t>2014</w:t>
            </w:r>
            <w:r>
              <w:rPr>
                <w:rFonts w:ascii="宋体" w:hAnsi="宋体" w:cs="宋体" w:eastAsia="宋体" w:hint="default"/>
                <w:sz w:val="22"/>
                <w:szCs w:val="22"/>
              </w:rPr>
              <w:t>年</w:t>
            </w:r>
            <w:r>
              <w:rPr>
                <w:rFonts w:ascii="Arial" w:hAnsi="Arial" w:cs="Arial" w:eastAsia="Arial" w:hint="default"/>
                <w:sz w:val="22"/>
                <w:szCs w:val="22"/>
              </w:rPr>
              <w:t>12</w:t>
            </w:r>
            <w:r>
              <w:rPr>
                <w:rFonts w:ascii="宋体" w:hAnsi="宋体" w:cs="宋体" w:eastAsia="宋体" w:hint="default"/>
                <w:sz w:val="22"/>
                <w:szCs w:val="22"/>
              </w:rPr>
              <w:t>月</w:t>
            </w:r>
            <w:r>
              <w:rPr>
                <w:rFonts w:ascii="Arial" w:hAnsi="Arial" w:cs="Arial" w:eastAsia="Arial" w:hint="default"/>
                <w:sz w:val="22"/>
                <w:szCs w:val="22"/>
              </w:rPr>
              <w:t>31</w:t>
            </w:r>
            <w:r>
              <w:rPr>
                <w:rFonts w:ascii="宋体" w:hAnsi="宋体" w:cs="宋体" w:eastAsia="宋体" w:hint="default"/>
                <w:sz w:val="22"/>
                <w:szCs w:val="22"/>
              </w:rPr>
              <w:t>日</w:t>
            </w:r>
          </w:p>
        </w:tc>
      </w:tr>
      <w:tr>
        <w:trPr>
          <w:trHeight w:val="300"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57" w:lineRule="exact"/>
              <w:ind w:left="200" w:right="0"/>
              <w:jc w:val="left"/>
              <w:rPr>
                <w:rFonts w:ascii="宋体" w:hAnsi="宋体" w:cs="宋体" w:eastAsia="宋体" w:hint="default"/>
                <w:sz w:val="22"/>
                <w:szCs w:val="22"/>
              </w:rPr>
            </w:pPr>
            <w:r>
              <w:rPr>
                <w:rFonts w:ascii="宋体" w:hAnsi="宋体" w:cs="宋体" w:eastAsia="宋体" w:hint="default"/>
                <w:w w:val="100"/>
                <w:sz w:val="22"/>
                <w:szCs w:val="22"/>
              </w:rPr>
              <w:t>（单位</w:t>
            </w:r>
            <w:r>
              <w:rPr>
                <w:rFonts w:ascii="宋体" w:hAnsi="宋体" w:cs="宋体" w:eastAsia="宋体" w:hint="default"/>
                <w:spacing w:val="-106"/>
                <w:w w:val="100"/>
                <w:sz w:val="22"/>
                <w:szCs w:val="22"/>
              </w:rPr>
              <w:t>：</w:t>
            </w:r>
            <w:r>
              <w:rPr>
                <w:rFonts w:ascii="宋体" w:hAnsi="宋体" w:cs="宋体" w:eastAsia="宋体" w:hint="default"/>
                <w:spacing w:val="-3"/>
                <w:w w:val="100"/>
                <w:sz w:val="22"/>
                <w:szCs w:val="22"/>
              </w:rPr>
              <w:t>人</w:t>
            </w:r>
            <w:r>
              <w:rPr>
                <w:rFonts w:ascii="宋体" w:hAnsi="宋体" w:cs="宋体" w:eastAsia="宋体" w:hint="default"/>
                <w:w w:val="100"/>
                <w:sz w:val="22"/>
                <w:szCs w:val="22"/>
              </w:rPr>
              <w:t>民币</w:t>
            </w:r>
            <w:r>
              <w:rPr>
                <w:rFonts w:ascii="宋体" w:hAnsi="宋体" w:cs="宋体" w:eastAsia="宋体" w:hint="default"/>
                <w:spacing w:val="-3"/>
                <w:w w:val="100"/>
                <w:sz w:val="22"/>
                <w:szCs w:val="22"/>
              </w:rPr>
              <w:t>百</w:t>
            </w:r>
            <w:r>
              <w:rPr>
                <w:rFonts w:ascii="宋体" w:hAnsi="宋体" w:cs="宋体" w:eastAsia="宋体" w:hint="default"/>
                <w:w w:val="100"/>
                <w:sz w:val="22"/>
                <w:szCs w:val="22"/>
              </w:rPr>
              <w:t>万</w:t>
            </w:r>
            <w:r>
              <w:rPr>
                <w:rFonts w:ascii="宋体" w:hAnsi="宋体" w:cs="宋体" w:eastAsia="宋体" w:hint="default"/>
                <w:spacing w:val="-3"/>
                <w:w w:val="100"/>
                <w:sz w:val="22"/>
                <w:szCs w:val="22"/>
              </w:rPr>
              <w:t>元</w:t>
            </w:r>
            <w:r>
              <w:rPr>
                <w:rFonts w:ascii="宋体" w:hAnsi="宋体" w:cs="宋体" w:eastAsia="宋体" w:hint="default"/>
                <w:w w:val="100"/>
                <w:sz w:val="22"/>
                <w:szCs w:val="22"/>
              </w:rPr>
              <w:t>）</w:t>
            </w:r>
          </w:p>
        </w:tc>
        <w:tc>
          <w:tcPr>
            <w:tcW w:w="1135" w:type="dxa"/>
            <w:tcBorders>
              <w:top w:val="single" w:sz="6" w:space="0" w:color="000000"/>
              <w:left w:val="nil" w:sz="6" w:space="0" w:color="auto"/>
              <w:bottom w:val="single" w:sz="6" w:space="0" w:color="000000"/>
              <w:right w:val="nil" w:sz="6" w:space="0" w:color="auto"/>
            </w:tcBorders>
          </w:tcPr>
          <w:p>
            <w:pPr>
              <w:pStyle w:val="TableParagraph"/>
              <w:spacing w:line="265" w:lineRule="exact"/>
              <w:ind w:left="242" w:right="0"/>
              <w:jc w:val="left"/>
              <w:rPr>
                <w:rFonts w:ascii="宋体" w:hAnsi="宋体" w:cs="宋体" w:eastAsia="宋体" w:hint="default"/>
                <w:sz w:val="22"/>
                <w:szCs w:val="22"/>
              </w:rPr>
            </w:pPr>
            <w:r>
              <w:rPr>
                <w:rFonts w:ascii="Arial" w:hAnsi="Arial" w:cs="Arial" w:eastAsia="Arial" w:hint="default"/>
                <w:sz w:val="22"/>
                <w:szCs w:val="22"/>
              </w:rPr>
              <w:t>1</w:t>
            </w:r>
            <w:r>
              <w:rPr>
                <w:rFonts w:ascii="宋体" w:hAnsi="宋体" w:cs="宋体" w:eastAsia="宋体" w:hint="default"/>
                <w:sz w:val="22"/>
                <w:szCs w:val="22"/>
              </w:rPr>
              <w:t>年以内</w:t>
            </w:r>
          </w:p>
        </w:tc>
        <w:tc>
          <w:tcPr>
            <w:tcW w:w="235" w:type="dxa"/>
            <w:tcBorders>
              <w:top w:val="single" w:sz="6" w:space="0" w:color="000000"/>
              <w:left w:val="nil" w:sz="6" w:space="0" w:color="auto"/>
              <w:bottom w:val="nil" w:sz="6" w:space="0" w:color="auto"/>
              <w:right w:val="nil" w:sz="6" w:space="0" w:color="auto"/>
            </w:tcBorders>
          </w:tcPr>
          <w:p>
            <w:pPr/>
          </w:p>
        </w:tc>
        <w:tc>
          <w:tcPr>
            <w:tcW w:w="1088" w:type="dxa"/>
            <w:tcBorders>
              <w:top w:val="single" w:sz="6" w:space="0" w:color="000000"/>
              <w:left w:val="nil" w:sz="6" w:space="0" w:color="auto"/>
              <w:bottom w:val="single" w:sz="6" w:space="0" w:color="000000"/>
              <w:right w:val="nil" w:sz="6" w:space="0" w:color="auto"/>
            </w:tcBorders>
          </w:tcPr>
          <w:p>
            <w:pPr>
              <w:pStyle w:val="TableParagraph"/>
              <w:spacing w:line="265" w:lineRule="exact"/>
              <w:ind w:left="295" w:right="0"/>
              <w:jc w:val="left"/>
              <w:rPr>
                <w:rFonts w:ascii="宋体" w:hAnsi="宋体" w:cs="宋体" w:eastAsia="宋体" w:hint="default"/>
                <w:sz w:val="22"/>
                <w:szCs w:val="22"/>
              </w:rPr>
            </w:pPr>
            <w:r>
              <w:rPr>
                <w:rFonts w:ascii="Arial" w:hAnsi="Arial" w:cs="Arial" w:eastAsia="Arial" w:hint="default"/>
                <w:sz w:val="22"/>
                <w:szCs w:val="22"/>
              </w:rPr>
              <w:t>1</w:t>
            </w:r>
            <w:r>
              <w:rPr>
                <w:rFonts w:ascii="宋体" w:hAnsi="宋体" w:cs="宋体" w:eastAsia="宋体" w:hint="default"/>
                <w:sz w:val="22"/>
                <w:szCs w:val="22"/>
              </w:rPr>
              <w:t>至</w:t>
            </w:r>
            <w:r>
              <w:rPr>
                <w:rFonts w:ascii="Arial" w:hAnsi="Arial" w:cs="Arial" w:eastAsia="Arial" w:hint="default"/>
                <w:sz w:val="22"/>
                <w:szCs w:val="22"/>
              </w:rPr>
              <w:t>2</w:t>
            </w:r>
            <w:r>
              <w:rPr>
                <w:rFonts w:ascii="宋体" w:hAnsi="宋体" w:cs="宋体" w:eastAsia="宋体" w:hint="default"/>
                <w:sz w:val="22"/>
                <w:szCs w:val="22"/>
              </w:rPr>
              <w:t>年</w:t>
            </w:r>
          </w:p>
        </w:tc>
        <w:tc>
          <w:tcPr>
            <w:tcW w:w="235" w:type="dxa"/>
            <w:tcBorders>
              <w:top w:val="single" w:sz="6" w:space="0" w:color="000000"/>
              <w:left w:val="nil" w:sz="6" w:space="0" w:color="auto"/>
              <w:bottom w:val="nil" w:sz="6" w:space="0" w:color="auto"/>
              <w:right w:val="nil" w:sz="6" w:space="0" w:color="auto"/>
            </w:tcBorders>
          </w:tcPr>
          <w:p>
            <w:pPr/>
          </w:p>
        </w:tc>
        <w:tc>
          <w:tcPr>
            <w:tcW w:w="1051" w:type="dxa"/>
            <w:tcBorders>
              <w:top w:val="single" w:sz="6" w:space="0" w:color="000000"/>
              <w:left w:val="nil" w:sz="6" w:space="0" w:color="auto"/>
              <w:bottom w:val="single" w:sz="6" w:space="0" w:color="000000"/>
              <w:right w:val="nil" w:sz="6" w:space="0" w:color="auto"/>
            </w:tcBorders>
          </w:tcPr>
          <w:p>
            <w:pPr>
              <w:pStyle w:val="TableParagraph"/>
              <w:spacing w:line="265" w:lineRule="exact"/>
              <w:ind w:left="259" w:right="0"/>
              <w:jc w:val="left"/>
              <w:rPr>
                <w:rFonts w:ascii="宋体" w:hAnsi="宋体" w:cs="宋体" w:eastAsia="宋体" w:hint="default"/>
                <w:sz w:val="22"/>
                <w:szCs w:val="22"/>
              </w:rPr>
            </w:pPr>
            <w:r>
              <w:rPr>
                <w:rFonts w:ascii="Arial" w:hAnsi="Arial" w:cs="Arial" w:eastAsia="Arial" w:hint="default"/>
                <w:sz w:val="22"/>
                <w:szCs w:val="22"/>
              </w:rPr>
              <w:t>2</w:t>
            </w:r>
            <w:r>
              <w:rPr>
                <w:rFonts w:ascii="宋体" w:hAnsi="宋体" w:cs="宋体" w:eastAsia="宋体" w:hint="default"/>
                <w:sz w:val="22"/>
                <w:szCs w:val="22"/>
              </w:rPr>
              <w:t>至</w:t>
            </w:r>
            <w:r>
              <w:rPr>
                <w:rFonts w:ascii="Arial" w:hAnsi="Arial" w:cs="Arial" w:eastAsia="Arial" w:hint="default"/>
                <w:sz w:val="22"/>
                <w:szCs w:val="22"/>
              </w:rPr>
              <w:t>5</w:t>
            </w:r>
            <w:r>
              <w:rPr>
                <w:rFonts w:ascii="宋体" w:hAnsi="宋体" w:cs="宋体" w:eastAsia="宋体" w:hint="default"/>
                <w:sz w:val="22"/>
                <w:szCs w:val="22"/>
              </w:rPr>
              <w:t>年</w:t>
            </w:r>
          </w:p>
        </w:tc>
        <w:tc>
          <w:tcPr>
            <w:tcW w:w="235" w:type="dxa"/>
            <w:tcBorders>
              <w:top w:val="single" w:sz="6" w:space="0" w:color="000000"/>
              <w:left w:val="nil" w:sz="6" w:space="0" w:color="auto"/>
              <w:bottom w:val="nil" w:sz="6" w:space="0" w:color="auto"/>
              <w:right w:val="nil" w:sz="6" w:space="0" w:color="auto"/>
            </w:tcBorders>
          </w:tcPr>
          <w:p>
            <w:pPr/>
          </w:p>
        </w:tc>
        <w:tc>
          <w:tcPr>
            <w:tcW w:w="1025" w:type="dxa"/>
            <w:tcBorders>
              <w:top w:val="single" w:sz="6" w:space="0" w:color="000000"/>
              <w:left w:val="nil" w:sz="6" w:space="0" w:color="auto"/>
              <w:bottom w:val="single" w:sz="6" w:space="0" w:color="000000"/>
              <w:right w:val="nil" w:sz="6" w:space="0" w:color="auto"/>
            </w:tcBorders>
          </w:tcPr>
          <w:p>
            <w:pPr>
              <w:pStyle w:val="TableParagraph"/>
              <w:spacing w:line="265" w:lineRule="exact"/>
              <w:ind w:right="59"/>
              <w:jc w:val="right"/>
              <w:rPr>
                <w:rFonts w:ascii="宋体" w:hAnsi="宋体" w:cs="宋体" w:eastAsia="宋体" w:hint="default"/>
                <w:sz w:val="22"/>
                <w:szCs w:val="22"/>
              </w:rPr>
            </w:pPr>
            <w:r>
              <w:rPr>
                <w:rFonts w:ascii="Arial" w:hAnsi="Arial" w:cs="Arial" w:eastAsia="Arial" w:hint="default"/>
                <w:spacing w:val="-1"/>
                <w:sz w:val="22"/>
                <w:szCs w:val="22"/>
              </w:rPr>
              <w:t>5</w:t>
            </w:r>
            <w:r>
              <w:rPr>
                <w:rFonts w:ascii="宋体" w:hAnsi="宋体" w:cs="宋体" w:eastAsia="宋体" w:hint="default"/>
                <w:spacing w:val="-1"/>
                <w:sz w:val="22"/>
                <w:szCs w:val="22"/>
              </w:rPr>
              <w:t>年以上</w:t>
            </w:r>
          </w:p>
        </w:tc>
        <w:tc>
          <w:tcPr>
            <w:tcW w:w="236" w:type="dxa"/>
            <w:tcBorders>
              <w:top w:val="single" w:sz="6" w:space="0" w:color="000000"/>
              <w:left w:val="nil" w:sz="6" w:space="0" w:color="auto"/>
              <w:bottom w:val="nil" w:sz="6" w:space="0" w:color="auto"/>
              <w:right w:val="nil" w:sz="6" w:space="0" w:color="auto"/>
            </w:tcBorders>
          </w:tcPr>
          <w:p>
            <w:pPr/>
          </w:p>
        </w:tc>
        <w:tc>
          <w:tcPr>
            <w:tcW w:w="1260" w:type="dxa"/>
            <w:tcBorders>
              <w:top w:val="single" w:sz="6" w:space="0" w:color="000000"/>
              <w:left w:val="nil" w:sz="6" w:space="0" w:color="auto"/>
              <w:bottom w:val="single" w:sz="6" w:space="0" w:color="000000"/>
              <w:right w:val="nil" w:sz="6" w:space="0" w:color="auto"/>
            </w:tcBorders>
          </w:tcPr>
          <w:p>
            <w:pPr>
              <w:pStyle w:val="TableParagraph"/>
              <w:spacing w:line="249" w:lineRule="exact"/>
              <w:ind w:right="96"/>
              <w:jc w:val="right"/>
              <w:rPr>
                <w:rFonts w:ascii="宋体" w:hAnsi="宋体" w:cs="宋体" w:eastAsia="宋体" w:hint="default"/>
                <w:sz w:val="22"/>
                <w:szCs w:val="22"/>
              </w:rPr>
            </w:pPr>
            <w:r>
              <w:rPr>
                <w:rFonts w:ascii="宋体" w:hAnsi="宋体" w:cs="宋体" w:eastAsia="宋体" w:hint="default"/>
                <w:sz w:val="22"/>
                <w:szCs w:val="22"/>
              </w:rPr>
              <w:t>合计</w:t>
            </w:r>
          </w:p>
        </w:tc>
      </w:tr>
      <w:tr>
        <w:trPr>
          <w:trHeight w:val="557"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12"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1135"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19"/>
              <w:jc w:val="right"/>
              <w:rPr>
                <w:rFonts w:ascii="Arial" w:hAnsi="Arial" w:cs="Arial" w:eastAsia="Arial" w:hint="default"/>
                <w:sz w:val="22"/>
                <w:szCs w:val="22"/>
              </w:rPr>
            </w:pPr>
            <w:r>
              <w:rPr>
                <w:rFonts w:ascii="Arial"/>
                <w:spacing w:val="-1"/>
                <w:sz w:val="22"/>
              </w:rPr>
              <w:t>49</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24" w:right="0"/>
              <w:jc w:val="left"/>
              <w:rPr>
                <w:rFonts w:ascii="Arial" w:hAnsi="Arial" w:cs="Arial" w:eastAsia="Arial" w:hint="default"/>
                <w:sz w:val="22"/>
                <w:szCs w:val="22"/>
              </w:rPr>
            </w:pPr>
            <w:r>
              <w:rPr>
                <w:rFonts w:ascii="Arial"/>
                <w:sz w:val="22"/>
              </w:rPr>
              <w:t>45</w:t>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02" w:right="0"/>
              <w:jc w:val="left"/>
              <w:rPr>
                <w:rFonts w:ascii="Arial" w:hAnsi="Arial" w:cs="Arial" w:eastAsia="Arial" w:hint="default"/>
                <w:sz w:val="22"/>
                <w:szCs w:val="22"/>
              </w:rPr>
            </w:pPr>
            <w:r>
              <w:rPr>
                <w:rFonts w:ascii="Arial"/>
                <w:sz w:val="22"/>
              </w:rPr>
              <w:t>142</w:t>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15"/>
              <w:jc w:val="right"/>
              <w:rPr>
                <w:rFonts w:ascii="Arial" w:hAnsi="Arial" w:cs="Arial" w:eastAsia="Arial" w:hint="default"/>
                <w:sz w:val="22"/>
                <w:szCs w:val="22"/>
              </w:rPr>
            </w:pPr>
            <w:r>
              <w:rPr>
                <w:rFonts w:ascii="Arial"/>
                <w:spacing w:val="-1"/>
                <w:sz w:val="22"/>
              </w:rPr>
              <w:t>246</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25"/>
              <w:jc w:val="right"/>
              <w:rPr>
                <w:rFonts w:ascii="Arial" w:hAnsi="Arial" w:cs="Arial" w:eastAsia="Arial" w:hint="default"/>
                <w:sz w:val="22"/>
                <w:szCs w:val="22"/>
              </w:rPr>
            </w:pPr>
            <w:r>
              <w:rPr>
                <w:rFonts w:ascii="Arial"/>
                <w:spacing w:val="-1"/>
                <w:sz w:val="22"/>
              </w:rPr>
              <w:t>482</w:t>
            </w:r>
            <w:r>
              <w:rPr>
                <w:rFonts w:ascii="Arial"/>
                <w:sz w:val="22"/>
              </w:rPr>
            </w:r>
          </w:p>
        </w:tc>
      </w:tr>
      <w:tr>
        <w:trPr>
          <w:trHeight w:val="284"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39" w:lineRule="exact"/>
              <w:ind w:left="312" w:right="0"/>
              <w:jc w:val="left"/>
              <w:rPr>
                <w:rFonts w:ascii="宋体" w:hAnsi="宋体" w:cs="宋体" w:eastAsia="宋体" w:hint="default"/>
                <w:sz w:val="22"/>
                <w:szCs w:val="22"/>
              </w:rPr>
            </w:pPr>
            <w:r>
              <w:rPr>
                <w:rFonts w:ascii="宋体" w:hAnsi="宋体" w:cs="宋体" w:eastAsia="宋体" w:hint="default"/>
                <w:sz w:val="22"/>
                <w:szCs w:val="22"/>
              </w:rPr>
              <w:t>长期应付款</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9"/>
              <w:jc w:val="right"/>
              <w:rPr>
                <w:rFonts w:ascii="Arial" w:hAnsi="Arial" w:cs="Arial" w:eastAsia="Arial" w:hint="default"/>
                <w:sz w:val="22"/>
                <w:szCs w:val="22"/>
              </w:rPr>
            </w:pPr>
            <w:r>
              <w:rPr>
                <w:rFonts w:ascii="Arial"/>
                <w:spacing w:val="-1"/>
                <w:sz w:val="22"/>
              </w:rPr>
              <w:t>176</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24" w:right="0"/>
              <w:jc w:val="left"/>
              <w:rPr>
                <w:rFonts w:ascii="Arial" w:hAnsi="Arial" w:cs="Arial" w:eastAsia="Arial" w:hint="default"/>
                <w:sz w:val="22"/>
                <w:szCs w:val="22"/>
              </w:rPr>
            </w:pPr>
            <w:r>
              <w:rPr>
                <w:rFonts w:ascii="Arial"/>
                <w:sz w:val="22"/>
              </w:rPr>
              <w:t>80</w:t>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9"/>
              <w:jc w:val="right"/>
              <w:rPr>
                <w:rFonts w:ascii="Arial" w:hAnsi="Arial" w:cs="Arial" w:eastAsia="Arial" w:hint="default"/>
                <w:sz w:val="22"/>
                <w:szCs w:val="22"/>
              </w:rPr>
            </w:pPr>
            <w:r>
              <w:rPr>
                <w:rFonts w:ascii="Arial"/>
                <w:spacing w:val="-1"/>
                <w:sz w:val="22"/>
              </w:rPr>
              <w:t>43</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5"/>
              <w:jc w:val="right"/>
              <w:rPr>
                <w:rFonts w:ascii="Arial" w:hAnsi="Arial" w:cs="Arial" w:eastAsia="Arial" w:hint="default"/>
                <w:sz w:val="22"/>
                <w:szCs w:val="22"/>
              </w:rPr>
            </w:pPr>
            <w:r>
              <w:rPr>
                <w:rFonts w:ascii="Arial"/>
                <w:w w:val="100"/>
                <w:sz w:val="22"/>
              </w:rPr>
              <w:t>2</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5"/>
              <w:jc w:val="right"/>
              <w:rPr>
                <w:rFonts w:ascii="Arial" w:hAnsi="Arial" w:cs="Arial" w:eastAsia="Arial" w:hint="default"/>
                <w:sz w:val="22"/>
                <w:szCs w:val="22"/>
              </w:rPr>
            </w:pPr>
            <w:r>
              <w:rPr>
                <w:rFonts w:ascii="Arial"/>
                <w:spacing w:val="-1"/>
                <w:sz w:val="22"/>
              </w:rPr>
              <w:t>301</w:t>
            </w:r>
            <w:r>
              <w:rPr>
                <w:rFonts w:ascii="Arial"/>
                <w:sz w:val="22"/>
              </w:rPr>
            </w:r>
          </w:p>
        </w:tc>
      </w:tr>
      <w:tr>
        <w:trPr>
          <w:trHeight w:val="286"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38" w:lineRule="exact"/>
              <w:ind w:left="312" w:right="0"/>
              <w:jc w:val="left"/>
              <w:rPr>
                <w:rFonts w:ascii="宋体" w:hAnsi="宋体" w:cs="宋体" w:eastAsia="宋体" w:hint="default"/>
                <w:sz w:val="22"/>
                <w:szCs w:val="22"/>
              </w:rPr>
            </w:pPr>
            <w:r>
              <w:rPr>
                <w:rFonts w:ascii="宋体" w:hAnsi="宋体" w:cs="宋体" w:eastAsia="宋体" w:hint="default"/>
                <w:sz w:val="22"/>
                <w:szCs w:val="22"/>
              </w:rPr>
              <w:t>长期应付职工薪酬</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Arial" w:hAnsi="Arial" w:cs="Arial" w:eastAsia="Arial" w:hint="default"/>
                <w:sz w:val="22"/>
                <w:szCs w:val="22"/>
              </w:rPr>
            </w:pPr>
            <w:r>
              <w:rPr>
                <w:rFonts w:ascii="Arial"/>
                <w:spacing w:val="-1"/>
                <w:sz w:val="22"/>
              </w:rPr>
              <w:t>11</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5"/>
              <w:jc w:val="right"/>
              <w:rPr>
                <w:rFonts w:ascii="Arial" w:hAnsi="Arial" w:cs="Arial" w:eastAsia="Arial" w:hint="default"/>
                <w:sz w:val="22"/>
                <w:szCs w:val="22"/>
              </w:rPr>
            </w:pPr>
            <w:r>
              <w:rPr>
                <w:rFonts w:ascii="Arial"/>
                <w:w w:val="100"/>
                <w:sz w:val="22"/>
              </w:rPr>
              <w:t>9</w:t>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9"/>
              <w:jc w:val="right"/>
              <w:rPr>
                <w:rFonts w:ascii="Arial" w:hAnsi="Arial" w:cs="Arial" w:eastAsia="Arial" w:hint="default"/>
                <w:sz w:val="22"/>
                <w:szCs w:val="22"/>
              </w:rPr>
            </w:pPr>
            <w:r>
              <w:rPr>
                <w:rFonts w:ascii="Arial"/>
                <w:spacing w:val="-1"/>
                <w:sz w:val="22"/>
              </w:rPr>
              <w:t>26</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5"/>
              <w:jc w:val="right"/>
              <w:rPr>
                <w:rFonts w:ascii="Arial" w:hAnsi="Arial" w:cs="Arial" w:eastAsia="Arial" w:hint="default"/>
                <w:sz w:val="22"/>
                <w:szCs w:val="22"/>
              </w:rPr>
            </w:pPr>
            <w:r>
              <w:rPr>
                <w:rFonts w:ascii="Arial"/>
                <w:spacing w:val="-1"/>
                <w:sz w:val="22"/>
              </w:rPr>
              <w:t>63</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5"/>
              <w:jc w:val="right"/>
              <w:rPr>
                <w:rFonts w:ascii="Arial" w:hAnsi="Arial" w:cs="Arial" w:eastAsia="Arial" w:hint="default"/>
                <w:sz w:val="22"/>
                <w:szCs w:val="22"/>
              </w:rPr>
            </w:pPr>
            <w:r>
              <w:rPr>
                <w:rFonts w:ascii="Arial"/>
                <w:spacing w:val="-1"/>
                <w:sz w:val="22"/>
              </w:rPr>
              <w:t>109</w:t>
            </w:r>
            <w:r>
              <w:rPr>
                <w:rFonts w:ascii="Arial"/>
                <w:sz w:val="22"/>
              </w:rPr>
            </w:r>
          </w:p>
        </w:tc>
      </w:tr>
      <w:tr>
        <w:trPr>
          <w:trHeight w:val="286"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38" w:lineRule="exact"/>
              <w:ind w:left="312" w:right="0"/>
              <w:jc w:val="left"/>
              <w:rPr>
                <w:rFonts w:ascii="宋体" w:hAnsi="宋体" w:cs="宋体" w:eastAsia="宋体" w:hint="default"/>
                <w:sz w:val="22"/>
                <w:szCs w:val="22"/>
              </w:rPr>
            </w:pPr>
            <w:r>
              <w:rPr>
                <w:rFonts w:ascii="宋体" w:hAnsi="宋体" w:cs="宋体" w:eastAsia="宋体" w:hint="default"/>
                <w:sz w:val="22"/>
                <w:szCs w:val="22"/>
              </w:rPr>
              <w:t>其他流动负债</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43" w:right="0"/>
              <w:jc w:val="left"/>
              <w:rPr>
                <w:rFonts w:ascii="Arial" w:hAnsi="Arial" w:cs="Arial" w:eastAsia="Arial" w:hint="default"/>
                <w:sz w:val="22"/>
                <w:szCs w:val="22"/>
              </w:rPr>
            </w:pPr>
            <w:r>
              <w:rPr>
                <w:rFonts w:ascii="Arial"/>
                <w:sz w:val="22"/>
              </w:rPr>
              <w:t>10,243</w:t>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6"/>
              <w:jc w:val="right"/>
              <w:rPr>
                <w:rFonts w:ascii="Arial" w:hAnsi="Arial" w:cs="Arial" w:eastAsia="Arial" w:hint="default"/>
                <w:sz w:val="22"/>
                <w:szCs w:val="22"/>
              </w:rPr>
            </w:pPr>
            <w:r>
              <w:rPr>
                <w:rFonts w:ascii="Arial"/>
                <w:w w:val="100"/>
                <w:sz w:val="22"/>
              </w:rPr>
              <w:t>-</w:t>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0"/>
              <w:jc w:val="right"/>
              <w:rPr>
                <w:rFonts w:ascii="Arial" w:hAnsi="Arial" w:cs="Arial" w:eastAsia="Arial" w:hint="default"/>
                <w:sz w:val="22"/>
                <w:szCs w:val="22"/>
              </w:rPr>
            </w:pPr>
            <w:r>
              <w:rPr>
                <w:rFonts w:ascii="Arial"/>
                <w:w w:val="100"/>
                <w:sz w:val="22"/>
              </w:rPr>
              <w:t>-</w:t>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6"/>
              <w:jc w:val="right"/>
              <w:rPr>
                <w:rFonts w:ascii="Arial" w:hAnsi="Arial" w:cs="Arial" w:eastAsia="Arial" w:hint="default"/>
                <w:sz w:val="22"/>
                <w:szCs w:val="22"/>
              </w:rPr>
            </w:pPr>
            <w:r>
              <w:rPr>
                <w:rFonts w:ascii="Arial"/>
                <w:w w:val="100"/>
                <w:sz w:val="22"/>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2"/>
              <w:jc w:val="right"/>
              <w:rPr>
                <w:rFonts w:ascii="Arial" w:hAnsi="Arial" w:cs="Arial" w:eastAsia="Arial" w:hint="default"/>
                <w:sz w:val="22"/>
                <w:szCs w:val="22"/>
              </w:rPr>
            </w:pPr>
            <w:r>
              <w:rPr>
                <w:rFonts w:ascii="Arial"/>
                <w:spacing w:val="-1"/>
                <w:sz w:val="22"/>
              </w:rPr>
              <w:t>10,243</w:t>
            </w:r>
          </w:p>
        </w:tc>
      </w:tr>
      <w:tr>
        <w:trPr>
          <w:trHeight w:val="286"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38" w:lineRule="exact"/>
              <w:ind w:left="312" w:right="0"/>
              <w:jc w:val="left"/>
              <w:rPr>
                <w:rFonts w:ascii="宋体" w:hAnsi="宋体" w:cs="宋体" w:eastAsia="宋体" w:hint="default"/>
                <w:sz w:val="22"/>
                <w:szCs w:val="22"/>
              </w:rPr>
            </w:pPr>
            <w:r>
              <w:rPr>
                <w:rFonts w:ascii="宋体" w:hAnsi="宋体" w:cs="宋体" w:eastAsia="宋体" w:hint="default"/>
                <w:sz w:val="22"/>
                <w:szCs w:val="22"/>
              </w:rPr>
              <w:t>应付债券</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43" w:right="0"/>
              <w:jc w:val="left"/>
              <w:rPr>
                <w:rFonts w:ascii="Arial" w:hAnsi="Arial" w:cs="Arial" w:eastAsia="Arial" w:hint="default"/>
                <w:sz w:val="22"/>
                <w:szCs w:val="22"/>
              </w:rPr>
            </w:pPr>
            <w:r>
              <w:rPr>
                <w:rFonts w:ascii="Arial"/>
                <w:sz w:val="22"/>
              </w:rPr>
              <w:t>12,383</w:t>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29" w:right="0"/>
              <w:jc w:val="left"/>
              <w:rPr>
                <w:rFonts w:ascii="Arial" w:hAnsi="Arial" w:cs="Arial" w:eastAsia="Arial" w:hint="default"/>
                <w:sz w:val="22"/>
                <w:szCs w:val="22"/>
              </w:rPr>
            </w:pPr>
            <w:r>
              <w:rPr>
                <w:rFonts w:ascii="Arial"/>
                <w:sz w:val="22"/>
              </w:rPr>
              <w:t>3,523</w:t>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97" w:right="0"/>
              <w:jc w:val="left"/>
              <w:rPr>
                <w:rFonts w:ascii="Arial" w:hAnsi="Arial" w:cs="Arial" w:eastAsia="Arial" w:hint="default"/>
                <w:sz w:val="22"/>
                <w:szCs w:val="22"/>
              </w:rPr>
            </w:pPr>
            <w:r>
              <w:rPr>
                <w:rFonts w:ascii="Arial"/>
                <w:sz w:val="22"/>
              </w:rPr>
              <w:t>21,484</w:t>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6"/>
              <w:jc w:val="right"/>
              <w:rPr>
                <w:rFonts w:ascii="Arial" w:hAnsi="Arial" w:cs="Arial" w:eastAsia="Arial" w:hint="default"/>
                <w:sz w:val="22"/>
                <w:szCs w:val="22"/>
              </w:rPr>
            </w:pPr>
            <w:r>
              <w:rPr>
                <w:rFonts w:ascii="Arial"/>
                <w:w w:val="100"/>
                <w:sz w:val="22"/>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2"/>
              <w:jc w:val="right"/>
              <w:rPr>
                <w:rFonts w:ascii="Arial" w:hAnsi="Arial" w:cs="Arial" w:eastAsia="Arial" w:hint="default"/>
                <w:sz w:val="22"/>
                <w:szCs w:val="22"/>
              </w:rPr>
            </w:pPr>
            <w:r>
              <w:rPr>
                <w:rFonts w:ascii="Arial"/>
                <w:spacing w:val="-1"/>
                <w:sz w:val="22"/>
              </w:rPr>
              <w:t>37,390</w:t>
            </w:r>
          </w:p>
        </w:tc>
      </w:tr>
      <w:tr>
        <w:trPr>
          <w:trHeight w:val="286"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38" w:lineRule="exact"/>
              <w:ind w:left="312" w:right="0"/>
              <w:jc w:val="left"/>
              <w:rPr>
                <w:rFonts w:ascii="宋体" w:hAnsi="宋体" w:cs="宋体" w:eastAsia="宋体" w:hint="default"/>
                <w:sz w:val="22"/>
                <w:szCs w:val="22"/>
              </w:rPr>
            </w:pPr>
            <w:r>
              <w:rPr>
                <w:rFonts w:ascii="宋体" w:hAnsi="宋体" w:cs="宋体" w:eastAsia="宋体" w:hint="default"/>
                <w:sz w:val="22"/>
                <w:szCs w:val="22"/>
              </w:rPr>
              <w:t>应付款项</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20" w:right="0"/>
              <w:jc w:val="left"/>
              <w:rPr>
                <w:rFonts w:ascii="Arial" w:hAnsi="Arial" w:cs="Arial" w:eastAsia="Arial" w:hint="default"/>
                <w:sz w:val="22"/>
                <w:szCs w:val="22"/>
              </w:rPr>
            </w:pPr>
            <w:r>
              <w:rPr>
                <w:rFonts w:ascii="Arial"/>
                <w:sz w:val="22"/>
              </w:rPr>
              <w:t>127,534</w:t>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6"/>
              <w:jc w:val="right"/>
              <w:rPr>
                <w:rFonts w:ascii="Arial" w:hAnsi="Arial" w:cs="Arial" w:eastAsia="Arial" w:hint="default"/>
                <w:sz w:val="22"/>
                <w:szCs w:val="22"/>
              </w:rPr>
            </w:pPr>
            <w:r>
              <w:rPr>
                <w:rFonts w:ascii="Arial"/>
                <w:w w:val="100"/>
                <w:sz w:val="22"/>
              </w:rPr>
              <w:t>-</w:t>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0"/>
              <w:jc w:val="right"/>
              <w:rPr>
                <w:rFonts w:ascii="Arial" w:hAnsi="Arial" w:cs="Arial" w:eastAsia="Arial" w:hint="default"/>
                <w:sz w:val="22"/>
                <w:szCs w:val="22"/>
              </w:rPr>
            </w:pPr>
            <w:r>
              <w:rPr>
                <w:rFonts w:ascii="Arial"/>
                <w:w w:val="100"/>
                <w:sz w:val="22"/>
              </w:rPr>
              <w:t>-</w:t>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6"/>
              <w:jc w:val="right"/>
              <w:rPr>
                <w:rFonts w:ascii="Arial" w:hAnsi="Arial" w:cs="Arial" w:eastAsia="Arial" w:hint="default"/>
                <w:sz w:val="22"/>
                <w:szCs w:val="22"/>
              </w:rPr>
            </w:pPr>
            <w:r>
              <w:rPr>
                <w:rFonts w:ascii="Arial"/>
                <w:w w:val="100"/>
                <w:sz w:val="22"/>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2"/>
              <w:jc w:val="right"/>
              <w:rPr>
                <w:rFonts w:ascii="Arial" w:hAnsi="Arial" w:cs="Arial" w:eastAsia="Arial" w:hint="default"/>
                <w:sz w:val="22"/>
                <w:szCs w:val="22"/>
              </w:rPr>
            </w:pPr>
            <w:r>
              <w:rPr>
                <w:rFonts w:ascii="Arial"/>
                <w:spacing w:val="-1"/>
                <w:sz w:val="22"/>
              </w:rPr>
              <w:t>127,534</w:t>
            </w:r>
          </w:p>
        </w:tc>
      </w:tr>
      <w:tr>
        <w:trPr>
          <w:trHeight w:val="417"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38" w:lineRule="exact"/>
              <w:ind w:left="312"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1135" w:type="dxa"/>
            <w:tcBorders>
              <w:top w:val="nil" w:sz="6" w:space="0" w:color="auto"/>
              <w:left w:val="nil" w:sz="6" w:space="0" w:color="auto"/>
              <w:bottom w:val="nil" w:sz="6" w:space="0" w:color="auto"/>
              <w:right w:val="nil" w:sz="6" w:space="0" w:color="auto"/>
            </w:tcBorders>
          </w:tcPr>
          <w:p>
            <w:pPr>
              <w:pStyle w:val="TableParagraph"/>
              <w:tabs>
                <w:tab w:pos="343" w:val="left" w:leader="none"/>
                <w:tab w:pos="1135" w:val="left" w:leader="none"/>
              </w:tabs>
              <w:spacing w:line="240" w:lineRule="auto" w:before="17"/>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94,748</w:t>
              <w:tab/>
            </w:r>
            <w:r>
              <w:rPr>
                <w:rFonts w:ascii="Arial"/>
                <w:spacing w:val="-1"/>
                <w:sz w:val="22"/>
              </w:rPr>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tabs>
                <w:tab w:pos="895" w:val="left" w:leader="none"/>
                <w:tab w:pos="1087" w:val="left" w:leader="none"/>
              </w:tabs>
              <w:spacing w:line="240" w:lineRule="auto" w:before="17"/>
              <w:ind w:left="7"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tab/>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tabs>
                <w:tab w:pos="895" w:val="left" w:leader="none"/>
                <w:tab w:pos="1051" w:val="left" w:leader="none"/>
              </w:tabs>
              <w:spacing w:line="240" w:lineRule="auto" w:before="17"/>
              <w:ind w:left="7"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tab/>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tabs>
                <w:tab w:pos="825" w:val="left" w:leader="none"/>
                <w:tab w:pos="1017" w:val="left" w:leader="none"/>
              </w:tabs>
              <w:spacing w:line="240" w:lineRule="auto" w:before="17"/>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tab/>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tabs>
                <w:tab w:pos="453" w:val="left" w:leader="none"/>
                <w:tab w:pos="1252" w:val="left" w:leader="none"/>
              </w:tabs>
              <w:spacing w:line="240" w:lineRule="auto" w:before="17"/>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94,748</w:t>
              <w:tab/>
            </w:r>
            <w:r>
              <w:rPr>
                <w:rFonts w:ascii="Arial"/>
                <w:spacing w:val="-1"/>
                <w:sz w:val="22"/>
              </w:rPr>
            </w:r>
          </w:p>
        </w:tc>
      </w:tr>
      <w:tr>
        <w:trPr>
          <w:trHeight w:val="402" w:hRule="exact"/>
        </w:trPr>
        <w:tc>
          <w:tcPr>
            <w:tcW w:w="265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single" w:sz="12" w:space="0" w:color="000000"/>
              <w:right w:val="nil" w:sz="6" w:space="0" w:color="auto"/>
            </w:tcBorders>
          </w:tcPr>
          <w:p>
            <w:pPr>
              <w:pStyle w:val="TableParagraph"/>
              <w:spacing w:line="240" w:lineRule="auto" w:before="123"/>
              <w:ind w:left="218" w:right="0"/>
              <w:jc w:val="left"/>
              <w:rPr>
                <w:rFonts w:ascii="Arial" w:hAnsi="Arial" w:cs="Arial" w:eastAsia="Arial" w:hint="default"/>
                <w:sz w:val="22"/>
                <w:szCs w:val="22"/>
              </w:rPr>
            </w:pPr>
            <w:r>
              <w:rPr>
                <w:rFonts w:ascii="Arial"/>
                <w:sz w:val="22"/>
              </w:rPr>
              <w:t>245,144</w:t>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single" w:sz="17" w:space="0" w:color="000000"/>
              <w:right w:val="nil" w:sz="6" w:space="0" w:color="auto"/>
            </w:tcBorders>
          </w:tcPr>
          <w:p>
            <w:pPr>
              <w:pStyle w:val="TableParagraph"/>
              <w:spacing w:line="240" w:lineRule="auto" w:before="123"/>
              <w:ind w:left="420" w:right="0"/>
              <w:jc w:val="left"/>
              <w:rPr>
                <w:rFonts w:ascii="Arial" w:hAnsi="Arial" w:cs="Arial" w:eastAsia="Arial" w:hint="default"/>
                <w:sz w:val="22"/>
                <w:szCs w:val="22"/>
              </w:rPr>
            </w:pPr>
            <w:r>
              <w:rPr>
                <w:rFonts w:ascii="Arial"/>
                <w:sz w:val="22"/>
              </w:rPr>
              <w:t>3,657</w:t>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single" w:sz="17" w:space="0" w:color="000000"/>
              <w:right w:val="nil" w:sz="6" w:space="0" w:color="auto"/>
            </w:tcBorders>
          </w:tcPr>
          <w:p>
            <w:pPr>
              <w:pStyle w:val="TableParagraph"/>
              <w:spacing w:line="240" w:lineRule="auto" w:before="123"/>
              <w:ind w:left="297" w:right="0"/>
              <w:jc w:val="left"/>
              <w:rPr>
                <w:rFonts w:ascii="Arial" w:hAnsi="Arial" w:cs="Arial" w:eastAsia="Arial" w:hint="default"/>
                <w:sz w:val="22"/>
                <w:szCs w:val="22"/>
              </w:rPr>
            </w:pPr>
            <w:r>
              <w:rPr>
                <w:rFonts w:ascii="Arial"/>
                <w:sz w:val="22"/>
              </w:rPr>
              <w:t>21,695</w:t>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single" w:sz="17" w:space="0" w:color="000000"/>
              <w:right w:val="nil" w:sz="6" w:space="0" w:color="auto"/>
            </w:tcBorders>
          </w:tcPr>
          <w:p>
            <w:pPr>
              <w:pStyle w:val="TableParagraph"/>
              <w:spacing w:line="240" w:lineRule="auto" w:before="123"/>
              <w:ind w:right="115"/>
              <w:jc w:val="right"/>
              <w:rPr>
                <w:rFonts w:ascii="Arial" w:hAnsi="Arial" w:cs="Arial" w:eastAsia="Arial" w:hint="default"/>
                <w:sz w:val="22"/>
                <w:szCs w:val="22"/>
              </w:rPr>
            </w:pPr>
            <w:r>
              <w:rPr>
                <w:rFonts w:ascii="Arial"/>
                <w:spacing w:val="-1"/>
                <w:sz w:val="22"/>
              </w:rPr>
              <w:t>311</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17" w:space="0" w:color="000000"/>
              <w:right w:val="nil" w:sz="6" w:space="0" w:color="auto"/>
            </w:tcBorders>
          </w:tcPr>
          <w:p>
            <w:pPr>
              <w:pStyle w:val="TableParagraph"/>
              <w:spacing w:line="240" w:lineRule="auto" w:before="123"/>
              <w:ind w:right="122"/>
              <w:jc w:val="right"/>
              <w:rPr>
                <w:rFonts w:ascii="Arial" w:hAnsi="Arial" w:cs="Arial" w:eastAsia="Arial" w:hint="default"/>
                <w:sz w:val="22"/>
                <w:szCs w:val="22"/>
              </w:rPr>
            </w:pPr>
            <w:r>
              <w:rPr>
                <w:rFonts w:ascii="Arial"/>
                <w:spacing w:val="-1"/>
                <w:sz w:val="22"/>
              </w:rPr>
              <w:t>270,807</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tbl>
      <w:tblPr>
        <w:tblW w:w="0" w:type="auto"/>
        <w:jc w:val="left"/>
        <w:tblInd w:w="291" w:type="dxa"/>
        <w:tblLayout w:type="fixed"/>
        <w:tblCellMar>
          <w:top w:w="0" w:type="dxa"/>
          <w:left w:w="0" w:type="dxa"/>
          <w:bottom w:w="0" w:type="dxa"/>
          <w:right w:w="0" w:type="dxa"/>
        </w:tblCellMar>
        <w:tblLook w:val="01E0"/>
      </w:tblPr>
      <w:tblGrid>
        <w:gridCol w:w="2718"/>
        <w:gridCol w:w="1073"/>
        <w:gridCol w:w="235"/>
        <w:gridCol w:w="1088"/>
        <w:gridCol w:w="235"/>
        <w:gridCol w:w="1051"/>
        <w:gridCol w:w="235"/>
        <w:gridCol w:w="1025"/>
        <w:gridCol w:w="236"/>
        <w:gridCol w:w="1260"/>
      </w:tblGrid>
      <w:tr>
        <w:trPr>
          <w:trHeight w:val="264" w:hRule="exact"/>
        </w:trPr>
        <w:tc>
          <w:tcPr>
            <w:tcW w:w="9156" w:type="dxa"/>
            <w:gridSpan w:val="10"/>
            <w:tcBorders>
              <w:top w:val="nil" w:sz="6" w:space="0" w:color="auto"/>
              <w:left w:val="nil" w:sz="6" w:space="0" w:color="auto"/>
              <w:bottom w:val="nil" w:sz="6" w:space="0" w:color="auto"/>
              <w:right w:val="nil" w:sz="6" w:space="0" w:color="auto"/>
            </w:tcBorders>
          </w:tcPr>
          <w:p>
            <w:pPr>
              <w:pStyle w:val="TableParagraph"/>
              <w:spacing w:line="236" w:lineRule="exact"/>
              <w:ind w:left="4966" w:right="0"/>
              <w:jc w:val="lef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302" w:hRule="exact"/>
        </w:trPr>
        <w:tc>
          <w:tcPr>
            <w:tcW w:w="2718" w:type="dxa"/>
            <w:tcBorders>
              <w:top w:val="nil" w:sz="6" w:space="0" w:color="auto"/>
              <w:left w:val="nil" w:sz="6" w:space="0" w:color="auto"/>
              <w:bottom w:val="single" w:sz="6" w:space="0" w:color="000000"/>
              <w:right w:val="nil" w:sz="6" w:space="0" w:color="auto"/>
            </w:tcBorders>
          </w:tcPr>
          <w:p>
            <w:pPr>
              <w:pStyle w:val="TableParagraph"/>
              <w:spacing w:line="259" w:lineRule="exact"/>
              <w:ind w:left="200" w:right="0"/>
              <w:jc w:val="left"/>
              <w:rPr>
                <w:rFonts w:ascii="宋体" w:hAnsi="宋体" w:cs="宋体" w:eastAsia="宋体" w:hint="default"/>
                <w:sz w:val="22"/>
                <w:szCs w:val="22"/>
              </w:rPr>
            </w:pPr>
            <w:r>
              <w:rPr>
                <w:rFonts w:ascii="宋体" w:hAnsi="宋体" w:cs="宋体" w:eastAsia="宋体" w:hint="default"/>
                <w:w w:val="100"/>
                <w:sz w:val="22"/>
                <w:szCs w:val="22"/>
              </w:rPr>
              <w:t>（单位</w:t>
            </w:r>
            <w:r>
              <w:rPr>
                <w:rFonts w:ascii="宋体" w:hAnsi="宋体" w:cs="宋体" w:eastAsia="宋体" w:hint="default"/>
                <w:spacing w:val="-106"/>
                <w:w w:val="100"/>
                <w:sz w:val="22"/>
                <w:szCs w:val="22"/>
              </w:rPr>
              <w:t>：</w:t>
            </w:r>
            <w:r>
              <w:rPr>
                <w:rFonts w:ascii="宋体" w:hAnsi="宋体" w:cs="宋体" w:eastAsia="宋体" w:hint="default"/>
                <w:spacing w:val="-3"/>
                <w:w w:val="100"/>
                <w:sz w:val="22"/>
                <w:szCs w:val="22"/>
              </w:rPr>
              <w:t>人</w:t>
            </w:r>
            <w:r>
              <w:rPr>
                <w:rFonts w:ascii="宋体" w:hAnsi="宋体" w:cs="宋体" w:eastAsia="宋体" w:hint="default"/>
                <w:w w:val="100"/>
                <w:sz w:val="22"/>
                <w:szCs w:val="22"/>
              </w:rPr>
              <w:t>民币</w:t>
            </w:r>
            <w:r>
              <w:rPr>
                <w:rFonts w:ascii="宋体" w:hAnsi="宋体" w:cs="宋体" w:eastAsia="宋体" w:hint="default"/>
                <w:spacing w:val="-3"/>
                <w:w w:val="100"/>
                <w:sz w:val="22"/>
                <w:szCs w:val="22"/>
              </w:rPr>
              <w:t>百</w:t>
            </w:r>
            <w:r>
              <w:rPr>
                <w:rFonts w:ascii="宋体" w:hAnsi="宋体" w:cs="宋体" w:eastAsia="宋体" w:hint="default"/>
                <w:w w:val="100"/>
                <w:sz w:val="22"/>
                <w:szCs w:val="22"/>
              </w:rPr>
              <w:t>万</w:t>
            </w:r>
            <w:r>
              <w:rPr>
                <w:rFonts w:ascii="宋体" w:hAnsi="宋体" w:cs="宋体" w:eastAsia="宋体" w:hint="default"/>
                <w:spacing w:val="-3"/>
                <w:w w:val="100"/>
                <w:sz w:val="22"/>
                <w:szCs w:val="22"/>
              </w:rPr>
              <w:t>元</w:t>
            </w:r>
            <w:r>
              <w:rPr>
                <w:rFonts w:ascii="宋体" w:hAnsi="宋体" w:cs="宋体" w:eastAsia="宋体" w:hint="default"/>
                <w:w w:val="100"/>
                <w:sz w:val="22"/>
                <w:szCs w:val="22"/>
              </w:rPr>
              <w:t>）</w:t>
            </w:r>
          </w:p>
        </w:tc>
        <w:tc>
          <w:tcPr>
            <w:tcW w:w="1073" w:type="dxa"/>
            <w:tcBorders>
              <w:top w:val="single" w:sz="6" w:space="0" w:color="000000"/>
              <w:left w:val="nil" w:sz="6" w:space="0" w:color="auto"/>
              <w:bottom w:val="single" w:sz="6" w:space="0" w:color="000000"/>
              <w:right w:val="nil" w:sz="6" w:space="0" w:color="auto"/>
            </w:tcBorders>
          </w:tcPr>
          <w:p>
            <w:pPr>
              <w:pStyle w:val="TableParagraph"/>
              <w:spacing w:line="267" w:lineRule="exact"/>
              <w:ind w:left="180" w:right="0"/>
              <w:jc w:val="left"/>
              <w:rPr>
                <w:rFonts w:ascii="宋体" w:hAnsi="宋体" w:cs="宋体" w:eastAsia="宋体" w:hint="default"/>
                <w:sz w:val="22"/>
                <w:szCs w:val="22"/>
              </w:rPr>
            </w:pPr>
            <w:r>
              <w:rPr>
                <w:rFonts w:ascii="Arial" w:hAnsi="Arial" w:cs="Arial" w:eastAsia="Arial" w:hint="default"/>
                <w:sz w:val="22"/>
                <w:szCs w:val="22"/>
              </w:rPr>
              <w:t>1</w:t>
            </w:r>
            <w:r>
              <w:rPr>
                <w:rFonts w:ascii="宋体" w:hAnsi="宋体" w:cs="宋体" w:eastAsia="宋体" w:hint="default"/>
                <w:sz w:val="22"/>
                <w:szCs w:val="22"/>
              </w:rPr>
              <w:t>年以内</w:t>
            </w:r>
          </w:p>
        </w:tc>
        <w:tc>
          <w:tcPr>
            <w:tcW w:w="235" w:type="dxa"/>
            <w:tcBorders>
              <w:top w:val="single" w:sz="6" w:space="0" w:color="000000"/>
              <w:left w:val="nil" w:sz="6" w:space="0" w:color="auto"/>
              <w:bottom w:val="nil" w:sz="6" w:space="0" w:color="auto"/>
              <w:right w:val="nil" w:sz="6" w:space="0" w:color="auto"/>
            </w:tcBorders>
          </w:tcPr>
          <w:p>
            <w:pPr/>
          </w:p>
        </w:tc>
        <w:tc>
          <w:tcPr>
            <w:tcW w:w="1088" w:type="dxa"/>
            <w:tcBorders>
              <w:top w:val="single" w:sz="6" w:space="0" w:color="000000"/>
              <w:left w:val="nil" w:sz="6" w:space="0" w:color="auto"/>
              <w:bottom w:val="single" w:sz="6" w:space="0" w:color="000000"/>
              <w:right w:val="nil" w:sz="6" w:space="0" w:color="auto"/>
            </w:tcBorders>
          </w:tcPr>
          <w:p>
            <w:pPr>
              <w:pStyle w:val="TableParagraph"/>
              <w:spacing w:line="267" w:lineRule="exact"/>
              <w:ind w:left="295" w:right="0"/>
              <w:jc w:val="left"/>
              <w:rPr>
                <w:rFonts w:ascii="宋体" w:hAnsi="宋体" w:cs="宋体" w:eastAsia="宋体" w:hint="default"/>
                <w:sz w:val="22"/>
                <w:szCs w:val="22"/>
              </w:rPr>
            </w:pPr>
            <w:r>
              <w:rPr>
                <w:rFonts w:ascii="Arial" w:hAnsi="Arial" w:cs="Arial" w:eastAsia="Arial" w:hint="default"/>
                <w:sz w:val="22"/>
                <w:szCs w:val="22"/>
              </w:rPr>
              <w:t>1</w:t>
            </w:r>
            <w:r>
              <w:rPr>
                <w:rFonts w:ascii="宋体" w:hAnsi="宋体" w:cs="宋体" w:eastAsia="宋体" w:hint="default"/>
                <w:sz w:val="22"/>
                <w:szCs w:val="22"/>
              </w:rPr>
              <w:t>至</w:t>
            </w:r>
            <w:r>
              <w:rPr>
                <w:rFonts w:ascii="Arial" w:hAnsi="Arial" w:cs="Arial" w:eastAsia="Arial" w:hint="default"/>
                <w:sz w:val="22"/>
                <w:szCs w:val="22"/>
              </w:rPr>
              <w:t>2</w:t>
            </w:r>
            <w:r>
              <w:rPr>
                <w:rFonts w:ascii="宋体" w:hAnsi="宋体" w:cs="宋体" w:eastAsia="宋体" w:hint="default"/>
                <w:sz w:val="22"/>
                <w:szCs w:val="22"/>
              </w:rPr>
              <w:t>年</w:t>
            </w:r>
          </w:p>
        </w:tc>
        <w:tc>
          <w:tcPr>
            <w:tcW w:w="235" w:type="dxa"/>
            <w:tcBorders>
              <w:top w:val="single" w:sz="6" w:space="0" w:color="000000"/>
              <w:left w:val="nil" w:sz="6" w:space="0" w:color="auto"/>
              <w:bottom w:val="nil" w:sz="6" w:space="0" w:color="auto"/>
              <w:right w:val="nil" w:sz="6" w:space="0" w:color="auto"/>
            </w:tcBorders>
          </w:tcPr>
          <w:p>
            <w:pPr/>
          </w:p>
        </w:tc>
        <w:tc>
          <w:tcPr>
            <w:tcW w:w="1051" w:type="dxa"/>
            <w:tcBorders>
              <w:top w:val="single" w:sz="6" w:space="0" w:color="000000"/>
              <w:left w:val="nil" w:sz="6" w:space="0" w:color="auto"/>
              <w:bottom w:val="single" w:sz="6" w:space="0" w:color="000000"/>
              <w:right w:val="nil" w:sz="6" w:space="0" w:color="auto"/>
            </w:tcBorders>
          </w:tcPr>
          <w:p>
            <w:pPr>
              <w:pStyle w:val="TableParagraph"/>
              <w:spacing w:line="267" w:lineRule="exact"/>
              <w:ind w:left="259" w:right="0"/>
              <w:jc w:val="left"/>
              <w:rPr>
                <w:rFonts w:ascii="宋体" w:hAnsi="宋体" w:cs="宋体" w:eastAsia="宋体" w:hint="default"/>
                <w:sz w:val="22"/>
                <w:szCs w:val="22"/>
              </w:rPr>
            </w:pPr>
            <w:r>
              <w:rPr>
                <w:rFonts w:ascii="Arial" w:hAnsi="Arial" w:cs="Arial" w:eastAsia="Arial" w:hint="default"/>
                <w:sz w:val="22"/>
                <w:szCs w:val="22"/>
              </w:rPr>
              <w:t>2</w:t>
            </w:r>
            <w:r>
              <w:rPr>
                <w:rFonts w:ascii="宋体" w:hAnsi="宋体" w:cs="宋体" w:eastAsia="宋体" w:hint="default"/>
                <w:sz w:val="22"/>
                <w:szCs w:val="22"/>
              </w:rPr>
              <w:t>至</w:t>
            </w:r>
            <w:r>
              <w:rPr>
                <w:rFonts w:ascii="Arial" w:hAnsi="Arial" w:cs="Arial" w:eastAsia="Arial" w:hint="default"/>
                <w:sz w:val="22"/>
                <w:szCs w:val="22"/>
              </w:rPr>
              <w:t>5</w:t>
            </w:r>
            <w:r>
              <w:rPr>
                <w:rFonts w:ascii="宋体" w:hAnsi="宋体" w:cs="宋体" w:eastAsia="宋体" w:hint="default"/>
                <w:sz w:val="22"/>
                <w:szCs w:val="22"/>
              </w:rPr>
              <w:t>年</w:t>
            </w:r>
          </w:p>
        </w:tc>
        <w:tc>
          <w:tcPr>
            <w:tcW w:w="235" w:type="dxa"/>
            <w:tcBorders>
              <w:top w:val="single" w:sz="6" w:space="0" w:color="000000"/>
              <w:left w:val="nil" w:sz="6" w:space="0" w:color="auto"/>
              <w:bottom w:val="nil" w:sz="6" w:space="0" w:color="auto"/>
              <w:right w:val="nil" w:sz="6" w:space="0" w:color="auto"/>
            </w:tcBorders>
          </w:tcPr>
          <w:p>
            <w:pPr/>
          </w:p>
        </w:tc>
        <w:tc>
          <w:tcPr>
            <w:tcW w:w="1025" w:type="dxa"/>
            <w:tcBorders>
              <w:top w:val="single" w:sz="6" w:space="0" w:color="000000"/>
              <w:left w:val="nil" w:sz="6" w:space="0" w:color="auto"/>
              <w:bottom w:val="single" w:sz="6" w:space="0" w:color="000000"/>
              <w:right w:val="nil" w:sz="6" w:space="0" w:color="auto"/>
            </w:tcBorders>
          </w:tcPr>
          <w:p>
            <w:pPr>
              <w:pStyle w:val="TableParagraph"/>
              <w:spacing w:line="267" w:lineRule="exact"/>
              <w:ind w:right="59"/>
              <w:jc w:val="right"/>
              <w:rPr>
                <w:rFonts w:ascii="宋体" w:hAnsi="宋体" w:cs="宋体" w:eastAsia="宋体" w:hint="default"/>
                <w:sz w:val="22"/>
                <w:szCs w:val="22"/>
              </w:rPr>
            </w:pPr>
            <w:r>
              <w:rPr>
                <w:rFonts w:ascii="Arial" w:hAnsi="Arial" w:cs="Arial" w:eastAsia="Arial" w:hint="default"/>
                <w:spacing w:val="-1"/>
                <w:sz w:val="22"/>
                <w:szCs w:val="22"/>
              </w:rPr>
              <w:t>5</w:t>
            </w:r>
            <w:r>
              <w:rPr>
                <w:rFonts w:ascii="宋体" w:hAnsi="宋体" w:cs="宋体" w:eastAsia="宋体" w:hint="default"/>
                <w:spacing w:val="-1"/>
                <w:sz w:val="22"/>
                <w:szCs w:val="22"/>
              </w:rPr>
              <w:t>年以上</w:t>
            </w:r>
          </w:p>
        </w:tc>
        <w:tc>
          <w:tcPr>
            <w:tcW w:w="236" w:type="dxa"/>
            <w:tcBorders>
              <w:top w:val="single" w:sz="6" w:space="0" w:color="000000"/>
              <w:left w:val="nil" w:sz="6" w:space="0" w:color="auto"/>
              <w:bottom w:val="nil" w:sz="6" w:space="0" w:color="auto"/>
              <w:right w:val="nil" w:sz="6" w:space="0" w:color="auto"/>
            </w:tcBorders>
          </w:tcPr>
          <w:p>
            <w:pPr/>
          </w:p>
        </w:tc>
        <w:tc>
          <w:tcPr>
            <w:tcW w:w="1260" w:type="dxa"/>
            <w:tcBorders>
              <w:top w:val="single" w:sz="6" w:space="0" w:color="000000"/>
              <w:left w:val="nil" w:sz="6" w:space="0" w:color="auto"/>
              <w:bottom w:val="single" w:sz="6" w:space="0" w:color="000000"/>
              <w:right w:val="nil" w:sz="6" w:space="0" w:color="auto"/>
            </w:tcBorders>
          </w:tcPr>
          <w:p>
            <w:pPr>
              <w:pStyle w:val="TableParagraph"/>
              <w:spacing w:line="252" w:lineRule="exact"/>
              <w:ind w:left="720" w:right="0"/>
              <w:jc w:val="left"/>
              <w:rPr>
                <w:rFonts w:ascii="宋体" w:hAnsi="宋体" w:cs="宋体" w:eastAsia="宋体" w:hint="default"/>
                <w:sz w:val="22"/>
                <w:szCs w:val="22"/>
              </w:rPr>
            </w:pPr>
            <w:r>
              <w:rPr>
                <w:rFonts w:ascii="宋体" w:hAnsi="宋体" w:cs="宋体" w:eastAsia="宋体" w:hint="default"/>
                <w:sz w:val="22"/>
                <w:szCs w:val="22"/>
              </w:rPr>
              <w:t>合计</w:t>
            </w:r>
          </w:p>
        </w:tc>
      </w:tr>
      <w:tr>
        <w:trPr>
          <w:trHeight w:val="556" w:hRule="exact"/>
        </w:trPr>
        <w:tc>
          <w:tcPr>
            <w:tcW w:w="2718"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12"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1073"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15"/>
              <w:jc w:val="right"/>
              <w:rPr>
                <w:rFonts w:ascii="Arial" w:hAnsi="Arial" w:cs="Arial" w:eastAsia="Arial" w:hint="default"/>
                <w:sz w:val="22"/>
                <w:szCs w:val="22"/>
              </w:rPr>
            </w:pPr>
            <w:r>
              <w:rPr>
                <w:rFonts w:ascii="Arial"/>
                <w:spacing w:val="-1"/>
                <w:sz w:val="22"/>
              </w:rPr>
              <w:t>53</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24" w:right="0"/>
              <w:jc w:val="left"/>
              <w:rPr>
                <w:rFonts w:ascii="Arial" w:hAnsi="Arial" w:cs="Arial" w:eastAsia="Arial" w:hint="default"/>
                <w:sz w:val="22"/>
                <w:szCs w:val="22"/>
              </w:rPr>
            </w:pPr>
            <w:r>
              <w:rPr>
                <w:rFonts w:ascii="Arial"/>
                <w:sz w:val="22"/>
              </w:rPr>
              <w:t>51</w:t>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66" w:right="0"/>
              <w:jc w:val="left"/>
              <w:rPr>
                <w:rFonts w:ascii="Arial" w:hAnsi="Arial" w:cs="Arial" w:eastAsia="Arial" w:hint="default"/>
                <w:sz w:val="22"/>
                <w:szCs w:val="22"/>
              </w:rPr>
            </w:pPr>
            <w:r>
              <w:rPr>
                <w:rFonts w:ascii="Arial"/>
                <w:sz w:val="22"/>
              </w:rPr>
              <w:t>148</w:t>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25"/>
              <w:jc w:val="right"/>
              <w:rPr>
                <w:rFonts w:ascii="Arial" w:hAnsi="Arial" w:cs="Arial" w:eastAsia="Arial" w:hint="default"/>
                <w:sz w:val="22"/>
                <w:szCs w:val="22"/>
              </w:rPr>
            </w:pPr>
            <w:r>
              <w:rPr>
                <w:rFonts w:ascii="Arial"/>
                <w:spacing w:val="-1"/>
                <w:sz w:val="22"/>
              </w:rPr>
              <w:t>302</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56" w:right="0"/>
              <w:jc w:val="left"/>
              <w:rPr>
                <w:rFonts w:ascii="Arial" w:hAnsi="Arial" w:cs="Arial" w:eastAsia="Arial" w:hint="default"/>
                <w:sz w:val="22"/>
                <w:szCs w:val="22"/>
              </w:rPr>
            </w:pPr>
            <w:r>
              <w:rPr>
                <w:rFonts w:ascii="Arial"/>
                <w:sz w:val="22"/>
              </w:rPr>
              <w:t>554</w:t>
            </w:r>
          </w:p>
        </w:tc>
      </w:tr>
      <w:tr>
        <w:trPr>
          <w:trHeight w:val="286"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38" w:lineRule="exact"/>
              <w:ind w:left="312" w:right="0"/>
              <w:jc w:val="left"/>
              <w:rPr>
                <w:rFonts w:ascii="宋体" w:hAnsi="宋体" w:cs="宋体" w:eastAsia="宋体" w:hint="default"/>
                <w:sz w:val="22"/>
                <w:szCs w:val="22"/>
              </w:rPr>
            </w:pPr>
            <w:r>
              <w:rPr>
                <w:rFonts w:ascii="宋体" w:hAnsi="宋体" w:cs="宋体" w:eastAsia="宋体" w:hint="default"/>
                <w:sz w:val="22"/>
                <w:szCs w:val="22"/>
              </w:rPr>
              <w:t>长期应付款</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5"/>
              <w:jc w:val="right"/>
              <w:rPr>
                <w:rFonts w:ascii="Arial" w:hAnsi="Arial" w:cs="Arial" w:eastAsia="Arial" w:hint="default"/>
                <w:sz w:val="22"/>
                <w:szCs w:val="22"/>
              </w:rPr>
            </w:pPr>
            <w:r>
              <w:rPr>
                <w:rFonts w:ascii="Arial"/>
                <w:spacing w:val="-1"/>
                <w:sz w:val="22"/>
              </w:rPr>
              <w:t>162</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02" w:right="0"/>
              <w:jc w:val="left"/>
              <w:rPr>
                <w:rFonts w:ascii="Arial" w:hAnsi="Arial" w:cs="Arial" w:eastAsia="Arial" w:hint="default"/>
                <w:sz w:val="22"/>
                <w:szCs w:val="22"/>
              </w:rPr>
            </w:pPr>
            <w:r>
              <w:rPr>
                <w:rFonts w:ascii="Arial"/>
                <w:sz w:val="22"/>
              </w:rPr>
              <w:t>108</w:t>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88" w:right="0"/>
              <w:jc w:val="left"/>
              <w:rPr>
                <w:rFonts w:ascii="Arial" w:hAnsi="Arial" w:cs="Arial" w:eastAsia="Arial" w:hint="default"/>
                <w:sz w:val="22"/>
                <w:szCs w:val="22"/>
              </w:rPr>
            </w:pPr>
            <w:r>
              <w:rPr>
                <w:rFonts w:ascii="Arial"/>
                <w:sz w:val="22"/>
              </w:rPr>
              <w:t>64</w:t>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4"/>
              <w:jc w:val="right"/>
              <w:rPr>
                <w:rFonts w:ascii="Arial" w:hAnsi="Arial" w:cs="Arial" w:eastAsia="Arial" w:hint="default"/>
                <w:sz w:val="22"/>
                <w:szCs w:val="22"/>
              </w:rPr>
            </w:pPr>
            <w:r>
              <w:rPr>
                <w:rFonts w:ascii="Arial"/>
                <w:w w:val="100"/>
                <w:sz w:val="22"/>
              </w:rPr>
              <w:t>2</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56" w:right="0"/>
              <w:jc w:val="left"/>
              <w:rPr>
                <w:rFonts w:ascii="Arial" w:hAnsi="Arial" w:cs="Arial" w:eastAsia="Arial" w:hint="default"/>
                <w:sz w:val="22"/>
                <w:szCs w:val="22"/>
              </w:rPr>
            </w:pPr>
            <w:r>
              <w:rPr>
                <w:rFonts w:ascii="Arial"/>
                <w:sz w:val="22"/>
              </w:rPr>
              <w:t>336</w:t>
            </w:r>
          </w:p>
        </w:tc>
      </w:tr>
      <w:tr>
        <w:trPr>
          <w:trHeight w:val="28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38" w:lineRule="exact"/>
              <w:ind w:left="312" w:right="0"/>
              <w:jc w:val="left"/>
              <w:rPr>
                <w:rFonts w:ascii="宋体" w:hAnsi="宋体" w:cs="宋体" w:eastAsia="宋体" w:hint="default"/>
                <w:sz w:val="22"/>
                <w:szCs w:val="22"/>
              </w:rPr>
            </w:pPr>
            <w:r>
              <w:rPr>
                <w:rFonts w:ascii="宋体" w:hAnsi="宋体" w:cs="宋体" w:eastAsia="宋体" w:hint="default"/>
                <w:sz w:val="22"/>
                <w:szCs w:val="22"/>
              </w:rPr>
              <w:t>长期应付职工薪酬</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2"/>
                <w:szCs w:val="22"/>
              </w:rPr>
            </w:pPr>
            <w:r>
              <w:rPr>
                <w:rFonts w:ascii="Arial"/>
                <w:spacing w:val="-1"/>
                <w:sz w:val="22"/>
              </w:rPr>
              <w:t>12</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2"/>
                <w:szCs w:val="22"/>
              </w:rPr>
            </w:pPr>
            <w:r>
              <w:rPr>
                <w:rFonts w:ascii="Arial"/>
                <w:w w:val="100"/>
                <w:sz w:val="22"/>
              </w:rPr>
              <w:t>9</w:t>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88" w:right="0"/>
              <w:jc w:val="left"/>
              <w:rPr>
                <w:rFonts w:ascii="Arial" w:hAnsi="Arial" w:cs="Arial" w:eastAsia="Arial" w:hint="default"/>
                <w:sz w:val="22"/>
                <w:szCs w:val="22"/>
              </w:rPr>
            </w:pPr>
            <w:r>
              <w:rPr>
                <w:rFonts w:ascii="Arial"/>
                <w:sz w:val="22"/>
              </w:rPr>
              <w:t>26</w:t>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Arial" w:hAnsi="Arial" w:cs="Arial" w:eastAsia="Arial" w:hint="default"/>
                <w:sz w:val="22"/>
                <w:szCs w:val="22"/>
              </w:rPr>
            </w:pPr>
            <w:r>
              <w:rPr>
                <w:rFonts w:ascii="Arial"/>
                <w:spacing w:val="-1"/>
                <w:sz w:val="22"/>
              </w:rPr>
              <w:t>63</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56" w:right="0"/>
              <w:jc w:val="left"/>
              <w:rPr>
                <w:rFonts w:ascii="Arial" w:hAnsi="Arial" w:cs="Arial" w:eastAsia="Arial" w:hint="default"/>
                <w:sz w:val="22"/>
                <w:szCs w:val="22"/>
              </w:rPr>
            </w:pPr>
            <w:r>
              <w:rPr>
                <w:rFonts w:ascii="Arial"/>
                <w:sz w:val="22"/>
              </w:rPr>
              <w:t>110</w:t>
            </w:r>
          </w:p>
        </w:tc>
      </w:tr>
      <w:tr>
        <w:trPr>
          <w:trHeight w:val="286"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exact"/>
              <w:ind w:left="312" w:right="0"/>
              <w:jc w:val="left"/>
              <w:rPr>
                <w:rFonts w:ascii="宋体" w:hAnsi="宋体" w:cs="宋体" w:eastAsia="宋体" w:hint="default"/>
                <w:sz w:val="22"/>
                <w:szCs w:val="22"/>
              </w:rPr>
            </w:pPr>
            <w:r>
              <w:rPr>
                <w:rFonts w:ascii="宋体" w:hAnsi="宋体" w:cs="宋体" w:eastAsia="宋体" w:hint="default"/>
                <w:sz w:val="22"/>
                <w:szCs w:val="22"/>
              </w:rPr>
              <w:t>其他流动负债</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3" w:right="0"/>
              <w:jc w:val="left"/>
              <w:rPr>
                <w:rFonts w:ascii="Arial" w:hAnsi="Arial" w:cs="Arial" w:eastAsia="Arial" w:hint="default"/>
                <w:sz w:val="22"/>
                <w:szCs w:val="22"/>
              </w:rPr>
            </w:pPr>
            <w:r>
              <w:rPr>
                <w:rFonts w:ascii="Arial"/>
                <w:sz w:val="22"/>
              </w:rPr>
              <w:t>35,406</w:t>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6"/>
              <w:jc w:val="right"/>
              <w:rPr>
                <w:rFonts w:ascii="Arial" w:hAnsi="Arial" w:cs="Arial" w:eastAsia="Arial" w:hint="default"/>
                <w:sz w:val="22"/>
                <w:szCs w:val="22"/>
              </w:rPr>
            </w:pPr>
            <w:r>
              <w:rPr>
                <w:rFonts w:ascii="Arial"/>
                <w:w w:val="100"/>
                <w:sz w:val="22"/>
              </w:rPr>
              <w:t>-</w:t>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6"/>
              <w:jc w:val="right"/>
              <w:rPr>
                <w:rFonts w:ascii="Arial" w:hAnsi="Arial" w:cs="Arial" w:eastAsia="Arial" w:hint="default"/>
                <w:sz w:val="22"/>
                <w:szCs w:val="22"/>
              </w:rPr>
            </w:pPr>
            <w:r>
              <w:rPr>
                <w:rFonts w:ascii="Arial"/>
                <w:w w:val="100"/>
                <w:sz w:val="22"/>
              </w:rPr>
              <w:t>-</w:t>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6"/>
              <w:jc w:val="right"/>
              <w:rPr>
                <w:rFonts w:ascii="Arial" w:hAnsi="Arial" w:cs="Arial" w:eastAsia="Arial" w:hint="default"/>
                <w:sz w:val="22"/>
                <w:szCs w:val="22"/>
              </w:rPr>
            </w:pPr>
            <w:r>
              <w:rPr>
                <w:rFonts w:ascii="Arial"/>
                <w:w w:val="100"/>
                <w:sz w:val="22"/>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51" w:right="0"/>
              <w:jc w:val="left"/>
              <w:rPr>
                <w:rFonts w:ascii="Arial" w:hAnsi="Arial" w:cs="Arial" w:eastAsia="Arial" w:hint="default"/>
                <w:sz w:val="22"/>
                <w:szCs w:val="22"/>
              </w:rPr>
            </w:pPr>
            <w:r>
              <w:rPr>
                <w:rFonts w:ascii="Arial"/>
                <w:sz w:val="22"/>
              </w:rPr>
              <w:t>35,406</w:t>
            </w:r>
          </w:p>
        </w:tc>
      </w:tr>
      <w:tr>
        <w:trPr>
          <w:trHeight w:val="286"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39" w:lineRule="exact"/>
              <w:ind w:left="312" w:right="0"/>
              <w:jc w:val="left"/>
              <w:rPr>
                <w:rFonts w:ascii="宋体" w:hAnsi="宋体" w:cs="宋体" w:eastAsia="宋体" w:hint="default"/>
                <w:sz w:val="22"/>
                <w:szCs w:val="22"/>
              </w:rPr>
            </w:pPr>
            <w:r>
              <w:rPr>
                <w:rFonts w:ascii="宋体" w:hAnsi="宋体" w:cs="宋体" w:eastAsia="宋体" w:hint="default"/>
                <w:sz w:val="22"/>
                <w:szCs w:val="22"/>
              </w:rPr>
              <w:t>应付债券</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5"/>
              <w:jc w:val="right"/>
              <w:rPr>
                <w:rFonts w:ascii="Arial" w:hAnsi="Arial" w:cs="Arial" w:eastAsia="Arial" w:hint="default"/>
                <w:sz w:val="22"/>
                <w:szCs w:val="22"/>
              </w:rPr>
            </w:pPr>
            <w:r>
              <w:rPr>
                <w:rFonts w:ascii="Arial"/>
                <w:spacing w:val="-1"/>
                <w:sz w:val="22"/>
              </w:rPr>
              <w:t>174</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97" w:right="0"/>
              <w:jc w:val="left"/>
              <w:rPr>
                <w:rFonts w:ascii="Arial" w:hAnsi="Arial" w:cs="Arial" w:eastAsia="Arial" w:hint="default"/>
                <w:sz w:val="22"/>
                <w:szCs w:val="22"/>
              </w:rPr>
            </w:pPr>
            <w:r>
              <w:rPr>
                <w:rFonts w:ascii="Arial"/>
                <w:sz w:val="22"/>
              </w:rPr>
              <w:t>11,368</w:t>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84" w:right="0"/>
              <w:jc w:val="left"/>
              <w:rPr>
                <w:rFonts w:ascii="Arial" w:hAnsi="Arial" w:cs="Arial" w:eastAsia="Arial" w:hint="default"/>
                <w:sz w:val="22"/>
                <w:szCs w:val="22"/>
              </w:rPr>
            </w:pPr>
            <w:r>
              <w:rPr>
                <w:rFonts w:ascii="Arial"/>
                <w:sz w:val="22"/>
              </w:rPr>
              <w:t>2,129</w:t>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6"/>
              <w:jc w:val="right"/>
              <w:rPr>
                <w:rFonts w:ascii="Arial" w:hAnsi="Arial" w:cs="Arial" w:eastAsia="Arial" w:hint="default"/>
                <w:sz w:val="22"/>
                <w:szCs w:val="22"/>
              </w:rPr>
            </w:pPr>
            <w:r>
              <w:rPr>
                <w:rFonts w:ascii="Arial"/>
                <w:w w:val="100"/>
                <w:sz w:val="22"/>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51" w:right="0"/>
              <w:jc w:val="left"/>
              <w:rPr>
                <w:rFonts w:ascii="Arial" w:hAnsi="Arial" w:cs="Arial" w:eastAsia="Arial" w:hint="default"/>
                <w:sz w:val="22"/>
                <w:szCs w:val="22"/>
              </w:rPr>
            </w:pPr>
            <w:r>
              <w:rPr>
                <w:rFonts w:ascii="Arial"/>
                <w:sz w:val="22"/>
              </w:rPr>
              <w:t>13,671</w:t>
            </w:r>
          </w:p>
        </w:tc>
      </w:tr>
      <w:tr>
        <w:trPr>
          <w:trHeight w:val="284"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39" w:lineRule="exact"/>
              <w:ind w:left="312" w:right="0"/>
              <w:jc w:val="left"/>
              <w:rPr>
                <w:rFonts w:ascii="宋体" w:hAnsi="宋体" w:cs="宋体" w:eastAsia="宋体" w:hint="default"/>
                <w:sz w:val="22"/>
                <w:szCs w:val="22"/>
              </w:rPr>
            </w:pPr>
            <w:r>
              <w:rPr>
                <w:rFonts w:ascii="宋体" w:hAnsi="宋体" w:cs="宋体" w:eastAsia="宋体" w:hint="default"/>
                <w:sz w:val="22"/>
                <w:szCs w:val="22"/>
              </w:rPr>
              <w:t>应付款项</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60" w:right="0"/>
              <w:jc w:val="left"/>
              <w:rPr>
                <w:rFonts w:ascii="Arial" w:hAnsi="Arial" w:cs="Arial" w:eastAsia="Arial" w:hint="default"/>
                <w:sz w:val="22"/>
                <w:szCs w:val="22"/>
              </w:rPr>
            </w:pPr>
            <w:r>
              <w:rPr>
                <w:rFonts w:ascii="Arial"/>
                <w:sz w:val="22"/>
              </w:rPr>
              <w:t>110,729</w:t>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6"/>
              <w:jc w:val="right"/>
              <w:rPr>
                <w:rFonts w:ascii="Arial" w:hAnsi="Arial" w:cs="Arial" w:eastAsia="Arial" w:hint="default"/>
                <w:sz w:val="22"/>
                <w:szCs w:val="22"/>
              </w:rPr>
            </w:pPr>
            <w:r>
              <w:rPr>
                <w:rFonts w:ascii="Arial"/>
                <w:w w:val="100"/>
                <w:sz w:val="22"/>
              </w:rPr>
              <w:t>-</w:t>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6"/>
              <w:jc w:val="right"/>
              <w:rPr>
                <w:rFonts w:ascii="Arial" w:hAnsi="Arial" w:cs="Arial" w:eastAsia="Arial" w:hint="default"/>
                <w:sz w:val="22"/>
                <w:szCs w:val="22"/>
              </w:rPr>
            </w:pPr>
            <w:r>
              <w:rPr>
                <w:rFonts w:ascii="Arial"/>
                <w:w w:val="100"/>
                <w:sz w:val="22"/>
              </w:rPr>
              <w:t>-</w:t>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6"/>
              <w:jc w:val="right"/>
              <w:rPr>
                <w:rFonts w:ascii="Arial" w:hAnsi="Arial" w:cs="Arial" w:eastAsia="Arial" w:hint="default"/>
                <w:sz w:val="22"/>
                <w:szCs w:val="22"/>
              </w:rPr>
            </w:pPr>
            <w:r>
              <w:rPr>
                <w:rFonts w:ascii="Arial"/>
                <w:w w:val="100"/>
                <w:sz w:val="22"/>
              </w:rPr>
              <w:t>-</w:t>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28" w:right="0"/>
              <w:jc w:val="left"/>
              <w:rPr>
                <w:rFonts w:ascii="Arial" w:hAnsi="Arial" w:cs="Arial" w:eastAsia="Arial" w:hint="default"/>
                <w:sz w:val="22"/>
                <w:szCs w:val="22"/>
              </w:rPr>
            </w:pPr>
            <w:r>
              <w:rPr>
                <w:rFonts w:ascii="Arial"/>
                <w:sz w:val="22"/>
              </w:rPr>
              <w:t>110,729</w:t>
            </w:r>
          </w:p>
        </w:tc>
      </w:tr>
      <w:tr>
        <w:trPr>
          <w:trHeight w:val="383" w:hRule="exact"/>
        </w:trPr>
        <w:tc>
          <w:tcPr>
            <w:tcW w:w="2718" w:type="dxa"/>
            <w:tcBorders>
              <w:top w:val="nil" w:sz="6" w:space="0" w:color="auto"/>
              <w:left w:val="nil" w:sz="6" w:space="0" w:color="auto"/>
              <w:bottom w:val="nil" w:sz="6" w:space="0" w:color="auto"/>
              <w:right w:val="nil" w:sz="6" w:space="0" w:color="auto"/>
            </w:tcBorders>
          </w:tcPr>
          <w:p>
            <w:pPr>
              <w:pStyle w:val="TableParagraph"/>
              <w:tabs>
                <w:tab w:pos="2655" w:val="left" w:leader="none"/>
                <w:tab w:pos="3001" w:val="left" w:leader="none"/>
              </w:tabs>
              <w:spacing w:line="237" w:lineRule="exact"/>
              <w:ind w:left="312" w:right="-284"/>
              <w:jc w:val="left"/>
              <w:rPr>
                <w:rFonts w:ascii="Arial" w:hAnsi="Arial" w:cs="Arial" w:eastAsia="Arial" w:hint="default"/>
                <w:sz w:val="22"/>
                <w:szCs w:val="22"/>
              </w:rPr>
            </w:pPr>
            <w:r>
              <w:rPr>
                <w:rFonts w:ascii="宋体" w:hAnsi="宋体" w:cs="宋体" w:eastAsia="宋体" w:hint="default"/>
                <w:position w:val="2"/>
                <w:sz w:val="22"/>
                <w:szCs w:val="22"/>
              </w:rPr>
              <w:t>短期借款</w:t>
              <w:tab/>
            </w:r>
            <w:r>
              <w:rPr>
                <w:rFonts w:ascii="Arial" w:hAnsi="Arial" w:cs="Arial" w:eastAsia="Arial" w:hint="default"/>
                <w:w w:val="100"/>
                <w:sz w:val="22"/>
                <w:szCs w:val="22"/>
              </w:rPr>
            </w:r>
            <w:r>
              <w:rPr>
                <w:rFonts w:ascii="Arial" w:hAnsi="Arial" w:cs="Arial" w:eastAsia="Arial" w:hint="default"/>
                <w:w w:val="100"/>
                <w:sz w:val="22"/>
                <w:szCs w:val="22"/>
                <w:u w:val="single" w:color="000000"/>
              </w:rPr>
              <w:t> </w:t>
            </w:r>
            <w:r>
              <w:rPr>
                <w:rFonts w:ascii="Arial" w:hAnsi="Arial" w:cs="Arial" w:eastAsia="Arial" w:hint="default"/>
                <w:sz w:val="22"/>
                <w:szCs w:val="22"/>
                <w:u w:val="single" w:color="000000"/>
              </w:rPr>
              <w:tab/>
            </w:r>
            <w:r>
              <w:rPr>
                <w:rFonts w:ascii="Arial" w:hAnsi="Arial" w:cs="Arial" w:eastAsia="Arial" w:hint="default"/>
                <w:sz w:val="22"/>
                <w:szCs w:val="22"/>
              </w:rPr>
            </w:r>
          </w:p>
        </w:tc>
        <w:tc>
          <w:tcPr>
            <w:tcW w:w="1073" w:type="dxa"/>
            <w:tcBorders>
              <w:top w:val="nil" w:sz="6" w:space="0" w:color="auto"/>
              <w:left w:val="nil" w:sz="6" w:space="0" w:color="auto"/>
              <w:bottom w:val="nil" w:sz="6" w:space="0" w:color="auto"/>
              <w:right w:val="nil" w:sz="6" w:space="0" w:color="auto"/>
            </w:tcBorders>
          </w:tcPr>
          <w:p>
            <w:pPr>
              <w:pStyle w:val="TableParagraph"/>
              <w:tabs>
                <w:tab w:pos="789"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spacing w:val="-1"/>
                <w:sz w:val="22"/>
                <w:u w:val="single" w:color="000000"/>
              </w:rPr>
              <w:t>97,002</w:t>
              <w:tab/>
            </w:r>
            <w:r>
              <w:rPr>
                <w:rFonts w:ascii="Arial"/>
                <w:spacing w:val="-1"/>
                <w:sz w:val="22"/>
              </w:rPr>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tabs>
                <w:tab w:pos="895" w:val="left" w:leader="none"/>
                <w:tab w:pos="1087" w:val="left" w:leader="none"/>
              </w:tabs>
              <w:spacing w:line="240" w:lineRule="auto" w:before="20"/>
              <w:ind w:left="7"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tab/>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tabs>
                <w:tab w:pos="859" w:val="left" w:leader="none"/>
                <w:tab w:pos="1051" w:val="left" w:leader="none"/>
              </w:tabs>
              <w:spacing w:line="240" w:lineRule="auto" w:before="20"/>
              <w:ind w:left="7"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tab/>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tabs>
                <w:tab w:pos="815" w:val="left" w:leader="none"/>
                <w:tab w:pos="1017"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tab/>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tabs>
                <w:tab w:pos="451" w:val="left" w:leader="none"/>
                <w:tab w:pos="1259" w:val="left" w:leader="none"/>
              </w:tabs>
              <w:spacing w:line="240" w:lineRule="auto" w:before="20"/>
              <w:ind w:left="7"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97,002</w:t>
              <w:tab/>
            </w:r>
            <w:r>
              <w:rPr>
                <w:rFonts w:ascii="Arial"/>
                <w:sz w:val="22"/>
              </w:rPr>
            </w:r>
          </w:p>
        </w:tc>
      </w:tr>
      <w:tr>
        <w:trPr>
          <w:trHeight w:val="366" w:hRule="exact"/>
        </w:trPr>
        <w:tc>
          <w:tcPr>
            <w:tcW w:w="2718" w:type="dxa"/>
            <w:tcBorders>
              <w:top w:val="nil" w:sz="6" w:space="0" w:color="auto"/>
              <w:left w:val="nil" w:sz="6" w:space="0" w:color="auto"/>
              <w:bottom w:val="single" w:sz="17" w:space="0" w:color="000000"/>
              <w:right w:val="nil" w:sz="6" w:space="0" w:color="auto"/>
            </w:tcBorders>
          </w:tcPr>
          <w:p>
            <w:pPr/>
          </w:p>
        </w:tc>
        <w:tc>
          <w:tcPr>
            <w:tcW w:w="1073" w:type="dxa"/>
            <w:tcBorders>
              <w:top w:val="nil" w:sz="6" w:space="0" w:color="auto"/>
              <w:left w:val="nil" w:sz="6" w:space="0" w:color="auto"/>
              <w:bottom w:val="single" w:sz="17" w:space="0" w:color="000000"/>
              <w:right w:val="nil" w:sz="6" w:space="0" w:color="auto"/>
            </w:tcBorders>
          </w:tcPr>
          <w:p>
            <w:pPr>
              <w:pStyle w:val="TableParagraph"/>
              <w:spacing w:line="240" w:lineRule="auto" w:before="87"/>
              <w:ind w:left="160" w:right="0"/>
              <w:jc w:val="left"/>
              <w:rPr>
                <w:rFonts w:ascii="Arial" w:hAnsi="Arial" w:cs="Arial" w:eastAsia="Arial" w:hint="default"/>
                <w:sz w:val="22"/>
                <w:szCs w:val="22"/>
              </w:rPr>
            </w:pPr>
            <w:r>
              <w:rPr>
                <w:rFonts w:ascii="Arial"/>
                <w:sz w:val="22"/>
              </w:rPr>
              <w:t>243,538</w:t>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single" w:sz="17" w:space="0" w:color="000000"/>
              <w:right w:val="nil" w:sz="6" w:space="0" w:color="auto"/>
            </w:tcBorders>
          </w:tcPr>
          <w:p>
            <w:pPr>
              <w:pStyle w:val="TableParagraph"/>
              <w:spacing w:line="240" w:lineRule="auto" w:before="87"/>
              <w:ind w:left="297" w:right="0"/>
              <w:jc w:val="left"/>
              <w:rPr>
                <w:rFonts w:ascii="Arial" w:hAnsi="Arial" w:cs="Arial" w:eastAsia="Arial" w:hint="default"/>
                <w:sz w:val="22"/>
                <w:szCs w:val="22"/>
              </w:rPr>
            </w:pPr>
            <w:r>
              <w:rPr>
                <w:rFonts w:ascii="Arial"/>
                <w:sz w:val="22"/>
              </w:rPr>
              <w:t>11,536</w:t>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single" w:sz="17" w:space="0" w:color="000000"/>
              <w:right w:val="nil" w:sz="6" w:space="0" w:color="auto"/>
            </w:tcBorders>
          </w:tcPr>
          <w:p>
            <w:pPr>
              <w:pStyle w:val="TableParagraph"/>
              <w:spacing w:line="240" w:lineRule="auto" w:before="87"/>
              <w:ind w:left="384" w:right="0"/>
              <w:jc w:val="left"/>
              <w:rPr>
                <w:rFonts w:ascii="Arial" w:hAnsi="Arial" w:cs="Arial" w:eastAsia="Arial" w:hint="default"/>
                <w:sz w:val="22"/>
                <w:szCs w:val="22"/>
              </w:rPr>
            </w:pPr>
            <w:r>
              <w:rPr>
                <w:rFonts w:ascii="Arial"/>
                <w:sz w:val="22"/>
              </w:rPr>
              <w:t>2,367</w:t>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single" w:sz="17" w:space="0" w:color="000000"/>
              <w:right w:val="nil" w:sz="6" w:space="0" w:color="auto"/>
            </w:tcBorders>
          </w:tcPr>
          <w:p>
            <w:pPr>
              <w:pStyle w:val="TableParagraph"/>
              <w:spacing w:line="240" w:lineRule="auto" w:before="87"/>
              <w:ind w:right="125"/>
              <w:jc w:val="right"/>
              <w:rPr>
                <w:rFonts w:ascii="Arial" w:hAnsi="Arial" w:cs="Arial" w:eastAsia="Arial" w:hint="default"/>
                <w:sz w:val="22"/>
                <w:szCs w:val="22"/>
              </w:rPr>
            </w:pPr>
            <w:r>
              <w:rPr>
                <w:rFonts w:ascii="Arial"/>
                <w:spacing w:val="-1"/>
                <w:sz w:val="22"/>
              </w:rPr>
              <w:t>367</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17" w:space="0" w:color="000000"/>
              <w:right w:val="nil" w:sz="6" w:space="0" w:color="auto"/>
            </w:tcBorders>
          </w:tcPr>
          <w:p>
            <w:pPr>
              <w:pStyle w:val="TableParagraph"/>
              <w:spacing w:line="240" w:lineRule="auto" w:before="87"/>
              <w:ind w:left="328" w:right="0"/>
              <w:jc w:val="left"/>
              <w:rPr>
                <w:rFonts w:ascii="Arial" w:hAnsi="Arial" w:cs="Arial" w:eastAsia="Arial" w:hint="default"/>
                <w:sz w:val="22"/>
                <w:szCs w:val="22"/>
              </w:rPr>
            </w:pPr>
            <w:r>
              <w:rPr>
                <w:rFonts w:ascii="Arial"/>
                <w:sz w:val="22"/>
              </w:rPr>
              <w:t>257,808</w:t>
            </w:r>
          </w:p>
        </w:tc>
      </w:tr>
    </w:tbl>
    <w:p>
      <w:pPr>
        <w:spacing w:line="240" w:lineRule="auto" w:before="13"/>
        <w:rPr>
          <w:rFonts w:ascii="宋体" w:hAnsi="宋体" w:cs="宋体" w:eastAsia="宋体" w:hint="default"/>
          <w:sz w:val="13"/>
          <w:szCs w:val="13"/>
        </w:rPr>
      </w:pPr>
    </w:p>
    <w:p>
      <w:pPr>
        <w:pStyle w:val="BodyText"/>
        <w:spacing w:line="424" w:lineRule="auto" w:before="32"/>
        <w:ind w:left="580" w:right="6520" w:hanging="478"/>
        <w:jc w:val="left"/>
      </w:pPr>
      <w:r>
        <w:rPr>
          <w:rFonts w:ascii="Arial" w:hAnsi="Arial" w:cs="Arial" w:eastAsia="Arial" w:hint="default"/>
        </w:rPr>
        <w:t>2</w:t>
      </w:r>
      <w:r>
        <w:rPr/>
        <w:t>、</w:t>
      </w:r>
      <w:r>
        <w:rPr>
          <w:spacing w:val="14"/>
        </w:rPr>
        <w:t> </w:t>
      </w:r>
      <w:r>
        <w:rPr/>
        <w:t>资本风险管理</w:t>
      </w:r>
      <w:r>
        <w:rPr>
          <w:w w:val="100"/>
        </w:rPr>
        <w:t> </w:t>
      </w:r>
      <w:r>
        <w:rPr>
          <w:spacing w:val="-1"/>
        </w:rPr>
        <w:t>本集团资本管理的目标为：</w:t>
      </w:r>
    </w:p>
    <w:p>
      <w:pPr>
        <w:pStyle w:val="BodyText"/>
        <w:spacing w:line="296" w:lineRule="exact" w:before="80"/>
        <w:ind w:left="621" w:right="0"/>
        <w:jc w:val="both"/>
      </w:pPr>
      <w:r>
        <w:rPr>
          <w:rFonts w:ascii="Symbol" w:hAnsi="Symbol" w:cs="Symbol" w:eastAsia="Symbol" w:hint="default"/>
        </w:rPr>
        <w:t></w:t>
      </w:r>
      <w:r>
        <w:rPr>
          <w:rFonts w:ascii="Symbol" w:hAnsi="Symbol" w:cs="Symbol" w:eastAsia="Symbol" w:hint="default"/>
          <w:spacing w:val="49"/>
        </w:rPr>
        <w:t></w:t>
      </w:r>
      <w:r>
        <w:rPr>
          <w:rFonts w:ascii="Times New Roman" w:hAnsi="Times New Roman" w:cs="Times New Roman" w:eastAsia="Times New Roman" w:hint="default"/>
          <w:spacing w:val="49"/>
        </w:rPr>
      </w:r>
      <w:r>
        <w:rPr/>
        <w:t>保障本集团的持续经营能力，从而持续地为股东提供回报及使其它利益相关者受益。</w:t>
      </w:r>
    </w:p>
    <w:p>
      <w:pPr>
        <w:pStyle w:val="BodyText"/>
        <w:spacing w:line="286" w:lineRule="exact"/>
        <w:ind w:left="621" w:right="0"/>
        <w:jc w:val="both"/>
      </w:pPr>
      <w:r>
        <w:rPr>
          <w:rFonts w:ascii="Symbol" w:hAnsi="Symbol" w:cs="Symbol" w:eastAsia="Symbol" w:hint="default"/>
        </w:rPr>
        <w:t></w:t>
      </w:r>
      <w:r>
        <w:rPr>
          <w:rFonts w:ascii="Symbol" w:hAnsi="Symbol" w:cs="Symbol" w:eastAsia="Symbol" w:hint="default"/>
          <w:spacing w:val="52"/>
        </w:rPr>
        <w:t></w:t>
      </w:r>
      <w:r>
        <w:rPr>
          <w:rFonts w:ascii="Times New Roman" w:hAnsi="Times New Roman" w:cs="Times New Roman" w:eastAsia="Times New Roman" w:hint="default"/>
          <w:spacing w:val="52"/>
        </w:rPr>
      </w:r>
      <w:r>
        <w:rPr/>
        <w:t>保持本集团的稳定及增长。</w:t>
      </w:r>
    </w:p>
    <w:p>
      <w:pPr>
        <w:pStyle w:val="BodyText"/>
        <w:spacing w:line="295" w:lineRule="exact"/>
        <w:ind w:left="621" w:right="0"/>
        <w:jc w:val="both"/>
      </w:pPr>
      <w:r>
        <w:rPr>
          <w:rFonts w:ascii="Symbol" w:hAnsi="Symbol" w:cs="Symbol" w:eastAsia="Symbol" w:hint="default"/>
        </w:rPr>
        <w:t></w:t>
      </w:r>
      <w:r>
        <w:rPr>
          <w:rFonts w:ascii="Symbol" w:hAnsi="Symbol" w:cs="Symbol" w:eastAsia="Symbol" w:hint="default"/>
          <w:spacing w:val="51"/>
        </w:rPr>
        <w:t></w:t>
      </w:r>
      <w:r>
        <w:rPr>
          <w:rFonts w:ascii="Times New Roman" w:hAnsi="Times New Roman" w:cs="Times New Roman" w:eastAsia="Times New Roman" w:hint="default"/>
          <w:spacing w:val="51"/>
        </w:rPr>
      </w:r>
      <w:r>
        <w:rPr/>
        <w:t>提供资本，以强化本集团的风险管理能力。</w:t>
      </w:r>
    </w:p>
    <w:p>
      <w:pPr>
        <w:spacing w:line="240" w:lineRule="auto" w:before="12"/>
        <w:rPr>
          <w:rFonts w:ascii="宋体" w:hAnsi="宋体" w:cs="宋体" w:eastAsia="宋体" w:hint="default"/>
          <w:sz w:val="19"/>
          <w:szCs w:val="19"/>
        </w:rPr>
      </w:pPr>
    </w:p>
    <w:p>
      <w:pPr>
        <w:pStyle w:val="BodyText"/>
        <w:spacing w:line="286" w:lineRule="exact"/>
        <w:ind w:left="580" w:right="113"/>
        <w:jc w:val="both"/>
      </w:pPr>
      <w:r>
        <w:rPr/>
        <w:t>为了保持及调整资本结构，本集团积极定期复核及管理自身的资本结构，力求达到最理想的资</w:t>
      </w:r>
      <w:r>
        <w:rPr>
          <w:spacing w:val="-78"/>
        </w:rPr>
        <w:t> </w:t>
      </w:r>
      <w:r>
        <w:rPr/>
        <w:t>本结构及股东回报。本集团考虑的因素包括：本集团未来的资本需求、资本效率、现时的及预</w:t>
      </w:r>
      <w:r>
        <w:rPr>
          <w:spacing w:val="-78"/>
        </w:rPr>
        <w:t> </w:t>
      </w:r>
      <w:r>
        <w:rPr/>
        <w:t>期的盈利能力、预期的经营现金流、预期资本开支及预期的战略投资机会。</w:t>
      </w:r>
    </w:p>
    <w:p>
      <w:pPr>
        <w:spacing w:after="0" w:line="286" w:lineRule="exact"/>
        <w:jc w:val="both"/>
        <w:sectPr>
          <w:headerReference w:type="default" r:id="rId138"/>
          <w:pgSz w:w="11910" w:h="16840"/>
          <w:pgMar w:header="1181" w:footer="923" w:top="3640" w:bottom="1120" w:left="1280" w:right="880"/>
        </w:sectPr>
      </w:pPr>
    </w:p>
    <w:p>
      <w:pPr>
        <w:spacing w:line="240" w:lineRule="auto" w:before="10"/>
        <w:rPr>
          <w:rFonts w:ascii="宋体" w:hAnsi="宋体" w:cs="宋体" w:eastAsia="宋体" w:hint="default"/>
          <w:sz w:val="16"/>
          <w:szCs w:val="16"/>
        </w:rPr>
      </w:pPr>
    </w:p>
    <w:p>
      <w:pPr>
        <w:pStyle w:val="BodyText"/>
        <w:spacing w:line="240" w:lineRule="auto" w:before="32"/>
        <w:ind w:left="102" w:right="0"/>
        <w:jc w:val="left"/>
      </w:pPr>
      <w:r>
        <w:rPr>
          <w:rFonts w:ascii="Arial" w:hAnsi="Arial" w:cs="Arial" w:eastAsia="Arial" w:hint="default"/>
        </w:rPr>
        <w:t>2</w:t>
      </w:r>
      <w:r>
        <w:rPr/>
        <w:t>、</w:t>
      </w:r>
      <w:r>
        <w:rPr>
          <w:spacing w:val="15"/>
        </w:rPr>
        <w:t> </w:t>
      </w:r>
      <w:r>
        <w:rPr/>
        <w:t>资本风险管理（续）</w:t>
      </w:r>
    </w:p>
    <w:p>
      <w:pPr>
        <w:spacing w:line="240" w:lineRule="auto" w:before="1"/>
        <w:rPr>
          <w:rFonts w:ascii="宋体" w:hAnsi="宋体" w:cs="宋体" w:eastAsia="宋体" w:hint="default"/>
          <w:sz w:val="18"/>
          <w:szCs w:val="18"/>
        </w:rPr>
      </w:pPr>
    </w:p>
    <w:p>
      <w:pPr>
        <w:pStyle w:val="BodyText"/>
        <w:spacing w:line="237" w:lineRule="auto"/>
        <w:ind w:left="580" w:right="112"/>
        <w:jc w:val="both"/>
      </w:pPr>
      <w:r>
        <w:rPr/>
        <w:t>本集团以债务资本率来检查资本状况，债务资本率为带息债务加少数股东权益除以带息债务加</w:t>
      </w:r>
      <w:r>
        <w:rPr>
          <w:spacing w:val="-78"/>
        </w:rPr>
        <w:t> </w:t>
      </w:r>
      <w:r>
        <w:rPr/>
        <w:t>总股东权益。带息债务主要包括资产负债表中的长短期银行借款、关联方借款、长短期债券及</w:t>
      </w:r>
      <w:r>
        <w:rPr>
          <w:spacing w:val="-78"/>
        </w:rPr>
        <w:t> </w:t>
      </w:r>
      <w:r>
        <w:rPr/>
        <w:t>应付融资租赁款（包含于长期应付款中）等。</w:t>
      </w:r>
    </w:p>
    <w:p>
      <w:pPr>
        <w:spacing w:line="240" w:lineRule="auto" w:before="1"/>
        <w:rPr>
          <w:rFonts w:ascii="宋体" w:hAnsi="宋体" w:cs="宋体" w:eastAsia="宋体" w:hint="default"/>
          <w:sz w:val="19"/>
          <w:szCs w:val="19"/>
        </w:rPr>
      </w:pPr>
    </w:p>
    <w:p>
      <w:pPr>
        <w:pStyle w:val="BodyText"/>
        <w:spacing w:line="240" w:lineRule="auto"/>
        <w:ind w:left="616" w:right="0"/>
        <w:jc w:val="both"/>
      </w:pPr>
      <w:r>
        <w:rPr/>
        <w:t>于</w:t>
      </w:r>
      <w:r>
        <w:rPr>
          <w:rFonts w:ascii="Arial" w:hAnsi="Arial" w:cs="Arial" w:eastAsia="Arial" w:hint="default"/>
        </w:rPr>
        <w:t>2014</w:t>
      </w:r>
      <w:r>
        <w:rPr/>
        <w:t>年</w:t>
      </w:r>
      <w:r>
        <w:rPr>
          <w:rFonts w:ascii="Arial" w:hAnsi="Arial" w:cs="Arial" w:eastAsia="Arial" w:hint="default"/>
        </w:rPr>
        <w:t>12</w:t>
      </w:r>
      <w:r>
        <w:rPr/>
        <w:t>月</w:t>
      </w:r>
      <w:r>
        <w:rPr>
          <w:rFonts w:ascii="Arial" w:hAnsi="Arial" w:cs="Arial" w:eastAsia="Arial" w:hint="default"/>
        </w:rPr>
        <w:t>31</w:t>
      </w:r>
      <w:r>
        <w:rPr/>
        <w:t>日及</w:t>
      </w:r>
      <w:r>
        <w:rPr>
          <w:rFonts w:ascii="Arial" w:hAnsi="Arial" w:cs="Arial" w:eastAsia="Arial" w:hint="default"/>
        </w:rPr>
        <w:t>2013</w:t>
      </w:r>
      <w:r>
        <w:rPr/>
        <w:t>年</w:t>
      </w:r>
      <w:r>
        <w:rPr>
          <w:rFonts w:ascii="Arial" w:hAnsi="Arial" w:cs="Arial" w:eastAsia="Arial" w:hint="default"/>
        </w:rPr>
        <w:t>12</w:t>
      </w:r>
      <w:r>
        <w:rPr/>
        <w:t>月</w:t>
      </w:r>
      <w:r>
        <w:rPr>
          <w:rFonts w:ascii="Arial" w:hAnsi="Arial" w:cs="Arial" w:eastAsia="Arial" w:hint="default"/>
        </w:rPr>
        <w:t>31</w:t>
      </w:r>
      <w:r>
        <w:rPr/>
        <w:t>日，本集团的债务资本率如下：</w:t>
      </w:r>
    </w:p>
    <w:p>
      <w:pPr>
        <w:spacing w:line="240" w:lineRule="auto" w:before="0"/>
        <w:rPr>
          <w:rFonts w:ascii="宋体" w:hAnsi="宋体" w:cs="宋体" w:eastAsia="宋体" w:hint="default"/>
          <w:sz w:val="23"/>
          <w:szCs w:val="23"/>
        </w:rPr>
      </w:pPr>
    </w:p>
    <w:tbl>
      <w:tblPr>
        <w:tblW w:w="0" w:type="auto"/>
        <w:jc w:val="left"/>
        <w:tblInd w:w="392" w:type="dxa"/>
        <w:tblLayout w:type="fixed"/>
        <w:tblCellMar>
          <w:top w:w="0" w:type="dxa"/>
          <w:left w:w="0" w:type="dxa"/>
          <w:bottom w:w="0" w:type="dxa"/>
          <w:right w:w="0" w:type="dxa"/>
        </w:tblCellMar>
        <w:tblLook w:val="01E0"/>
      </w:tblPr>
      <w:tblGrid>
        <w:gridCol w:w="5339"/>
        <w:gridCol w:w="1706"/>
        <w:gridCol w:w="120"/>
        <w:gridCol w:w="1834"/>
      </w:tblGrid>
      <w:tr>
        <w:trPr>
          <w:trHeight w:val="264"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22"/>
                <w:szCs w:val="22"/>
              </w:rPr>
            </w:pPr>
            <w:r>
              <w:rPr>
                <w:rFonts w:ascii="宋体" w:hAnsi="宋体" w:cs="宋体" w:eastAsia="宋体" w:hint="default"/>
                <w:sz w:val="22"/>
                <w:szCs w:val="22"/>
              </w:rPr>
              <w:t>（单位：人民币百万元）</w:t>
            </w:r>
          </w:p>
        </w:tc>
        <w:tc>
          <w:tcPr>
            <w:tcW w:w="1706" w:type="dxa"/>
            <w:tcBorders>
              <w:top w:val="nil" w:sz="6" w:space="0" w:color="auto"/>
              <w:left w:val="nil" w:sz="6" w:space="0" w:color="auto"/>
              <w:bottom w:val="single" w:sz="6" w:space="0" w:color="000000"/>
              <w:right w:val="nil" w:sz="6" w:space="0" w:color="auto"/>
            </w:tcBorders>
          </w:tcPr>
          <w:p>
            <w:pPr>
              <w:pStyle w:val="TableParagraph"/>
              <w:spacing w:line="236" w:lineRule="exact"/>
              <w:ind w:right="59"/>
              <w:jc w:val="right"/>
              <w:rPr>
                <w:rFonts w:ascii="宋体" w:hAnsi="宋体" w:cs="宋体" w:eastAsia="宋体" w:hint="default"/>
                <w:sz w:val="22"/>
                <w:szCs w:val="22"/>
              </w:rPr>
            </w:pPr>
            <w:r>
              <w:rPr>
                <w:rFonts w:ascii="Arial" w:hAnsi="Arial" w:cs="Arial" w:eastAsia="Arial" w:hint="default"/>
                <w:spacing w:val="-1"/>
                <w:sz w:val="22"/>
                <w:szCs w:val="22"/>
              </w:rPr>
              <w:t>2014</w:t>
            </w:r>
            <w:r>
              <w:rPr>
                <w:rFonts w:ascii="宋体" w:hAnsi="宋体" w:cs="宋体" w:eastAsia="宋体" w:hint="default"/>
                <w:spacing w:val="-1"/>
                <w:sz w:val="22"/>
                <w:szCs w:val="22"/>
              </w:rPr>
              <w:t>年</w:t>
            </w:r>
            <w:r>
              <w:rPr>
                <w:rFonts w:ascii="Arial" w:hAnsi="Arial" w:cs="Arial" w:eastAsia="Arial" w:hint="default"/>
                <w:spacing w:val="-1"/>
                <w:sz w:val="22"/>
                <w:szCs w:val="22"/>
              </w:rPr>
              <w:t>12</w:t>
            </w:r>
            <w:r>
              <w:rPr>
                <w:rFonts w:ascii="宋体" w:hAnsi="宋体" w:cs="宋体" w:eastAsia="宋体" w:hint="default"/>
                <w:spacing w:val="-1"/>
                <w:sz w:val="22"/>
                <w:szCs w:val="22"/>
              </w:rPr>
              <w:t>月</w:t>
            </w:r>
            <w:r>
              <w:rPr>
                <w:rFonts w:ascii="Arial" w:hAnsi="Arial" w:cs="Arial" w:eastAsia="Arial" w:hint="default"/>
                <w:spacing w:val="-1"/>
                <w:sz w:val="22"/>
                <w:szCs w:val="22"/>
              </w:rPr>
              <w:t>31</w:t>
            </w:r>
            <w:r>
              <w:rPr>
                <w:rFonts w:ascii="宋体" w:hAnsi="宋体" w:cs="宋体" w:eastAsia="宋体" w:hint="default"/>
                <w:spacing w:val="-1"/>
                <w:sz w:val="22"/>
                <w:szCs w:val="22"/>
              </w:rPr>
              <w:t>日</w:t>
            </w: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single" w:sz="6" w:space="0" w:color="000000"/>
              <w:right w:val="nil" w:sz="6" w:space="0" w:color="auto"/>
            </w:tcBorders>
          </w:tcPr>
          <w:p>
            <w:pPr>
              <w:pStyle w:val="TableParagraph"/>
              <w:spacing w:line="236" w:lineRule="exact"/>
              <w:ind w:right="31"/>
              <w:jc w:val="right"/>
              <w:rPr>
                <w:rFonts w:ascii="宋体" w:hAnsi="宋体" w:cs="宋体" w:eastAsia="宋体" w:hint="default"/>
                <w:sz w:val="22"/>
                <w:szCs w:val="22"/>
              </w:rPr>
            </w:pPr>
            <w:r>
              <w:rPr>
                <w:rFonts w:ascii="Arial" w:hAnsi="Arial" w:cs="Arial" w:eastAsia="Arial" w:hint="default"/>
                <w:spacing w:val="-1"/>
                <w:sz w:val="22"/>
                <w:szCs w:val="22"/>
              </w:rPr>
              <w:t>2013</w:t>
            </w:r>
            <w:r>
              <w:rPr>
                <w:rFonts w:ascii="宋体" w:hAnsi="宋体" w:cs="宋体" w:eastAsia="宋体" w:hint="default"/>
                <w:spacing w:val="-1"/>
                <w:sz w:val="22"/>
                <w:szCs w:val="22"/>
              </w:rPr>
              <w:t>年</w:t>
            </w:r>
            <w:r>
              <w:rPr>
                <w:rFonts w:ascii="Arial" w:hAnsi="Arial" w:cs="Arial" w:eastAsia="Arial" w:hint="default"/>
                <w:spacing w:val="-1"/>
                <w:sz w:val="22"/>
                <w:szCs w:val="22"/>
              </w:rPr>
              <w:t>12</w:t>
            </w:r>
            <w:r>
              <w:rPr>
                <w:rFonts w:ascii="宋体" w:hAnsi="宋体" w:cs="宋体" w:eastAsia="宋体" w:hint="default"/>
                <w:spacing w:val="-1"/>
                <w:sz w:val="22"/>
                <w:szCs w:val="22"/>
              </w:rPr>
              <w:t>月</w:t>
            </w:r>
            <w:r>
              <w:rPr>
                <w:rFonts w:ascii="Arial" w:hAnsi="Arial" w:cs="Arial" w:eastAsia="Arial" w:hint="default"/>
                <w:spacing w:val="-1"/>
                <w:sz w:val="22"/>
                <w:szCs w:val="22"/>
              </w:rPr>
              <w:t>31</w:t>
            </w:r>
            <w:r>
              <w:rPr>
                <w:rFonts w:ascii="宋体" w:hAnsi="宋体" w:cs="宋体" w:eastAsia="宋体" w:hint="default"/>
                <w:spacing w:val="-1"/>
                <w:sz w:val="22"/>
                <w:szCs w:val="22"/>
              </w:rPr>
              <w:t>日</w:t>
            </w:r>
          </w:p>
        </w:tc>
      </w:tr>
      <w:tr>
        <w:trPr>
          <w:trHeight w:val="543"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带息债务：</w:t>
            </w:r>
          </w:p>
        </w:tc>
        <w:tc>
          <w:tcPr>
            <w:tcW w:w="1706" w:type="dxa"/>
            <w:tcBorders>
              <w:top w:val="single" w:sz="6" w:space="0" w:color="000000"/>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single" w:sz="6" w:space="0" w:color="000000"/>
              <w:left w:val="nil" w:sz="6" w:space="0" w:color="auto"/>
              <w:bottom w:val="nil" w:sz="6" w:space="0" w:color="auto"/>
              <w:right w:val="nil" w:sz="6" w:space="0" w:color="auto"/>
            </w:tcBorders>
          </w:tcPr>
          <w:p>
            <w:pPr/>
          </w:p>
        </w:tc>
      </w:tr>
      <w:tr>
        <w:trPr>
          <w:trHeight w:val="299"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53" w:lineRule="exact"/>
              <w:ind w:left="411" w:right="0"/>
              <w:jc w:val="left"/>
              <w:rPr>
                <w:rFonts w:ascii="宋体" w:hAnsi="宋体" w:cs="宋体" w:eastAsia="宋体" w:hint="default"/>
                <w:sz w:val="22"/>
                <w:szCs w:val="22"/>
              </w:rPr>
            </w:pPr>
            <w:r>
              <w:rPr>
                <w:rFonts w:ascii="宋体" w:hAnsi="宋体" w:cs="宋体" w:eastAsia="宋体" w:hint="default"/>
                <w:sz w:val="22"/>
                <w:szCs w:val="22"/>
              </w:rPr>
              <w:t>其他流动负债</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3"/>
              <w:jc w:val="right"/>
              <w:rPr>
                <w:rFonts w:ascii="Arial" w:hAnsi="Arial" w:cs="Arial" w:eastAsia="Arial" w:hint="default"/>
                <w:sz w:val="22"/>
                <w:szCs w:val="22"/>
              </w:rPr>
            </w:pPr>
            <w:r>
              <w:rPr>
                <w:rFonts w:ascii="Arial"/>
                <w:sz w:val="22"/>
              </w:rPr>
              <w:t>9,979</w:t>
            </w: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9"/>
              <w:jc w:val="right"/>
              <w:rPr>
                <w:rFonts w:ascii="Arial" w:hAnsi="Arial" w:cs="Arial" w:eastAsia="Arial" w:hint="default"/>
                <w:sz w:val="22"/>
                <w:szCs w:val="22"/>
              </w:rPr>
            </w:pPr>
            <w:r>
              <w:rPr>
                <w:rFonts w:ascii="Arial"/>
                <w:spacing w:val="-1"/>
                <w:sz w:val="22"/>
              </w:rPr>
              <w:t>35,000</w:t>
            </w:r>
          </w:p>
        </w:tc>
      </w:tr>
      <w:tr>
        <w:trPr>
          <w:trHeight w:val="284"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39" w:lineRule="exact"/>
              <w:ind w:left="411"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3"/>
              <w:jc w:val="right"/>
              <w:rPr>
                <w:rFonts w:ascii="Arial" w:hAnsi="Arial" w:cs="Arial" w:eastAsia="Arial" w:hint="default"/>
                <w:sz w:val="22"/>
                <w:szCs w:val="22"/>
              </w:rPr>
            </w:pPr>
            <w:r>
              <w:rPr>
                <w:rFonts w:ascii="Arial"/>
                <w:spacing w:val="-1"/>
                <w:sz w:val="22"/>
              </w:rPr>
              <w:t>93,321</w:t>
            </w: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9"/>
              <w:jc w:val="right"/>
              <w:rPr>
                <w:rFonts w:ascii="Arial" w:hAnsi="Arial" w:cs="Arial" w:eastAsia="Arial" w:hint="default"/>
                <w:sz w:val="22"/>
                <w:szCs w:val="22"/>
              </w:rPr>
            </w:pPr>
            <w:r>
              <w:rPr>
                <w:rFonts w:ascii="Arial"/>
                <w:spacing w:val="-1"/>
                <w:sz w:val="22"/>
              </w:rPr>
              <w:t>95,766</w:t>
            </w:r>
          </w:p>
        </w:tc>
      </w:tr>
      <w:tr>
        <w:trPr>
          <w:trHeight w:val="286"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38" w:lineRule="exact"/>
              <w:ind w:left="411" w:right="0"/>
              <w:jc w:val="left"/>
              <w:rPr>
                <w:rFonts w:ascii="宋体" w:hAnsi="宋体" w:cs="宋体" w:eastAsia="宋体" w:hint="default"/>
                <w:sz w:val="22"/>
                <w:szCs w:val="22"/>
              </w:rPr>
            </w:pPr>
            <w:r>
              <w:rPr>
                <w:rFonts w:ascii="宋体" w:hAnsi="宋体" w:cs="宋体" w:eastAsia="宋体" w:hint="default"/>
                <w:sz w:val="22"/>
                <w:szCs w:val="22"/>
              </w:rPr>
              <w:t>一年内到期的长期借款</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7"/>
              <w:jc w:val="right"/>
              <w:rPr>
                <w:rFonts w:ascii="Arial" w:hAnsi="Arial" w:cs="Arial" w:eastAsia="Arial" w:hint="default"/>
                <w:sz w:val="22"/>
                <w:szCs w:val="22"/>
              </w:rPr>
            </w:pPr>
            <w:r>
              <w:rPr>
                <w:rFonts w:ascii="Arial"/>
                <w:spacing w:val="-1"/>
                <w:sz w:val="22"/>
              </w:rPr>
              <w:t>45</w:t>
            </w:r>
            <w:r>
              <w:rPr>
                <w:rFonts w:ascii="Arial"/>
                <w:sz w:val="22"/>
              </w:rPr>
            </w: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2"/>
              <w:jc w:val="right"/>
              <w:rPr>
                <w:rFonts w:ascii="Arial" w:hAnsi="Arial" w:cs="Arial" w:eastAsia="Arial" w:hint="default"/>
                <w:sz w:val="22"/>
                <w:szCs w:val="22"/>
              </w:rPr>
            </w:pPr>
            <w:r>
              <w:rPr>
                <w:rFonts w:ascii="Arial"/>
                <w:spacing w:val="-1"/>
                <w:sz w:val="22"/>
              </w:rPr>
              <w:t>48</w:t>
            </w:r>
            <w:r>
              <w:rPr>
                <w:rFonts w:ascii="Arial"/>
                <w:sz w:val="22"/>
              </w:rPr>
            </w:r>
          </w:p>
        </w:tc>
      </w:tr>
      <w:tr>
        <w:trPr>
          <w:trHeight w:val="286"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38" w:lineRule="exact"/>
              <w:ind w:left="411" w:right="0"/>
              <w:jc w:val="left"/>
              <w:rPr>
                <w:rFonts w:ascii="宋体" w:hAnsi="宋体" w:cs="宋体" w:eastAsia="宋体" w:hint="default"/>
                <w:sz w:val="22"/>
                <w:szCs w:val="22"/>
              </w:rPr>
            </w:pPr>
            <w:r>
              <w:rPr>
                <w:rFonts w:ascii="宋体" w:hAnsi="宋体" w:cs="宋体" w:eastAsia="宋体" w:hint="default"/>
                <w:sz w:val="22"/>
                <w:szCs w:val="22"/>
              </w:rPr>
              <w:t>一年内到期的应付债券</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3"/>
              <w:jc w:val="right"/>
              <w:rPr>
                <w:rFonts w:ascii="Arial" w:hAnsi="Arial" w:cs="Arial" w:eastAsia="Arial" w:hint="default"/>
                <w:sz w:val="22"/>
                <w:szCs w:val="22"/>
              </w:rPr>
            </w:pPr>
            <w:r>
              <w:rPr>
                <w:rFonts w:ascii="Arial"/>
                <w:spacing w:val="-1"/>
                <w:sz w:val="22"/>
              </w:rPr>
              <w:t>11,167</w:t>
            </w: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3"/>
              <w:jc w:val="right"/>
              <w:rPr>
                <w:rFonts w:ascii="Arial" w:hAnsi="Arial" w:cs="Arial" w:eastAsia="Arial" w:hint="default"/>
                <w:sz w:val="22"/>
                <w:szCs w:val="22"/>
              </w:rPr>
            </w:pPr>
            <w:r>
              <w:rPr>
                <w:rFonts w:ascii="Arial"/>
                <w:w w:val="100"/>
                <w:sz w:val="22"/>
              </w:rPr>
              <w:t>-</w:t>
            </w:r>
          </w:p>
        </w:tc>
      </w:tr>
      <w:tr>
        <w:trPr>
          <w:trHeight w:val="286"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38" w:lineRule="exact"/>
              <w:ind w:left="411" w:right="0"/>
              <w:jc w:val="left"/>
              <w:rPr>
                <w:rFonts w:ascii="宋体" w:hAnsi="宋体" w:cs="宋体" w:eastAsia="宋体" w:hint="default"/>
                <w:sz w:val="22"/>
                <w:szCs w:val="22"/>
              </w:rPr>
            </w:pPr>
            <w:r>
              <w:rPr>
                <w:rFonts w:ascii="宋体" w:hAnsi="宋体" w:cs="宋体" w:eastAsia="宋体" w:hint="default"/>
                <w:sz w:val="22"/>
                <w:szCs w:val="22"/>
              </w:rPr>
              <w:t>一年内到期的应付融资租赁款</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7"/>
              <w:jc w:val="right"/>
              <w:rPr>
                <w:rFonts w:ascii="Arial" w:hAnsi="Arial" w:cs="Arial" w:eastAsia="Arial" w:hint="default"/>
                <w:sz w:val="22"/>
                <w:szCs w:val="22"/>
              </w:rPr>
            </w:pPr>
            <w:r>
              <w:rPr>
                <w:rFonts w:ascii="Arial"/>
                <w:spacing w:val="-1"/>
                <w:sz w:val="22"/>
              </w:rPr>
              <w:t>168</w:t>
            </w:r>
            <w:r>
              <w:rPr>
                <w:rFonts w:ascii="Arial"/>
                <w:sz w:val="22"/>
              </w:rPr>
            </w: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2"/>
              <w:jc w:val="right"/>
              <w:rPr>
                <w:rFonts w:ascii="Arial" w:hAnsi="Arial" w:cs="Arial" w:eastAsia="Arial" w:hint="default"/>
                <w:sz w:val="22"/>
                <w:szCs w:val="22"/>
              </w:rPr>
            </w:pPr>
            <w:r>
              <w:rPr>
                <w:rFonts w:ascii="Arial"/>
                <w:spacing w:val="-1"/>
                <w:sz w:val="22"/>
              </w:rPr>
              <w:t>161</w:t>
            </w:r>
            <w:r>
              <w:rPr>
                <w:rFonts w:ascii="Arial"/>
                <w:sz w:val="22"/>
              </w:rPr>
            </w:r>
          </w:p>
        </w:tc>
      </w:tr>
      <w:tr>
        <w:trPr>
          <w:trHeight w:val="286"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38" w:lineRule="exact"/>
              <w:ind w:left="411"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7"/>
              <w:jc w:val="right"/>
              <w:rPr>
                <w:rFonts w:ascii="Arial" w:hAnsi="Arial" w:cs="Arial" w:eastAsia="Arial" w:hint="default"/>
                <w:sz w:val="22"/>
                <w:szCs w:val="22"/>
              </w:rPr>
            </w:pPr>
            <w:r>
              <w:rPr>
                <w:rFonts w:ascii="Arial"/>
                <w:spacing w:val="-1"/>
                <w:sz w:val="22"/>
              </w:rPr>
              <w:t>420</w:t>
            </w:r>
            <w:r>
              <w:rPr>
                <w:rFonts w:ascii="Arial"/>
                <w:sz w:val="22"/>
              </w:rPr>
            </w: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2"/>
              <w:jc w:val="right"/>
              <w:rPr>
                <w:rFonts w:ascii="Arial" w:hAnsi="Arial" w:cs="Arial" w:eastAsia="Arial" w:hint="default"/>
                <w:sz w:val="22"/>
                <w:szCs w:val="22"/>
              </w:rPr>
            </w:pPr>
            <w:r>
              <w:rPr>
                <w:rFonts w:ascii="Arial"/>
                <w:spacing w:val="-1"/>
                <w:sz w:val="22"/>
              </w:rPr>
              <w:t>481</w:t>
            </w:r>
            <w:r>
              <w:rPr>
                <w:rFonts w:ascii="Arial"/>
                <w:sz w:val="22"/>
              </w:rPr>
            </w:r>
          </w:p>
        </w:tc>
      </w:tr>
      <w:tr>
        <w:trPr>
          <w:trHeight w:val="284"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38" w:lineRule="exact"/>
              <w:ind w:left="411" w:right="0"/>
              <w:jc w:val="left"/>
              <w:rPr>
                <w:rFonts w:ascii="宋体" w:hAnsi="宋体" w:cs="宋体" w:eastAsia="宋体" w:hint="default"/>
                <w:sz w:val="22"/>
                <w:szCs w:val="22"/>
              </w:rPr>
            </w:pPr>
            <w:r>
              <w:rPr>
                <w:rFonts w:ascii="宋体" w:hAnsi="宋体" w:cs="宋体" w:eastAsia="宋体" w:hint="default"/>
                <w:sz w:val="22"/>
                <w:szCs w:val="22"/>
              </w:rPr>
              <w:t>应付债券</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Arial" w:hAnsi="Arial" w:cs="Arial" w:eastAsia="Arial" w:hint="default"/>
                <w:sz w:val="22"/>
                <w:szCs w:val="22"/>
              </w:rPr>
            </w:pPr>
            <w:r>
              <w:rPr>
                <w:rFonts w:ascii="Arial"/>
                <w:spacing w:val="-1"/>
                <w:sz w:val="22"/>
              </w:rPr>
              <w:t>23,460</w:t>
            </w: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9"/>
              <w:jc w:val="right"/>
              <w:rPr>
                <w:rFonts w:ascii="Arial" w:hAnsi="Arial" w:cs="Arial" w:eastAsia="Arial" w:hint="default"/>
                <w:sz w:val="22"/>
                <w:szCs w:val="22"/>
              </w:rPr>
            </w:pPr>
            <w:r>
              <w:rPr>
                <w:rFonts w:ascii="Arial"/>
                <w:spacing w:val="-1"/>
                <w:sz w:val="22"/>
              </w:rPr>
              <w:t>13,002</w:t>
            </w:r>
          </w:p>
        </w:tc>
      </w:tr>
      <w:tr>
        <w:trPr>
          <w:trHeight w:val="293"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39" w:lineRule="exact"/>
              <w:ind w:left="411" w:right="0"/>
              <w:jc w:val="left"/>
              <w:rPr>
                <w:rFonts w:ascii="宋体" w:hAnsi="宋体" w:cs="宋体" w:eastAsia="宋体" w:hint="default"/>
                <w:sz w:val="22"/>
                <w:szCs w:val="22"/>
              </w:rPr>
            </w:pPr>
            <w:r>
              <w:rPr>
                <w:rFonts w:ascii="宋体" w:hAnsi="宋体" w:cs="宋体" w:eastAsia="宋体" w:hint="default"/>
                <w:sz w:val="22"/>
                <w:szCs w:val="22"/>
              </w:rPr>
              <w:t>应付融资租赁款</w:t>
            </w:r>
          </w:p>
        </w:tc>
        <w:tc>
          <w:tcPr>
            <w:tcW w:w="1706" w:type="dxa"/>
            <w:tcBorders>
              <w:top w:val="nil" w:sz="6" w:space="0" w:color="auto"/>
              <w:left w:val="nil" w:sz="6" w:space="0" w:color="auto"/>
              <w:bottom w:val="nil" w:sz="6" w:space="0" w:color="auto"/>
              <w:right w:val="nil" w:sz="6" w:space="0" w:color="auto"/>
            </w:tcBorders>
          </w:tcPr>
          <w:p>
            <w:pPr>
              <w:pStyle w:val="TableParagraph"/>
              <w:tabs>
                <w:tab w:pos="1231" w:val="left" w:leader="none"/>
                <w:tab w:pos="1706"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118</w:t>
              <w:tab/>
            </w:r>
            <w:r>
              <w:rPr>
                <w:rFonts w:ascii="Arial"/>
                <w:spacing w:val="-1"/>
                <w:sz w:val="22"/>
              </w:rPr>
            </w: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tabs>
                <w:tab w:pos="1334" w:val="left" w:leader="none"/>
                <w:tab w:pos="1826"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156</w:t>
              <w:tab/>
            </w:r>
            <w:r>
              <w:rPr>
                <w:rFonts w:ascii="Arial"/>
                <w:spacing w:val="-1"/>
                <w:sz w:val="22"/>
              </w:rPr>
            </w:r>
          </w:p>
        </w:tc>
      </w:tr>
      <w:tr>
        <w:trPr>
          <w:trHeight w:val="420"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3"/>
              <w:jc w:val="right"/>
              <w:rPr>
                <w:rFonts w:ascii="Arial" w:hAnsi="Arial" w:cs="Arial" w:eastAsia="Arial" w:hint="default"/>
                <w:sz w:val="22"/>
                <w:szCs w:val="22"/>
              </w:rPr>
            </w:pPr>
            <w:r>
              <w:rPr>
                <w:rFonts w:ascii="Arial"/>
                <w:spacing w:val="-1"/>
                <w:sz w:val="22"/>
              </w:rPr>
              <w:t>138,678</w:t>
            </w: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9"/>
              <w:jc w:val="right"/>
              <w:rPr>
                <w:rFonts w:ascii="Arial" w:hAnsi="Arial" w:cs="Arial" w:eastAsia="Arial" w:hint="default"/>
                <w:sz w:val="22"/>
                <w:szCs w:val="22"/>
              </w:rPr>
            </w:pPr>
            <w:r>
              <w:rPr>
                <w:rFonts w:ascii="Arial"/>
                <w:spacing w:val="-1"/>
                <w:sz w:val="22"/>
              </w:rPr>
              <w:t>144,614</w:t>
            </w:r>
          </w:p>
        </w:tc>
      </w:tr>
      <w:tr>
        <w:trPr>
          <w:trHeight w:val="546"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00" w:right="0"/>
              <w:jc w:val="left"/>
              <w:rPr>
                <w:rFonts w:ascii="宋体" w:hAnsi="宋体" w:cs="宋体" w:eastAsia="宋体" w:hint="default"/>
                <w:sz w:val="22"/>
                <w:szCs w:val="22"/>
              </w:rPr>
            </w:pPr>
            <w:r>
              <w:rPr>
                <w:rFonts w:ascii="宋体" w:hAnsi="宋体" w:cs="宋体" w:eastAsia="宋体" w:hint="default"/>
                <w:sz w:val="22"/>
                <w:szCs w:val="22"/>
              </w:rPr>
              <w:t>少数股东权益</w:t>
            </w:r>
          </w:p>
        </w:tc>
        <w:tc>
          <w:tcPr>
            <w:tcW w:w="1706" w:type="dxa"/>
            <w:tcBorders>
              <w:top w:val="nil" w:sz="6" w:space="0" w:color="auto"/>
              <w:left w:val="nil" w:sz="6" w:space="0" w:color="auto"/>
              <w:bottom w:val="nil" w:sz="6" w:space="0" w:color="auto"/>
              <w:right w:val="nil" w:sz="6" w:space="0" w:color="auto"/>
            </w:tcBorders>
          </w:tcPr>
          <w:p>
            <w:pPr>
              <w:pStyle w:val="TableParagraph"/>
              <w:tabs>
                <w:tab w:pos="803" w:val="left" w:leader="none"/>
                <w:tab w:pos="1706" w:val="left" w:leader="none"/>
              </w:tabs>
              <w:spacing w:line="240" w:lineRule="auto" w:before="146"/>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152,991</w:t>
              <w:tab/>
            </w:r>
            <w:r>
              <w:rPr>
                <w:rFonts w:ascii="Arial"/>
                <w:spacing w:val="-1"/>
                <w:sz w:val="22"/>
              </w:rPr>
            </w: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tabs>
                <w:tab w:pos="907" w:val="left" w:leader="none"/>
                <w:tab w:pos="1826" w:val="left" w:leader="none"/>
              </w:tabs>
              <w:spacing w:line="240" w:lineRule="auto" w:before="146"/>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146,767</w:t>
              <w:tab/>
            </w:r>
            <w:r>
              <w:rPr>
                <w:rFonts w:ascii="Arial"/>
                <w:spacing w:val="-1"/>
                <w:sz w:val="22"/>
              </w:rPr>
            </w:r>
          </w:p>
        </w:tc>
      </w:tr>
      <w:tr>
        <w:trPr>
          <w:trHeight w:val="552"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带息债务加少数股东权益</w:t>
            </w:r>
          </w:p>
        </w:tc>
        <w:tc>
          <w:tcPr>
            <w:tcW w:w="1706" w:type="dxa"/>
            <w:tcBorders>
              <w:top w:val="nil" w:sz="6" w:space="0" w:color="auto"/>
              <w:left w:val="nil" w:sz="6" w:space="0" w:color="auto"/>
              <w:bottom w:val="nil" w:sz="6" w:space="0" w:color="auto"/>
              <w:right w:val="nil" w:sz="6" w:space="0" w:color="auto"/>
            </w:tcBorders>
          </w:tcPr>
          <w:p>
            <w:pPr>
              <w:pStyle w:val="TableParagraph"/>
              <w:tabs>
                <w:tab w:pos="803" w:val="left" w:leader="none"/>
                <w:tab w:pos="1706" w:val="left" w:leader="none"/>
              </w:tabs>
              <w:spacing w:line="240" w:lineRule="auto" w:before="152"/>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291,669</w:t>
              <w:tab/>
            </w:r>
            <w:r>
              <w:rPr>
                <w:rFonts w:ascii="Arial"/>
                <w:spacing w:val="-1"/>
                <w:sz w:val="22"/>
              </w:rPr>
            </w: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tabs>
                <w:tab w:pos="907" w:val="left" w:leader="none"/>
                <w:tab w:pos="1826" w:val="left" w:leader="none"/>
              </w:tabs>
              <w:spacing w:line="240" w:lineRule="auto" w:before="152"/>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291,381</w:t>
              <w:tab/>
            </w:r>
            <w:r>
              <w:rPr>
                <w:rFonts w:ascii="Arial"/>
                <w:spacing w:val="-1"/>
                <w:sz w:val="22"/>
              </w:rPr>
            </w:r>
          </w:p>
        </w:tc>
      </w:tr>
      <w:tr>
        <w:trPr>
          <w:trHeight w:val="405"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总权益：</w:t>
            </w:r>
          </w:p>
        </w:tc>
        <w:tc>
          <w:tcPr>
            <w:tcW w:w="1706"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
        </w:tc>
      </w:tr>
      <w:tr>
        <w:trPr>
          <w:trHeight w:val="301"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53" w:lineRule="exact"/>
              <w:ind w:left="430" w:right="0"/>
              <w:jc w:val="left"/>
              <w:rPr>
                <w:rFonts w:ascii="宋体" w:hAnsi="宋体" w:cs="宋体" w:eastAsia="宋体" w:hint="default"/>
                <w:sz w:val="22"/>
                <w:szCs w:val="22"/>
              </w:rPr>
            </w:pPr>
            <w:r>
              <w:rPr>
                <w:rFonts w:ascii="宋体" w:hAnsi="宋体" w:cs="宋体" w:eastAsia="宋体" w:hint="default"/>
                <w:sz w:val="22"/>
                <w:szCs w:val="22"/>
              </w:rPr>
              <w:t>归属于母公司股东权益</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3"/>
              <w:jc w:val="right"/>
              <w:rPr>
                <w:rFonts w:ascii="Arial" w:hAnsi="Arial" w:cs="Arial" w:eastAsia="Arial" w:hint="default"/>
                <w:sz w:val="22"/>
                <w:szCs w:val="22"/>
              </w:rPr>
            </w:pPr>
            <w:r>
              <w:rPr>
                <w:rFonts w:ascii="Arial"/>
                <w:spacing w:val="-1"/>
                <w:sz w:val="22"/>
              </w:rPr>
              <w:t>77,337</w:t>
            </w: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19"/>
              <w:jc w:val="right"/>
              <w:rPr>
                <w:rFonts w:ascii="Arial" w:hAnsi="Arial" w:cs="Arial" w:eastAsia="Arial" w:hint="default"/>
                <w:sz w:val="22"/>
                <w:szCs w:val="22"/>
              </w:rPr>
            </w:pPr>
            <w:r>
              <w:rPr>
                <w:rFonts w:ascii="Arial"/>
                <w:spacing w:val="-1"/>
                <w:sz w:val="22"/>
              </w:rPr>
              <w:t>74,859</w:t>
            </w:r>
          </w:p>
        </w:tc>
      </w:tr>
      <w:tr>
        <w:trPr>
          <w:trHeight w:val="291"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38" w:lineRule="exact"/>
              <w:ind w:left="430" w:right="0"/>
              <w:jc w:val="left"/>
              <w:rPr>
                <w:rFonts w:ascii="宋体" w:hAnsi="宋体" w:cs="宋体" w:eastAsia="宋体" w:hint="default"/>
                <w:sz w:val="22"/>
                <w:szCs w:val="22"/>
              </w:rPr>
            </w:pPr>
            <w:r>
              <w:rPr>
                <w:rFonts w:ascii="宋体" w:hAnsi="宋体" w:cs="宋体" w:eastAsia="宋体" w:hint="default"/>
                <w:sz w:val="22"/>
                <w:szCs w:val="22"/>
              </w:rPr>
              <w:t>少数股东权益</w:t>
            </w:r>
          </w:p>
        </w:tc>
        <w:tc>
          <w:tcPr>
            <w:tcW w:w="1706" w:type="dxa"/>
            <w:tcBorders>
              <w:top w:val="nil" w:sz="6" w:space="0" w:color="auto"/>
              <w:left w:val="nil" w:sz="6" w:space="0" w:color="auto"/>
              <w:bottom w:val="nil" w:sz="6" w:space="0" w:color="auto"/>
              <w:right w:val="nil" w:sz="6" w:space="0" w:color="auto"/>
            </w:tcBorders>
          </w:tcPr>
          <w:p>
            <w:pPr>
              <w:pStyle w:val="TableParagraph"/>
              <w:tabs>
                <w:tab w:pos="803" w:val="left" w:leader="none"/>
                <w:tab w:pos="1706"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152,991</w:t>
              <w:tab/>
            </w:r>
            <w:r>
              <w:rPr>
                <w:rFonts w:ascii="Arial"/>
                <w:spacing w:val="-1"/>
                <w:sz w:val="22"/>
              </w:rPr>
            </w: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tabs>
                <w:tab w:pos="907" w:val="left" w:leader="none"/>
                <w:tab w:pos="1826"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146,767</w:t>
              <w:tab/>
            </w:r>
            <w:r>
              <w:rPr>
                <w:rFonts w:ascii="Arial"/>
                <w:spacing w:val="-1"/>
                <w:sz w:val="22"/>
              </w:rPr>
            </w:r>
          </w:p>
        </w:tc>
      </w:tr>
      <w:tr>
        <w:trPr>
          <w:trHeight w:val="388" w:hRule="exact"/>
        </w:trPr>
        <w:tc>
          <w:tcPr>
            <w:tcW w:w="5339"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8" w:lineRule="exact"/>
              <w:ind w:right="103"/>
              <w:jc w:val="right"/>
              <w:rPr>
                <w:rFonts w:ascii="Arial" w:hAnsi="Arial" w:cs="Arial" w:eastAsia="Arial" w:hint="default"/>
                <w:sz w:val="22"/>
                <w:szCs w:val="22"/>
              </w:rPr>
            </w:pPr>
            <w:r>
              <w:rPr>
                <w:rFonts w:ascii="Arial"/>
                <w:spacing w:val="-1"/>
                <w:sz w:val="22"/>
              </w:rPr>
              <w:t>230,328</w:t>
            </w: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8" w:lineRule="exact"/>
              <w:ind w:right="119"/>
              <w:jc w:val="right"/>
              <w:rPr>
                <w:rFonts w:ascii="Arial" w:hAnsi="Arial" w:cs="Arial" w:eastAsia="Arial" w:hint="default"/>
                <w:sz w:val="22"/>
                <w:szCs w:val="22"/>
              </w:rPr>
            </w:pPr>
            <w:r>
              <w:rPr>
                <w:rFonts w:ascii="Arial"/>
                <w:spacing w:val="-1"/>
                <w:sz w:val="22"/>
              </w:rPr>
              <w:t>221,626</w:t>
            </w:r>
          </w:p>
        </w:tc>
      </w:tr>
      <w:tr>
        <w:trPr>
          <w:trHeight w:val="547"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00" w:right="0"/>
              <w:jc w:val="left"/>
              <w:rPr>
                <w:rFonts w:ascii="宋体" w:hAnsi="宋体" w:cs="宋体" w:eastAsia="宋体" w:hint="default"/>
                <w:sz w:val="22"/>
                <w:szCs w:val="22"/>
              </w:rPr>
            </w:pPr>
            <w:r>
              <w:rPr>
                <w:rFonts w:ascii="宋体" w:hAnsi="宋体" w:cs="宋体" w:eastAsia="宋体" w:hint="default"/>
                <w:sz w:val="22"/>
                <w:szCs w:val="22"/>
              </w:rPr>
              <w:t>带息债务加股东权益合计</w:t>
            </w:r>
          </w:p>
        </w:tc>
        <w:tc>
          <w:tcPr>
            <w:tcW w:w="1706" w:type="dxa"/>
            <w:tcBorders>
              <w:top w:val="nil" w:sz="6" w:space="0" w:color="auto"/>
              <w:left w:val="nil" w:sz="6" w:space="0" w:color="auto"/>
              <w:bottom w:val="nil" w:sz="6" w:space="0" w:color="auto"/>
              <w:right w:val="nil" w:sz="6" w:space="0" w:color="auto"/>
            </w:tcBorders>
          </w:tcPr>
          <w:p>
            <w:pPr>
              <w:pStyle w:val="TableParagraph"/>
              <w:tabs>
                <w:tab w:pos="803" w:val="left" w:leader="none"/>
                <w:tab w:pos="1706" w:val="left" w:leader="none"/>
              </w:tabs>
              <w:spacing w:line="240" w:lineRule="auto" w:before="147"/>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369,006</w:t>
              <w:tab/>
            </w:r>
            <w:r>
              <w:rPr>
                <w:rFonts w:ascii="Arial"/>
                <w:spacing w:val="-1"/>
                <w:sz w:val="22"/>
              </w:rPr>
            </w: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tabs>
                <w:tab w:pos="907" w:val="left" w:leader="none"/>
                <w:tab w:pos="1826" w:val="left" w:leader="none"/>
              </w:tabs>
              <w:spacing w:line="240" w:lineRule="auto" w:before="147"/>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366,240</w:t>
              <w:tab/>
            </w:r>
            <w:r>
              <w:rPr>
                <w:rFonts w:ascii="Arial"/>
                <w:spacing w:val="-1"/>
                <w:sz w:val="22"/>
              </w:rPr>
            </w:r>
          </w:p>
        </w:tc>
      </w:tr>
      <w:tr>
        <w:trPr>
          <w:trHeight w:val="430"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债务资本率</w:t>
            </w:r>
          </w:p>
        </w:tc>
        <w:tc>
          <w:tcPr>
            <w:tcW w:w="1706"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68"/>
              <w:jc w:val="right"/>
              <w:rPr>
                <w:rFonts w:ascii="Arial" w:hAnsi="Arial" w:cs="Arial" w:eastAsia="Arial" w:hint="default"/>
                <w:sz w:val="22"/>
                <w:szCs w:val="22"/>
              </w:rPr>
            </w:pPr>
            <w:r>
              <w:rPr>
                <w:rFonts w:ascii="Arial"/>
                <w:spacing w:val="-1"/>
                <w:sz w:val="22"/>
              </w:rPr>
              <w:t>79.04%</w:t>
            </w: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84"/>
              <w:jc w:val="right"/>
              <w:rPr>
                <w:rFonts w:ascii="Arial" w:hAnsi="Arial" w:cs="Arial" w:eastAsia="Arial" w:hint="default"/>
                <w:sz w:val="22"/>
                <w:szCs w:val="22"/>
              </w:rPr>
            </w:pPr>
            <w:r>
              <w:rPr>
                <w:rFonts w:ascii="Arial"/>
                <w:spacing w:val="-1"/>
                <w:sz w:val="22"/>
              </w:rPr>
              <w:t>79.56%</w:t>
            </w:r>
          </w:p>
        </w:tc>
      </w:tr>
    </w:tbl>
    <w:p>
      <w:pPr>
        <w:spacing w:after="0" w:line="240" w:lineRule="auto"/>
        <w:jc w:val="right"/>
        <w:rPr>
          <w:rFonts w:ascii="Arial" w:hAnsi="Arial" w:cs="Arial" w:eastAsia="Arial" w:hint="default"/>
          <w:sz w:val="22"/>
          <w:szCs w:val="22"/>
        </w:rPr>
        <w:sectPr>
          <w:headerReference w:type="default" r:id="rId139"/>
          <w:pgSz w:w="11910" w:h="16840"/>
          <w:pgMar w:header="1181" w:footer="923" w:top="3060" w:bottom="1120" w:left="1280" w:right="880"/>
        </w:sectPr>
      </w:pPr>
    </w:p>
    <w:p>
      <w:pPr>
        <w:spacing w:line="240" w:lineRule="auto" w:before="2"/>
        <w:rPr>
          <w:rFonts w:ascii="宋体" w:hAnsi="宋体" w:cs="宋体" w:eastAsia="宋体" w:hint="default"/>
          <w:sz w:val="18"/>
          <w:szCs w:val="18"/>
        </w:rPr>
      </w:pPr>
    </w:p>
    <w:p>
      <w:pPr>
        <w:pStyle w:val="BodyText"/>
        <w:tabs>
          <w:tab w:pos="522" w:val="left" w:leader="none"/>
        </w:tabs>
        <w:spacing w:line="451" w:lineRule="auto" w:before="36"/>
        <w:ind w:left="594" w:right="113" w:hanging="492"/>
        <w:jc w:val="left"/>
      </w:pPr>
      <w:r>
        <w:rPr>
          <w:rFonts w:ascii="黑体" w:hAnsi="黑体" w:cs="黑体" w:eastAsia="黑体" w:hint="default"/>
          <w:sz w:val="21"/>
          <w:szCs w:val="21"/>
        </w:rPr>
        <w:t>九</w:t>
        <w:tab/>
        <w:t>公允价值的披露</w:t>
      </w:r>
      <w:r>
        <w:rPr>
          <w:rFonts w:ascii="黑体" w:hAnsi="黑体" w:cs="黑体" w:eastAsia="黑体" w:hint="default"/>
          <w:spacing w:val="-103"/>
          <w:sz w:val="21"/>
          <w:szCs w:val="21"/>
        </w:rPr>
        <w:t> </w:t>
      </w:r>
      <w:r>
        <w:rPr>
          <w:rFonts w:ascii="黑体" w:hAnsi="黑体" w:cs="黑体" w:eastAsia="黑体" w:hint="default"/>
          <w:spacing w:val="-103"/>
          <w:sz w:val="21"/>
          <w:szCs w:val="21"/>
        </w:rPr>
      </w:r>
      <w:r>
        <w:rPr>
          <w:spacing w:val="-1"/>
        </w:rPr>
        <w:t>根据在公允价值计量中对计量整体具有重大意义的最低层次的输入值，公允价值层次可分为：</w:t>
      </w:r>
      <w:r>
        <w:rPr>
          <w:w w:val="100"/>
        </w:rPr>
        <w:t> </w:t>
      </w:r>
      <w:r>
        <w:rPr/>
        <w:t>第一层次：在计量日能够取得的相同资产或负债在活跃市场上未经调整的报价。</w:t>
      </w:r>
      <w:r>
        <w:rPr>
          <w:w w:val="100"/>
        </w:rPr>
        <w:t> </w:t>
      </w:r>
      <w:r>
        <w:rPr/>
        <w:t>第二层次：除第一层次输入值外相关资产或负债直接或间接可观察的输入值。</w:t>
      </w:r>
      <w:r>
        <w:rPr>
          <w:w w:val="100"/>
        </w:rPr>
        <w:t> </w:t>
      </w:r>
      <w:r>
        <w:rPr/>
        <w:t>第三层次：相关资产或负债的不可观察输入值。</w:t>
      </w:r>
    </w:p>
    <w:p>
      <w:pPr>
        <w:pStyle w:val="Heading3"/>
        <w:spacing w:line="319" w:lineRule="exact"/>
        <w:ind w:right="113"/>
        <w:jc w:val="left"/>
      </w:pPr>
      <w:r>
        <w:rPr>
          <w:rFonts w:ascii="Arial" w:hAnsi="Arial" w:cs="Arial" w:eastAsia="Arial" w:hint="default"/>
          <w:sz w:val="22"/>
          <w:szCs w:val="22"/>
        </w:rPr>
        <w:t>1</w:t>
      </w:r>
      <w:r>
        <w:rPr>
          <w:rFonts w:ascii="宋体" w:hAnsi="宋体" w:cs="宋体" w:eastAsia="宋体" w:hint="default"/>
          <w:sz w:val="22"/>
          <w:szCs w:val="22"/>
        </w:rPr>
        <w:t>、</w:t>
      </w:r>
      <w:r>
        <w:rPr>
          <w:rFonts w:ascii="宋体" w:hAnsi="宋体" w:cs="宋体" w:eastAsia="宋体" w:hint="default"/>
          <w:spacing w:val="-26"/>
          <w:sz w:val="22"/>
          <w:szCs w:val="22"/>
        </w:rPr>
        <w:t> </w:t>
      </w:r>
      <w:r>
        <w:rPr/>
        <w:t>以公允价值计量的资产的年末公允价值</w:t>
      </w:r>
    </w:p>
    <w:p>
      <w:pPr>
        <w:spacing w:line="240" w:lineRule="auto" w:before="12"/>
        <w:rPr>
          <w:rFonts w:ascii="宋体" w:hAnsi="宋体" w:cs="宋体" w:eastAsia="宋体" w:hint="default"/>
          <w:sz w:val="19"/>
          <w:szCs w:val="19"/>
        </w:rPr>
      </w:pPr>
    </w:p>
    <w:p>
      <w:pPr>
        <w:pStyle w:val="BodyText"/>
        <w:spacing w:line="237" w:lineRule="auto"/>
        <w:ind w:left="594" w:right="113"/>
        <w:jc w:val="both"/>
      </w:pPr>
      <w:r>
        <w:rPr>
          <w:spacing w:val="-1"/>
        </w:rPr>
        <w:t>在活跃市场上交易的金融工具的公允价值以资产负债表日的市场报价为基础。若报价可方便及</w:t>
      </w:r>
      <w:r>
        <w:rPr>
          <w:spacing w:val="-79"/>
        </w:rPr>
        <w:t> </w:t>
      </w:r>
      <w:r>
        <w:rPr>
          <w:spacing w:val="-79"/>
        </w:rPr>
      </w:r>
      <w:r>
        <w:rPr>
          <w:spacing w:val="-1"/>
        </w:rPr>
        <w:t>定期的自交易所、证券商、经纪、行业团体、报价服务者、或监管代理处获得，且该等报价代</w:t>
      </w:r>
      <w:r>
        <w:rPr>
          <w:spacing w:val="-79"/>
        </w:rPr>
        <w:t> </w:t>
      </w:r>
      <w:r>
        <w:rPr>
          <w:spacing w:val="-79"/>
        </w:rPr>
      </w:r>
      <w:r>
        <w:rPr>
          <w:spacing w:val="-1"/>
        </w:rPr>
        <w:t>表按公平交易基准进行的实际或常规市场交易时，该市场被视为活跃。本集团持有的可供出售</w:t>
      </w:r>
      <w:r>
        <w:rPr>
          <w:spacing w:val="-79"/>
        </w:rPr>
        <w:t> </w:t>
      </w:r>
      <w:r>
        <w:rPr>
          <w:spacing w:val="-79"/>
        </w:rPr>
      </w:r>
      <w:r>
        <w:rPr>
          <w:spacing w:val="-1"/>
        </w:rPr>
        <w:t>金融资产（如对西班牙电信的股票投资）的市场报价为当时公开股票交易市场上的买方报价。</w:t>
      </w:r>
    </w:p>
    <w:p>
      <w:pPr>
        <w:spacing w:line="240" w:lineRule="auto" w:before="4"/>
        <w:rPr>
          <w:rFonts w:ascii="宋体" w:hAnsi="宋体" w:cs="宋体" w:eastAsia="宋体" w:hint="default"/>
          <w:sz w:val="19"/>
          <w:szCs w:val="19"/>
        </w:rPr>
      </w:pPr>
    </w:p>
    <w:p>
      <w:pPr>
        <w:pStyle w:val="BodyText"/>
        <w:spacing w:line="240" w:lineRule="auto"/>
        <w:ind w:left="594" w:right="0"/>
        <w:jc w:val="both"/>
      </w:pPr>
      <w:r>
        <w:rPr/>
        <w:t>于</w:t>
      </w:r>
      <w:r>
        <w:rPr>
          <w:rFonts w:ascii="Arial" w:hAnsi="Arial" w:cs="Arial" w:eastAsia="Arial" w:hint="default"/>
        </w:rPr>
        <w:t>2014</w:t>
      </w:r>
      <w:r>
        <w:rPr/>
        <w:t>年</w:t>
      </w:r>
      <w:r>
        <w:rPr>
          <w:rFonts w:ascii="Arial" w:hAnsi="Arial" w:cs="Arial" w:eastAsia="Arial" w:hint="default"/>
        </w:rPr>
        <w:t>12</w:t>
      </w:r>
      <w:r>
        <w:rPr/>
        <w:t>月</w:t>
      </w:r>
      <w:r>
        <w:rPr>
          <w:rFonts w:ascii="Arial" w:hAnsi="Arial" w:cs="Arial" w:eastAsia="Arial" w:hint="default"/>
        </w:rPr>
        <w:t>31</w:t>
      </w:r>
      <w:r>
        <w:rPr/>
        <w:t>日，以公允价值计量的金融资产按上述三个层次列示如下：</w:t>
      </w:r>
    </w:p>
    <w:p>
      <w:pPr>
        <w:spacing w:line="240" w:lineRule="auto" w:before="1"/>
        <w:rPr>
          <w:rFonts w:ascii="宋体" w:hAnsi="宋体" w:cs="宋体" w:eastAsia="宋体" w:hint="default"/>
          <w:sz w:val="23"/>
          <w:szCs w:val="23"/>
        </w:rPr>
      </w:pPr>
    </w:p>
    <w:tbl>
      <w:tblPr>
        <w:tblW w:w="0" w:type="auto"/>
        <w:jc w:val="left"/>
        <w:tblInd w:w="370" w:type="dxa"/>
        <w:tblLayout w:type="fixed"/>
        <w:tblCellMar>
          <w:top w:w="0" w:type="dxa"/>
          <w:left w:w="0" w:type="dxa"/>
          <w:bottom w:w="0" w:type="dxa"/>
          <w:right w:w="0" w:type="dxa"/>
        </w:tblCellMar>
        <w:tblLook w:val="01E0"/>
      </w:tblPr>
      <w:tblGrid>
        <w:gridCol w:w="3108"/>
        <w:gridCol w:w="1545"/>
        <w:gridCol w:w="1535"/>
        <w:gridCol w:w="1723"/>
        <w:gridCol w:w="1295"/>
      </w:tblGrid>
      <w:tr>
        <w:trPr>
          <w:trHeight w:val="253"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22"/>
                <w:szCs w:val="22"/>
              </w:rPr>
            </w:pPr>
            <w:r>
              <w:rPr>
                <w:rFonts w:ascii="宋体" w:hAnsi="宋体" w:cs="宋体" w:eastAsia="宋体" w:hint="default"/>
                <w:sz w:val="22"/>
                <w:szCs w:val="22"/>
              </w:rPr>
              <w:t>（单位：人民币百万元）</w:t>
            </w:r>
          </w:p>
        </w:tc>
        <w:tc>
          <w:tcPr>
            <w:tcW w:w="1545" w:type="dxa"/>
            <w:tcBorders>
              <w:top w:val="nil" w:sz="6" w:space="0" w:color="auto"/>
              <w:left w:val="nil" w:sz="6" w:space="0" w:color="auto"/>
              <w:bottom w:val="nil" w:sz="6" w:space="0" w:color="auto"/>
              <w:right w:val="nil" w:sz="6" w:space="0" w:color="auto"/>
            </w:tcBorders>
          </w:tcPr>
          <w:p>
            <w:pPr>
              <w:pStyle w:val="TableParagraph"/>
              <w:spacing w:line="221" w:lineRule="exact"/>
              <w:ind w:left="306" w:right="0"/>
              <w:jc w:val="left"/>
              <w:rPr>
                <w:rFonts w:ascii="宋体" w:hAnsi="宋体" w:cs="宋体" w:eastAsia="宋体" w:hint="default"/>
                <w:sz w:val="22"/>
                <w:szCs w:val="22"/>
              </w:rPr>
            </w:pPr>
            <w:r>
              <w:rPr>
                <w:rFonts w:ascii="宋体" w:hAnsi="宋体" w:cs="宋体" w:eastAsia="宋体" w:hint="default"/>
                <w:sz w:val="22"/>
                <w:szCs w:val="22"/>
              </w:rPr>
              <w:t>第一层次</w:t>
            </w:r>
          </w:p>
        </w:tc>
        <w:tc>
          <w:tcPr>
            <w:tcW w:w="1535" w:type="dxa"/>
            <w:tcBorders>
              <w:top w:val="nil" w:sz="6" w:space="0" w:color="auto"/>
              <w:left w:val="nil" w:sz="6" w:space="0" w:color="auto"/>
              <w:bottom w:val="nil" w:sz="6" w:space="0" w:color="auto"/>
              <w:right w:val="nil" w:sz="6" w:space="0" w:color="auto"/>
            </w:tcBorders>
          </w:tcPr>
          <w:p>
            <w:pPr>
              <w:pStyle w:val="TableParagraph"/>
              <w:spacing w:line="221" w:lineRule="exact"/>
              <w:ind w:left="355" w:right="0"/>
              <w:jc w:val="left"/>
              <w:rPr>
                <w:rFonts w:ascii="宋体" w:hAnsi="宋体" w:cs="宋体" w:eastAsia="宋体" w:hint="default"/>
                <w:sz w:val="22"/>
                <w:szCs w:val="22"/>
              </w:rPr>
            </w:pPr>
            <w:r>
              <w:rPr>
                <w:rFonts w:ascii="宋体" w:hAnsi="宋体" w:cs="宋体" w:eastAsia="宋体" w:hint="default"/>
                <w:sz w:val="22"/>
                <w:szCs w:val="22"/>
              </w:rPr>
              <w:t>第二层次</w:t>
            </w:r>
          </w:p>
        </w:tc>
        <w:tc>
          <w:tcPr>
            <w:tcW w:w="1723" w:type="dxa"/>
            <w:tcBorders>
              <w:top w:val="nil" w:sz="6" w:space="0" w:color="auto"/>
              <w:left w:val="nil" w:sz="6" w:space="0" w:color="auto"/>
              <w:bottom w:val="nil" w:sz="6" w:space="0" w:color="auto"/>
              <w:right w:val="nil" w:sz="6" w:space="0" w:color="auto"/>
            </w:tcBorders>
          </w:tcPr>
          <w:p>
            <w:pPr>
              <w:pStyle w:val="TableParagraph"/>
              <w:spacing w:line="221" w:lineRule="exact"/>
              <w:ind w:left="296" w:right="0"/>
              <w:jc w:val="left"/>
              <w:rPr>
                <w:rFonts w:ascii="宋体" w:hAnsi="宋体" w:cs="宋体" w:eastAsia="宋体" w:hint="default"/>
                <w:sz w:val="22"/>
                <w:szCs w:val="22"/>
              </w:rPr>
            </w:pPr>
            <w:r>
              <w:rPr>
                <w:rFonts w:ascii="宋体" w:hAnsi="宋体" w:cs="宋体" w:eastAsia="宋体" w:hint="default"/>
                <w:sz w:val="22"/>
                <w:szCs w:val="22"/>
              </w:rPr>
              <w:t>第三层次</w:t>
            </w:r>
          </w:p>
        </w:tc>
        <w:tc>
          <w:tcPr>
            <w:tcW w:w="1295" w:type="dxa"/>
            <w:tcBorders>
              <w:top w:val="nil" w:sz="6" w:space="0" w:color="auto"/>
              <w:left w:val="nil" w:sz="6" w:space="0" w:color="auto"/>
              <w:bottom w:val="nil" w:sz="6" w:space="0" w:color="auto"/>
              <w:right w:val="nil" w:sz="6" w:space="0" w:color="auto"/>
            </w:tcBorders>
          </w:tcPr>
          <w:p>
            <w:pPr>
              <w:pStyle w:val="TableParagraph"/>
              <w:spacing w:line="221" w:lineRule="exact"/>
              <w:ind w:right="198"/>
              <w:jc w:val="right"/>
              <w:rPr>
                <w:rFonts w:ascii="宋体" w:hAnsi="宋体" w:cs="宋体" w:eastAsia="宋体" w:hint="default"/>
                <w:sz w:val="22"/>
                <w:szCs w:val="22"/>
              </w:rPr>
            </w:pPr>
            <w:r>
              <w:rPr>
                <w:rFonts w:ascii="宋体" w:hAnsi="宋体" w:cs="宋体" w:eastAsia="宋体" w:hint="default"/>
                <w:sz w:val="22"/>
                <w:szCs w:val="22"/>
              </w:rPr>
              <w:t>合计</w:t>
            </w:r>
          </w:p>
        </w:tc>
      </w:tr>
      <w:tr>
        <w:trPr>
          <w:trHeight w:val="291"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69" w:lineRule="exact"/>
              <w:ind w:left="200" w:right="0"/>
              <w:jc w:val="left"/>
              <w:rPr>
                <w:rFonts w:ascii="Arial" w:hAnsi="Arial" w:cs="Arial" w:eastAsia="Arial" w:hint="default"/>
                <w:sz w:val="22"/>
                <w:szCs w:val="22"/>
              </w:rPr>
            </w:pPr>
            <w:r>
              <w:rPr>
                <w:rFonts w:ascii="宋体" w:hAnsi="宋体" w:cs="宋体" w:eastAsia="宋体" w:hint="default"/>
                <w:sz w:val="22"/>
                <w:szCs w:val="22"/>
              </w:rPr>
              <w:t>金融资产</w:t>
            </w:r>
            <w:r>
              <w:rPr>
                <w:rFonts w:ascii="Arial" w:hAnsi="Arial" w:cs="Arial" w:eastAsia="Arial" w:hint="default"/>
                <w:sz w:val="22"/>
                <w:szCs w:val="22"/>
              </w:rPr>
              <w:t>-</w:t>
            </w:r>
          </w:p>
        </w:tc>
        <w:tc>
          <w:tcPr>
            <w:tcW w:w="1545"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r>
      <w:tr>
        <w:trPr>
          <w:trHeight w:val="706"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45" w:lineRule="exact"/>
              <w:ind w:left="586" w:right="0" w:hanging="207"/>
              <w:jc w:val="left"/>
              <w:rPr>
                <w:rFonts w:ascii="宋体" w:hAnsi="宋体" w:cs="宋体" w:eastAsia="宋体" w:hint="default"/>
                <w:sz w:val="22"/>
                <w:szCs w:val="22"/>
              </w:rPr>
            </w:pPr>
            <w:r>
              <w:rPr>
                <w:rFonts w:ascii="宋体" w:hAnsi="宋体" w:cs="宋体" w:eastAsia="宋体" w:hint="default"/>
                <w:sz w:val="22"/>
                <w:szCs w:val="22"/>
              </w:rPr>
              <w:t>以公允价值计量且变动计</w:t>
            </w:r>
          </w:p>
          <w:p>
            <w:pPr>
              <w:pStyle w:val="TableParagraph"/>
              <w:spacing w:line="286" w:lineRule="exact"/>
              <w:ind w:left="586" w:right="0"/>
              <w:jc w:val="left"/>
              <w:rPr>
                <w:rFonts w:ascii="宋体" w:hAnsi="宋体" w:cs="宋体" w:eastAsia="宋体" w:hint="default"/>
                <w:sz w:val="22"/>
                <w:szCs w:val="22"/>
              </w:rPr>
            </w:pPr>
            <w:r>
              <w:rPr>
                <w:rFonts w:ascii="宋体" w:hAnsi="宋体" w:cs="宋体" w:eastAsia="宋体" w:hint="default"/>
                <w:sz w:val="22"/>
                <w:szCs w:val="22"/>
              </w:rPr>
              <w:t>入当期损益的金融资产</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942" w:right="0"/>
              <w:jc w:val="left"/>
              <w:rPr>
                <w:rFonts w:ascii="Arial" w:hAnsi="Arial" w:cs="Arial" w:eastAsia="Arial" w:hint="default"/>
                <w:sz w:val="22"/>
                <w:szCs w:val="22"/>
              </w:rPr>
            </w:pPr>
            <w:r>
              <w:rPr>
                <w:rFonts w:ascii="Arial"/>
                <w:sz w:val="22"/>
              </w:rPr>
              <w:t>13</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97"/>
              <w:jc w:val="right"/>
              <w:rPr>
                <w:rFonts w:ascii="Arial" w:hAnsi="Arial" w:cs="Arial" w:eastAsia="Arial" w:hint="default"/>
                <w:sz w:val="22"/>
                <w:szCs w:val="22"/>
              </w:rPr>
            </w:pPr>
            <w:r>
              <w:rPr>
                <w:rFonts w:ascii="Arial"/>
                <w:w w:val="100"/>
                <w:sz w:val="22"/>
              </w:rPr>
              <w:t>-</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76" w:right="0"/>
              <w:jc w:val="left"/>
              <w:rPr>
                <w:rFonts w:ascii="Arial" w:hAnsi="Arial" w:cs="Arial" w:eastAsia="Arial" w:hint="default"/>
                <w:sz w:val="22"/>
                <w:szCs w:val="22"/>
              </w:rPr>
            </w:pPr>
            <w:r>
              <w:rPr>
                <w:rFonts w:ascii="Arial"/>
                <w:w w:val="100"/>
                <w:sz w:val="22"/>
              </w:rPr>
              <w:t>-</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00"/>
              <w:jc w:val="right"/>
              <w:rPr>
                <w:rFonts w:ascii="Arial" w:hAnsi="Arial" w:cs="Arial" w:eastAsia="Arial" w:hint="default"/>
                <w:sz w:val="22"/>
                <w:szCs w:val="22"/>
              </w:rPr>
            </w:pPr>
            <w:r>
              <w:rPr>
                <w:rFonts w:ascii="Arial"/>
                <w:spacing w:val="-1"/>
                <w:sz w:val="22"/>
              </w:rPr>
              <w:t>13</w:t>
            </w:r>
            <w:r>
              <w:rPr>
                <w:rFonts w:ascii="Arial"/>
                <w:sz w:val="22"/>
              </w:rPr>
            </w:r>
          </w:p>
        </w:tc>
      </w:tr>
      <w:tr>
        <w:trPr>
          <w:trHeight w:val="679" w:hRule="exact"/>
        </w:trPr>
        <w:tc>
          <w:tcPr>
            <w:tcW w:w="3108" w:type="dxa"/>
            <w:tcBorders>
              <w:top w:val="nil" w:sz="6" w:space="0" w:color="auto"/>
              <w:left w:val="nil" w:sz="6" w:space="0" w:color="auto"/>
              <w:bottom w:val="nil" w:sz="6" w:space="0" w:color="auto"/>
              <w:right w:val="nil" w:sz="6" w:space="0" w:color="auto"/>
            </w:tcBorders>
          </w:tcPr>
          <w:p>
            <w:pPr>
              <w:pStyle w:val="TableParagraph"/>
              <w:tabs>
                <w:tab w:pos="2840" w:val="left" w:leader="none"/>
                <w:tab w:pos="3724" w:val="left" w:leader="none"/>
              </w:tabs>
              <w:spacing w:line="302" w:lineRule="exact" w:before="92"/>
              <w:ind w:left="586" w:right="-636" w:hanging="207"/>
              <w:jc w:val="left"/>
              <w:rPr>
                <w:rFonts w:ascii="Arial" w:hAnsi="Arial" w:cs="Arial" w:eastAsia="Arial" w:hint="default"/>
                <w:sz w:val="22"/>
                <w:szCs w:val="22"/>
              </w:rPr>
            </w:pPr>
            <w:r>
              <w:rPr>
                <w:rFonts w:ascii="宋体" w:hAnsi="宋体" w:cs="宋体" w:eastAsia="宋体" w:hint="default"/>
                <w:sz w:val="22"/>
                <w:szCs w:val="22"/>
              </w:rPr>
              <w:t>可供出售金融资产</w:t>
            </w:r>
            <w:r>
              <w:rPr>
                <w:rFonts w:ascii="Arial" w:hAnsi="Arial" w:cs="Arial" w:eastAsia="Arial" w:hint="default"/>
                <w:sz w:val="22"/>
                <w:szCs w:val="22"/>
              </w:rPr>
              <w:t>-</w:t>
            </w:r>
            <w:r>
              <w:rPr>
                <w:rFonts w:ascii="宋体" w:hAnsi="宋体" w:cs="宋体" w:eastAsia="宋体" w:hint="default"/>
                <w:sz w:val="22"/>
                <w:szCs w:val="22"/>
              </w:rPr>
              <w:t>可供</w:t>
            </w:r>
            <w:r>
              <w:rPr>
                <w:rFonts w:ascii="宋体" w:hAnsi="宋体" w:cs="宋体" w:eastAsia="宋体" w:hint="default"/>
                <w:spacing w:val="-3"/>
                <w:w w:val="100"/>
                <w:sz w:val="22"/>
                <w:szCs w:val="22"/>
              </w:rPr>
              <w:t> </w:t>
            </w:r>
            <w:r>
              <w:rPr>
                <w:rFonts w:ascii="宋体" w:hAnsi="宋体" w:cs="宋体" w:eastAsia="宋体" w:hint="default"/>
                <w:position w:val="2"/>
                <w:sz w:val="22"/>
                <w:szCs w:val="22"/>
              </w:rPr>
              <w:t>出售权益工具</w:t>
              <w:tab/>
            </w:r>
            <w:r>
              <w:rPr>
                <w:rFonts w:ascii="Arial" w:hAnsi="Arial" w:cs="Arial" w:eastAsia="Arial" w:hint="default"/>
                <w:w w:val="100"/>
                <w:sz w:val="22"/>
                <w:szCs w:val="22"/>
              </w:rPr>
            </w:r>
            <w:r>
              <w:rPr>
                <w:rFonts w:ascii="Arial" w:hAnsi="Arial" w:cs="Arial" w:eastAsia="Arial" w:hint="default"/>
                <w:w w:val="100"/>
                <w:sz w:val="22"/>
                <w:szCs w:val="22"/>
                <w:u w:val="single" w:color="000000"/>
              </w:rPr>
              <w:t> </w:t>
            </w:r>
            <w:r>
              <w:rPr>
                <w:rFonts w:ascii="Arial" w:hAnsi="Arial" w:cs="Arial" w:eastAsia="Arial" w:hint="default"/>
                <w:sz w:val="22"/>
                <w:szCs w:val="22"/>
                <w:u w:val="single" w:color="000000"/>
              </w:rPr>
              <w:tab/>
            </w:r>
            <w:r>
              <w:rPr>
                <w:rFonts w:ascii="Arial" w:hAnsi="Arial" w:cs="Arial" w:eastAsia="Arial" w:hint="default"/>
                <w:w w:val="29"/>
                <w:sz w:val="22"/>
                <w:szCs w:val="22"/>
                <w:u w:val="single" w:color="000000"/>
              </w:rPr>
              <w:t> </w:t>
            </w:r>
            <w:r>
              <w:rPr>
                <w:rFonts w:ascii="Arial" w:hAnsi="Arial" w:cs="Arial" w:eastAsia="Arial" w:hint="default"/>
                <w:sz w:val="22"/>
                <w:szCs w:val="22"/>
                <w:u w:val="single" w:color="000000"/>
              </w:rPr>
            </w:r>
            <w:r>
              <w:rPr>
                <w:rFonts w:ascii="Arial" w:hAnsi="Arial" w:cs="Arial" w:eastAsia="Arial" w:hint="default"/>
                <w:sz w:val="22"/>
                <w:szCs w:val="22"/>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32"/>
                <w:szCs w:val="32"/>
              </w:rPr>
            </w:pPr>
          </w:p>
          <w:p>
            <w:pPr>
              <w:pStyle w:val="TableParagraph"/>
              <w:tabs>
                <w:tab w:pos="2706" w:val="left" w:leader="none"/>
              </w:tabs>
              <w:spacing w:line="240" w:lineRule="auto"/>
              <w:ind w:left="635" w:right="-1162"/>
              <w:jc w:val="left"/>
              <w:rPr>
                <w:rFonts w:ascii="Arial" w:hAnsi="Arial" w:cs="Arial" w:eastAsia="Arial" w:hint="default"/>
                <w:sz w:val="22"/>
                <w:szCs w:val="22"/>
              </w:rPr>
            </w:pPr>
            <w:r>
              <w:rPr>
                <w:rFonts w:ascii="Arial"/>
                <w:w w:val="100"/>
                <w:sz w:val="22"/>
              </w:rPr>
            </w:r>
            <w:r>
              <w:rPr>
                <w:rFonts w:ascii="Arial"/>
                <w:sz w:val="22"/>
                <w:u w:val="single" w:color="000000"/>
              </w:rPr>
              <w:t>5,879</w:t>
            </w:r>
            <w:r>
              <w:rPr>
                <w:rFonts w:ascii="Arial"/>
                <w:spacing w:val="10"/>
                <w:sz w:val="22"/>
                <w:u w:val="single" w:color="000000"/>
              </w:rPr>
              <w:t> </w:t>
            </w:r>
            <w:r>
              <w:rPr>
                <w:rFonts w:ascii="Arial"/>
                <w:spacing w:val="10"/>
                <w:sz w:val="22"/>
              </w:rPr>
            </w:r>
            <w:r>
              <w:rPr>
                <w:rFonts w:ascii="Arial"/>
                <w:sz w:val="22"/>
              </w:rPr>
              <w:t> </w:t>
            </w:r>
            <w:r>
              <w:rPr>
                <w:rFonts w:ascii="Arial"/>
                <w:spacing w:val="-29"/>
                <w:sz w:val="22"/>
              </w:rPr>
              <w:t> </w:t>
            </w:r>
            <w:r>
              <w:rPr>
                <w:rFonts w:ascii="Arial"/>
                <w:spacing w:val="-29"/>
                <w:w w:val="100"/>
                <w:sz w:val="22"/>
              </w:rPr>
            </w:r>
            <w:r>
              <w:rPr>
                <w:rFonts w:ascii="Arial"/>
                <w:w w:val="100"/>
                <w:sz w:val="22"/>
                <w:u w:val="single" w:color="000000"/>
              </w:rPr>
              <w:t> </w:t>
            </w:r>
            <w:r>
              <w:rPr>
                <w:rFonts w:ascii="Arial"/>
                <w:sz w:val="22"/>
                <w:u w:val="single" w:color="000000"/>
              </w:rPr>
              <w:tab/>
            </w:r>
            <w:r>
              <w:rPr>
                <w:rFonts w:ascii="Arial"/>
                <w:sz w:val="22"/>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32"/>
                <w:szCs w:val="32"/>
              </w:rPr>
            </w:pPr>
          </w:p>
          <w:p>
            <w:pPr>
              <w:pStyle w:val="TableParagraph"/>
              <w:tabs>
                <w:tab w:pos="1279" w:val="left" w:leader="none"/>
              </w:tabs>
              <w:spacing w:line="240" w:lineRule="auto"/>
              <w:ind w:right="-907"/>
              <w:jc w:val="right"/>
              <w:rPr>
                <w:rFonts w:ascii="Arial" w:hAnsi="Arial" w:cs="Arial" w:eastAsia="Arial" w:hint="default"/>
                <w:sz w:val="22"/>
                <w:szCs w:val="22"/>
              </w:rPr>
            </w:pPr>
            <w:r>
              <w:rPr>
                <w:rFonts w:ascii="Arial"/>
                <w:w w:val="100"/>
                <w:sz w:val="22"/>
              </w:rPr>
            </w:r>
            <w:r>
              <w:rPr>
                <w:rFonts w:ascii="Arial"/>
                <w:sz w:val="22"/>
                <w:u w:val="single" w:color="000000"/>
              </w:rPr>
              <w:t>-</w:t>
            </w:r>
            <w:r>
              <w:rPr>
                <w:rFonts w:ascii="Arial"/>
                <w:spacing w:val="21"/>
                <w:sz w:val="22"/>
                <w:u w:val="single" w:color="000000"/>
              </w:rPr>
              <w:t> </w:t>
            </w:r>
            <w:r>
              <w:rPr>
                <w:rFonts w:ascii="Arial"/>
                <w:spacing w:val="21"/>
                <w:sz w:val="22"/>
              </w:rPr>
            </w:r>
            <w:r>
              <w:rPr>
                <w:rFonts w:ascii="Arial"/>
                <w:sz w:val="22"/>
              </w:rPr>
              <w:t> </w:t>
            </w:r>
            <w:r>
              <w:rPr>
                <w:rFonts w:ascii="Arial"/>
                <w:spacing w:val="-12"/>
                <w:sz w:val="22"/>
              </w:rPr>
              <w:t> </w:t>
            </w:r>
            <w:r>
              <w:rPr>
                <w:rFonts w:ascii="Arial"/>
                <w:spacing w:val="-12"/>
                <w:w w:val="100"/>
                <w:sz w:val="22"/>
              </w:rPr>
            </w:r>
            <w:r>
              <w:rPr>
                <w:rFonts w:ascii="Arial"/>
                <w:w w:val="100"/>
                <w:sz w:val="22"/>
                <w:u w:val="single" w:color="000000"/>
              </w:rPr>
              <w:t> </w:t>
            </w:r>
            <w:r>
              <w:rPr>
                <w:rFonts w:ascii="Arial"/>
                <w:sz w:val="22"/>
                <w:u w:val="single" w:color="000000"/>
              </w:rPr>
              <w:tab/>
            </w:r>
            <w:r>
              <w:rPr>
                <w:rFonts w:ascii="Arial"/>
                <w:sz w:val="22"/>
              </w:rPr>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32"/>
                <w:szCs w:val="32"/>
              </w:rPr>
            </w:pPr>
          </w:p>
          <w:p>
            <w:pPr>
              <w:pStyle w:val="TableParagraph"/>
              <w:tabs>
                <w:tab w:pos="2265" w:val="left" w:leader="none"/>
              </w:tabs>
              <w:spacing w:line="240" w:lineRule="auto"/>
              <w:ind w:left="906" w:right="-543"/>
              <w:jc w:val="left"/>
              <w:rPr>
                <w:rFonts w:ascii="Arial" w:hAnsi="Arial" w:cs="Arial" w:eastAsia="Arial" w:hint="default"/>
                <w:sz w:val="22"/>
                <w:szCs w:val="22"/>
              </w:rPr>
            </w:pPr>
            <w:r>
              <w:rPr>
                <w:rFonts w:ascii="Arial"/>
                <w:w w:val="100"/>
                <w:sz w:val="22"/>
              </w:rPr>
            </w:r>
            <w:r>
              <w:rPr>
                <w:rFonts w:ascii="Arial"/>
                <w:sz w:val="22"/>
                <w:u w:val="single" w:color="000000"/>
              </w:rPr>
              <w:t>23</w:t>
            </w:r>
            <w:r>
              <w:rPr>
                <w:rFonts w:ascii="Arial"/>
                <w:spacing w:val="27"/>
                <w:sz w:val="22"/>
                <w:u w:val="single" w:color="000000"/>
              </w:rPr>
              <w:t> </w:t>
            </w:r>
            <w:r>
              <w:rPr>
                <w:rFonts w:ascii="Arial"/>
                <w:spacing w:val="27"/>
                <w:sz w:val="22"/>
              </w:rPr>
            </w:r>
            <w:r>
              <w:rPr>
                <w:rFonts w:ascii="Arial"/>
                <w:sz w:val="22"/>
              </w:rPr>
              <w:t> </w:t>
            </w:r>
            <w:r>
              <w:rPr>
                <w:rFonts w:ascii="Arial"/>
                <w:spacing w:val="-29"/>
                <w:sz w:val="22"/>
              </w:rPr>
              <w:t> </w:t>
            </w:r>
            <w:r>
              <w:rPr>
                <w:rFonts w:ascii="Arial"/>
                <w:spacing w:val="-29"/>
                <w:w w:val="100"/>
                <w:sz w:val="22"/>
              </w:rPr>
            </w:r>
            <w:r>
              <w:rPr>
                <w:rFonts w:ascii="Arial"/>
                <w:w w:val="100"/>
                <w:sz w:val="22"/>
                <w:u w:val="single" w:color="000000"/>
              </w:rPr>
              <w:t> </w:t>
            </w:r>
            <w:r>
              <w:rPr>
                <w:rFonts w:ascii="Arial"/>
                <w:sz w:val="22"/>
                <w:u w:val="single" w:color="000000"/>
              </w:rPr>
              <w:tab/>
            </w:r>
            <w:r>
              <w:rPr>
                <w:rFonts w:ascii="Arial"/>
                <w:sz w:val="22"/>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32"/>
                <w:szCs w:val="32"/>
              </w:rPr>
            </w:pPr>
          </w:p>
          <w:p>
            <w:pPr>
              <w:pStyle w:val="TableParagraph"/>
              <w:tabs>
                <w:tab w:pos="623" w:val="left" w:leader="none"/>
              </w:tabs>
              <w:spacing w:line="240" w:lineRule="auto"/>
              <w:ind w:right="126"/>
              <w:jc w:val="right"/>
              <w:rPr>
                <w:rFonts w:ascii="Arial" w:hAnsi="Arial" w:cs="Arial" w:eastAsia="Arial" w:hint="default"/>
                <w:sz w:val="22"/>
                <w:szCs w:val="22"/>
              </w:rPr>
            </w:pPr>
            <w:r>
              <w:rPr>
                <w:rFonts w:ascii="Arial"/>
                <w:w w:val="100"/>
                <w:sz w:val="22"/>
              </w:rPr>
            </w:r>
            <w:r>
              <w:rPr>
                <w:rFonts w:ascii="Arial"/>
                <w:sz w:val="22"/>
                <w:u w:val="single" w:color="000000"/>
              </w:rPr>
              <w:t>5,902</w:t>
              <w:tab/>
            </w:r>
            <w:r>
              <w:rPr>
                <w:rFonts w:ascii="Arial"/>
                <w:sz w:val="22"/>
              </w:rPr>
            </w:r>
          </w:p>
        </w:tc>
      </w:tr>
    </w:tbl>
    <w:p>
      <w:pPr>
        <w:spacing w:line="240" w:lineRule="auto" w:before="11"/>
        <w:rPr>
          <w:rFonts w:ascii="宋体" w:hAnsi="宋体" w:cs="宋体" w:eastAsia="宋体" w:hint="default"/>
          <w:sz w:val="22"/>
          <w:szCs w:val="22"/>
        </w:rPr>
      </w:pPr>
    </w:p>
    <w:tbl>
      <w:tblPr>
        <w:tblW w:w="0" w:type="auto"/>
        <w:jc w:val="left"/>
        <w:tblInd w:w="550" w:type="dxa"/>
        <w:tblLayout w:type="fixed"/>
        <w:tblCellMar>
          <w:top w:w="0" w:type="dxa"/>
          <w:left w:w="0" w:type="dxa"/>
          <w:bottom w:w="0" w:type="dxa"/>
          <w:right w:w="0" w:type="dxa"/>
        </w:tblCellMar>
        <w:tblLook w:val="01E0"/>
      </w:tblPr>
      <w:tblGrid>
        <w:gridCol w:w="2661"/>
        <w:gridCol w:w="2216"/>
        <w:gridCol w:w="914"/>
        <w:gridCol w:w="110"/>
        <w:gridCol w:w="1815"/>
        <w:gridCol w:w="1181"/>
      </w:tblGrid>
      <w:tr>
        <w:trPr>
          <w:trHeight w:val="281" w:hRule="exact"/>
        </w:trPr>
        <w:tc>
          <w:tcPr>
            <w:tcW w:w="2661"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16" w:type="dxa"/>
            <w:tcBorders>
              <w:top w:val="nil" w:sz="6" w:space="0" w:color="auto"/>
              <w:left w:val="nil" w:sz="6" w:space="0" w:color="auto"/>
              <w:bottom w:val="single" w:sz="17" w:space="0" w:color="000000"/>
              <w:right w:val="nil" w:sz="6" w:space="0" w:color="auto"/>
            </w:tcBorders>
          </w:tcPr>
          <w:p>
            <w:pPr>
              <w:pStyle w:val="TableParagraph"/>
              <w:spacing w:line="240" w:lineRule="auto" w:before="2"/>
              <w:ind w:left="146" w:right="0"/>
              <w:jc w:val="center"/>
              <w:rPr>
                <w:rFonts w:ascii="Arial" w:hAnsi="Arial" w:cs="Arial" w:eastAsia="Arial" w:hint="default"/>
                <w:sz w:val="22"/>
                <w:szCs w:val="22"/>
              </w:rPr>
            </w:pPr>
            <w:r>
              <w:rPr>
                <w:rFonts w:ascii="Arial"/>
                <w:sz w:val="22"/>
              </w:rPr>
              <w:t>5,892</w:t>
            </w:r>
          </w:p>
        </w:tc>
        <w:tc>
          <w:tcPr>
            <w:tcW w:w="914" w:type="dxa"/>
            <w:tcBorders>
              <w:top w:val="nil" w:sz="6" w:space="0" w:color="auto"/>
              <w:left w:val="nil" w:sz="6" w:space="0" w:color="auto"/>
              <w:bottom w:val="single" w:sz="17" w:space="0" w:color="000000"/>
              <w:right w:val="nil" w:sz="6" w:space="0" w:color="auto"/>
            </w:tcBorders>
          </w:tcPr>
          <w:p>
            <w:pPr>
              <w:pStyle w:val="TableParagraph"/>
              <w:spacing w:line="240" w:lineRule="auto" w:before="2"/>
              <w:ind w:right="80"/>
              <w:jc w:val="right"/>
              <w:rPr>
                <w:rFonts w:ascii="Arial" w:hAnsi="Arial" w:cs="Arial" w:eastAsia="Arial" w:hint="default"/>
                <w:sz w:val="22"/>
                <w:szCs w:val="22"/>
              </w:rPr>
            </w:pPr>
            <w:r>
              <w:rPr>
                <w:rFonts w:ascii="Arial"/>
                <w:w w:val="100"/>
                <w:sz w:val="22"/>
              </w:rPr>
              <w:t>-</w:t>
            </w:r>
          </w:p>
        </w:tc>
        <w:tc>
          <w:tcPr>
            <w:tcW w:w="110"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single" w:sz="17" w:space="0" w:color="000000"/>
              <w:right w:val="nil" w:sz="6" w:space="0" w:color="auto"/>
            </w:tcBorders>
          </w:tcPr>
          <w:p>
            <w:pPr>
              <w:pStyle w:val="TableParagraph"/>
              <w:spacing w:line="240" w:lineRule="auto" w:before="2"/>
              <w:ind w:left="1012" w:right="0"/>
              <w:jc w:val="left"/>
              <w:rPr>
                <w:rFonts w:ascii="Arial" w:hAnsi="Arial" w:cs="Arial" w:eastAsia="Arial" w:hint="default"/>
                <w:sz w:val="22"/>
                <w:szCs w:val="22"/>
              </w:rPr>
            </w:pPr>
            <w:r>
              <w:rPr>
                <w:rFonts w:ascii="Arial"/>
                <w:sz w:val="22"/>
              </w:rPr>
              <w:t>23</w:t>
            </w:r>
          </w:p>
        </w:tc>
        <w:tc>
          <w:tcPr>
            <w:tcW w:w="1181" w:type="dxa"/>
            <w:tcBorders>
              <w:top w:val="nil" w:sz="6" w:space="0" w:color="auto"/>
              <w:left w:val="nil" w:sz="6" w:space="0" w:color="auto"/>
              <w:bottom w:val="single" w:sz="17" w:space="0" w:color="000000"/>
              <w:right w:val="nil" w:sz="6" w:space="0" w:color="auto"/>
            </w:tcBorders>
          </w:tcPr>
          <w:p>
            <w:pPr>
              <w:pStyle w:val="TableParagraph"/>
              <w:spacing w:line="240" w:lineRule="auto" w:before="2"/>
              <w:ind w:left="557" w:right="0"/>
              <w:jc w:val="left"/>
              <w:rPr>
                <w:rFonts w:ascii="Arial" w:hAnsi="Arial" w:cs="Arial" w:eastAsia="Arial" w:hint="default"/>
                <w:sz w:val="22"/>
                <w:szCs w:val="22"/>
              </w:rPr>
            </w:pPr>
            <w:r>
              <w:rPr>
                <w:rFonts w:ascii="Arial"/>
                <w:sz w:val="22"/>
              </w:rPr>
              <w:t>5,915</w:t>
            </w:r>
          </w:p>
        </w:tc>
      </w:tr>
    </w:tbl>
    <w:p>
      <w:pPr>
        <w:spacing w:line="240" w:lineRule="auto" w:before="11"/>
        <w:rPr>
          <w:rFonts w:ascii="宋体" w:hAnsi="宋体" w:cs="宋体" w:eastAsia="宋体" w:hint="default"/>
          <w:sz w:val="13"/>
          <w:szCs w:val="13"/>
        </w:rPr>
      </w:pPr>
    </w:p>
    <w:p>
      <w:pPr>
        <w:pStyle w:val="BodyText"/>
        <w:spacing w:line="240" w:lineRule="auto" w:before="32"/>
        <w:ind w:left="546" w:right="113"/>
        <w:jc w:val="left"/>
      </w:pPr>
      <w:r>
        <w:rPr/>
        <w:t>于</w:t>
      </w:r>
      <w:r>
        <w:rPr>
          <w:spacing w:val="-57"/>
        </w:rPr>
        <w:t> </w:t>
      </w:r>
      <w:r>
        <w:rPr>
          <w:rFonts w:ascii="Arial" w:hAnsi="Arial" w:cs="Arial" w:eastAsia="Arial" w:hint="default"/>
        </w:rPr>
        <w:t>2013</w:t>
      </w:r>
      <w:r>
        <w:rPr>
          <w:rFonts w:ascii="Arial" w:hAnsi="Arial" w:cs="Arial" w:eastAsia="Arial" w:hint="default"/>
          <w:spacing w:val="-9"/>
        </w:rPr>
        <w:t> </w:t>
      </w:r>
      <w:r>
        <w:rPr/>
        <w:t>年</w:t>
      </w:r>
      <w:r>
        <w:rPr>
          <w:spacing w:val="-57"/>
        </w:rPr>
        <w:t> </w:t>
      </w:r>
      <w:r>
        <w:rPr>
          <w:rFonts w:ascii="Arial" w:hAnsi="Arial" w:cs="Arial" w:eastAsia="Arial" w:hint="default"/>
        </w:rPr>
        <w:t>12</w:t>
      </w:r>
      <w:r>
        <w:rPr>
          <w:rFonts w:ascii="Arial" w:hAnsi="Arial" w:cs="Arial" w:eastAsia="Arial" w:hint="default"/>
          <w:spacing w:val="-9"/>
        </w:rPr>
        <w:t> </w:t>
      </w:r>
      <w:r>
        <w:rPr/>
        <w:t>月</w:t>
      </w:r>
      <w:r>
        <w:rPr>
          <w:spacing w:val="-57"/>
        </w:rPr>
        <w:t> </w:t>
      </w:r>
      <w:r>
        <w:rPr>
          <w:rFonts w:ascii="Arial" w:hAnsi="Arial" w:cs="Arial" w:eastAsia="Arial" w:hint="default"/>
        </w:rPr>
        <w:t>31</w:t>
      </w:r>
      <w:r>
        <w:rPr>
          <w:rFonts w:ascii="Arial" w:hAnsi="Arial" w:cs="Arial" w:eastAsia="Arial" w:hint="default"/>
          <w:spacing w:val="-9"/>
        </w:rPr>
        <w:t> </w:t>
      </w:r>
      <w:r>
        <w:rPr/>
        <w:t>日，以公允价值计量的金融资产按上述三个层级列示如下：</w:t>
      </w:r>
    </w:p>
    <w:p>
      <w:pPr>
        <w:spacing w:line="240" w:lineRule="auto" w:before="0"/>
        <w:rPr>
          <w:rFonts w:ascii="宋体" w:hAnsi="宋体" w:cs="宋体" w:eastAsia="宋体" w:hint="default"/>
          <w:sz w:val="23"/>
          <w:szCs w:val="23"/>
        </w:rPr>
      </w:pPr>
    </w:p>
    <w:tbl>
      <w:tblPr>
        <w:tblW w:w="0" w:type="auto"/>
        <w:jc w:val="left"/>
        <w:tblInd w:w="370" w:type="dxa"/>
        <w:tblLayout w:type="fixed"/>
        <w:tblCellMar>
          <w:top w:w="0" w:type="dxa"/>
          <w:left w:w="0" w:type="dxa"/>
          <w:bottom w:w="0" w:type="dxa"/>
          <w:right w:w="0" w:type="dxa"/>
        </w:tblCellMar>
        <w:tblLook w:val="01E0"/>
      </w:tblPr>
      <w:tblGrid>
        <w:gridCol w:w="2841"/>
        <w:gridCol w:w="1812"/>
        <w:gridCol w:w="1526"/>
        <w:gridCol w:w="1724"/>
        <w:gridCol w:w="1174"/>
      </w:tblGrid>
      <w:tr>
        <w:trPr>
          <w:trHeight w:val="253" w:hRule="exact"/>
        </w:trPr>
        <w:tc>
          <w:tcPr>
            <w:tcW w:w="2841"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22"/>
                <w:szCs w:val="22"/>
              </w:rPr>
            </w:pPr>
            <w:r>
              <w:rPr>
                <w:rFonts w:ascii="宋体" w:hAnsi="宋体" w:cs="宋体" w:eastAsia="宋体" w:hint="default"/>
                <w:sz w:val="22"/>
                <w:szCs w:val="22"/>
              </w:rPr>
              <w:t>（单位：人民币百万元）</w:t>
            </w:r>
          </w:p>
        </w:tc>
        <w:tc>
          <w:tcPr>
            <w:tcW w:w="1812" w:type="dxa"/>
            <w:tcBorders>
              <w:top w:val="nil" w:sz="6" w:space="0" w:color="auto"/>
              <w:left w:val="nil" w:sz="6" w:space="0" w:color="auto"/>
              <w:bottom w:val="nil" w:sz="6" w:space="0" w:color="auto"/>
              <w:right w:val="nil" w:sz="6" w:space="0" w:color="auto"/>
            </w:tcBorders>
          </w:tcPr>
          <w:p>
            <w:pPr>
              <w:pStyle w:val="TableParagraph"/>
              <w:spacing w:line="221" w:lineRule="exact"/>
              <w:ind w:right="353"/>
              <w:jc w:val="right"/>
              <w:rPr>
                <w:rFonts w:ascii="宋体" w:hAnsi="宋体" w:cs="宋体" w:eastAsia="宋体" w:hint="default"/>
                <w:sz w:val="22"/>
                <w:szCs w:val="22"/>
              </w:rPr>
            </w:pPr>
            <w:r>
              <w:rPr>
                <w:rFonts w:ascii="宋体" w:hAnsi="宋体" w:cs="宋体" w:eastAsia="宋体" w:hint="default"/>
                <w:sz w:val="22"/>
                <w:szCs w:val="22"/>
              </w:rPr>
              <w:t>第一层次</w:t>
            </w:r>
          </w:p>
        </w:tc>
        <w:tc>
          <w:tcPr>
            <w:tcW w:w="1526" w:type="dxa"/>
            <w:tcBorders>
              <w:top w:val="nil" w:sz="6" w:space="0" w:color="auto"/>
              <w:left w:val="nil" w:sz="6" w:space="0" w:color="auto"/>
              <w:bottom w:val="nil" w:sz="6" w:space="0" w:color="auto"/>
              <w:right w:val="nil" w:sz="6" w:space="0" w:color="auto"/>
            </w:tcBorders>
          </w:tcPr>
          <w:p>
            <w:pPr>
              <w:pStyle w:val="TableParagraph"/>
              <w:spacing w:line="221" w:lineRule="exact"/>
              <w:ind w:right="286"/>
              <w:jc w:val="right"/>
              <w:rPr>
                <w:rFonts w:ascii="宋体" w:hAnsi="宋体" w:cs="宋体" w:eastAsia="宋体" w:hint="default"/>
                <w:sz w:val="22"/>
                <w:szCs w:val="22"/>
              </w:rPr>
            </w:pPr>
            <w:r>
              <w:rPr>
                <w:rFonts w:ascii="宋体" w:hAnsi="宋体" w:cs="宋体" w:eastAsia="宋体" w:hint="default"/>
                <w:sz w:val="22"/>
                <w:szCs w:val="22"/>
              </w:rPr>
              <w:t>第二层次</w:t>
            </w:r>
          </w:p>
        </w:tc>
        <w:tc>
          <w:tcPr>
            <w:tcW w:w="1724" w:type="dxa"/>
            <w:tcBorders>
              <w:top w:val="nil" w:sz="6" w:space="0" w:color="auto"/>
              <w:left w:val="nil" w:sz="6" w:space="0" w:color="auto"/>
              <w:bottom w:val="nil" w:sz="6" w:space="0" w:color="auto"/>
              <w:right w:val="nil" w:sz="6" w:space="0" w:color="auto"/>
            </w:tcBorders>
          </w:tcPr>
          <w:p>
            <w:pPr>
              <w:pStyle w:val="TableParagraph"/>
              <w:spacing w:line="221" w:lineRule="exact"/>
              <w:ind w:right="550"/>
              <w:jc w:val="right"/>
              <w:rPr>
                <w:rFonts w:ascii="宋体" w:hAnsi="宋体" w:cs="宋体" w:eastAsia="宋体" w:hint="default"/>
                <w:sz w:val="22"/>
                <w:szCs w:val="22"/>
              </w:rPr>
            </w:pPr>
            <w:r>
              <w:rPr>
                <w:rFonts w:ascii="宋体" w:hAnsi="宋体" w:cs="宋体" w:eastAsia="宋体" w:hint="default"/>
                <w:sz w:val="22"/>
                <w:szCs w:val="22"/>
              </w:rPr>
              <w:t>第三层次</w:t>
            </w:r>
          </w:p>
        </w:tc>
        <w:tc>
          <w:tcPr>
            <w:tcW w:w="1174" w:type="dxa"/>
            <w:tcBorders>
              <w:top w:val="nil" w:sz="6" w:space="0" w:color="auto"/>
              <w:left w:val="nil" w:sz="6" w:space="0" w:color="auto"/>
              <w:bottom w:val="nil" w:sz="6" w:space="0" w:color="auto"/>
              <w:right w:val="nil" w:sz="6" w:space="0" w:color="auto"/>
            </w:tcBorders>
          </w:tcPr>
          <w:p>
            <w:pPr>
              <w:pStyle w:val="TableParagraph"/>
              <w:spacing w:line="221" w:lineRule="exact"/>
              <w:ind w:right="67"/>
              <w:jc w:val="right"/>
              <w:rPr>
                <w:rFonts w:ascii="宋体" w:hAnsi="宋体" w:cs="宋体" w:eastAsia="宋体" w:hint="default"/>
                <w:sz w:val="22"/>
                <w:szCs w:val="22"/>
              </w:rPr>
            </w:pPr>
            <w:r>
              <w:rPr>
                <w:rFonts w:ascii="宋体" w:hAnsi="宋体" w:cs="宋体" w:eastAsia="宋体" w:hint="default"/>
                <w:sz w:val="22"/>
                <w:szCs w:val="22"/>
              </w:rPr>
              <w:t>合计</w:t>
            </w:r>
          </w:p>
        </w:tc>
      </w:tr>
      <w:tr>
        <w:trPr>
          <w:trHeight w:val="291" w:hRule="exact"/>
        </w:trPr>
        <w:tc>
          <w:tcPr>
            <w:tcW w:w="2841" w:type="dxa"/>
            <w:tcBorders>
              <w:top w:val="nil" w:sz="6" w:space="0" w:color="auto"/>
              <w:left w:val="nil" w:sz="6" w:space="0" w:color="auto"/>
              <w:bottom w:val="nil" w:sz="6" w:space="0" w:color="auto"/>
              <w:right w:val="nil" w:sz="6" w:space="0" w:color="auto"/>
            </w:tcBorders>
          </w:tcPr>
          <w:p>
            <w:pPr>
              <w:pStyle w:val="TableParagraph"/>
              <w:spacing w:line="269" w:lineRule="exact"/>
              <w:ind w:left="200" w:right="0"/>
              <w:jc w:val="left"/>
              <w:rPr>
                <w:rFonts w:ascii="Arial" w:hAnsi="Arial" w:cs="Arial" w:eastAsia="Arial" w:hint="default"/>
                <w:sz w:val="22"/>
                <w:szCs w:val="22"/>
              </w:rPr>
            </w:pPr>
            <w:r>
              <w:rPr>
                <w:rFonts w:ascii="宋体" w:hAnsi="宋体" w:cs="宋体" w:eastAsia="宋体" w:hint="default"/>
                <w:sz w:val="22"/>
                <w:szCs w:val="22"/>
              </w:rPr>
              <w:t>金融资产</w:t>
            </w:r>
            <w:r>
              <w:rPr>
                <w:rFonts w:ascii="Arial" w:hAnsi="Arial" w:cs="Arial" w:eastAsia="Arial" w:hint="default"/>
                <w:sz w:val="22"/>
                <w:szCs w:val="22"/>
              </w:rPr>
              <w:t>-</w:t>
            </w:r>
          </w:p>
        </w:tc>
        <w:tc>
          <w:tcPr>
            <w:tcW w:w="1812"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
        </w:tc>
      </w:tr>
      <w:tr>
        <w:trPr>
          <w:trHeight w:val="594" w:hRule="exact"/>
        </w:trPr>
        <w:tc>
          <w:tcPr>
            <w:tcW w:w="2841" w:type="dxa"/>
            <w:tcBorders>
              <w:top w:val="nil" w:sz="6" w:space="0" w:color="auto"/>
              <w:left w:val="nil" w:sz="6" w:space="0" w:color="auto"/>
              <w:bottom w:val="nil" w:sz="6" w:space="0" w:color="auto"/>
              <w:right w:val="nil" w:sz="6" w:space="0" w:color="auto"/>
            </w:tcBorders>
          </w:tcPr>
          <w:p>
            <w:pPr>
              <w:pStyle w:val="TableParagraph"/>
              <w:spacing w:line="254" w:lineRule="exact"/>
              <w:ind w:left="379" w:right="0"/>
              <w:jc w:val="left"/>
              <w:rPr>
                <w:rFonts w:ascii="宋体" w:hAnsi="宋体" w:cs="宋体" w:eastAsia="宋体" w:hint="default"/>
                <w:sz w:val="22"/>
                <w:szCs w:val="22"/>
              </w:rPr>
            </w:pPr>
            <w:r>
              <w:rPr>
                <w:rFonts w:ascii="宋体" w:hAnsi="宋体" w:cs="宋体" w:eastAsia="宋体" w:hint="default"/>
                <w:sz w:val="22"/>
                <w:szCs w:val="22"/>
              </w:rPr>
              <w:t>可供出售金融资产</w:t>
            </w:r>
            <w:r>
              <w:rPr>
                <w:rFonts w:ascii="Arial" w:hAnsi="Arial" w:cs="Arial" w:eastAsia="Arial" w:hint="default"/>
                <w:sz w:val="22"/>
                <w:szCs w:val="22"/>
              </w:rPr>
              <w:t>-</w:t>
            </w:r>
            <w:r>
              <w:rPr>
                <w:rFonts w:ascii="宋体" w:hAnsi="宋体" w:cs="宋体" w:eastAsia="宋体" w:hint="default"/>
                <w:sz w:val="22"/>
                <w:szCs w:val="22"/>
              </w:rPr>
              <w:t>可供</w:t>
            </w:r>
          </w:p>
          <w:p>
            <w:pPr>
              <w:pStyle w:val="TableParagraph"/>
              <w:spacing w:line="279" w:lineRule="exact"/>
              <w:ind w:left="586" w:right="0"/>
              <w:jc w:val="left"/>
              <w:rPr>
                <w:rFonts w:ascii="宋体" w:hAnsi="宋体" w:cs="宋体" w:eastAsia="宋体" w:hint="default"/>
                <w:sz w:val="22"/>
                <w:szCs w:val="22"/>
              </w:rPr>
            </w:pPr>
            <w:r>
              <w:rPr>
                <w:rFonts w:ascii="宋体" w:hAnsi="宋体" w:cs="宋体" w:eastAsia="宋体" w:hint="default"/>
                <w:sz w:val="22"/>
                <w:szCs w:val="22"/>
              </w:rPr>
              <w:t>出售权益工具</w:t>
            </w:r>
          </w:p>
        </w:tc>
        <w:tc>
          <w:tcPr>
            <w:tcW w:w="1812" w:type="dxa"/>
            <w:tcBorders>
              <w:top w:val="nil" w:sz="6" w:space="0" w:color="auto"/>
              <w:left w:val="nil" w:sz="6" w:space="0" w:color="auto"/>
              <w:bottom w:val="single" w:sz="17"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352"/>
              <w:jc w:val="right"/>
              <w:rPr>
                <w:rFonts w:ascii="Arial" w:hAnsi="Arial" w:cs="Arial" w:eastAsia="Arial" w:hint="default"/>
                <w:sz w:val="22"/>
                <w:szCs w:val="22"/>
              </w:rPr>
            </w:pPr>
            <w:r>
              <w:rPr>
                <w:rFonts w:ascii="Arial"/>
                <w:sz w:val="22"/>
              </w:rPr>
              <w:t>6,497</w:t>
            </w:r>
          </w:p>
        </w:tc>
        <w:tc>
          <w:tcPr>
            <w:tcW w:w="1526" w:type="dxa"/>
            <w:tcBorders>
              <w:top w:val="nil" w:sz="6" w:space="0" w:color="auto"/>
              <w:left w:val="nil" w:sz="6" w:space="0" w:color="auto"/>
              <w:bottom w:val="single" w:sz="17"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89"/>
              <w:jc w:val="right"/>
              <w:rPr>
                <w:rFonts w:ascii="Arial" w:hAnsi="Arial" w:cs="Arial" w:eastAsia="Arial" w:hint="default"/>
                <w:sz w:val="22"/>
                <w:szCs w:val="22"/>
              </w:rPr>
            </w:pPr>
            <w:r>
              <w:rPr>
                <w:rFonts w:ascii="Arial"/>
                <w:w w:val="100"/>
                <w:sz w:val="22"/>
              </w:rPr>
              <w:t>-</w:t>
            </w:r>
          </w:p>
        </w:tc>
        <w:tc>
          <w:tcPr>
            <w:tcW w:w="1724" w:type="dxa"/>
            <w:tcBorders>
              <w:top w:val="nil" w:sz="6" w:space="0" w:color="auto"/>
              <w:left w:val="nil" w:sz="6" w:space="0" w:color="auto"/>
              <w:bottom w:val="single" w:sz="17"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579"/>
              <w:jc w:val="right"/>
              <w:rPr>
                <w:rFonts w:ascii="Arial" w:hAnsi="Arial" w:cs="Arial" w:eastAsia="Arial" w:hint="default"/>
                <w:sz w:val="22"/>
                <w:szCs w:val="22"/>
              </w:rPr>
            </w:pPr>
            <w:r>
              <w:rPr>
                <w:rFonts w:ascii="Arial"/>
                <w:w w:val="100"/>
                <w:sz w:val="22"/>
              </w:rPr>
              <w:t>-</w:t>
            </w:r>
          </w:p>
        </w:tc>
        <w:tc>
          <w:tcPr>
            <w:tcW w:w="1174" w:type="dxa"/>
            <w:tcBorders>
              <w:top w:val="nil" w:sz="6" w:space="0" w:color="auto"/>
              <w:left w:val="nil" w:sz="6" w:space="0" w:color="auto"/>
              <w:bottom w:val="single" w:sz="17"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67"/>
              <w:jc w:val="right"/>
              <w:rPr>
                <w:rFonts w:ascii="Arial" w:hAnsi="Arial" w:cs="Arial" w:eastAsia="Arial" w:hint="default"/>
                <w:sz w:val="22"/>
                <w:szCs w:val="22"/>
              </w:rPr>
            </w:pPr>
            <w:r>
              <w:rPr>
                <w:rFonts w:ascii="Arial"/>
                <w:sz w:val="22"/>
              </w:rPr>
              <w:t>6,497</w:t>
            </w:r>
          </w:p>
        </w:tc>
      </w:tr>
    </w:tbl>
    <w:p>
      <w:pPr>
        <w:spacing w:line="240" w:lineRule="auto" w:before="11"/>
        <w:rPr>
          <w:rFonts w:ascii="宋体" w:hAnsi="宋体" w:cs="宋体" w:eastAsia="宋体" w:hint="default"/>
          <w:sz w:val="13"/>
          <w:szCs w:val="13"/>
        </w:rPr>
      </w:pPr>
    </w:p>
    <w:p>
      <w:pPr>
        <w:pStyle w:val="BodyText"/>
        <w:spacing w:line="240" w:lineRule="auto" w:before="32"/>
        <w:ind w:left="546" w:right="113"/>
        <w:jc w:val="left"/>
      </w:pPr>
      <w:r>
        <w:rPr/>
        <w:t>截至</w:t>
      </w:r>
      <w:r>
        <w:rPr>
          <w:spacing w:val="-56"/>
        </w:rPr>
        <w:t> </w:t>
      </w:r>
      <w:r>
        <w:rPr>
          <w:rFonts w:ascii="Arial" w:hAnsi="Arial" w:cs="Arial" w:eastAsia="Arial" w:hint="default"/>
        </w:rPr>
        <w:t>2014</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10"/>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日止，无金融资产在第一层次和第二层次之间转移。</w:t>
      </w:r>
    </w:p>
    <w:p>
      <w:pPr>
        <w:spacing w:after="0" w:line="240" w:lineRule="auto"/>
        <w:jc w:val="left"/>
        <w:sectPr>
          <w:headerReference w:type="default" r:id="rId140"/>
          <w:pgSz w:w="11910" w:h="16840"/>
          <w:pgMar w:header="1181" w:footer="923" w:top="2500" w:bottom="1120" w:left="1280" w:right="900"/>
        </w:sectPr>
      </w:pPr>
    </w:p>
    <w:p>
      <w:pPr>
        <w:spacing w:line="240" w:lineRule="auto" w:before="2"/>
        <w:rPr>
          <w:rFonts w:ascii="宋体" w:hAnsi="宋体" w:cs="宋体" w:eastAsia="宋体" w:hint="default"/>
          <w:sz w:val="18"/>
          <w:szCs w:val="18"/>
        </w:rPr>
      </w:pPr>
    </w:p>
    <w:p>
      <w:pPr>
        <w:tabs>
          <w:tab w:pos="522" w:val="left" w:leader="none"/>
        </w:tabs>
        <w:spacing w:before="36"/>
        <w:ind w:left="102" w:right="978" w:firstLine="0"/>
        <w:jc w:val="left"/>
        <w:rPr>
          <w:rFonts w:ascii="黑体" w:hAnsi="黑体" w:cs="黑体" w:eastAsia="黑体" w:hint="default"/>
          <w:sz w:val="21"/>
          <w:szCs w:val="21"/>
        </w:rPr>
      </w:pPr>
      <w:r>
        <w:rPr>
          <w:rFonts w:ascii="黑体" w:hAnsi="黑体" w:cs="黑体" w:eastAsia="黑体" w:hint="default"/>
          <w:sz w:val="21"/>
          <w:szCs w:val="21"/>
        </w:rPr>
        <w:t>九</w:t>
        <w:tab/>
        <w:t>公允价值的披露（续）</w:t>
      </w:r>
    </w:p>
    <w:p>
      <w:pPr>
        <w:spacing w:line="240" w:lineRule="auto" w:before="1"/>
        <w:rPr>
          <w:rFonts w:ascii="黑体" w:hAnsi="黑体" w:cs="黑体" w:eastAsia="黑体" w:hint="default"/>
          <w:sz w:val="18"/>
          <w:szCs w:val="18"/>
        </w:rPr>
      </w:pPr>
    </w:p>
    <w:p>
      <w:pPr>
        <w:pStyle w:val="BodyText"/>
        <w:spacing w:line="240" w:lineRule="auto"/>
        <w:ind w:left="102" w:right="978"/>
        <w:jc w:val="left"/>
      </w:pPr>
      <w:r>
        <w:rPr>
          <w:rFonts w:ascii="Arial" w:hAnsi="Arial" w:cs="Arial" w:eastAsia="Arial" w:hint="default"/>
        </w:rPr>
        <w:t>2</w:t>
      </w:r>
      <w:r>
        <w:rPr>
          <w:rFonts w:ascii="宋体" w:hAnsi="宋体" w:cs="宋体" w:eastAsia="宋体" w:hint="default"/>
        </w:rPr>
        <w:t>、</w:t>
      </w:r>
      <w:r>
        <w:rPr>
          <w:rFonts w:ascii="宋体" w:hAnsi="宋体" w:cs="宋体" w:eastAsia="宋体" w:hint="default"/>
          <w:spacing w:val="-37"/>
        </w:rPr>
        <w:t> </w:t>
      </w:r>
      <w:r>
        <w:rPr/>
        <w:t>不以公允价值计量的金融资产和金融负债的公允价值情况</w:t>
      </w:r>
    </w:p>
    <w:p>
      <w:pPr>
        <w:spacing w:line="240" w:lineRule="auto" w:before="9"/>
        <w:rPr>
          <w:rFonts w:ascii="宋体" w:hAnsi="宋体" w:cs="宋体" w:eastAsia="宋体" w:hint="default"/>
          <w:sz w:val="21"/>
          <w:szCs w:val="21"/>
        </w:rPr>
      </w:pPr>
    </w:p>
    <w:p>
      <w:pPr>
        <w:pStyle w:val="BodyText"/>
        <w:spacing w:line="286" w:lineRule="exact"/>
        <w:ind w:left="530" w:right="339"/>
        <w:jc w:val="left"/>
      </w:pPr>
      <w:r>
        <w:rPr/>
        <w:t>除以下项目外，本集团</w:t>
      </w:r>
      <w:r>
        <w:rPr>
          <w:spacing w:val="-57"/>
        </w:rPr>
        <w:t> </w:t>
      </w:r>
      <w:r>
        <w:rPr>
          <w:rFonts w:ascii="Arial" w:hAnsi="Arial" w:cs="Arial" w:eastAsia="Arial" w:hint="default"/>
        </w:rPr>
        <w:t>12</w:t>
      </w:r>
      <w:r>
        <w:rPr>
          <w:rFonts w:ascii="Arial" w:hAnsi="Arial" w:cs="Arial" w:eastAsia="Arial" w:hint="default"/>
          <w:spacing w:val="-9"/>
        </w:rPr>
        <w:t> </w:t>
      </w:r>
      <w:r>
        <w:rPr/>
        <w:t>月</w:t>
      </w:r>
      <w:r>
        <w:rPr>
          <w:spacing w:val="-57"/>
        </w:rPr>
        <w:t> </w:t>
      </w:r>
      <w:r>
        <w:rPr>
          <w:rFonts w:ascii="Arial" w:hAnsi="Arial" w:cs="Arial" w:eastAsia="Arial" w:hint="default"/>
        </w:rPr>
        <w:t>31</w:t>
      </w:r>
      <w:r>
        <w:rPr>
          <w:rFonts w:ascii="Arial" w:hAnsi="Arial" w:cs="Arial" w:eastAsia="Arial" w:hint="default"/>
          <w:spacing w:val="-9"/>
        </w:rPr>
        <w:t> </w:t>
      </w:r>
      <w:r>
        <w:rPr/>
        <w:t>日各项金融资产和金融负债的账面价值与公允价值之间无重大</w:t>
      </w:r>
      <w:r>
        <w:rPr>
          <w:w w:val="100"/>
        </w:rPr>
        <w:t> </w:t>
      </w:r>
      <w:r>
        <w:rPr/>
        <w:t>差异。</w:t>
      </w:r>
    </w:p>
    <w:p>
      <w:pPr>
        <w:spacing w:line="240" w:lineRule="auto" w:before="4"/>
        <w:rPr>
          <w:rFonts w:ascii="宋体" w:hAnsi="宋体" w:cs="宋体" w:eastAsia="宋体" w:hint="default"/>
          <w:sz w:val="21"/>
          <w:szCs w:val="21"/>
        </w:rPr>
      </w:pPr>
    </w:p>
    <w:tbl>
      <w:tblPr>
        <w:tblW w:w="0" w:type="auto"/>
        <w:jc w:val="left"/>
        <w:tblInd w:w="370" w:type="dxa"/>
        <w:tblLayout w:type="fixed"/>
        <w:tblCellMar>
          <w:top w:w="0" w:type="dxa"/>
          <w:left w:w="0" w:type="dxa"/>
          <w:bottom w:w="0" w:type="dxa"/>
          <w:right w:w="0" w:type="dxa"/>
        </w:tblCellMar>
        <w:tblLook w:val="01E0"/>
      </w:tblPr>
      <w:tblGrid>
        <w:gridCol w:w="1434"/>
        <w:gridCol w:w="987"/>
        <w:gridCol w:w="108"/>
        <w:gridCol w:w="1027"/>
        <w:gridCol w:w="118"/>
        <w:gridCol w:w="1015"/>
        <w:gridCol w:w="108"/>
        <w:gridCol w:w="1028"/>
        <w:gridCol w:w="1121"/>
        <w:gridCol w:w="130"/>
        <w:gridCol w:w="1143"/>
        <w:gridCol w:w="118"/>
        <w:gridCol w:w="1142"/>
      </w:tblGrid>
      <w:tr>
        <w:trPr>
          <w:trHeight w:val="262" w:hRule="exact"/>
        </w:trPr>
        <w:tc>
          <w:tcPr>
            <w:tcW w:w="3556" w:type="dxa"/>
            <w:gridSpan w:val="4"/>
            <w:tcBorders>
              <w:top w:val="nil" w:sz="6" w:space="0" w:color="auto"/>
              <w:left w:val="nil" w:sz="6" w:space="0" w:color="auto"/>
              <w:bottom w:val="nil" w:sz="6" w:space="0" w:color="auto"/>
              <w:right w:val="nil" w:sz="6" w:space="0" w:color="auto"/>
            </w:tcBorders>
          </w:tcPr>
          <w:p>
            <w:pPr>
              <w:pStyle w:val="TableParagraph"/>
              <w:spacing w:line="236" w:lineRule="exact"/>
              <w:ind w:left="1560"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3389" w:type="dxa"/>
            <w:gridSpan w:val="5"/>
            <w:tcBorders>
              <w:top w:val="nil" w:sz="6" w:space="0" w:color="auto"/>
              <w:left w:val="nil" w:sz="6" w:space="0" w:color="auto"/>
              <w:bottom w:val="single" w:sz="4" w:space="0" w:color="000000"/>
              <w:right w:val="nil" w:sz="6" w:space="0" w:color="auto"/>
            </w:tcBorders>
          </w:tcPr>
          <w:p>
            <w:pPr>
              <w:pStyle w:val="TableParagraph"/>
              <w:spacing w:line="236" w:lineRule="exact"/>
              <w:ind w:left="460"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11"/>
                <w:sz w:val="22"/>
                <w:szCs w:val="22"/>
              </w:rPr>
              <w:t> </w:t>
            </w:r>
            <w:r>
              <w:rPr>
                <w:rFonts w:ascii="宋体" w:hAnsi="宋体" w:cs="宋体" w:eastAsia="宋体" w:hint="default"/>
                <w:sz w:val="22"/>
                <w:szCs w:val="22"/>
              </w:rPr>
              <w:t>年公允价值计量层次</w:t>
            </w:r>
          </w:p>
        </w:tc>
        <w:tc>
          <w:tcPr>
            <w:tcW w:w="2533" w:type="dxa"/>
            <w:gridSpan w:val="4"/>
            <w:tcBorders>
              <w:top w:val="nil" w:sz="6" w:space="0" w:color="auto"/>
              <w:left w:val="nil" w:sz="6" w:space="0" w:color="auto"/>
              <w:bottom w:val="single" w:sz="4" w:space="0" w:color="000000"/>
              <w:right w:val="nil" w:sz="6" w:space="0" w:color="auto"/>
            </w:tcBorders>
          </w:tcPr>
          <w:p>
            <w:pPr>
              <w:pStyle w:val="TableParagraph"/>
              <w:spacing w:line="236" w:lineRule="exact"/>
              <w:ind w:left="544" w:right="0"/>
              <w:jc w:val="lef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295" w:hRule="exact"/>
        </w:trPr>
        <w:tc>
          <w:tcPr>
            <w:tcW w:w="2420"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469" w:right="0"/>
              <w:jc w:val="left"/>
              <w:rPr>
                <w:rFonts w:ascii="宋体" w:hAnsi="宋体" w:cs="宋体" w:eastAsia="宋体" w:hint="default"/>
                <w:sz w:val="22"/>
                <w:szCs w:val="22"/>
              </w:rPr>
            </w:pPr>
            <w:r>
              <w:rPr>
                <w:rFonts w:ascii="宋体" w:hAnsi="宋体" w:cs="宋体" w:eastAsia="宋体" w:hint="default"/>
                <w:sz w:val="22"/>
                <w:szCs w:val="22"/>
              </w:rPr>
              <w:t>账面价值</w:t>
            </w:r>
          </w:p>
        </w:tc>
        <w:tc>
          <w:tcPr>
            <w:tcW w:w="108" w:type="dxa"/>
            <w:tcBorders>
              <w:top w:val="single" w:sz="4" w:space="0" w:color="000000"/>
              <w:left w:val="nil" w:sz="6" w:space="0" w:color="auto"/>
              <w:bottom w:val="nil" w:sz="6" w:space="0" w:color="auto"/>
              <w:right w:val="nil" w:sz="6" w:space="0" w:color="auto"/>
            </w:tcBorders>
          </w:tcPr>
          <w:p>
            <w:pPr/>
          </w:p>
        </w:tc>
        <w:tc>
          <w:tcPr>
            <w:tcW w:w="1027" w:type="dxa"/>
            <w:tcBorders>
              <w:top w:val="single" w:sz="4" w:space="0" w:color="000000"/>
              <w:left w:val="nil" w:sz="6" w:space="0" w:color="auto"/>
              <w:bottom w:val="single" w:sz="4" w:space="0" w:color="000000"/>
              <w:right w:val="nil" w:sz="6" w:space="0" w:color="auto"/>
            </w:tcBorders>
          </w:tcPr>
          <w:p>
            <w:pPr>
              <w:pStyle w:val="TableParagraph"/>
              <w:spacing w:line="252" w:lineRule="exact"/>
              <w:ind w:left="67" w:right="0"/>
              <w:jc w:val="left"/>
              <w:rPr>
                <w:rFonts w:ascii="宋体" w:hAnsi="宋体" w:cs="宋体" w:eastAsia="宋体" w:hint="default"/>
                <w:sz w:val="22"/>
                <w:szCs w:val="22"/>
              </w:rPr>
            </w:pPr>
            <w:r>
              <w:rPr>
                <w:rFonts w:ascii="宋体" w:hAnsi="宋体" w:cs="宋体" w:eastAsia="宋体" w:hint="default"/>
                <w:sz w:val="22"/>
                <w:szCs w:val="22"/>
              </w:rPr>
              <w:t>公允价值</w:t>
            </w:r>
          </w:p>
        </w:tc>
        <w:tc>
          <w:tcPr>
            <w:tcW w:w="118" w:type="dxa"/>
            <w:tcBorders>
              <w:top w:val="nil" w:sz="6" w:space="0" w:color="auto"/>
              <w:left w:val="nil" w:sz="6" w:space="0" w:color="auto"/>
              <w:bottom w:val="nil" w:sz="6" w:space="0" w:color="auto"/>
              <w:right w:val="nil" w:sz="6" w:space="0" w:color="auto"/>
            </w:tcBorders>
          </w:tcPr>
          <w:p>
            <w:pPr/>
          </w:p>
        </w:tc>
        <w:tc>
          <w:tcPr>
            <w:tcW w:w="1015" w:type="dxa"/>
            <w:tcBorders>
              <w:top w:val="single" w:sz="4" w:space="0" w:color="000000"/>
              <w:left w:val="nil" w:sz="6" w:space="0" w:color="auto"/>
              <w:bottom w:val="single" w:sz="4" w:space="0" w:color="000000"/>
              <w:right w:val="nil" w:sz="6" w:space="0" w:color="auto"/>
            </w:tcBorders>
          </w:tcPr>
          <w:p>
            <w:pPr>
              <w:pStyle w:val="TableParagraph"/>
              <w:spacing w:line="252" w:lineRule="exact"/>
              <w:ind w:left="74" w:right="0"/>
              <w:jc w:val="left"/>
              <w:rPr>
                <w:rFonts w:ascii="宋体" w:hAnsi="宋体" w:cs="宋体" w:eastAsia="宋体" w:hint="default"/>
                <w:sz w:val="22"/>
                <w:szCs w:val="22"/>
              </w:rPr>
            </w:pPr>
            <w:r>
              <w:rPr>
                <w:rFonts w:ascii="宋体" w:hAnsi="宋体" w:cs="宋体" w:eastAsia="宋体" w:hint="default"/>
                <w:sz w:val="22"/>
                <w:szCs w:val="22"/>
              </w:rPr>
              <w:t>第一层次</w:t>
            </w:r>
          </w:p>
        </w:tc>
        <w:tc>
          <w:tcPr>
            <w:tcW w:w="108" w:type="dxa"/>
            <w:tcBorders>
              <w:top w:val="single" w:sz="4" w:space="0" w:color="000000"/>
              <w:left w:val="nil" w:sz="6" w:space="0" w:color="auto"/>
              <w:bottom w:val="nil" w:sz="6" w:space="0" w:color="auto"/>
              <w:right w:val="nil" w:sz="6" w:space="0" w:color="auto"/>
            </w:tcBorders>
          </w:tcPr>
          <w:p>
            <w:pPr/>
          </w:p>
        </w:tc>
        <w:tc>
          <w:tcPr>
            <w:tcW w:w="1028" w:type="dxa"/>
            <w:tcBorders>
              <w:top w:val="single" w:sz="4" w:space="0" w:color="000000"/>
              <w:left w:val="nil" w:sz="6" w:space="0" w:color="auto"/>
              <w:bottom w:val="single" w:sz="4" w:space="0" w:color="000000"/>
              <w:right w:val="nil" w:sz="6" w:space="0" w:color="auto"/>
            </w:tcBorders>
          </w:tcPr>
          <w:p>
            <w:pPr>
              <w:pStyle w:val="TableParagraph"/>
              <w:spacing w:line="252" w:lineRule="exact"/>
              <w:ind w:right="68"/>
              <w:jc w:val="right"/>
              <w:rPr>
                <w:rFonts w:ascii="宋体" w:hAnsi="宋体" w:cs="宋体" w:eastAsia="宋体" w:hint="default"/>
                <w:sz w:val="22"/>
                <w:szCs w:val="22"/>
              </w:rPr>
            </w:pPr>
            <w:r>
              <w:rPr>
                <w:rFonts w:ascii="宋体" w:hAnsi="宋体" w:cs="宋体" w:eastAsia="宋体" w:hint="default"/>
                <w:sz w:val="22"/>
                <w:szCs w:val="22"/>
              </w:rPr>
              <w:t>第二层次</w:t>
            </w:r>
          </w:p>
        </w:tc>
        <w:tc>
          <w:tcPr>
            <w:tcW w:w="1121" w:type="dxa"/>
            <w:tcBorders>
              <w:top w:val="single" w:sz="4" w:space="0" w:color="000000"/>
              <w:left w:val="nil" w:sz="6" w:space="0" w:color="auto"/>
              <w:bottom w:val="single" w:sz="4" w:space="0" w:color="000000"/>
              <w:right w:val="nil" w:sz="6" w:space="0" w:color="auto"/>
            </w:tcBorders>
          </w:tcPr>
          <w:p>
            <w:pPr>
              <w:pStyle w:val="TableParagraph"/>
              <w:spacing w:line="252" w:lineRule="exact"/>
              <w:ind w:right="67"/>
              <w:jc w:val="right"/>
              <w:rPr>
                <w:rFonts w:ascii="宋体" w:hAnsi="宋体" w:cs="宋体" w:eastAsia="宋体" w:hint="default"/>
                <w:sz w:val="22"/>
                <w:szCs w:val="22"/>
              </w:rPr>
            </w:pPr>
            <w:r>
              <w:rPr>
                <w:rFonts w:ascii="宋体" w:hAnsi="宋体" w:cs="宋体" w:eastAsia="宋体" w:hint="default"/>
                <w:sz w:val="22"/>
                <w:szCs w:val="22"/>
              </w:rPr>
              <w:t>第三层次</w:t>
            </w:r>
          </w:p>
        </w:tc>
        <w:tc>
          <w:tcPr>
            <w:tcW w:w="130" w:type="dxa"/>
            <w:tcBorders>
              <w:top w:val="nil" w:sz="6" w:space="0" w:color="auto"/>
              <w:left w:val="nil" w:sz="6" w:space="0" w:color="auto"/>
              <w:bottom w:val="nil" w:sz="6" w:space="0" w:color="auto"/>
              <w:right w:val="nil" w:sz="6" w:space="0" w:color="auto"/>
            </w:tcBorders>
          </w:tcPr>
          <w:p>
            <w:pPr/>
          </w:p>
        </w:tc>
        <w:tc>
          <w:tcPr>
            <w:tcW w:w="1143" w:type="dxa"/>
            <w:tcBorders>
              <w:top w:val="single" w:sz="4" w:space="0" w:color="000000"/>
              <w:left w:val="nil" w:sz="6" w:space="0" w:color="auto"/>
              <w:bottom w:val="single" w:sz="4" w:space="0" w:color="000000"/>
              <w:right w:val="nil" w:sz="6" w:space="0" w:color="auto"/>
            </w:tcBorders>
          </w:tcPr>
          <w:p>
            <w:pPr>
              <w:pStyle w:val="TableParagraph"/>
              <w:spacing w:line="252" w:lineRule="exact"/>
              <w:ind w:left="187" w:right="0"/>
              <w:jc w:val="left"/>
              <w:rPr>
                <w:rFonts w:ascii="宋体" w:hAnsi="宋体" w:cs="宋体" w:eastAsia="宋体" w:hint="default"/>
                <w:sz w:val="22"/>
                <w:szCs w:val="22"/>
              </w:rPr>
            </w:pPr>
            <w:r>
              <w:rPr>
                <w:rFonts w:ascii="宋体" w:hAnsi="宋体" w:cs="宋体" w:eastAsia="宋体" w:hint="default"/>
                <w:sz w:val="22"/>
                <w:szCs w:val="22"/>
              </w:rPr>
              <w:t>账面价值</w:t>
            </w:r>
          </w:p>
        </w:tc>
        <w:tc>
          <w:tcPr>
            <w:tcW w:w="118" w:type="dxa"/>
            <w:tcBorders>
              <w:top w:val="single" w:sz="4" w:space="0" w:color="000000"/>
              <w:left w:val="nil" w:sz="6" w:space="0" w:color="auto"/>
              <w:bottom w:val="nil" w:sz="6" w:space="0" w:color="auto"/>
              <w:right w:val="nil" w:sz="6" w:space="0" w:color="auto"/>
            </w:tcBorders>
          </w:tcPr>
          <w:p>
            <w:pPr/>
          </w:p>
        </w:tc>
        <w:tc>
          <w:tcPr>
            <w:tcW w:w="1142" w:type="dxa"/>
            <w:tcBorders>
              <w:top w:val="single" w:sz="4" w:space="0" w:color="000000"/>
              <w:left w:val="nil" w:sz="6" w:space="0" w:color="auto"/>
              <w:bottom w:val="single" w:sz="4" w:space="0" w:color="000000"/>
              <w:right w:val="nil" w:sz="6" w:space="0" w:color="auto"/>
            </w:tcBorders>
          </w:tcPr>
          <w:p>
            <w:pPr>
              <w:pStyle w:val="TableParagraph"/>
              <w:spacing w:line="252" w:lineRule="exact"/>
              <w:ind w:left="187" w:right="0"/>
              <w:jc w:val="left"/>
              <w:rPr>
                <w:rFonts w:ascii="宋体" w:hAnsi="宋体" w:cs="宋体" w:eastAsia="宋体" w:hint="default"/>
                <w:sz w:val="22"/>
                <w:szCs w:val="22"/>
              </w:rPr>
            </w:pPr>
            <w:r>
              <w:rPr>
                <w:rFonts w:ascii="宋体" w:hAnsi="宋体" w:cs="宋体" w:eastAsia="宋体" w:hint="default"/>
                <w:sz w:val="22"/>
                <w:szCs w:val="22"/>
              </w:rPr>
              <w:t>公允价值</w:t>
            </w:r>
          </w:p>
        </w:tc>
      </w:tr>
      <w:tr>
        <w:trPr>
          <w:trHeight w:val="302"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57" w:lineRule="exact"/>
              <w:ind w:left="200"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987"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right="68"/>
              <w:jc w:val="right"/>
              <w:rPr>
                <w:rFonts w:ascii="Arial" w:hAnsi="Arial" w:cs="Arial" w:eastAsia="Arial" w:hint="default"/>
                <w:sz w:val="22"/>
                <w:szCs w:val="22"/>
              </w:rPr>
            </w:pPr>
            <w:r>
              <w:rPr>
                <w:rFonts w:ascii="Arial"/>
                <w:spacing w:val="-1"/>
                <w:sz w:val="22"/>
              </w:rPr>
              <w:t>420</w:t>
            </w:r>
            <w:r>
              <w:rPr>
                <w:rFonts w:ascii="Arial"/>
                <w:sz w:val="22"/>
              </w:rPr>
            </w:r>
          </w:p>
        </w:tc>
        <w:tc>
          <w:tcPr>
            <w:tcW w:w="108" w:type="dxa"/>
            <w:tcBorders>
              <w:top w:val="nil" w:sz="6" w:space="0" w:color="auto"/>
              <w:left w:val="nil" w:sz="6" w:space="0" w:color="auto"/>
              <w:bottom w:val="nil" w:sz="6" w:space="0" w:color="auto"/>
              <w:right w:val="nil" w:sz="6" w:space="0" w:color="auto"/>
            </w:tcBorders>
          </w:tcPr>
          <w:p>
            <w:pPr/>
          </w:p>
        </w:tc>
        <w:tc>
          <w:tcPr>
            <w:tcW w:w="1027" w:type="dxa"/>
            <w:tcBorders>
              <w:top w:val="single" w:sz="4" w:space="0" w:color="000000"/>
              <w:left w:val="nil" w:sz="6" w:space="0" w:color="auto"/>
              <w:bottom w:val="nil" w:sz="6" w:space="0" w:color="auto"/>
              <w:right w:val="nil" w:sz="6" w:space="0" w:color="auto"/>
            </w:tcBorders>
          </w:tcPr>
          <w:p>
            <w:pPr>
              <w:pStyle w:val="TableParagraph"/>
              <w:spacing w:line="240" w:lineRule="auto"/>
              <w:ind w:right="71"/>
              <w:jc w:val="right"/>
              <w:rPr>
                <w:rFonts w:ascii="Arial" w:hAnsi="Arial" w:cs="Arial" w:eastAsia="Arial" w:hint="default"/>
                <w:sz w:val="22"/>
                <w:szCs w:val="22"/>
              </w:rPr>
            </w:pPr>
            <w:r>
              <w:rPr>
                <w:rFonts w:ascii="Arial"/>
                <w:spacing w:val="-1"/>
                <w:sz w:val="22"/>
              </w:rPr>
              <w:t>392</w:t>
            </w:r>
            <w:r>
              <w:rPr>
                <w:rFonts w:ascii="Arial"/>
                <w:sz w:val="22"/>
              </w:rPr>
            </w:r>
          </w:p>
        </w:tc>
        <w:tc>
          <w:tcPr>
            <w:tcW w:w="118" w:type="dxa"/>
            <w:tcBorders>
              <w:top w:val="nil" w:sz="6" w:space="0" w:color="auto"/>
              <w:left w:val="nil" w:sz="6" w:space="0" w:color="auto"/>
              <w:bottom w:val="nil" w:sz="6" w:space="0" w:color="auto"/>
              <w:right w:val="nil" w:sz="6" w:space="0" w:color="auto"/>
            </w:tcBorders>
          </w:tcPr>
          <w:p>
            <w:pPr/>
          </w:p>
        </w:tc>
        <w:tc>
          <w:tcPr>
            <w:tcW w:w="1015"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right="68"/>
              <w:jc w:val="right"/>
              <w:rPr>
                <w:rFonts w:ascii="Arial" w:hAnsi="Arial" w:cs="Arial" w:eastAsia="Arial" w:hint="default"/>
                <w:sz w:val="22"/>
                <w:szCs w:val="22"/>
              </w:rPr>
            </w:pPr>
            <w:r>
              <w:rPr>
                <w:rFonts w:ascii="Arial"/>
                <w:w w:val="100"/>
                <w:sz w:val="22"/>
              </w:rPr>
              <w:t>-</w:t>
            </w:r>
          </w:p>
        </w:tc>
        <w:tc>
          <w:tcPr>
            <w:tcW w:w="108" w:type="dxa"/>
            <w:tcBorders>
              <w:top w:val="nil" w:sz="6" w:space="0" w:color="auto"/>
              <w:left w:val="nil" w:sz="6" w:space="0" w:color="auto"/>
              <w:bottom w:val="nil" w:sz="6" w:space="0" w:color="auto"/>
              <w:right w:val="nil" w:sz="6" w:space="0" w:color="auto"/>
            </w:tcBorders>
          </w:tcPr>
          <w:p>
            <w:pPr/>
          </w:p>
        </w:tc>
        <w:tc>
          <w:tcPr>
            <w:tcW w:w="1028"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right="70"/>
              <w:jc w:val="right"/>
              <w:rPr>
                <w:rFonts w:ascii="Arial" w:hAnsi="Arial" w:cs="Arial" w:eastAsia="Arial" w:hint="default"/>
                <w:sz w:val="22"/>
                <w:szCs w:val="22"/>
              </w:rPr>
            </w:pPr>
            <w:r>
              <w:rPr>
                <w:rFonts w:ascii="Arial"/>
                <w:w w:val="100"/>
                <w:sz w:val="22"/>
              </w:rPr>
              <w:t>-</w:t>
            </w:r>
          </w:p>
        </w:tc>
        <w:tc>
          <w:tcPr>
            <w:tcW w:w="1121" w:type="dxa"/>
            <w:tcBorders>
              <w:top w:val="single" w:sz="4" w:space="0" w:color="000000"/>
              <w:left w:val="nil" w:sz="6" w:space="0" w:color="auto"/>
              <w:bottom w:val="nil" w:sz="6" w:space="0" w:color="auto"/>
              <w:right w:val="nil" w:sz="6" w:space="0" w:color="auto"/>
            </w:tcBorders>
          </w:tcPr>
          <w:p>
            <w:pPr>
              <w:pStyle w:val="TableParagraph"/>
              <w:spacing w:line="240" w:lineRule="auto"/>
              <w:ind w:right="71"/>
              <w:jc w:val="right"/>
              <w:rPr>
                <w:rFonts w:ascii="Arial" w:hAnsi="Arial" w:cs="Arial" w:eastAsia="Arial" w:hint="default"/>
                <w:sz w:val="22"/>
                <w:szCs w:val="22"/>
              </w:rPr>
            </w:pPr>
            <w:r>
              <w:rPr>
                <w:rFonts w:ascii="Arial"/>
                <w:spacing w:val="-1"/>
                <w:sz w:val="22"/>
              </w:rPr>
              <w:t>392</w:t>
            </w:r>
            <w:r>
              <w:rPr>
                <w:rFonts w:ascii="Arial"/>
                <w:sz w:val="22"/>
              </w:rPr>
            </w:r>
          </w:p>
        </w:tc>
        <w:tc>
          <w:tcPr>
            <w:tcW w:w="130" w:type="dxa"/>
            <w:tcBorders>
              <w:top w:val="nil" w:sz="6" w:space="0" w:color="auto"/>
              <w:left w:val="nil" w:sz="6" w:space="0" w:color="auto"/>
              <w:bottom w:val="nil" w:sz="6" w:space="0" w:color="auto"/>
              <w:right w:val="nil" w:sz="6" w:space="0" w:color="auto"/>
            </w:tcBorders>
          </w:tcPr>
          <w:p>
            <w:pPr/>
          </w:p>
        </w:tc>
        <w:tc>
          <w:tcPr>
            <w:tcW w:w="1143"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right="72"/>
              <w:jc w:val="right"/>
              <w:rPr>
                <w:rFonts w:ascii="Arial" w:hAnsi="Arial" w:cs="Arial" w:eastAsia="Arial" w:hint="default"/>
                <w:sz w:val="22"/>
                <w:szCs w:val="22"/>
              </w:rPr>
            </w:pPr>
            <w:r>
              <w:rPr>
                <w:rFonts w:ascii="Arial"/>
                <w:spacing w:val="-1"/>
                <w:sz w:val="22"/>
              </w:rPr>
              <w:t>481</w:t>
            </w:r>
            <w:r>
              <w:rPr>
                <w:rFonts w:ascii="Arial"/>
                <w:sz w:val="22"/>
              </w:rPr>
            </w:r>
          </w:p>
        </w:tc>
        <w:tc>
          <w:tcPr>
            <w:tcW w:w="118" w:type="dxa"/>
            <w:tcBorders>
              <w:top w:val="nil" w:sz="6" w:space="0" w:color="auto"/>
              <w:left w:val="nil" w:sz="6" w:space="0" w:color="auto"/>
              <w:bottom w:val="nil" w:sz="6" w:space="0" w:color="auto"/>
              <w:right w:val="nil" w:sz="6" w:space="0" w:color="auto"/>
            </w:tcBorders>
          </w:tcPr>
          <w:p>
            <w:pPr/>
          </w:p>
        </w:tc>
        <w:tc>
          <w:tcPr>
            <w:tcW w:w="1142"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right="72"/>
              <w:jc w:val="right"/>
              <w:rPr>
                <w:rFonts w:ascii="Arial" w:hAnsi="Arial" w:cs="Arial" w:eastAsia="Arial" w:hint="default"/>
                <w:sz w:val="22"/>
                <w:szCs w:val="22"/>
              </w:rPr>
            </w:pPr>
            <w:r>
              <w:rPr>
                <w:rFonts w:ascii="Arial"/>
                <w:spacing w:val="-1"/>
                <w:sz w:val="22"/>
              </w:rPr>
              <w:t>434</w:t>
            </w:r>
            <w:r>
              <w:rPr>
                <w:rFonts w:ascii="Arial"/>
                <w:sz w:val="22"/>
              </w:rPr>
            </w:r>
          </w:p>
        </w:tc>
      </w:tr>
      <w:tr>
        <w:trPr>
          <w:trHeight w:val="571"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37"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应付债券</w:t>
            </w:r>
          </w:p>
          <w:p>
            <w:pPr>
              <w:pStyle w:val="TableParagraph"/>
              <w:spacing w:line="302" w:lineRule="exact"/>
              <w:ind w:left="439" w:right="0"/>
              <w:jc w:val="left"/>
              <w:rPr>
                <w:rFonts w:ascii="宋体" w:hAnsi="宋体" w:cs="宋体" w:eastAsia="宋体" w:hint="default"/>
                <w:sz w:val="22"/>
                <w:szCs w:val="22"/>
              </w:rPr>
            </w:pPr>
            <w:r>
              <w:rPr>
                <w:rFonts w:ascii="Arial" w:hAnsi="Arial" w:cs="Arial" w:eastAsia="Arial" w:hint="default"/>
                <w:sz w:val="22"/>
                <w:szCs w:val="22"/>
              </w:rPr>
              <w:t>-</w:t>
            </w:r>
            <w:r>
              <w:rPr>
                <w:rFonts w:ascii="宋体" w:hAnsi="宋体" w:cs="宋体" w:eastAsia="宋体" w:hint="default"/>
                <w:sz w:val="22"/>
                <w:szCs w:val="22"/>
              </w:rPr>
              <w:t>中期票据</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65"/>
              <w:jc w:val="right"/>
              <w:rPr>
                <w:rFonts w:ascii="Arial" w:hAnsi="Arial" w:cs="Arial" w:eastAsia="Arial" w:hint="default"/>
                <w:sz w:val="22"/>
                <w:szCs w:val="22"/>
              </w:rPr>
            </w:pPr>
            <w:r>
              <w:rPr>
                <w:rFonts w:ascii="Arial"/>
                <w:spacing w:val="-1"/>
                <w:sz w:val="22"/>
              </w:rPr>
              <w:t>21,460</w:t>
            </w:r>
          </w:p>
        </w:tc>
        <w:tc>
          <w:tcPr>
            <w:tcW w:w="108"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83" w:right="0"/>
              <w:jc w:val="left"/>
              <w:rPr>
                <w:rFonts w:ascii="Arial" w:hAnsi="Arial" w:cs="Arial" w:eastAsia="Arial" w:hint="default"/>
                <w:sz w:val="22"/>
                <w:szCs w:val="22"/>
              </w:rPr>
            </w:pPr>
            <w:r>
              <w:rPr>
                <w:rFonts w:ascii="Arial"/>
                <w:sz w:val="22"/>
              </w:rPr>
              <w:t>21,924</w:t>
            </w:r>
          </w:p>
        </w:tc>
        <w:tc>
          <w:tcPr>
            <w:tcW w:w="118"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68"/>
              <w:jc w:val="right"/>
              <w:rPr>
                <w:rFonts w:ascii="Arial" w:hAnsi="Arial" w:cs="Arial" w:eastAsia="Arial" w:hint="default"/>
                <w:sz w:val="22"/>
                <w:szCs w:val="22"/>
              </w:rPr>
            </w:pPr>
            <w:r>
              <w:rPr>
                <w:rFonts w:ascii="Arial"/>
                <w:w w:val="100"/>
                <w:sz w:val="22"/>
              </w:rPr>
              <w:t>-</w:t>
            </w:r>
          </w:p>
        </w:tc>
        <w:tc>
          <w:tcPr>
            <w:tcW w:w="108"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70"/>
              <w:jc w:val="right"/>
              <w:rPr>
                <w:rFonts w:ascii="Arial" w:hAnsi="Arial" w:cs="Arial" w:eastAsia="Arial" w:hint="default"/>
                <w:sz w:val="22"/>
                <w:szCs w:val="22"/>
              </w:rPr>
            </w:pPr>
            <w:r>
              <w:rPr>
                <w:rFonts w:ascii="Arial"/>
                <w:w w:val="100"/>
                <w:sz w:val="22"/>
              </w:rPr>
              <w:t>-</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67"/>
              <w:jc w:val="right"/>
              <w:rPr>
                <w:rFonts w:ascii="Arial" w:hAnsi="Arial" w:cs="Arial" w:eastAsia="Arial" w:hint="default"/>
                <w:sz w:val="22"/>
                <w:szCs w:val="22"/>
              </w:rPr>
            </w:pPr>
            <w:r>
              <w:rPr>
                <w:rFonts w:ascii="Arial"/>
                <w:spacing w:val="-1"/>
                <w:sz w:val="22"/>
              </w:rPr>
              <w:t>21,924</w:t>
            </w:r>
          </w:p>
        </w:tc>
        <w:tc>
          <w:tcPr>
            <w:tcW w:w="130"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73"/>
              <w:jc w:val="right"/>
              <w:rPr>
                <w:rFonts w:ascii="Arial" w:hAnsi="Arial" w:cs="Arial" w:eastAsia="Arial" w:hint="default"/>
                <w:sz w:val="22"/>
                <w:szCs w:val="22"/>
              </w:rPr>
            </w:pPr>
            <w:r>
              <w:rPr>
                <w:rFonts w:ascii="Arial"/>
                <w:w w:val="100"/>
                <w:sz w:val="22"/>
              </w:rPr>
              <w:t>-</w:t>
            </w:r>
          </w:p>
        </w:tc>
        <w:tc>
          <w:tcPr>
            <w:tcW w:w="118"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73"/>
              <w:jc w:val="right"/>
              <w:rPr>
                <w:rFonts w:ascii="Arial" w:hAnsi="Arial" w:cs="Arial" w:eastAsia="Arial" w:hint="default"/>
                <w:sz w:val="22"/>
                <w:szCs w:val="22"/>
              </w:rPr>
            </w:pPr>
            <w:r>
              <w:rPr>
                <w:rFonts w:ascii="Arial"/>
                <w:w w:val="100"/>
                <w:sz w:val="22"/>
              </w:rPr>
              <w:t>-</w:t>
            </w:r>
          </w:p>
        </w:tc>
      </w:tr>
      <w:tr>
        <w:trPr>
          <w:trHeight w:val="571"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37"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应付债券</w:t>
            </w:r>
          </w:p>
          <w:p>
            <w:pPr>
              <w:pStyle w:val="TableParagraph"/>
              <w:spacing w:line="302" w:lineRule="exact"/>
              <w:ind w:left="439" w:right="0"/>
              <w:jc w:val="left"/>
              <w:rPr>
                <w:rFonts w:ascii="宋体" w:hAnsi="宋体" w:cs="宋体" w:eastAsia="宋体" w:hint="default"/>
                <w:sz w:val="22"/>
                <w:szCs w:val="22"/>
              </w:rPr>
            </w:pPr>
            <w:r>
              <w:rPr>
                <w:rFonts w:ascii="Arial" w:hAnsi="Arial" w:cs="Arial" w:eastAsia="Arial" w:hint="default"/>
                <w:sz w:val="22"/>
                <w:szCs w:val="22"/>
              </w:rPr>
              <w:t>-</w:t>
            </w:r>
            <w:r>
              <w:rPr>
                <w:rFonts w:ascii="宋体" w:hAnsi="宋体" w:cs="宋体" w:eastAsia="宋体" w:hint="default"/>
                <w:sz w:val="22"/>
                <w:szCs w:val="22"/>
              </w:rPr>
              <w:t>公司债券</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65"/>
              <w:jc w:val="right"/>
              <w:rPr>
                <w:rFonts w:ascii="Arial" w:hAnsi="Arial" w:cs="Arial" w:eastAsia="Arial" w:hint="default"/>
                <w:sz w:val="22"/>
                <w:szCs w:val="22"/>
              </w:rPr>
            </w:pPr>
            <w:r>
              <w:rPr>
                <w:rFonts w:ascii="Arial"/>
                <w:sz w:val="22"/>
              </w:rPr>
              <w:t>2,000</w:t>
            </w:r>
          </w:p>
        </w:tc>
        <w:tc>
          <w:tcPr>
            <w:tcW w:w="108"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67"/>
              <w:jc w:val="right"/>
              <w:rPr>
                <w:rFonts w:ascii="Arial" w:hAnsi="Arial" w:cs="Arial" w:eastAsia="Arial" w:hint="default"/>
                <w:sz w:val="22"/>
                <w:szCs w:val="22"/>
              </w:rPr>
            </w:pPr>
            <w:r>
              <w:rPr>
                <w:rFonts w:ascii="Arial"/>
                <w:sz w:val="22"/>
              </w:rPr>
              <w:t>2,045</w:t>
            </w:r>
          </w:p>
        </w:tc>
        <w:tc>
          <w:tcPr>
            <w:tcW w:w="118"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68"/>
              <w:jc w:val="right"/>
              <w:rPr>
                <w:rFonts w:ascii="Arial" w:hAnsi="Arial" w:cs="Arial" w:eastAsia="Arial" w:hint="default"/>
                <w:sz w:val="22"/>
                <w:szCs w:val="22"/>
              </w:rPr>
            </w:pPr>
            <w:r>
              <w:rPr>
                <w:rFonts w:ascii="Arial"/>
                <w:w w:val="100"/>
                <w:sz w:val="22"/>
              </w:rPr>
              <w:t>-</w:t>
            </w:r>
          </w:p>
        </w:tc>
        <w:tc>
          <w:tcPr>
            <w:tcW w:w="108"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70"/>
              <w:jc w:val="right"/>
              <w:rPr>
                <w:rFonts w:ascii="Arial" w:hAnsi="Arial" w:cs="Arial" w:eastAsia="Arial" w:hint="default"/>
                <w:sz w:val="22"/>
                <w:szCs w:val="22"/>
              </w:rPr>
            </w:pPr>
            <w:r>
              <w:rPr>
                <w:rFonts w:ascii="Arial"/>
                <w:w w:val="100"/>
                <w:sz w:val="22"/>
              </w:rPr>
              <w:t>-</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67"/>
              <w:jc w:val="right"/>
              <w:rPr>
                <w:rFonts w:ascii="Arial" w:hAnsi="Arial" w:cs="Arial" w:eastAsia="Arial" w:hint="default"/>
                <w:sz w:val="22"/>
                <w:szCs w:val="22"/>
              </w:rPr>
            </w:pPr>
            <w:r>
              <w:rPr>
                <w:rFonts w:ascii="Arial"/>
                <w:spacing w:val="-1"/>
                <w:sz w:val="22"/>
              </w:rPr>
              <w:t>2,045</w:t>
            </w:r>
          </w:p>
        </w:tc>
        <w:tc>
          <w:tcPr>
            <w:tcW w:w="130"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70"/>
              <w:jc w:val="right"/>
              <w:rPr>
                <w:rFonts w:ascii="Arial" w:hAnsi="Arial" w:cs="Arial" w:eastAsia="Arial" w:hint="default"/>
                <w:sz w:val="22"/>
                <w:szCs w:val="22"/>
              </w:rPr>
            </w:pPr>
            <w:r>
              <w:rPr>
                <w:rFonts w:ascii="Arial"/>
                <w:sz w:val="22"/>
              </w:rPr>
              <w:t>2,000</w:t>
            </w:r>
          </w:p>
        </w:tc>
        <w:tc>
          <w:tcPr>
            <w:tcW w:w="118"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69"/>
              <w:jc w:val="right"/>
              <w:rPr>
                <w:rFonts w:ascii="Arial" w:hAnsi="Arial" w:cs="Arial" w:eastAsia="Arial" w:hint="default"/>
                <w:sz w:val="22"/>
                <w:szCs w:val="22"/>
              </w:rPr>
            </w:pPr>
            <w:r>
              <w:rPr>
                <w:rFonts w:ascii="Arial"/>
                <w:sz w:val="22"/>
              </w:rPr>
              <w:t>1,959</w:t>
            </w:r>
          </w:p>
        </w:tc>
      </w:tr>
      <w:tr>
        <w:trPr>
          <w:trHeight w:val="415"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可转换债券</w:t>
            </w:r>
          </w:p>
        </w:tc>
        <w:tc>
          <w:tcPr>
            <w:tcW w:w="987" w:type="dxa"/>
            <w:tcBorders>
              <w:top w:val="nil" w:sz="6" w:space="0" w:color="auto"/>
              <w:left w:val="nil" w:sz="6" w:space="0" w:color="auto"/>
              <w:bottom w:val="nil" w:sz="6" w:space="0" w:color="auto"/>
              <w:right w:val="nil" w:sz="6" w:space="0" w:color="auto"/>
            </w:tcBorders>
          </w:tcPr>
          <w:p>
            <w:pPr>
              <w:pStyle w:val="TableParagraph"/>
              <w:tabs>
                <w:tab w:pos="986" w:val="left" w:leader="none"/>
              </w:tabs>
              <w:spacing w:line="240" w:lineRule="auto" w:before="17"/>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   </w:t>
            </w:r>
            <w:r>
              <w:rPr>
                <w:rFonts w:ascii="Arial"/>
                <w:spacing w:val="-1"/>
                <w:sz w:val="22"/>
                <w:u w:val="single" w:color="000000"/>
              </w:rPr>
              <w:t>11,167</w:t>
              <w:tab/>
            </w:r>
            <w:r>
              <w:rPr>
                <w:rFonts w:ascii="Arial"/>
                <w:spacing w:val="-1"/>
                <w:sz w:val="22"/>
              </w:rPr>
            </w:r>
          </w:p>
        </w:tc>
        <w:tc>
          <w:tcPr>
            <w:tcW w:w="108"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Style w:val="TableParagraph"/>
              <w:tabs>
                <w:tab w:pos="283" w:val="left" w:leader="none"/>
                <w:tab w:pos="1027" w:val="left" w:leader="none"/>
              </w:tabs>
              <w:spacing w:line="240" w:lineRule="auto" w:before="17"/>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11,183</w:t>
              <w:tab/>
            </w:r>
            <w:r>
              <w:rPr>
                <w:rFonts w:ascii="Arial"/>
                <w:spacing w:val="-1"/>
                <w:sz w:val="22"/>
              </w:rPr>
            </w:r>
          </w:p>
        </w:tc>
        <w:tc>
          <w:tcPr>
            <w:tcW w:w="118"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Style w:val="TableParagraph"/>
              <w:tabs>
                <w:tab w:pos="871" w:val="left" w:leader="none"/>
                <w:tab w:pos="1015" w:val="left" w:leader="none"/>
              </w:tabs>
              <w:spacing w:line="240" w:lineRule="auto" w:before="17"/>
              <w:ind w:left="7"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tab/>
            </w:r>
            <w:r>
              <w:rPr>
                <w:rFonts w:ascii="Arial"/>
                <w:sz w:val="22"/>
              </w:rPr>
            </w:r>
          </w:p>
        </w:tc>
        <w:tc>
          <w:tcPr>
            <w:tcW w:w="108"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Style w:val="TableParagraph"/>
              <w:tabs>
                <w:tab w:pos="881" w:val="left" w:leader="none"/>
                <w:tab w:pos="1027" w:val="left" w:leader="none"/>
              </w:tabs>
              <w:spacing w:line="240" w:lineRule="auto" w:before="17"/>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tab/>
            </w:r>
            <w:r>
              <w:rPr>
                <w:rFonts w:ascii="Arial"/>
                <w:sz w:val="22"/>
              </w:rPr>
            </w:r>
          </w:p>
        </w:tc>
        <w:tc>
          <w:tcPr>
            <w:tcW w:w="1121" w:type="dxa"/>
            <w:tcBorders>
              <w:top w:val="nil" w:sz="6" w:space="0" w:color="auto"/>
              <w:left w:val="nil" w:sz="6" w:space="0" w:color="auto"/>
              <w:bottom w:val="nil" w:sz="6" w:space="0" w:color="auto"/>
              <w:right w:val="nil" w:sz="6" w:space="0" w:color="auto"/>
            </w:tcBorders>
          </w:tcPr>
          <w:p>
            <w:pPr>
              <w:pStyle w:val="TableParagraph"/>
              <w:tabs>
                <w:tab w:pos="280" w:val="left" w:leader="none"/>
                <w:tab w:pos="1024" w:val="left" w:leader="none"/>
              </w:tabs>
              <w:spacing w:line="240" w:lineRule="auto" w:before="17"/>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11,183</w:t>
              <w:tab/>
            </w:r>
            <w:r>
              <w:rPr>
                <w:rFonts w:ascii="Arial"/>
                <w:spacing w:val="-1"/>
                <w:sz w:val="22"/>
              </w:rPr>
            </w:r>
          </w:p>
        </w:tc>
        <w:tc>
          <w:tcPr>
            <w:tcW w:w="130"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Style w:val="TableParagraph"/>
              <w:tabs>
                <w:tab w:pos="388" w:val="left" w:leader="none"/>
                <w:tab w:pos="1135" w:val="left" w:leader="none"/>
              </w:tabs>
              <w:spacing w:line="240" w:lineRule="auto" w:before="17"/>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11,002</w:t>
              <w:tab/>
            </w:r>
            <w:r>
              <w:rPr>
                <w:rFonts w:ascii="Arial"/>
                <w:spacing w:val="-1"/>
                <w:sz w:val="22"/>
              </w:rPr>
            </w:r>
          </w:p>
        </w:tc>
        <w:tc>
          <w:tcPr>
            <w:tcW w:w="118"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tabs>
                <w:tab w:pos="388" w:val="left" w:leader="none"/>
                <w:tab w:pos="1135" w:val="left" w:leader="none"/>
              </w:tabs>
              <w:spacing w:line="240" w:lineRule="auto" w:before="17"/>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10,929</w:t>
              <w:tab/>
            </w:r>
            <w:r>
              <w:rPr>
                <w:rFonts w:ascii="Arial"/>
                <w:spacing w:val="-1"/>
                <w:sz w:val="22"/>
              </w:rPr>
            </w:r>
          </w:p>
        </w:tc>
      </w:tr>
      <w:tr>
        <w:trPr>
          <w:trHeight w:val="433"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987"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65"/>
              <w:jc w:val="right"/>
              <w:rPr>
                <w:rFonts w:ascii="Arial" w:hAnsi="Arial" w:cs="Arial" w:eastAsia="Arial" w:hint="default"/>
                <w:sz w:val="22"/>
                <w:szCs w:val="22"/>
              </w:rPr>
            </w:pPr>
            <w:r>
              <w:rPr>
                <w:rFonts w:ascii="Arial"/>
                <w:spacing w:val="-1"/>
                <w:sz w:val="22"/>
              </w:rPr>
              <w:t>35,047</w:t>
            </w:r>
          </w:p>
        </w:tc>
        <w:tc>
          <w:tcPr>
            <w:tcW w:w="108"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left="283" w:right="0"/>
              <w:jc w:val="left"/>
              <w:rPr>
                <w:rFonts w:ascii="Arial" w:hAnsi="Arial" w:cs="Arial" w:eastAsia="Arial" w:hint="default"/>
                <w:sz w:val="22"/>
                <w:szCs w:val="22"/>
              </w:rPr>
            </w:pPr>
            <w:r>
              <w:rPr>
                <w:rFonts w:ascii="Arial"/>
                <w:sz w:val="22"/>
              </w:rPr>
              <w:t>35,544</w:t>
            </w:r>
          </w:p>
        </w:tc>
        <w:tc>
          <w:tcPr>
            <w:tcW w:w="118"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68"/>
              <w:jc w:val="right"/>
              <w:rPr>
                <w:rFonts w:ascii="Arial" w:hAnsi="Arial" w:cs="Arial" w:eastAsia="Arial" w:hint="default"/>
                <w:sz w:val="22"/>
                <w:szCs w:val="22"/>
              </w:rPr>
            </w:pPr>
            <w:r>
              <w:rPr>
                <w:rFonts w:ascii="Arial"/>
                <w:w w:val="100"/>
                <w:sz w:val="22"/>
              </w:rPr>
              <w:t>-</w:t>
            </w:r>
          </w:p>
        </w:tc>
        <w:tc>
          <w:tcPr>
            <w:tcW w:w="108"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single" w:sz="4" w:space="0" w:color="000000"/>
              <w:right w:val="nil" w:sz="6" w:space="0" w:color="auto"/>
            </w:tcBorders>
          </w:tcPr>
          <w:p>
            <w:pPr>
              <w:pStyle w:val="TableParagraph"/>
              <w:tabs>
                <w:tab w:pos="881" w:val="left" w:leader="none"/>
                <w:tab w:pos="1027" w:val="left" w:leader="none"/>
              </w:tabs>
              <w:spacing w:line="240" w:lineRule="auto" w:before="152"/>
              <w:ind w:left="-15"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tab/>
            </w:r>
            <w:r>
              <w:rPr>
                <w:rFonts w:ascii="Arial"/>
                <w:sz w:val="22"/>
              </w:rPr>
            </w:r>
          </w:p>
        </w:tc>
        <w:tc>
          <w:tcPr>
            <w:tcW w:w="1121"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67"/>
              <w:jc w:val="right"/>
              <w:rPr>
                <w:rFonts w:ascii="Arial" w:hAnsi="Arial" w:cs="Arial" w:eastAsia="Arial" w:hint="default"/>
                <w:sz w:val="22"/>
                <w:szCs w:val="22"/>
              </w:rPr>
            </w:pPr>
            <w:r>
              <w:rPr>
                <w:rFonts w:ascii="Arial"/>
                <w:spacing w:val="-1"/>
                <w:sz w:val="22"/>
              </w:rPr>
              <w:t>35,544</w:t>
            </w:r>
          </w:p>
        </w:tc>
        <w:tc>
          <w:tcPr>
            <w:tcW w:w="130"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single" w:sz="4" w:space="0" w:color="000000"/>
              <w:right w:val="nil" w:sz="6" w:space="0" w:color="auto"/>
            </w:tcBorders>
          </w:tcPr>
          <w:p>
            <w:pPr>
              <w:pStyle w:val="TableParagraph"/>
              <w:tabs>
                <w:tab w:pos="395" w:val="left" w:leader="none"/>
                <w:tab w:pos="1142" w:val="left" w:leader="none"/>
              </w:tabs>
              <w:spacing w:line="240" w:lineRule="auto" w:before="152"/>
              <w:ind w:left="-8" w:right="-1"/>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13,483</w:t>
              <w:tab/>
            </w:r>
            <w:r>
              <w:rPr>
                <w:rFonts w:ascii="Arial"/>
                <w:spacing w:val="-1"/>
                <w:sz w:val="22"/>
              </w:rPr>
            </w:r>
          </w:p>
        </w:tc>
        <w:tc>
          <w:tcPr>
            <w:tcW w:w="118"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single" w:sz="4" w:space="0" w:color="000000"/>
              <w:right w:val="nil" w:sz="6" w:space="0" w:color="auto"/>
            </w:tcBorders>
          </w:tcPr>
          <w:p>
            <w:pPr>
              <w:pStyle w:val="TableParagraph"/>
              <w:tabs>
                <w:tab w:pos="395" w:val="left" w:leader="none"/>
                <w:tab w:pos="1142" w:val="left" w:leader="none"/>
              </w:tabs>
              <w:spacing w:line="240" w:lineRule="auto" w:before="152"/>
              <w:ind w:left="-8"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13,322</w:t>
              <w:tab/>
            </w:r>
            <w:r>
              <w:rPr>
                <w:rFonts w:ascii="Arial"/>
                <w:spacing w:val="-1"/>
                <w:sz w:val="22"/>
              </w:rPr>
            </w:r>
          </w:p>
        </w:tc>
      </w:tr>
    </w:tbl>
    <w:p>
      <w:pPr>
        <w:spacing w:line="240" w:lineRule="auto" w:before="9"/>
        <w:rPr>
          <w:rFonts w:ascii="宋体" w:hAnsi="宋体" w:cs="宋体" w:eastAsia="宋体" w:hint="default"/>
          <w:sz w:val="13"/>
          <w:szCs w:val="13"/>
        </w:rPr>
      </w:pPr>
    </w:p>
    <w:p>
      <w:pPr>
        <w:pStyle w:val="BodyText"/>
        <w:spacing w:line="286" w:lineRule="exact" w:before="61"/>
        <w:ind w:left="530" w:right="188"/>
        <w:jc w:val="left"/>
      </w:pPr>
      <w:r>
        <w:rPr/>
        <w:t>长期银行借款的公允价值以现金流量按市场年利率</w:t>
      </w:r>
      <w:r>
        <w:rPr>
          <w:spacing w:val="-50"/>
        </w:rPr>
        <w:t> </w:t>
      </w:r>
      <w:r>
        <w:rPr>
          <w:rFonts w:ascii="Arial" w:hAnsi="Arial" w:cs="Arial" w:eastAsia="Arial" w:hint="default"/>
        </w:rPr>
        <w:t>2.34%</w:t>
      </w:r>
      <w:r>
        <w:rPr/>
        <w:t>至</w:t>
      </w:r>
      <w:r>
        <w:rPr>
          <w:spacing w:val="-51"/>
        </w:rPr>
        <w:t> </w:t>
      </w:r>
      <w:r>
        <w:rPr>
          <w:rFonts w:ascii="Arial" w:hAnsi="Arial" w:cs="Arial" w:eastAsia="Arial" w:hint="default"/>
          <w:spacing w:val="-9"/>
        </w:rPr>
        <w:t>3.23%</w:t>
      </w:r>
      <w:r>
        <w:rPr>
          <w:spacing w:val="-9"/>
        </w:rPr>
        <w:t>（</w:t>
      </w:r>
      <w:r>
        <w:rPr>
          <w:rFonts w:ascii="Arial" w:hAnsi="Arial" w:cs="Arial" w:eastAsia="Arial" w:hint="default"/>
          <w:spacing w:val="-9"/>
        </w:rPr>
        <w:t>2013</w:t>
      </w:r>
      <w:r>
        <w:rPr>
          <w:rFonts w:ascii="Arial" w:hAnsi="Arial" w:cs="Arial" w:eastAsia="Arial" w:hint="default"/>
          <w:spacing w:val="-3"/>
        </w:rPr>
        <w:t> </w:t>
      </w:r>
      <w:r>
        <w:rPr>
          <w:spacing w:val="-10"/>
        </w:rPr>
        <w:t>年：</w:t>
      </w:r>
      <w:r>
        <w:rPr>
          <w:rFonts w:ascii="Arial" w:hAnsi="Arial" w:cs="Arial" w:eastAsia="Arial" w:hint="default"/>
          <w:spacing w:val="-10"/>
        </w:rPr>
        <w:t>3.58%</w:t>
      </w:r>
      <w:r>
        <w:rPr>
          <w:spacing w:val="-10"/>
        </w:rPr>
        <w:t>至</w:t>
      </w:r>
      <w:r>
        <w:rPr>
          <w:spacing w:val="-51"/>
        </w:rPr>
        <w:t> </w:t>
      </w:r>
      <w:r>
        <w:rPr>
          <w:rFonts w:ascii="Arial" w:hAnsi="Arial" w:cs="Arial" w:eastAsia="Arial" w:hint="default"/>
        </w:rPr>
        <w:t>3.82%</w:t>
      </w:r>
      <w:r>
        <w:rPr/>
        <w:t>）</w:t>
      </w:r>
      <w:r>
        <w:rPr>
          <w:w w:val="100"/>
        </w:rPr>
        <w:t> </w:t>
      </w:r>
      <w:r>
        <w:rPr/>
        <w:t>来折现估算。</w:t>
      </w:r>
    </w:p>
    <w:p>
      <w:pPr>
        <w:spacing w:line="240" w:lineRule="auto" w:before="6"/>
        <w:rPr>
          <w:rFonts w:ascii="宋体" w:hAnsi="宋体" w:cs="宋体" w:eastAsia="宋体" w:hint="default"/>
          <w:sz w:val="18"/>
          <w:szCs w:val="18"/>
        </w:rPr>
      </w:pPr>
    </w:p>
    <w:p>
      <w:pPr>
        <w:pStyle w:val="BodyText"/>
        <w:spacing w:line="286" w:lineRule="exact"/>
        <w:ind w:left="530" w:right="352"/>
        <w:jc w:val="left"/>
      </w:pPr>
      <w:r>
        <w:rPr/>
        <w:t>中期票据的公允价值以预期的票据本金和支付利息的现金流量按市场利率</w:t>
      </w:r>
      <w:r>
        <w:rPr>
          <w:spacing w:val="-60"/>
        </w:rPr>
        <w:t> </w:t>
      </w:r>
      <w:r>
        <w:rPr>
          <w:rFonts w:ascii="Arial" w:hAnsi="Arial" w:cs="Arial" w:eastAsia="Arial" w:hint="default"/>
        </w:rPr>
        <w:t>4.04%</w:t>
      </w:r>
      <w:r>
        <w:rPr/>
        <w:t>至</w:t>
      </w:r>
      <w:r>
        <w:rPr>
          <w:spacing w:val="-61"/>
        </w:rPr>
        <w:t> </w:t>
      </w:r>
      <w:r>
        <w:rPr>
          <w:rFonts w:ascii="Arial" w:hAnsi="Arial" w:cs="Arial" w:eastAsia="Arial" w:hint="default"/>
        </w:rPr>
        <w:t>4.60%</w:t>
      </w:r>
      <w:r>
        <w:rPr/>
        <w:t>来折</w:t>
      </w:r>
      <w:r>
        <w:rPr>
          <w:spacing w:val="-3"/>
          <w:w w:val="100"/>
        </w:rPr>
        <w:t> </w:t>
      </w:r>
      <w:r>
        <w:rPr/>
        <w:t>现估算。</w:t>
      </w:r>
    </w:p>
    <w:p>
      <w:pPr>
        <w:spacing w:line="240" w:lineRule="auto" w:before="4"/>
        <w:rPr>
          <w:rFonts w:ascii="宋体" w:hAnsi="宋体" w:cs="宋体" w:eastAsia="宋体" w:hint="default"/>
          <w:sz w:val="18"/>
          <w:szCs w:val="18"/>
        </w:rPr>
      </w:pPr>
    </w:p>
    <w:p>
      <w:pPr>
        <w:pStyle w:val="BodyText"/>
        <w:spacing w:line="286" w:lineRule="exact"/>
        <w:ind w:left="551" w:right="337"/>
        <w:jc w:val="left"/>
      </w:pPr>
      <w:r>
        <w:rPr/>
        <w:t>可转换债券的公允价值以未来现金流量按</w:t>
      </w:r>
      <w:r>
        <w:rPr>
          <w:spacing w:val="-49"/>
        </w:rPr>
        <w:t> </w:t>
      </w:r>
      <w:r>
        <w:rPr>
          <w:rFonts w:ascii="Arial" w:hAnsi="Arial" w:cs="Arial" w:eastAsia="Arial" w:hint="default"/>
        </w:rPr>
        <w:t>2014</w:t>
      </w:r>
      <w:r>
        <w:rPr>
          <w:rFonts w:ascii="Arial" w:hAnsi="Arial" w:cs="Arial" w:eastAsia="Arial" w:hint="default"/>
          <w:spacing w:val="-1"/>
        </w:rPr>
        <w:t> </w:t>
      </w:r>
      <w:r>
        <w:rPr/>
        <w:t>年</w:t>
      </w:r>
      <w:r>
        <w:rPr>
          <w:spacing w:val="-51"/>
        </w:rPr>
        <w:t> </w:t>
      </w:r>
      <w:r>
        <w:rPr>
          <w:rFonts w:ascii="Arial" w:hAnsi="Arial" w:cs="Arial" w:eastAsia="Arial" w:hint="default"/>
        </w:rPr>
        <w:t>12</w:t>
      </w:r>
      <w:r>
        <w:rPr>
          <w:rFonts w:ascii="Arial" w:hAnsi="Arial" w:cs="Arial" w:eastAsia="Arial" w:hint="default"/>
          <w:spacing w:val="-1"/>
        </w:rPr>
        <w:t> </w:t>
      </w:r>
      <w:r>
        <w:rPr/>
        <w:t>月</w:t>
      </w:r>
      <w:r>
        <w:rPr>
          <w:spacing w:val="-49"/>
        </w:rPr>
        <w:t> </w:t>
      </w:r>
      <w:r>
        <w:rPr>
          <w:rFonts w:ascii="Arial" w:hAnsi="Arial" w:cs="Arial" w:eastAsia="Arial" w:hint="default"/>
        </w:rPr>
        <w:t>31</w:t>
      </w:r>
      <w:r>
        <w:rPr>
          <w:rFonts w:ascii="Arial" w:hAnsi="Arial" w:cs="Arial" w:eastAsia="Arial" w:hint="default"/>
          <w:spacing w:val="-1"/>
        </w:rPr>
        <w:t> </w:t>
      </w:r>
      <w:r>
        <w:rPr/>
        <w:t>日的国债收益率加根据本集团自身</w:t>
      </w:r>
      <w:r>
        <w:rPr>
          <w:w w:val="100"/>
        </w:rPr>
        <w:t> </w:t>
      </w:r>
      <w:r>
        <w:rPr/>
        <w:t>信贷风险调节的足够及固定的信用息差来折现估算。</w:t>
      </w:r>
    </w:p>
    <w:p>
      <w:pPr>
        <w:spacing w:line="240" w:lineRule="auto" w:before="1"/>
        <w:rPr>
          <w:rFonts w:ascii="宋体" w:hAnsi="宋体" w:cs="宋体" w:eastAsia="宋体" w:hint="default"/>
          <w:sz w:val="17"/>
          <w:szCs w:val="17"/>
        </w:rPr>
      </w:pPr>
    </w:p>
    <w:p>
      <w:pPr>
        <w:pStyle w:val="BodyText"/>
        <w:spacing w:line="240" w:lineRule="auto"/>
        <w:ind w:left="551" w:right="339"/>
        <w:jc w:val="left"/>
      </w:pPr>
      <w:r>
        <w:rPr/>
        <w:t>公司债券的公允价值以现金流量按市场年利率</w:t>
      </w:r>
      <w:r>
        <w:rPr>
          <w:spacing w:val="-60"/>
        </w:rPr>
        <w:t> </w:t>
      </w:r>
      <w:r>
        <w:rPr>
          <w:rFonts w:ascii="Arial" w:hAnsi="Arial" w:cs="Arial" w:eastAsia="Arial" w:hint="default"/>
        </w:rPr>
        <w:t>4.60%</w:t>
      </w:r>
      <w:r>
        <w:rPr/>
        <w:t>（</w:t>
      </w:r>
      <w:r>
        <w:rPr>
          <w:rFonts w:ascii="Arial" w:hAnsi="Arial" w:cs="Arial" w:eastAsia="Arial" w:hint="default"/>
        </w:rPr>
        <w:t>2013</w:t>
      </w:r>
      <w:r>
        <w:rPr>
          <w:rFonts w:ascii="Arial" w:hAnsi="Arial" w:cs="Arial" w:eastAsia="Arial" w:hint="default"/>
          <w:spacing w:val="-12"/>
        </w:rPr>
        <w:t> </w:t>
      </w:r>
      <w:r>
        <w:rPr/>
        <w:t>年：</w:t>
      </w:r>
      <w:r>
        <w:rPr>
          <w:rFonts w:ascii="Arial" w:hAnsi="Arial" w:cs="Arial" w:eastAsia="Arial" w:hint="default"/>
        </w:rPr>
        <w:t>6.01%</w:t>
      </w:r>
      <w:r>
        <w:rPr/>
        <w:t>）来折现估算。</w:t>
      </w:r>
    </w:p>
    <w:p>
      <w:pPr>
        <w:spacing w:line="240" w:lineRule="auto" w:before="3"/>
        <w:rPr>
          <w:rFonts w:ascii="宋体" w:hAnsi="宋体" w:cs="宋体" w:eastAsia="宋体" w:hint="default"/>
          <w:sz w:val="20"/>
          <w:szCs w:val="20"/>
        </w:rPr>
      </w:pPr>
    </w:p>
    <w:p>
      <w:pPr>
        <w:pStyle w:val="BodyText"/>
        <w:spacing w:line="286" w:lineRule="exact"/>
        <w:ind w:left="551" w:right="339"/>
        <w:jc w:val="left"/>
      </w:pPr>
      <w:r>
        <w:rPr/>
        <w:t>除此之外，于</w:t>
      </w:r>
      <w:r>
        <w:rPr>
          <w:spacing w:val="-44"/>
        </w:rPr>
        <w:t> </w:t>
      </w:r>
      <w:r>
        <w:rPr>
          <w:rFonts w:ascii="Arial" w:hAnsi="Arial" w:cs="Arial" w:eastAsia="Arial" w:hint="default"/>
        </w:rPr>
        <w:t>2014</w:t>
      </w:r>
      <w:r>
        <w:rPr>
          <w:rFonts w:ascii="Arial" w:hAnsi="Arial" w:cs="Arial" w:eastAsia="Arial" w:hint="default"/>
          <w:spacing w:val="4"/>
        </w:rPr>
        <w:t> </w:t>
      </w:r>
      <w:r>
        <w:rPr/>
        <w:t>年及</w:t>
      </w:r>
      <w:r>
        <w:rPr>
          <w:spacing w:val="-46"/>
        </w:rPr>
        <w:t> </w:t>
      </w:r>
      <w:r>
        <w:rPr>
          <w:rFonts w:ascii="Arial" w:hAnsi="Arial" w:cs="Arial" w:eastAsia="Arial" w:hint="default"/>
        </w:rPr>
        <w:t>2013</w:t>
      </w:r>
      <w:r>
        <w:rPr>
          <w:rFonts w:ascii="Arial" w:hAnsi="Arial" w:cs="Arial" w:eastAsia="Arial" w:hint="default"/>
          <w:spacing w:val="4"/>
        </w:rPr>
        <w:t> </w:t>
      </w:r>
      <w:r>
        <w:rPr/>
        <w:t>年</w:t>
      </w:r>
      <w:r>
        <w:rPr>
          <w:spacing w:val="-44"/>
        </w:rPr>
        <w:t> </w:t>
      </w:r>
      <w:r>
        <w:rPr>
          <w:rFonts w:ascii="Arial" w:hAnsi="Arial" w:cs="Arial" w:eastAsia="Arial" w:hint="default"/>
        </w:rPr>
        <w:t>12</w:t>
      </w:r>
      <w:r>
        <w:rPr>
          <w:rFonts w:ascii="Arial" w:hAnsi="Arial" w:cs="Arial" w:eastAsia="Arial" w:hint="default"/>
          <w:spacing w:val="4"/>
        </w:rPr>
        <w:t> </w:t>
      </w:r>
      <w:r>
        <w:rPr/>
        <w:t>月</w:t>
      </w:r>
      <w:r>
        <w:rPr>
          <w:spacing w:val="-44"/>
        </w:rPr>
        <w:t> </w:t>
      </w:r>
      <w:r>
        <w:rPr>
          <w:rFonts w:ascii="Arial" w:hAnsi="Arial" w:cs="Arial" w:eastAsia="Arial" w:hint="default"/>
        </w:rPr>
        <w:t>31</w:t>
      </w:r>
      <w:r>
        <w:rPr>
          <w:rFonts w:ascii="Arial" w:hAnsi="Arial" w:cs="Arial" w:eastAsia="Arial" w:hint="default"/>
          <w:spacing w:val="4"/>
        </w:rPr>
        <w:t> </w:t>
      </w:r>
      <w:r>
        <w:rPr/>
        <w:t>日，由于本集团其他用摊余成本计量的金融资产和</w:t>
      </w:r>
      <w:r>
        <w:rPr>
          <w:w w:val="100"/>
        </w:rPr>
        <w:t> </w:t>
      </w:r>
      <w:r>
        <w:rPr/>
        <w:t>金融负债的性质或其较短的到期日，其账面价值与公允价值接近。</w:t>
      </w:r>
    </w:p>
    <w:p>
      <w:pPr>
        <w:spacing w:after="0" w:line="286" w:lineRule="exact"/>
        <w:jc w:val="left"/>
        <w:sectPr>
          <w:headerReference w:type="default" r:id="rId141"/>
          <w:pgSz w:w="11910" w:h="16840"/>
          <w:pgMar w:header="1181" w:footer="923" w:top="2500" w:bottom="1120" w:left="1280" w:right="680"/>
        </w:sectPr>
      </w:pPr>
    </w:p>
    <w:p>
      <w:pPr>
        <w:spacing w:line="240" w:lineRule="auto" w:before="7"/>
        <w:rPr>
          <w:rFonts w:ascii="宋体" w:hAnsi="宋体" w:cs="宋体" w:eastAsia="宋体" w:hint="default"/>
          <w:sz w:val="16"/>
          <w:szCs w:val="16"/>
        </w:rPr>
      </w:pPr>
    </w:p>
    <w:p>
      <w:pPr>
        <w:pStyle w:val="BodyText"/>
        <w:tabs>
          <w:tab w:pos="525" w:val="left" w:leader="none"/>
        </w:tabs>
        <w:spacing w:line="240" w:lineRule="auto" w:before="32"/>
        <w:ind w:left="102" w:right="390"/>
        <w:jc w:val="left"/>
        <w:rPr>
          <w:rFonts w:ascii="黑体" w:hAnsi="黑体" w:cs="黑体" w:eastAsia="黑体" w:hint="default"/>
        </w:rPr>
      </w:pPr>
      <w:r>
        <w:rPr>
          <w:rFonts w:ascii="黑体" w:hAnsi="黑体" w:cs="黑体" w:eastAsia="黑体" w:hint="default"/>
        </w:rPr>
        <w:t>十</w:t>
        <w:tab/>
        <w:t>关联方关系及其交易</w:t>
      </w:r>
    </w:p>
    <w:p>
      <w:pPr>
        <w:spacing w:line="240" w:lineRule="auto" w:before="6"/>
        <w:rPr>
          <w:rFonts w:ascii="黑体" w:hAnsi="黑体" w:cs="黑体" w:eastAsia="黑体" w:hint="default"/>
          <w:sz w:val="17"/>
          <w:szCs w:val="17"/>
        </w:rPr>
      </w:pPr>
    </w:p>
    <w:p>
      <w:pPr>
        <w:pStyle w:val="BodyText"/>
        <w:spacing w:line="240" w:lineRule="auto"/>
        <w:ind w:left="102" w:right="390"/>
        <w:jc w:val="left"/>
      </w:pPr>
      <w:r>
        <w:rPr>
          <w:rFonts w:ascii="Arial" w:hAnsi="Arial" w:cs="Arial" w:eastAsia="Arial" w:hint="default"/>
        </w:rPr>
        <w:t>1</w:t>
      </w:r>
      <w:r>
        <w:rPr/>
        <w:t>、</w:t>
      </w:r>
      <w:r>
        <w:rPr>
          <w:spacing w:val="-33"/>
        </w:rPr>
        <w:t> </w:t>
      </w:r>
      <w:r>
        <w:rPr/>
        <w:t>母公司情况</w:t>
      </w:r>
    </w:p>
    <w:p>
      <w:pPr>
        <w:spacing w:line="240" w:lineRule="auto" w:before="11"/>
        <w:rPr>
          <w:rFonts w:ascii="宋体" w:hAnsi="宋体" w:cs="宋体" w:eastAsia="宋体" w:hint="default"/>
          <w:sz w:val="16"/>
          <w:szCs w:val="16"/>
        </w:rPr>
      </w:pPr>
    </w:p>
    <w:p>
      <w:pPr>
        <w:tabs>
          <w:tab w:pos="7219" w:val="left" w:leader="none"/>
        </w:tabs>
        <w:spacing w:line="234" w:lineRule="exact" w:before="0"/>
        <w:ind w:left="6084" w:right="390" w:firstLine="0"/>
        <w:jc w:val="left"/>
        <w:rPr>
          <w:rFonts w:ascii="宋体" w:hAnsi="宋体" w:cs="宋体" w:eastAsia="宋体" w:hint="default"/>
          <w:sz w:val="18"/>
          <w:szCs w:val="18"/>
        </w:rPr>
      </w:pPr>
      <w:r>
        <w:rPr>
          <w:rFonts w:ascii="宋体" w:hAnsi="宋体" w:cs="宋体" w:eastAsia="宋体" w:hint="default"/>
          <w:sz w:val="18"/>
          <w:szCs w:val="18"/>
        </w:rPr>
        <w:t>母公司</w:t>
        <w:tab/>
        <w:t>母公司</w:t>
      </w:r>
    </w:p>
    <w:p>
      <w:pPr>
        <w:tabs>
          <w:tab w:pos="5230" w:val="left" w:leader="none"/>
        </w:tabs>
        <w:spacing w:line="233" w:lineRule="exact" w:before="0"/>
        <w:ind w:left="4095" w:right="0" w:firstLine="0"/>
        <w:jc w:val="center"/>
        <w:rPr>
          <w:rFonts w:ascii="宋体" w:hAnsi="宋体" w:cs="宋体" w:eastAsia="宋体" w:hint="default"/>
          <w:sz w:val="18"/>
          <w:szCs w:val="18"/>
        </w:rPr>
      </w:pPr>
      <w:r>
        <w:rPr>
          <w:rFonts w:ascii="宋体" w:hAnsi="宋体" w:cs="宋体" w:eastAsia="宋体" w:hint="default"/>
          <w:sz w:val="18"/>
          <w:szCs w:val="18"/>
        </w:rPr>
        <w:t>对本公司</w:t>
        <w:tab/>
        <w:t>对本公司</w:t>
      </w:r>
    </w:p>
    <w:p>
      <w:pPr>
        <w:tabs>
          <w:tab w:pos="1379" w:val="left" w:leader="none"/>
          <w:tab w:pos="2653" w:val="left" w:leader="none"/>
          <w:tab w:pos="4639" w:val="left" w:leader="none"/>
          <w:tab w:pos="5983" w:val="left" w:leader="none"/>
          <w:tab w:pos="7030" w:val="left" w:leader="none"/>
          <w:tab w:pos="8276" w:val="left" w:leader="none"/>
          <w:tab w:pos="8636" w:val="left" w:leader="none"/>
        </w:tabs>
        <w:spacing w:before="0"/>
        <w:ind w:left="102" w:right="390" w:firstLine="5981"/>
        <w:jc w:val="left"/>
        <w:rPr>
          <w:rFonts w:ascii="宋体" w:hAnsi="宋体" w:cs="宋体" w:eastAsia="宋体" w:hint="default"/>
          <w:sz w:val="18"/>
          <w:szCs w:val="18"/>
        </w:rPr>
      </w:pPr>
      <w:r>
        <w:rPr>
          <w:rFonts w:ascii="宋体" w:hAnsi="宋体" w:cs="宋体" w:eastAsia="宋体" w:hint="default"/>
          <w:sz w:val="18"/>
          <w:szCs w:val="18"/>
        </w:rPr>
        <w:t>的持股</w:t>
        <w:tab/>
        <w:t>的表决权</w:t>
        <w:tab/>
        <w:tab/>
        <w:t>本公司 </w:t>
      </w:r>
      <w:r>
        <w:rPr>
          <w:rFonts w:ascii="宋体" w:hAnsi="宋体" w:cs="宋体" w:eastAsia="宋体" w:hint="default"/>
          <w:sz w:val="18"/>
          <w:szCs w:val="18"/>
          <w:u w:val="single" w:color="000000"/>
        </w:rPr>
        <w:t>母公司名称</w:t>
      </w:r>
      <w:r>
        <w:rPr>
          <w:rFonts w:ascii="宋体" w:hAnsi="宋体" w:cs="宋体" w:eastAsia="宋体" w:hint="default"/>
          <w:sz w:val="18"/>
          <w:szCs w:val="18"/>
        </w:rPr>
        <w:tab/>
      </w:r>
      <w:r>
        <w:rPr>
          <w:rFonts w:ascii="宋体" w:hAnsi="宋体" w:cs="宋体" w:eastAsia="宋体" w:hint="default"/>
          <w:sz w:val="18"/>
          <w:szCs w:val="18"/>
          <w:u w:val="single" w:color="000000"/>
        </w:rPr>
        <w:t>注册地</w:t>
      </w:r>
      <w:r>
        <w:rPr>
          <w:rFonts w:ascii="宋体" w:hAnsi="宋体" w:cs="宋体" w:eastAsia="宋体" w:hint="default"/>
          <w:sz w:val="18"/>
          <w:szCs w:val="18"/>
        </w:rPr>
        <w:tab/>
      </w:r>
      <w:r>
        <w:rPr>
          <w:rFonts w:ascii="宋体" w:hAnsi="宋体" w:cs="宋体" w:eastAsia="宋体" w:hint="default"/>
          <w:sz w:val="18"/>
          <w:szCs w:val="18"/>
          <w:u w:val="single" w:color="000000"/>
        </w:rPr>
        <w:t>业务性质</w:t>
      </w:r>
      <w:r>
        <w:rPr>
          <w:rFonts w:ascii="宋体" w:hAnsi="宋体" w:cs="宋体" w:eastAsia="宋体" w:hint="default"/>
          <w:sz w:val="18"/>
          <w:szCs w:val="18"/>
        </w:rPr>
        <w:tab/>
      </w:r>
      <w:r>
        <w:rPr>
          <w:rFonts w:ascii="宋体" w:hAnsi="宋体" w:cs="宋体" w:eastAsia="宋体" w:hint="default"/>
          <w:sz w:val="18"/>
          <w:szCs w:val="18"/>
          <w:u w:val="single" w:color="000000"/>
        </w:rPr>
        <w:t>注册资本</w:t>
      </w:r>
      <w:r>
        <w:rPr>
          <w:rFonts w:ascii="宋体" w:hAnsi="宋体" w:cs="宋体" w:eastAsia="宋体" w:hint="default"/>
          <w:sz w:val="18"/>
          <w:szCs w:val="18"/>
        </w:rPr>
        <w:tab/>
      </w:r>
      <w:r>
        <w:rPr>
          <w:rFonts w:ascii="宋体" w:hAnsi="宋体" w:cs="宋体" w:eastAsia="宋体" w:hint="default"/>
          <w:w w:val="95"/>
          <w:sz w:val="18"/>
          <w:szCs w:val="18"/>
          <w:u w:val="single" w:color="000000"/>
        </w:rPr>
        <w:t>比例</w:t>
      </w:r>
      <w:r>
        <w:rPr>
          <w:rFonts w:ascii="Arial" w:hAnsi="Arial" w:cs="Arial" w:eastAsia="Arial" w:hint="default"/>
          <w:w w:val="95"/>
          <w:sz w:val="18"/>
          <w:szCs w:val="18"/>
          <w:u w:val="single" w:color="000000"/>
        </w:rPr>
        <w:t>(%)</w:t>
      </w:r>
      <w:r>
        <w:rPr>
          <w:rFonts w:ascii="Arial" w:hAnsi="Arial" w:cs="Arial" w:eastAsia="Arial" w:hint="default"/>
          <w:w w:val="95"/>
          <w:sz w:val="18"/>
          <w:szCs w:val="18"/>
        </w:rPr>
        <w:tab/>
      </w:r>
      <w:r>
        <w:rPr>
          <w:rFonts w:ascii="宋体" w:hAnsi="宋体" w:cs="宋体" w:eastAsia="宋体" w:hint="default"/>
          <w:w w:val="95"/>
          <w:sz w:val="18"/>
          <w:szCs w:val="18"/>
        </w:rPr>
      </w:r>
      <w:r>
        <w:rPr>
          <w:rFonts w:ascii="宋体" w:hAnsi="宋体" w:cs="宋体" w:eastAsia="宋体" w:hint="default"/>
          <w:sz w:val="18"/>
          <w:szCs w:val="18"/>
          <w:u w:val="single" w:color="000000"/>
        </w:rPr>
        <w:t>比例 </w:t>
      </w:r>
      <w:r>
        <w:rPr>
          <w:rFonts w:ascii="Arial" w:hAnsi="Arial" w:cs="Arial" w:eastAsia="Arial" w:hint="default"/>
          <w:sz w:val="18"/>
          <w:szCs w:val="18"/>
          <w:u w:val="single" w:color="000000"/>
        </w:rPr>
        <w:t>(%)</w:t>
      </w:r>
      <w:r>
        <w:rPr>
          <w:rFonts w:ascii="Arial" w:hAnsi="Arial" w:cs="Arial" w:eastAsia="Arial"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最终控制方</w:t>
      </w:r>
      <w:r>
        <w:rPr>
          <w:rFonts w:ascii="宋体" w:hAnsi="宋体" w:cs="宋体" w:eastAsia="宋体" w:hint="default"/>
          <w:sz w:val="18"/>
          <w:szCs w:val="18"/>
        </w:rPr>
      </w:r>
    </w:p>
    <w:p>
      <w:pPr>
        <w:spacing w:line="240" w:lineRule="auto" w:before="2"/>
        <w:rPr>
          <w:rFonts w:ascii="宋体" w:hAnsi="宋体" w:cs="宋体" w:eastAsia="宋体" w:hint="default"/>
          <w:sz w:val="11"/>
          <w:szCs w:val="11"/>
        </w:rPr>
      </w:pPr>
    </w:p>
    <w:p>
      <w:pPr>
        <w:tabs>
          <w:tab w:pos="1521" w:val="left" w:leader="none"/>
          <w:tab w:pos="2229" w:val="left" w:leader="none"/>
          <w:tab w:pos="4281" w:val="left" w:leader="none"/>
          <w:tab w:pos="6014" w:val="left" w:leader="none"/>
          <w:tab w:pos="7150" w:val="left" w:leader="none"/>
          <w:tab w:pos="8456" w:val="left" w:leader="none"/>
        </w:tabs>
        <w:spacing w:before="44"/>
        <w:ind w:left="102" w:right="0" w:firstLine="0"/>
        <w:jc w:val="left"/>
        <w:rPr>
          <w:rFonts w:ascii="宋体" w:hAnsi="宋体" w:cs="宋体" w:eastAsia="宋体" w:hint="default"/>
          <w:sz w:val="18"/>
          <w:szCs w:val="18"/>
        </w:rPr>
      </w:pPr>
      <w:r>
        <w:rPr>
          <w:rFonts w:ascii="宋体" w:hAnsi="宋体" w:cs="宋体" w:eastAsia="宋体" w:hint="default"/>
          <w:sz w:val="18"/>
          <w:szCs w:val="18"/>
        </w:rPr>
        <w:t>联通集团</w:t>
        <w:tab/>
        <w:t>北京</w:t>
        <w:tab/>
        <w:t>电信业务及投资控股</w:t>
        <w:tab/>
      </w:r>
      <w:r>
        <w:rPr>
          <w:rFonts w:ascii="Arial" w:hAnsi="Arial" w:cs="Arial" w:eastAsia="Arial" w:hint="default"/>
          <w:spacing w:val="-1"/>
          <w:sz w:val="18"/>
          <w:szCs w:val="18"/>
        </w:rPr>
        <w:t>106,471,198,904</w:t>
        <w:tab/>
        <w:t>63.09%</w:t>
        <w:tab/>
        <w:t>63.09%</w:t>
        <w:tab/>
      </w:r>
      <w:r>
        <w:rPr>
          <w:rFonts w:ascii="宋体" w:hAnsi="宋体" w:cs="宋体" w:eastAsia="宋体" w:hint="default"/>
          <w:sz w:val="18"/>
          <w:szCs w:val="18"/>
        </w:rPr>
        <w:t>联通集团</w:t>
      </w:r>
    </w:p>
    <w:p>
      <w:pPr>
        <w:spacing w:line="240" w:lineRule="auto" w:before="10"/>
        <w:rPr>
          <w:rFonts w:ascii="宋体" w:hAnsi="宋体" w:cs="宋体" w:eastAsia="宋体" w:hint="default"/>
          <w:sz w:val="15"/>
          <w:szCs w:val="15"/>
        </w:rPr>
      </w:pPr>
    </w:p>
    <w:p>
      <w:pPr>
        <w:pStyle w:val="BodyText"/>
        <w:spacing w:line="240" w:lineRule="auto"/>
        <w:ind w:left="102" w:right="390"/>
        <w:jc w:val="left"/>
      </w:pPr>
      <w:r>
        <w:rPr/>
        <w:t>本公司的最终控制方为联通集团。联通集团为国资委直属的中央企业。</w:t>
      </w:r>
    </w:p>
    <w:p>
      <w:pPr>
        <w:spacing w:line="240" w:lineRule="auto" w:before="6"/>
        <w:rPr>
          <w:rFonts w:ascii="宋体" w:hAnsi="宋体" w:cs="宋体" w:eastAsia="宋体" w:hint="default"/>
          <w:sz w:val="17"/>
          <w:szCs w:val="17"/>
        </w:rPr>
      </w:pPr>
    </w:p>
    <w:p>
      <w:pPr>
        <w:pStyle w:val="BodyText"/>
        <w:spacing w:line="408" w:lineRule="auto"/>
        <w:ind w:left="522" w:right="4026" w:hanging="420"/>
        <w:jc w:val="left"/>
      </w:pPr>
      <w:r>
        <w:rPr>
          <w:rFonts w:ascii="Arial" w:hAnsi="Arial" w:cs="Arial" w:eastAsia="Arial" w:hint="default"/>
        </w:rPr>
        <w:t>2</w:t>
      </w:r>
      <w:r>
        <w:rPr/>
        <w:t>、</w:t>
      </w:r>
      <w:r>
        <w:rPr>
          <w:spacing w:val="-34"/>
        </w:rPr>
        <w:t> </w:t>
      </w:r>
      <w:r>
        <w:rPr/>
        <w:t>子公司情况</w:t>
      </w:r>
      <w:r>
        <w:rPr>
          <w:w w:val="100"/>
        </w:rPr>
        <w:t> </w:t>
      </w:r>
      <w:r>
        <w:rPr>
          <w:spacing w:val="-1"/>
        </w:rPr>
        <w:t>子公司的基本情况及相关信息见附注七。</w:t>
      </w:r>
    </w:p>
    <w:p>
      <w:pPr>
        <w:pStyle w:val="BodyText"/>
        <w:spacing w:line="408" w:lineRule="auto" w:before="71"/>
        <w:ind w:left="530" w:right="4026" w:hanging="428"/>
        <w:jc w:val="left"/>
      </w:pPr>
      <w:r>
        <w:rPr>
          <w:rFonts w:ascii="Arial" w:hAnsi="Arial" w:cs="Arial" w:eastAsia="Arial" w:hint="default"/>
        </w:rPr>
        <w:t>3</w:t>
      </w:r>
      <w:r>
        <w:rPr/>
        <w:t>、本公司的合营和联营企业情况</w:t>
      </w:r>
      <w:r>
        <w:rPr>
          <w:w w:val="100"/>
        </w:rPr>
        <w:t> </w:t>
      </w:r>
      <w:r>
        <w:rPr>
          <w:spacing w:val="-1"/>
        </w:rPr>
        <w:t>本集团的合营或联营企业详见附注五</w:t>
      </w:r>
      <w:r>
        <w:rPr>
          <w:rFonts w:ascii="Arial" w:hAnsi="Arial" w:cs="Arial" w:eastAsia="Arial" w:hint="default"/>
          <w:spacing w:val="-1"/>
        </w:rPr>
        <w:t>(9)</w:t>
      </w:r>
      <w:r>
        <w:rPr>
          <w:spacing w:val="-1"/>
        </w:rPr>
        <w:t>。</w:t>
      </w:r>
    </w:p>
    <w:p>
      <w:pPr>
        <w:pStyle w:val="BodyText"/>
        <w:spacing w:line="240" w:lineRule="auto" w:before="40"/>
        <w:ind w:left="102" w:right="390"/>
        <w:jc w:val="left"/>
      </w:pPr>
      <w:r>
        <w:rPr>
          <w:rFonts w:ascii="Arial" w:hAnsi="Arial" w:cs="Arial" w:eastAsia="Arial" w:hint="default"/>
        </w:rPr>
        <w:t>4</w:t>
      </w:r>
      <w:r>
        <w:rPr/>
        <w:t>、其他关联方情况</w:t>
      </w:r>
    </w:p>
    <w:p>
      <w:pPr>
        <w:spacing w:line="240" w:lineRule="auto" w:before="11"/>
        <w:rPr>
          <w:rFonts w:ascii="宋体" w:hAnsi="宋体" w:cs="宋体" w:eastAsia="宋体" w:hint="default"/>
          <w:sz w:val="3"/>
          <w:szCs w:val="3"/>
        </w:rPr>
      </w:pPr>
    </w:p>
    <w:tbl>
      <w:tblPr>
        <w:tblW w:w="0" w:type="auto"/>
        <w:jc w:val="left"/>
        <w:tblInd w:w="382" w:type="dxa"/>
        <w:tblLayout w:type="fixed"/>
        <w:tblCellMar>
          <w:top w:w="0" w:type="dxa"/>
          <w:left w:w="0" w:type="dxa"/>
          <w:bottom w:w="0" w:type="dxa"/>
          <w:right w:w="0" w:type="dxa"/>
        </w:tblCellMar>
        <w:tblLook w:val="01E0"/>
      </w:tblPr>
      <w:tblGrid>
        <w:gridCol w:w="630"/>
        <w:gridCol w:w="4717"/>
        <w:gridCol w:w="3735"/>
      </w:tblGrid>
      <w:tr>
        <w:trPr>
          <w:trHeight w:val="249" w:hRule="exact"/>
        </w:trPr>
        <w:tc>
          <w:tcPr>
            <w:tcW w:w="630" w:type="dxa"/>
            <w:tcBorders>
              <w:top w:val="nil" w:sz="6" w:space="0" w:color="auto"/>
              <w:left w:val="nil" w:sz="6" w:space="0" w:color="auto"/>
              <w:bottom w:val="nil" w:sz="6" w:space="0" w:color="auto"/>
              <w:right w:val="nil" w:sz="6" w:space="0" w:color="auto"/>
            </w:tcBorders>
          </w:tcPr>
          <w:p>
            <w:pPr/>
          </w:p>
        </w:tc>
        <w:tc>
          <w:tcPr>
            <w:tcW w:w="4717" w:type="dxa"/>
            <w:tcBorders>
              <w:top w:val="nil" w:sz="6" w:space="0" w:color="auto"/>
              <w:left w:val="nil" w:sz="6" w:space="0" w:color="auto"/>
              <w:bottom w:val="nil" w:sz="6" w:space="0" w:color="auto"/>
              <w:right w:val="nil" w:sz="6" w:space="0" w:color="auto"/>
            </w:tcBorders>
          </w:tcPr>
          <w:p>
            <w:pPr/>
          </w:p>
        </w:tc>
        <w:tc>
          <w:tcPr>
            <w:tcW w:w="3735" w:type="dxa"/>
            <w:tcBorders>
              <w:top w:val="nil" w:sz="6" w:space="0" w:color="auto"/>
              <w:left w:val="nil" w:sz="6" w:space="0" w:color="auto"/>
              <w:bottom w:val="single" w:sz="6" w:space="0" w:color="000000"/>
              <w:right w:val="nil" w:sz="6" w:space="0" w:color="auto"/>
            </w:tcBorders>
          </w:tcPr>
          <w:p>
            <w:pPr>
              <w:pStyle w:val="TableParagraph"/>
              <w:spacing w:line="211" w:lineRule="exact"/>
              <w:ind w:right="0"/>
              <w:jc w:val="right"/>
              <w:rPr>
                <w:rFonts w:ascii="宋体" w:hAnsi="宋体" w:cs="宋体" w:eastAsia="宋体" w:hint="default"/>
                <w:sz w:val="21"/>
                <w:szCs w:val="21"/>
              </w:rPr>
            </w:pPr>
            <w:r>
              <w:rPr>
                <w:rFonts w:ascii="宋体" w:hAnsi="宋体" w:cs="宋体" w:eastAsia="宋体" w:hint="default"/>
                <w:spacing w:val="-1"/>
                <w:sz w:val="21"/>
                <w:szCs w:val="21"/>
              </w:rPr>
              <w:t>与本集团的关系</w:t>
            </w:r>
          </w:p>
        </w:tc>
      </w:tr>
      <w:tr>
        <w:trPr>
          <w:trHeight w:val="778"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47" w:right="0"/>
              <w:jc w:val="center"/>
              <w:rPr>
                <w:rFonts w:ascii="Arial" w:hAnsi="Arial" w:cs="Arial" w:eastAsia="Arial" w:hint="default"/>
                <w:sz w:val="21"/>
                <w:szCs w:val="21"/>
              </w:rPr>
            </w:pPr>
            <w:r>
              <w:rPr>
                <w:rFonts w:ascii="Arial"/>
                <w:sz w:val="21"/>
              </w:rPr>
              <w:t>(1)</w:t>
            </w:r>
          </w:p>
        </w:tc>
        <w:tc>
          <w:tcPr>
            <w:tcW w:w="47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4" w:right="0"/>
              <w:jc w:val="left"/>
              <w:rPr>
                <w:rFonts w:ascii="宋体" w:hAnsi="宋体" w:cs="宋体" w:eastAsia="宋体" w:hint="default"/>
                <w:sz w:val="21"/>
                <w:szCs w:val="21"/>
              </w:rPr>
            </w:pPr>
            <w:r>
              <w:rPr>
                <w:rFonts w:ascii="宋体" w:hAnsi="宋体" w:cs="宋体" w:eastAsia="宋体" w:hint="default"/>
                <w:sz w:val="21"/>
                <w:szCs w:val="21"/>
              </w:rPr>
              <w:t>联通进出口</w:t>
            </w:r>
          </w:p>
        </w:tc>
        <w:tc>
          <w:tcPr>
            <w:tcW w:w="3735" w:type="dxa"/>
            <w:tcBorders>
              <w:top w:val="single" w:sz="6"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60" w:lineRule="exact"/>
              <w:ind w:left="1320" w:right="8" w:firstLine="7"/>
              <w:jc w:val="left"/>
              <w:rPr>
                <w:rFonts w:ascii="Arial" w:hAnsi="Arial" w:cs="Arial" w:eastAsia="Arial" w:hint="default"/>
                <w:sz w:val="20"/>
                <w:szCs w:val="20"/>
              </w:rPr>
            </w:pPr>
            <w:r>
              <w:rPr>
                <w:rFonts w:ascii="宋体" w:hAnsi="宋体" w:cs="宋体" w:eastAsia="宋体" w:hint="default"/>
                <w:w w:val="95"/>
                <w:sz w:val="20"/>
                <w:szCs w:val="20"/>
              </w:rPr>
              <w:t>联通集团全资子公司，本公</w:t>
            </w:r>
            <w:r>
              <w:rPr>
                <w:rFonts w:ascii="宋体" w:hAnsi="宋体" w:cs="宋体" w:eastAsia="宋体" w:hint="default"/>
                <w:spacing w:val="14"/>
                <w:w w:val="95"/>
                <w:sz w:val="20"/>
                <w:szCs w:val="20"/>
              </w:rPr>
              <w:t> </w:t>
            </w:r>
            <w:r>
              <w:rPr>
                <w:rFonts w:ascii="宋体" w:hAnsi="宋体" w:cs="宋体" w:eastAsia="宋体" w:hint="default"/>
                <w:spacing w:val="14"/>
                <w:w w:val="95"/>
                <w:sz w:val="20"/>
                <w:szCs w:val="20"/>
              </w:rPr>
            </w:r>
            <w:r>
              <w:rPr>
                <w:rFonts w:ascii="宋体" w:hAnsi="宋体" w:cs="宋体" w:eastAsia="宋体" w:hint="default"/>
                <w:spacing w:val="-4"/>
                <w:sz w:val="20"/>
                <w:szCs w:val="20"/>
              </w:rPr>
              <w:t>司股东之一，持股</w:t>
            </w:r>
            <w:r>
              <w:rPr>
                <w:rFonts w:ascii="宋体" w:hAnsi="宋体" w:cs="宋体" w:eastAsia="宋体" w:hint="default"/>
                <w:spacing w:val="-56"/>
                <w:sz w:val="20"/>
                <w:szCs w:val="20"/>
              </w:rPr>
              <w:t> </w:t>
            </w:r>
            <w:r>
              <w:rPr>
                <w:rFonts w:ascii="Arial" w:hAnsi="Arial" w:cs="Arial" w:eastAsia="Arial" w:hint="default"/>
                <w:sz w:val="20"/>
                <w:szCs w:val="20"/>
              </w:rPr>
              <w:t>0.0027%</w:t>
            </w:r>
          </w:p>
        </w:tc>
      </w:tr>
      <w:tr>
        <w:trPr>
          <w:trHeight w:val="274"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47" w:right="0"/>
              <w:jc w:val="center"/>
              <w:rPr>
                <w:rFonts w:ascii="Arial" w:hAnsi="Arial" w:cs="Arial" w:eastAsia="Arial" w:hint="default"/>
                <w:sz w:val="21"/>
                <w:szCs w:val="21"/>
              </w:rPr>
            </w:pPr>
            <w:r>
              <w:rPr>
                <w:rFonts w:ascii="Arial"/>
                <w:sz w:val="21"/>
              </w:rPr>
              <w:t>(2)</w:t>
            </w:r>
          </w:p>
        </w:tc>
        <w:tc>
          <w:tcPr>
            <w:tcW w:w="4717" w:type="dxa"/>
            <w:tcBorders>
              <w:top w:val="nil" w:sz="6" w:space="0" w:color="auto"/>
              <w:left w:val="nil" w:sz="6" w:space="0" w:color="auto"/>
              <w:bottom w:val="nil" w:sz="6" w:space="0" w:color="auto"/>
              <w:right w:val="nil" w:sz="6" w:space="0" w:color="auto"/>
            </w:tcBorders>
          </w:tcPr>
          <w:p>
            <w:pPr>
              <w:pStyle w:val="TableParagraph"/>
              <w:spacing w:line="231" w:lineRule="exact"/>
              <w:ind w:left="54" w:right="0"/>
              <w:jc w:val="left"/>
              <w:rPr>
                <w:rFonts w:ascii="宋体" w:hAnsi="宋体" w:cs="宋体" w:eastAsia="宋体" w:hint="default"/>
                <w:sz w:val="21"/>
                <w:szCs w:val="21"/>
              </w:rPr>
            </w:pPr>
            <w:r>
              <w:rPr>
                <w:rFonts w:ascii="宋体" w:hAnsi="宋体" w:cs="宋体" w:eastAsia="宋体" w:hint="default"/>
                <w:sz w:val="21"/>
                <w:szCs w:val="21"/>
              </w:rPr>
              <w:t>联通时科</w:t>
            </w:r>
          </w:p>
        </w:tc>
        <w:tc>
          <w:tcPr>
            <w:tcW w:w="3735" w:type="dxa"/>
            <w:tcBorders>
              <w:top w:val="nil" w:sz="6" w:space="0" w:color="auto"/>
              <w:left w:val="nil" w:sz="6" w:space="0" w:color="auto"/>
              <w:bottom w:val="nil" w:sz="6" w:space="0" w:color="auto"/>
              <w:right w:val="nil" w:sz="6" w:space="0" w:color="auto"/>
            </w:tcBorders>
          </w:tcPr>
          <w:p>
            <w:pPr>
              <w:pStyle w:val="TableParagraph"/>
              <w:spacing w:line="231" w:lineRule="exact"/>
              <w:ind w:right="4"/>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1"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47" w:right="0"/>
              <w:jc w:val="center"/>
              <w:rPr>
                <w:rFonts w:ascii="Arial" w:hAnsi="Arial" w:cs="Arial" w:eastAsia="Arial" w:hint="default"/>
                <w:sz w:val="21"/>
                <w:szCs w:val="21"/>
              </w:rPr>
            </w:pPr>
            <w:r>
              <w:rPr>
                <w:rFonts w:ascii="Arial"/>
                <w:sz w:val="21"/>
              </w:rPr>
              <w:t>(3)</w:t>
            </w:r>
          </w:p>
        </w:tc>
        <w:tc>
          <w:tcPr>
            <w:tcW w:w="4717" w:type="dxa"/>
            <w:tcBorders>
              <w:top w:val="nil" w:sz="6" w:space="0" w:color="auto"/>
              <w:left w:val="nil" w:sz="6" w:space="0" w:color="auto"/>
              <w:bottom w:val="nil" w:sz="6" w:space="0" w:color="auto"/>
              <w:right w:val="nil" w:sz="6" w:space="0" w:color="auto"/>
            </w:tcBorders>
          </w:tcPr>
          <w:p>
            <w:pPr>
              <w:pStyle w:val="TableParagraph"/>
              <w:spacing w:line="246" w:lineRule="exact"/>
              <w:ind w:left="54" w:right="0"/>
              <w:jc w:val="left"/>
              <w:rPr>
                <w:rFonts w:ascii="宋体" w:hAnsi="宋体" w:cs="宋体" w:eastAsia="宋体" w:hint="default"/>
                <w:sz w:val="21"/>
                <w:szCs w:val="21"/>
              </w:rPr>
            </w:pPr>
            <w:r>
              <w:rPr>
                <w:rFonts w:ascii="宋体" w:hAnsi="宋体" w:cs="宋体" w:eastAsia="宋体" w:hint="default"/>
                <w:sz w:val="21"/>
                <w:szCs w:val="21"/>
              </w:rPr>
              <w:t>联通集团</w:t>
            </w:r>
            <w:r>
              <w:rPr>
                <w:rFonts w:ascii="宋体" w:hAnsi="宋体" w:cs="宋体" w:eastAsia="宋体" w:hint="default"/>
                <w:spacing w:val="-52"/>
                <w:sz w:val="21"/>
                <w:szCs w:val="21"/>
              </w:rPr>
              <w:t> </w:t>
            </w:r>
            <w:r>
              <w:rPr>
                <w:rFonts w:ascii="Arial" w:hAnsi="Arial" w:cs="Arial" w:eastAsia="Arial" w:hint="default"/>
                <w:sz w:val="21"/>
                <w:szCs w:val="21"/>
              </w:rPr>
              <w:t>BVI</w:t>
            </w:r>
            <w:r>
              <w:rPr>
                <w:rFonts w:ascii="Arial" w:hAnsi="Arial" w:cs="Arial" w:eastAsia="Arial" w:hint="default"/>
                <w:spacing w:val="-7"/>
                <w:sz w:val="21"/>
                <w:szCs w:val="21"/>
              </w:rPr>
              <w:t> </w:t>
            </w:r>
            <w:r>
              <w:rPr>
                <w:rFonts w:ascii="宋体" w:hAnsi="宋体" w:cs="宋体" w:eastAsia="宋体" w:hint="default"/>
                <w:sz w:val="21"/>
                <w:szCs w:val="21"/>
              </w:rPr>
              <w:t>公司</w:t>
            </w:r>
          </w:p>
        </w:tc>
        <w:tc>
          <w:tcPr>
            <w:tcW w:w="3735" w:type="dxa"/>
            <w:tcBorders>
              <w:top w:val="nil" w:sz="6" w:space="0" w:color="auto"/>
              <w:left w:val="nil" w:sz="6" w:space="0" w:color="auto"/>
              <w:bottom w:val="nil" w:sz="6" w:space="0" w:color="auto"/>
              <w:right w:val="nil" w:sz="6" w:space="0" w:color="auto"/>
            </w:tcBorders>
          </w:tcPr>
          <w:p>
            <w:pPr>
              <w:pStyle w:val="TableParagraph"/>
              <w:spacing w:line="231" w:lineRule="exact"/>
              <w:ind w:right="4"/>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2"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47" w:right="0"/>
              <w:jc w:val="center"/>
              <w:rPr>
                <w:rFonts w:ascii="Arial" w:hAnsi="Arial" w:cs="Arial" w:eastAsia="Arial" w:hint="default"/>
                <w:sz w:val="21"/>
                <w:szCs w:val="21"/>
              </w:rPr>
            </w:pPr>
            <w:r>
              <w:rPr>
                <w:rFonts w:ascii="Arial"/>
                <w:sz w:val="21"/>
              </w:rPr>
              <w:t>(4)</w:t>
            </w:r>
          </w:p>
        </w:tc>
        <w:tc>
          <w:tcPr>
            <w:tcW w:w="4717" w:type="dxa"/>
            <w:tcBorders>
              <w:top w:val="nil" w:sz="6" w:space="0" w:color="auto"/>
              <w:left w:val="nil" w:sz="6" w:space="0" w:color="auto"/>
              <w:bottom w:val="nil" w:sz="6" w:space="0" w:color="auto"/>
              <w:right w:val="nil" w:sz="6" w:space="0" w:color="auto"/>
            </w:tcBorders>
          </w:tcPr>
          <w:p>
            <w:pPr>
              <w:pStyle w:val="TableParagraph"/>
              <w:spacing w:line="231" w:lineRule="exact"/>
              <w:ind w:left="54" w:right="0"/>
              <w:jc w:val="left"/>
              <w:rPr>
                <w:rFonts w:ascii="宋体" w:hAnsi="宋体" w:cs="宋体" w:eastAsia="宋体" w:hint="default"/>
                <w:sz w:val="21"/>
                <w:szCs w:val="21"/>
              </w:rPr>
            </w:pPr>
            <w:r>
              <w:rPr>
                <w:rFonts w:ascii="宋体" w:hAnsi="宋体" w:cs="宋体" w:eastAsia="宋体" w:hint="default"/>
                <w:sz w:val="21"/>
                <w:szCs w:val="21"/>
              </w:rPr>
              <w:t>中国联通集团北京市通信有限公司及其附属公司</w:t>
            </w:r>
          </w:p>
        </w:tc>
        <w:tc>
          <w:tcPr>
            <w:tcW w:w="3735" w:type="dxa"/>
            <w:tcBorders>
              <w:top w:val="nil" w:sz="6" w:space="0" w:color="auto"/>
              <w:left w:val="nil" w:sz="6" w:space="0" w:color="auto"/>
              <w:bottom w:val="nil" w:sz="6" w:space="0" w:color="auto"/>
              <w:right w:val="nil" w:sz="6" w:space="0" w:color="auto"/>
            </w:tcBorders>
          </w:tcPr>
          <w:p>
            <w:pPr>
              <w:pStyle w:val="TableParagraph"/>
              <w:spacing w:line="231" w:lineRule="exact"/>
              <w:ind w:right="4"/>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2"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7" w:right="0"/>
              <w:jc w:val="center"/>
              <w:rPr>
                <w:rFonts w:ascii="Arial" w:hAnsi="Arial" w:cs="Arial" w:eastAsia="Arial" w:hint="default"/>
                <w:sz w:val="21"/>
                <w:szCs w:val="21"/>
              </w:rPr>
            </w:pPr>
            <w:r>
              <w:rPr>
                <w:rFonts w:ascii="Arial"/>
                <w:sz w:val="21"/>
              </w:rPr>
              <w:t>(5)</w:t>
            </w:r>
          </w:p>
        </w:tc>
        <w:tc>
          <w:tcPr>
            <w:tcW w:w="4717" w:type="dxa"/>
            <w:tcBorders>
              <w:top w:val="nil" w:sz="6" w:space="0" w:color="auto"/>
              <w:left w:val="nil" w:sz="6" w:space="0" w:color="auto"/>
              <w:bottom w:val="nil" w:sz="6" w:space="0" w:color="auto"/>
              <w:right w:val="nil" w:sz="6" w:space="0" w:color="auto"/>
            </w:tcBorders>
          </w:tcPr>
          <w:p>
            <w:pPr>
              <w:pStyle w:val="TableParagraph"/>
              <w:spacing w:line="230" w:lineRule="exact"/>
              <w:ind w:left="54" w:right="0"/>
              <w:jc w:val="left"/>
              <w:rPr>
                <w:rFonts w:ascii="宋体" w:hAnsi="宋体" w:cs="宋体" w:eastAsia="宋体" w:hint="default"/>
                <w:sz w:val="21"/>
                <w:szCs w:val="21"/>
              </w:rPr>
            </w:pPr>
            <w:r>
              <w:rPr>
                <w:rFonts w:ascii="宋体" w:hAnsi="宋体" w:cs="宋体" w:eastAsia="宋体" w:hint="default"/>
                <w:sz w:val="21"/>
                <w:szCs w:val="21"/>
              </w:rPr>
              <w:t>天津市联通通信有限公司及其附属公司</w:t>
            </w:r>
          </w:p>
        </w:tc>
        <w:tc>
          <w:tcPr>
            <w:tcW w:w="3735" w:type="dxa"/>
            <w:tcBorders>
              <w:top w:val="nil" w:sz="6" w:space="0" w:color="auto"/>
              <w:left w:val="nil" w:sz="6" w:space="0" w:color="auto"/>
              <w:bottom w:val="nil" w:sz="6" w:space="0" w:color="auto"/>
              <w:right w:val="nil" w:sz="6" w:space="0" w:color="auto"/>
            </w:tcBorders>
          </w:tcPr>
          <w:p>
            <w:pPr>
              <w:pStyle w:val="TableParagraph"/>
              <w:spacing w:line="230" w:lineRule="exact"/>
              <w:ind w:right="4"/>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3"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47" w:right="0"/>
              <w:jc w:val="center"/>
              <w:rPr>
                <w:rFonts w:ascii="Arial" w:hAnsi="Arial" w:cs="Arial" w:eastAsia="Arial" w:hint="default"/>
                <w:sz w:val="21"/>
                <w:szCs w:val="21"/>
              </w:rPr>
            </w:pPr>
            <w:r>
              <w:rPr>
                <w:rFonts w:ascii="Arial"/>
                <w:sz w:val="21"/>
              </w:rPr>
              <w:t>(6)</w:t>
            </w:r>
          </w:p>
        </w:tc>
        <w:tc>
          <w:tcPr>
            <w:tcW w:w="4717" w:type="dxa"/>
            <w:tcBorders>
              <w:top w:val="nil" w:sz="6" w:space="0" w:color="auto"/>
              <w:left w:val="nil" w:sz="6" w:space="0" w:color="auto"/>
              <w:bottom w:val="nil" w:sz="6" w:space="0" w:color="auto"/>
              <w:right w:val="nil" w:sz="6" w:space="0" w:color="auto"/>
            </w:tcBorders>
          </w:tcPr>
          <w:p>
            <w:pPr>
              <w:pStyle w:val="TableParagraph"/>
              <w:spacing w:line="231" w:lineRule="exact"/>
              <w:ind w:left="54" w:right="0"/>
              <w:jc w:val="left"/>
              <w:rPr>
                <w:rFonts w:ascii="宋体" w:hAnsi="宋体" w:cs="宋体" w:eastAsia="宋体" w:hint="default"/>
                <w:sz w:val="21"/>
                <w:szCs w:val="21"/>
              </w:rPr>
            </w:pPr>
            <w:r>
              <w:rPr>
                <w:rFonts w:ascii="宋体" w:hAnsi="宋体" w:cs="宋体" w:eastAsia="宋体" w:hint="default"/>
                <w:sz w:val="21"/>
                <w:szCs w:val="21"/>
              </w:rPr>
              <w:t>中国联通集团河北省通信有限公司及其附属公司</w:t>
            </w:r>
          </w:p>
        </w:tc>
        <w:tc>
          <w:tcPr>
            <w:tcW w:w="3735" w:type="dxa"/>
            <w:tcBorders>
              <w:top w:val="nil" w:sz="6" w:space="0" w:color="auto"/>
              <w:left w:val="nil" w:sz="6" w:space="0" w:color="auto"/>
              <w:bottom w:val="nil" w:sz="6" w:space="0" w:color="auto"/>
              <w:right w:val="nil" w:sz="6" w:space="0" w:color="auto"/>
            </w:tcBorders>
          </w:tcPr>
          <w:p>
            <w:pPr>
              <w:pStyle w:val="TableParagraph"/>
              <w:spacing w:line="231" w:lineRule="exact"/>
              <w:ind w:right="4"/>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3"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7" w:right="0"/>
              <w:jc w:val="center"/>
              <w:rPr>
                <w:rFonts w:ascii="Arial" w:hAnsi="Arial" w:cs="Arial" w:eastAsia="Arial" w:hint="default"/>
                <w:sz w:val="21"/>
                <w:szCs w:val="21"/>
              </w:rPr>
            </w:pPr>
            <w:r>
              <w:rPr>
                <w:rFonts w:ascii="Arial"/>
                <w:sz w:val="21"/>
              </w:rPr>
              <w:t>(7)</w:t>
            </w:r>
          </w:p>
        </w:tc>
        <w:tc>
          <w:tcPr>
            <w:tcW w:w="4717" w:type="dxa"/>
            <w:tcBorders>
              <w:top w:val="nil" w:sz="6" w:space="0" w:color="auto"/>
              <w:left w:val="nil" w:sz="6" w:space="0" w:color="auto"/>
              <w:bottom w:val="nil" w:sz="6" w:space="0" w:color="auto"/>
              <w:right w:val="nil" w:sz="6" w:space="0" w:color="auto"/>
            </w:tcBorders>
          </w:tcPr>
          <w:p>
            <w:pPr>
              <w:pStyle w:val="TableParagraph"/>
              <w:spacing w:line="230" w:lineRule="exact"/>
              <w:ind w:left="54" w:right="0"/>
              <w:jc w:val="left"/>
              <w:rPr>
                <w:rFonts w:ascii="宋体" w:hAnsi="宋体" w:cs="宋体" w:eastAsia="宋体" w:hint="default"/>
                <w:sz w:val="21"/>
                <w:szCs w:val="21"/>
              </w:rPr>
            </w:pPr>
            <w:r>
              <w:rPr>
                <w:rFonts w:ascii="宋体" w:hAnsi="宋体" w:cs="宋体" w:eastAsia="宋体" w:hint="default"/>
                <w:sz w:val="21"/>
                <w:szCs w:val="21"/>
              </w:rPr>
              <w:t>河南省联通通信有限公司</w:t>
            </w:r>
          </w:p>
        </w:tc>
        <w:tc>
          <w:tcPr>
            <w:tcW w:w="3735" w:type="dxa"/>
            <w:tcBorders>
              <w:top w:val="nil" w:sz="6" w:space="0" w:color="auto"/>
              <w:left w:val="nil" w:sz="6" w:space="0" w:color="auto"/>
              <w:bottom w:val="nil" w:sz="6" w:space="0" w:color="auto"/>
              <w:right w:val="nil" w:sz="6" w:space="0" w:color="auto"/>
            </w:tcBorders>
          </w:tcPr>
          <w:p>
            <w:pPr>
              <w:pStyle w:val="TableParagraph"/>
              <w:spacing w:line="230" w:lineRule="exact"/>
              <w:ind w:right="4"/>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2"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47" w:right="0"/>
              <w:jc w:val="center"/>
              <w:rPr>
                <w:rFonts w:ascii="Arial" w:hAnsi="Arial" w:cs="Arial" w:eastAsia="Arial" w:hint="default"/>
                <w:sz w:val="21"/>
                <w:szCs w:val="21"/>
              </w:rPr>
            </w:pPr>
            <w:r>
              <w:rPr>
                <w:rFonts w:ascii="Arial"/>
                <w:sz w:val="21"/>
              </w:rPr>
              <w:t>(8)</w:t>
            </w:r>
          </w:p>
        </w:tc>
        <w:tc>
          <w:tcPr>
            <w:tcW w:w="4717" w:type="dxa"/>
            <w:tcBorders>
              <w:top w:val="nil" w:sz="6" w:space="0" w:color="auto"/>
              <w:left w:val="nil" w:sz="6" w:space="0" w:color="auto"/>
              <w:bottom w:val="nil" w:sz="6" w:space="0" w:color="auto"/>
              <w:right w:val="nil" w:sz="6" w:space="0" w:color="auto"/>
            </w:tcBorders>
          </w:tcPr>
          <w:p>
            <w:pPr>
              <w:pStyle w:val="TableParagraph"/>
              <w:spacing w:line="231" w:lineRule="exact"/>
              <w:ind w:left="54" w:right="0"/>
              <w:jc w:val="left"/>
              <w:rPr>
                <w:rFonts w:ascii="宋体" w:hAnsi="宋体" w:cs="宋体" w:eastAsia="宋体" w:hint="default"/>
                <w:sz w:val="21"/>
                <w:szCs w:val="21"/>
              </w:rPr>
            </w:pPr>
            <w:r>
              <w:rPr>
                <w:rFonts w:ascii="宋体" w:hAnsi="宋体" w:cs="宋体" w:eastAsia="宋体" w:hint="default"/>
                <w:sz w:val="21"/>
                <w:szCs w:val="21"/>
              </w:rPr>
              <w:t>山东省联通通信有限公司及其附属公司</w:t>
            </w:r>
          </w:p>
        </w:tc>
        <w:tc>
          <w:tcPr>
            <w:tcW w:w="3735" w:type="dxa"/>
            <w:tcBorders>
              <w:top w:val="nil" w:sz="6" w:space="0" w:color="auto"/>
              <w:left w:val="nil" w:sz="6" w:space="0" w:color="auto"/>
              <w:bottom w:val="nil" w:sz="6" w:space="0" w:color="auto"/>
              <w:right w:val="nil" w:sz="6" w:space="0" w:color="auto"/>
            </w:tcBorders>
          </w:tcPr>
          <w:p>
            <w:pPr>
              <w:pStyle w:val="TableParagraph"/>
              <w:spacing w:line="231" w:lineRule="exact"/>
              <w:ind w:right="4"/>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2"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7" w:right="0"/>
              <w:jc w:val="center"/>
              <w:rPr>
                <w:rFonts w:ascii="Arial" w:hAnsi="Arial" w:cs="Arial" w:eastAsia="Arial" w:hint="default"/>
                <w:sz w:val="21"/>
                <w:szCs w:val="21"/>
              </w:rPr>
            </w:pPr>
            <w:r>
              <w:rPr>
                <w:rFonts w:ascii="Arial"/>
                <w:sz w:val="21"/>
              </w:rPr>
              <w:t>(9)</w:t>
            </w:r>
          </w:p>
        </w:tc>
        <w:tc>
          <w:tcPr>
            <w:tcW w:w="4717" w:type="dxa"/>
            <w:tcBorders>
              <w:top w:val="nil" w:sz="6" w:space="0" w:color="auto"/>
              <w:left w:val="nil" w:sz="6" w:space="0" w:color="auto"/>
              <w:bottom w:val="nil" w:sz="6" w:space="0" w:color="auto"/>
              <w:right w:val="nil" w:sz="6" w:space="0" w:color="auto"/>
            </w:tcBorders>
          </w:tcPr>
          <w:p>
            <w:pPr>
              <w:pStyle w:val="TableParagraph"/>
              <w:spacing w:line="230" w:lineRule="exact"/>
              <w:ind w:left="54" w:right="0"/>
              <w:jc w:val="left"/>
              <w:rPr>
                <w:rFonts w:ascii="宋体" w:hAnsi="宋体" w:cs="宋体" w:eastAsia="宋体" w:hint="default"/>
                <w:sz w:val="21"/>
                <w:szCs w:val="21"/>
              </w:rPr>
            </w:pPr>
            <w:r>
              <w:rPr>
                <w:rFonts w:ascii="宋体" w:hAnsi="宋体" w:cs="宋体" w:eastAsia="宋体" w:hint="default"/>
                <w:sz w:val="21"/>
                <w:szCs w:val="21"/>
              </w:rPr>
              <w:t>中国联通集团辽宁省通信有限公司及其附属公司</w:t>
            </w:r>
          </w:p>
        </w:tc>
        <w:tc>
          <w:tcPr>
            <w:tcW w:w="3735" w:type="dxa"/>
            <w:tcBorders>
              <w:top w:val="nil" w:sz="6" w:space="0" w:color="auto"/>
              <w:left w:val="nil" w:sz="6" w:space="0" w:color="auto"/>
              <w:bottom w:val="nil" w:sz="6" w:space="0" w:color="auto"/>
              <w:right w:val="nil" w:sz="6" w:space="0" w:color="auto"/>
            </w:tcBorders>
          </w:tcPr>
          <w:p>
            <w:pPr>
              <w:pStyle w:val="TableParagraph"/>
              <w:spacing w:line="230" w:lineRule="exact"/>
              <w:ind w:right="4"/>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2"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44" w:right="0"/>
              <w:jc w:val="center"/>
              <w:rPr>
                <w:rFonts w:ascii="Arial" w:hAnsi="Arial" w:cs="Arial" w:eastAsia="Arial" w:hint="default"/>
                <w:sz w:val="21"/>
                <w:szCs w:val="21"/>
              </w:rPr>
            </w:pPr>
            <w:r>
              <w:rPr>
                <w:rFonts w:ascii="Arial"/>
                <w:sz w:val="21"/>
              </w:rPr>
              <w:t>(10)</w:t>
            </w:r>
          </w:p>
        </w:tc>
        <w:tc>
          <w:tcPr>
            <w:tcW w:w="4717" w:type="dxa"/>
            <w:tcBorders>
              <w:top w:val="nil" w:sz="6" w:space="0" w:color="auto"/>
              <w:left w:val="nil" w:sz="6" w:space="0" w:color="auto"/>
              <w:bottom w:val="nil" w:sz="6" w:space="0" w:color="auto"/>
              <w:right w:val="nil" w:sz="6" w:space="0" w:color="auto"/>
            </w:tcBorders>
          </w:tcPr>
          <w:p>
            <w:pPr>
              <w:pStyle w:val="TableParagraph"/>
              <w:spacing w:line="231" w:lineRule="exact"/>
              <w:ind w:left="54" w:right="0"/>
              <w:jc w:val="left"/>
              <w:rPr>
                <w:rFonts w:ascii="宋体" w:hAnsi="宋体" w:cs="宋体" w:eastAsia="宋体" w:hint="default"/>
                <w:sz w:val="21"/>
                <w:szCs w:val="21"/>
              </w:rPr>
            </w:pPr>
            <w:r>
              <w:rPr>
                <w:rFonts w:ascii="宋体" w:hAnsi="宋体" w:cs="宋体" w:eastAsia="宋体" w:hint="default"/>
                <w:sz w:val="21"/>
                <w:szCs w:val="21"/>
              </w:rPr>
              <w:t>山西省联通通信有限公司及其附属公司</w:t>
            </w:r>
          </w:p>
        </w:tc>
        <w:tc>
          <w:tcPr>
            <w:tcW w:w="3735" w:type="dxa"/>
            <w:tcBorders>
              <w:top w:val="nil" w:sz="6" w:space="0" w:color="auto"/>
              <w:left w:val="nil" w:sz="6" w:space="0" w:color="auto"/>
              <w:bottom w:val="nil" w:sz="6" w:space="0" w:color="auto"/>
              <w:right w:val="nil" w:sz="6" w:space="0" w:color="auto"/>
            </w:tcBorders>
          </w:tcPr>
          <w:p>
            <w:pPr>
              <w:pStyle w:val="TableParagraph"/>
              <w:spacing w:line="231" w:lineRule="exact"/>
              <w:ind w:right="4"/>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2"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4" w:right="0"/>
              <w:jc w:val="center"/>
              <w:rPr>
                <w:rFonts w:ascii="Arial" w:hAnsi="Arial" w:cs="Arial" w:eastAsia="Arial" w:hint="default"/>
                <w:sz w:val="21"/>
                <w:szCs w:val="21"/>
              </w:rPr>
            </w:pPr>
            <w:r>
              <w:rPr>
                <w:rFonts w:ascii="Arial"/>
                <w:sz w:val="21"/>
              </w:rPr>
              <w:t>(11)</w:t>
            </w:r>
          </w:p>
        </w:tc>
        <w:tc>
          <w:tcPr>
            <w:tcW w:w="4717" w:type="dxa"/>
            <w:tcBorders>
              <w:top w:val="nil" w:sz="6" w:space="0" w:color="auto"/>
              <w:left w:val="nil" w:sz="6" w:space="0" w:color="auto"/>
              <w:bottom w:val="nil" w:sz="6" w:space="0" w:color="auto"/>
              <w:right w:val="nil" w:sz="6" w:space="0" w:color="auto"/>
            </w:tcBorders>
          </w:tcPr>
          <w:p>
            <w:pPr>
              <w:pStyle w:val="TableParagraph"/>
              <w:spacing w:line="230" w:lineRule="exact"/>
              <w:ind w:left="54" w:right="0"/>
              <w:jc w:val="left"/>
              <w:rPr>
                <w:rFonts w:ascii="宋体" w:hAnsi="宋体" w:cs="宋体" w:eastAsia="宋体" w:hint="default"/>
                <w:sz w:val="21"/>
                <w:szCs w:val="21"/>
              </w:rPr>
            </w:pPr>
            <w:r>
              <w:rPr>
                <w:rFonts w:ascii="宋体" w:hAnsi="宋体" w:cs="宋体" w:eastAsia="宋体" w:hint="default"/>
                <w:sz w:val="21"/>
                <w:szCs w:val="21"/>
              </w:rPr>
              <w:t>吉林省联通通信有限公司及其附属公司</w:t>
            </w:r>
          </w:p>
        </w:tc>
        <w:tc>
          <w:tcPr>
            <w:tcW w:w="3735" w:type="dxa"/>
            <w:tcBorders>
              <w:top w:val="nil" w:sz="6" w:space="0" w:color="auto"/>
              <w:left w:val="nil" w:sz="6" w:space="0" w:color="auto"/>
              <w:bottom w:val="nil" w:sz="6" w:space="0" w:color="auto"/>
              <w:right w:val="nil" w:sz="6" w:space="0" w:color="auto"/>
            </w:tcBorders>
          </w:tcPr>
          <w:p>
            <w:pPr>
              <w:pStyle w:val="TableParagraph"/>
              <w:spacing w:line="230" w:lineRule="exact"/>
              <w:ind w:right="4"/>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2"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44" w:right="0"/>
              <w:jc w:val="center"/>
              <w:rPr>
                <w:rFonts w:ascii="Arial" w:hAnsi="Arial" w:cs="Arial" w:eastAsia="Arial" w:hint="default"/>
                <w:sz w:val="21"/>
                <w:szCs w:val="21"/>
              </w:rPr>
            </w:pPr>
            <w:r>
              <w:rPr>
                <w:rFonts w:ascii="Arial"/>
                <w:sz w:val="21"/>
              </w:rPr>
              <w:t>(12)</w:t>
            </w:r>
          </w:p>
        </w:tc>
        <w:tc>
          <w:tcPr>
            <w:tcW w:w="4717" w:type="dxa"/>
            <w:tcBorders>
              <w:top w:val="nil" w:sz="6" w:space="0" w:color="auto"/>
              <w:left w:val="nil" w:sz="6" w:space="0" w:color="auto"/>
              <w:bottom w:val="nil" w:sz="6" w:space="0" w:color="auto"/>
              <w:right w:val="nil" w:sz="6" w:space="0" w:color="auto"/>
            </w:tcBorders>
          </w:tcPr>
          <w:p>
            <w:pPr>
              <w:pStyle w:val="TableParagraph"/>
              <w:spacing w:line="231" w:lineRule="exact"/>
              <w:ind w:left="54" w:right="0"/>
              <w:jc w:val="left"/>
              <w:rPr>
                <w:rFonts w:ascii="宋体" w:hAnsi="宋体" w:cs="宋体" w:eastAsia="宋体" w:hint="default"/>
                <w:sz w:val="21"/>
                <w:szCs w:val="21"/>
              </w:rPr>
            </w:pPr>
            <w:r>
              <w:rPr>
                <w:rFonts w:ascii="宋体" w:hAnsi="宋体" w:cs="宋体" w:eastAsia="宋体" w:hint="default"/>
                <w:sz w:val="21"/>
                <w:szCs w:val="21"/>
              </w:rPr>
              <w:t>中国联通集团黑龙江省通信有限公司及其附属公司</w:t>
            </w:r>
          </w:p>
        </w:tc>
        <w:tc>
          <w:tcPr>
            <w:tcW w:w="3735" w:type="dxa"/>
            <w:tcBorders>
              <w:top w:val="nil" w:sz="6" w:space="0" w:color="auto"/>
              <w:left w:val="nil" w:sz="6" w:space="0" w:color="auto"/>
              <w:bottom w:val="nil" w:sz="6" w:space="0" w:color="auto"/>
              <w:right w:val="nil" w:sz="6" w:space="0" w:color="auto"/>
            </w:tcBorders>
          </w:tcPr>
          <w:p>
            <w:pPr>
              <w:pStyle w:val="TableParagraph"/>
              <w:spacing w:line="231" w:lineRule="exact"/>
              <w:ind w:right="4"/>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2"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4" w:right="0"/>
              <w:jc w:val="center"/>
              <w:rPr>
                <w:rFonts w:ascii="Arial" w:hAnsi="Arial" w:cs="Arial" w:eastAsia="Arial" w:hint="default"/>
                <w:sz w:val="21"/>
                <w:szCs w:val="21"/>
              </w:rPr>
            </w:pPr>
            <w:r>
              <w:rPr>
                <w:rFonts w:ascii="Arial"/>
                <w:sz w:val="21"/>
              </w:rPr>
              <w:t>(13)</w:t>
            </w:r>
          </w:p>
        </w:tc>
        <w:tc>
          <w:tcPr>
            <w:tcW w:w="4717" w:type="dxa"/>
            <w:tcBorders>
              <w:top w:val="nil" w:sz="6" w:space="0" w:color="auto"/>
              <w:left w:val="nil" w:sz="6" w:space="0" w:color="auto"/>
              <w:bottom w:val="nil" w:sz="6" w:space="0" w:color="auto"/>
              <w:right w:val="nil" w:sz="6" w:space="0" w:color="auto"/>
            </w:tcBorders>
          </w:tcPr>
          <w:p>
            <w:pPr>
              <w:pStyle w:val="TableParagraph"/>
              <w:spacing w:line="230" w:lineRule="exact"/>
              <w:ind w:left="54" w:right="0"/>
              <w:jc w:val="left"/>
              <w:rPr>
                <w:rFonts w:ascii="宋体" w:hAnsi="宋体" w:cs="宋体" w:eastAsia="宋体" w:hint="default"/>
                <w:sz w:val="21"/>
                <w:szCs w:val="21"/>
              </w:rPr>
            </w:pPr>
            <w:r>
              <w:rPr>
                <w:rFonts w:ascii="宋体" w:hAnsi="宋体" w:cs="宋体" w:eastAsia="宋体" w:hint="default"/>
                <w:sz w:val="21"/>
                <w:szCs w:val="21"/>
              </w:rPr>
              <w:t>内蒙古联通通信有限公司及其附属公司</w:t>
            </w:r>
          </w:p>
        </w:tc>
        <w:tc>
          <w:tcPr>
            <w:tcW w:w="3735" w:type="dxa"/>
            <w:tcBorders>
              <w:top w:val="nil" w:sz="6" w:space="0" w:color="auto"/>
              <w:left w:val="nil" w:sz="6" w:space="0" w:color="auto"/>
              <w:bottom w:val="nil" w:sz="6" w:space="0" w:color="auto"/>
              <w:right w:val="nil" w:sz="6" w:space="0" w:color="auto"/>
            </w:tcBorders>
          </w:tcPr>
          <w:p>
            <w:pPr>
              <w:pStyle w:val="TableParagraph"/>
              <w:spacing w:line="230" w:lineRule="exact"/>
              <w:ind w:right="4"/>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2"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44" w:right="0"/>
              <w:jc w:val="center"/>
              <w:rPr>
                <w:rFonts w:ascii="Arial" w:hAnsi="Arial" w:cs="Arial" w:eastAsia="Arial" w:hint="default"/>
                <w:sz w:val="21"/>
                <w:szCs w:val="21"/>
              </w:rPr>
            </w:pPr>
            <w:r>
              <w:rPr>
                <w:rFonts w:ascii="Arial"/>
                <w:sz w:val="21"/>
              </w:rPr>
              <w:t>(14)</w:t>
            </w:r>
          </w:p>
        </w:tc>
        <w:tc>
          <w:tcPr>
            <w:tcW w:w="4717" w:type="dxa"/>
            <w:tcBorders>
              <w:top w:val="nil" w:sz="6" w:space="0" w:color="auto"/>
              <w:left w:val="nil" w:sz="6" w:space="0" w:color="auto"/>
              <w:bottom w:val="nil" w:sz="6" w:space="0" w:color="auto"/>
              <w:right w:val="nil" w:sz="6" w:space="0" w:color="auto"/>
            </w:tcBorders>
          </w:tcPr>
          <w:p>
            <w:pPr>
              <w:pStyle w:val="TableParagraph"/>
              <w:spacing w:line="231" w:lineRule="exact"/>
              <w:ind w:left="57" w:right="0"/>
              <w:jc w:val="left"/>
              <w:rPr>
                <w:rFonts w:ascii="宋体" w:hAnsi="宋体" w:cs="宋体" w:eastAsia="宋体" w:hint="default"/>
                <w:sz w:val="21"/>
                <w:szCs w:val="21"/>
              </w:rPr>
            </w:pPr>
            <w:r>
              <w:rPr>
                <w:rFonts w:ascii="宋体" w:hAnsi="宋体" w:cs="宋体" w:eastAsia="宋体" w:hint="default"/>
                <w:sz w:val="21"/>
                <w:szCs w:val="21"/>
              </w:rPr>
              <w:t>联通通信建设有限公司及其附属公司</w:t>
            </w:r>
          </w:p>
        </w:tc>
        <w:tc>
          <w:tcPr>
            <w:tcW w:w="3735" w:type="dxa"/>
            <w:tcBorders>
              <w:top w:val="nil" w:sz="6" w:space="0" w:color="auto"/>
              <w:left w:val="nil" w:sz="6" w:space="0" w:color="auto"/>
              <w:bottom w:val="nil" w:sz="6" w:space="0" w:color="auto"/>
              <w:right w:val="nil" w:sz="6" w:space="0" w:color="auto"/>
            </w:tcBorders>
          </w:tcPr>
          <w:p>
            <w:pPr>
              <w:pStyle w:val="TableParagraph"/>
              <w:spacing w:line="231" w:lineRule="exact"/>
              <w:ind w:right="4"/>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2"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4" w:right="0"/>
              <w:jc w:val="center"/>
              <w:rPr>
                <w:rFonts w:ascii="Arial" w:hAnsi="Arial" w:cs="Arial" w:eastAsia="Arial" w:hint="default"/>
                <w:sz w:val="21"/>
                <w:szCs w:val="21"/>
              </w:rPr>
            </w:pPr>
            <w:r>
              <w:rPr>
                <w:rFonts w:ascii="Arial"/>
                <w:sz w:val="21"/>
              </w:rPr>
              <w:t>(15)</w:t>
            </w:r>
          </w:p>
        </w:tc>
        <w:tc>
          <w:tcPr>
            <w:tcW w:w="4717" w:type="dxa"/>
            <w:tcBorders>
              <w:top w:val="nil" w:sz="6" w:space="0" w:color="auto"/>
              <w:left w:val="nil" w:sz="6" w:space="0" w:color="auto"/>
              <w:bottom w:val="nil" w:sz="6" w:space="0" w:color="auto"/>
              <w:right w:val="nil" w:sz="6" w:space="0" w:color="auto"/>
            </w:tcBorders>
          </w:tcPr>
          <w:p>
            <w:pPr>
              <w:pStyle w:val="TableParagraph"/>
              <w:spacing w:line="230" w:lineRule="exact"/>
              <w:ind w:left="54" w:right="0"/>
              <w:jc w:val="left"/>
              <w:rPr>
                <w:rFonts w:ascii="宋体" w:hAnsi="宋体" w:cs="宋体" w:eastAsia="宋体" w:hint="default"/>
                <w:sz w:val="21"/>
                <w:szCs w:val="21"/>
              </w:rPr>
            </w:pPr>
            <w:r>
              <w:rPr>
                <w:rFonts w:ascii="宋体" w:hAnsi="宋体" w:cs="宋体" w:eastAsia="宋体" w:hint="default"/>
                <w:sz w:val="21"/>
                <w:szCs w:val="21"/>
              </w:rPr>
              <w:t>四川联通通信有限公司及其附属公司</w:t>
            </w:r>
          </w:p>
        </w:tc>
        <w:tc>
          <w:tcPr>
            <w:tcW w:w="3735" w:type="dxa"/>
            <w:tcBorders>
              <w:top w:val="nil" w:sz="6" w:space="0" w:color="auto"/>
              <w:left w:val="nil" w:sz="6" w:space="0" w:color="auto"/>
              <w:bottom w:val="nil" w:sz="6" w:space="0" w:color="auto"/>
              <w:right w:val="nil" w:sz="6" w:space="0" w:color="auto"/>
            </w:tcBorders>
          </w:tcPr>
          <w:p>
            <w:pPr>
              <w:pStyle w:val="TableParagraph"/>
              <w:spacing w:line="230" w:lineRule="exact"/>
              <w:ind w:right="4"/>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2"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45" w:right="0"/>
              <w:jc w:val="center"/>
              <w:rPr>
                <w:rFonts w:ascii="Arial" w:hAnsi="Arial" w:cs="Arial" w:eastAsia="Arial" w:hint="default"/>
                <w:sz w:val="21"/>
                <w:szCs w:val="21"/>
              </w:rPr>
            </w:pPr>
            <w:r>
              <w:rPr>
                <w:rFonts w:ascii="Arial"/>
                <w:sz w:val="21"/>
              </w:rPr>
              <w:t>(16)</w:t>
            </w:r>
          </w:p>
        </w:tc>
        <w:tc>
          <w:tcPr>
            <w:tcW w:w="4717" w:type="dxa"/>
            <w:tcBorders>
              <w:top w:val="nil" w:sz="6" w:space="0" w:color="auto"/>
              <w:left w:val="nil" w:sz="6" w:space="0" w:color="auto"/>
              <w:bottom w:val="nil" w:sz="6" w:space="0" w:color="auto"/>
              <w:right w:val="nil" w:sz="6" w:space="0" w:color="auto"/>
            </w:tcBorders>
          </w:tcPr>
          <w:p>
            <w:pPr>
              <w:pStyle w:val="TableParagraph"/>
              <w:spacing w:line="231" w:lineRule="exact"/>
              <w:ind w:left="54" w:right="0"/>
              <w:jc w:val="left"/>
              <w:rPr>
                <w:rFonts w:ascii="宋体" w:hAnsi="宋体" w:cs="宋体" w:eastAsia="宋体" w:hint="default"/>
                <w:sz w:val="21"/>
                <w:szCs w:val="21"/>
              </w:rPr>
            </w:pPr>
            <w:r>
              <w:rPr>
                <w:rFonts w:ascii="宋体" w:hAnsi="宋体" w:cs="宋体" w:eastAsia="宋体" w:hint="default"/>
                <w:sz w:val="21"/>
                <w:szCs w:val="21"/>
              </w:rPr>
              <w:t>中国联合网络通信集团有限公司附属分公司</w:t>
            </w:r>
          </w:p>
        </w:tc>
        <w:tc>
          <w:tcPr>
            <w:tcW w:w="3735" w:type="dxa"/>
            <w:tcBorders>
              <w:top w:val="nil" w:sz="6" w:space="0" w:color="auto"/>
              <w:left w:val="nil" w:sz="6" w:space="0" w:color="auto"/>
              <w:bottom w:val="nil" w:sz="6" w:space="0" w:color="auto"/>
              <w:right w:val="nil" w:sz="6" w:space="0" w:color="auto"/>
            </w:tcBorders>
          </w:tcPr>
          <w:p>
            <w:pPr>
              <w:pStyle w:val="TableParagraph"/>
              <w:spacing w:line="231" w:lineRule="exact"/>
              <w:ind w:right="4"/>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3"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4" w:right="0"/>
              <w:jc w:val="center"/>
              <w:rPr>
                <w:rFonts w:ascii="Arial" w:hAnsi="Arial" w:cs="Arial" w:eastAsia="Arial" w:hint="default"/>
                <w:sz w:val="21"/>
                <w:szCs w:val="21"/>
              </w:rPr>
            </w:pPr>
            <w:r>
              <w:rPr>
                <w:rFonts w:ascii="Arial"/>
                <w:sz w:val="21"/>
              </w:rPr>
              <w:t>(17)</w:t>
            </w:r>
          </w:p>
        </w:tc>
        <w:tc>
          <w:tcPr>
            <w:tcW w:w="4717" w:type="dxa"/>
            <w:tcBorders>
              <w:top w:val="nil" w:sz="6" w:space="0" w:color="auto"/>
              <w:left w:val="nil" w:sz="6" w:space="0" w:color="auto"/>
              <w:bottom w:val="nil" w:sz="6" w:space="0" w:color="auto"/>
              <w:right w:val="nil" w:sz="6" w:space="0" w:color="auto"/>
            </w:tcBorders>
          </w:tcPr>
          <w:p>
            <w:pPr>
              <w:pStyle w:val="TableParagraph"/>
              <w:spacing w:line="245" w:lineRule="exact"/>
              <w:ind w:left="54" w:right="0"/>
              <w:jc w:val="left"/>
              <w:rPr>
                <w:rFonts w:ascii="宋体" w:hAnsi="宋体" w:cs="宋体" w:eastAsia="宋体" w:hint="default"/>
                <w:sz w:val="21"/>
                <w:szCs w:val="21"/>
              </w:rPr>
            </w:pPr>
            <w:r>
              <w:rPr>
                <w:rFonts w:ascii="宋体" w:hAnsi="宋体" w:cs="宋体" w:eastAsia="宋体" w:hint="default"/>
                <w:sz w:val="21"/>
                <w:szCs w:val="21"/>
              </w:rPr>
              <w:t>中国联通</w:t>
            </w:r>
            <w:r>
              <w:rPr>
                <w:rFonts w:ascii="Arial" w:hAnsi="Arial" w:cs="Arial" w:eastAsia="Arial" w:hint="default"/>
                <w:sz w:val="21"/>
                <w:szCs w:val="21"/>
              </w:rPr>
              <w:t>(</w:t>
            </w:r>
            <w:r>
              <w:rPr>
                <w:rFonts w:ascii="宋体" w:hAnsi="宋体" w:cs="宋体" w:eastAsia="宋体" w:hint="default"/>
                <w:sz w:val="21"/>
                <w:szCs w:val="21"/>
              </w:rPr>
              <w:t>香港</w:t>
            </w:r>
            <w:r>
              <w:rPr>
                <w:rFonts w:ascii="Arial" w:hAnsi="Arial" w:cs="Arial" w:eastAsia="Arial" w:hint="default"/>
                <w:sz w:val="21"/>
                <w:szCs w:val="21"/>
              </w:rPr>
              <w:t>)</w:t>
            </w:r>
            <w:r>
              <w:rPr>
                <w:rFonts w:ascii="宋体" w:hAnsi="宋体" w:cs="宋体" w:eastAsia="宋体" w:hint="default"/>
                <w:sz w:val="21"/>
                <w:szCs w:val="21"/>
              </w:rPr>
              <w:t>集团有限公司</w:t>
            </w:r>
          </w:p>
        </w:tc>
        <w:tc>
          <w:tcPr>
            <w:tcW w:w="3735" w:type="dxa"/>
            <w:tcBorders>
              <w:top w:val="nil" w:sz="6" w:space="0" w:color="auto"/>
              <w:left w:val="nil" w:sz="6" w:space="0" w:color="auto"/>
              <w:bottom w:val="nil" w:sz="6" w:space="0" w:color="auto"/>
              <w:right w:val="nil" w:sz="6" w:space="0" w:color="auto"/>
            </w:tcBorders>
          </w:tcPr>
          <w:p>
            <w:pPr>
              <w:pStyle w:val="TableParagraph"/>
              <w:spacing w:line="230" w:lineRule="exact"/>
              <w:ind w:right="4"/>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3"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44" w:right="0"/>
              <w:jc w:val="center"/>
              <w:rPr>
                <w:rFonts w:ascii="Arial" w:hAnsi="Arial" w:cs="Arial" w:eastAsia="Arial" w:hint="default"/>
                <w:sz w:val="21"/>
                <w:szCs w:val="21"/>
              </w:rPr>
            </w:pPr>
            <w:r>
              <w:rPr>
                <w:rFonts w:ascii="Arial"/>
                <w:sz w:val="21"/>
              </w:rPr>
              <w:t>(18)</w:t>
            </w:r>
          </w:p>
        </w:tc>
        <w:tc>
          <w:tcPr>
            <w:tcW w:w="4717" w:type="dxa"/>
            <w:tcBorders>
              <w:top w:val="nil" w:sz="6" w:space="0" w:color="auto"/>
              <w:left w:val="nil" w:sz="6" w:space="0" w:color="auto"/>
              <w:bottom w:val="nil" w:sz="6" w:space="0" w:color="auto"/>
              <w:right w:val="nil" w:sz="6" w:space="0" w:color="auto"/>
            </w:tcBorders>
          </w:tcPr>
          <w:p>
            <w:pPr>
              <w:pStyle w:val="TableParagraph"/>
              <w:spacing w:line="231" w:lineRule="exact"/>
              <w:ind w:left="54" w:right="0"/>
              <w:jc w:val="left"/>
              <w:rPr>
                <w:rFonts w:ascii="宋体" w:hAnsi="宋体" w:cs="宋体" w:eastAsia="宋体" w:hint="default"/>
                <w:sz w:val="21"/>
                <w:szCs w:val="21"/>
              </w:rPr>
            </w:pPr>
            <w:r>
              <w:rPr>
                <w:rFonts w:ascii="宋体" w:hAnsi="宋体" w:cs="宋体" w:eastAsia="宋体" w:hint="default"/>
                <w:sz w:val="21"/>
                <w:szCs w:val="21"/>
              </w:rPr>
              <w:t>中网威信电子安全服务有限公司</w:t>
            </w:r>
          </w:p>
        </w:tc>
        <w:tc>
          <w:tcPr>
            <w:tcW w:w="3735" w:type="dxa"/>
            <w:tcBorders>
              <w:top w:val="nil" w:sz="6" w:space="0" w:color="auto"/>
              <w:left w:val="nil" w:sz="6" w:space="0" w:color="auto"/>
              <w:bottom w:val="nil" w:sz="6" w:space="0" w:color="auto"/>
              <w:right w:val="nil" w:sz="6" w:space="0" w:color="auto"/>
            </w:tcBorders>
          </w:tcPr>
          <w:p>
            <w:pPr>
              <w:pStyle w:val="TableParagraph"/>
              <w:spacing w:line="231" w:lineRule="exact"/>
              <w:ind w:right="4"/>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2"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4" w:right="0"/>
              <w:jc w:val="center"/>
              <w:rPr>
                <w:rFonts w:ascii="Arial" w:hAnsi="Arial" w:cs="Arial" w:eastAsia="Arial" w:hint="default"/>
                <w:sz w:val="21"/>
                <w:szCs w:val="21"/>
              </w:rPr>
            </w:pPr>
            <w:r>
              <w:rPr>
                <w:rFonts w:ascii="Arial"/>
                <w:sz w:val="21"/>
              </w:rPr>
              <w:t>(19)</w:t>
            </w:r>
          </w:p>
        </w:tc>
        <w:tc>
          <w:tcPr>
            <w:tcW w:w="4717" w:type="dxa"/>
            <w:tcBorders>
              <w:top w:val="nil" w:sz="6" w:space="0" w:color="auto"/>
              <w:left w:val="nil" w:sz="6" w:space="0" w:color="auto"/>
              <w:bottom w:val="nil" w:sz="6" w:space="0" w:color="auto"/>
              <w:right w:val="nil" w:sz="6" w:space="0" w:color="auto"/>
            </w:tcBorders>
          </w:tcPr>
          <w:p>
            <w:pPr>
              <w:pStyle w:val="TableParagraph"/>
              <w:spacing w:line="230" w:lineRule="exact"/>
              <w:ind w:left="54" w:right="0"/>
              <w:jc w:val="left"/>
              <w:rPr>
                <w:rFonts w:ascii="宋体" w:hAnsi="宋体" w:cs="宋体" w:eastAsia="宋体" w:hint="default"/>
                <w:sz w:val="21"/>
                <w:szCs w:val="21"/>
              </w:rPr>
            </w:pPr>
            <w:r>
              <w:rPr>
                <w:rFonts w:ascii="宋体" w:hAnsi="宋体" w:cs="宋体" w:eastAsia="宋体" w:hint="default"/>
                <w:sz w:val="21"/>
                <w:szCs w:val="21"/>
              </w:rPr>
              <w:t>北京京都信苑饭店有限公司</w:t>
            </w:r>
          </w:p>
        </w:tc>
        <w:tc>
          <w:tcPr>
            <w:tcW w:w="3735" w:type="dxa"/>
            <w:tcBorders>
              <w:top w:val="nil" w:sz="6" w:space="0" w:color="auto"/>
              <w:left w:val="nil" w:sz="6" w:space="0" w:color="auto"/>
              <w:bottom w:val="nil" w:sz="6" w:space="0" w:color="auto"/>
              <w:right w:val="nil" w:sz="6" w:space="0" w:color="auto"/>
            </w:tcBorders>
          </w:tcPr>
          <w:p>
            <w:pPr>
              <w:pStyle w:val="TableParagraph"/>
              <w:spacing w:line="230" w:lineRule="exact"/>
              <w:ind w:right="4"/>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1"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44" w:right="0"/>
              <w:jc w:val="center"/>
              <w:rPr>
                <w:rFonts w:ascii="Arial" w:hAnsi="Arial" w:cs="Arial" w:eastAsia="Arial" w:hint="default"/>
                <w:sz w:val="21"/>
                <w:szCs w:val="21"/>
              </w:rPr>
            </w:pPr>
            <w:r>
              <w:rPr>
                <w:rFonts w:ascii="Arial"/>
                <w:sz w:val="21"/>
              </w:rPr>
              <w:t>(20)</w:t>
            </w:r>
          </w:p>
        </w:tc>
        <w:tc>
          <w:tcPr>
            <w:tcW w:w="4717" w:type="dxa"/>
            <w:tcBorders>
              <w:top w:val="nil" w:sz="6" w:space="0" w:color="auto"/>
              <w:left w:val="nil" w:sz="6" w:space="0" w:color="auto"/>
              <w:bottom w:val="nil" w:sz="6" w:space="0" w:color="auto"/>
              <w:right w:val="nil" w:sz="6" w:space="0" w:color="auto"/>
            </w:tcBorders>
          </w:tcPr>
          <w:p>
            <w:pPr>
              <w:pStyle w:val="TableParagraph"/>
              <w:spacing w:line="231" w:lineRule="exact"/>
              <w:ind w:left="54" w:right="0"/>
              <w:jc w:val="left"/>
              <w:rPr>
                <w:rFonts w:ascii="宋体" w:hAnsi="宋体" w:cs="宋体" w:eastAsia="宋体" w:hint="default"/>
                <w:sz w:val="21"/>
                <w:szCs w:val="21"/>
              </w:rPr>
            </w:pPr>
            <w:r>
              <w:rPr>
                <w:rFonts w:ascii="宋体" w:hAnsi="宋体" w:cs="宋体" w:eastAsia="宋体" w:hint="default"/>
                <w:sz w:val="21"/>
                <w:szCs w:val="21"/>
              </w:rPr>
              <w:t>北京联通兴业科贸有限公司</w:t>
            </w:r>
          </w:p>
        </w:tc>
        <w:tc>
          <w:tcPr>
            <w:tcW w:w="3735" w:type="dxa"/>
            <w:tcBorders>
              <w:top w:val="nil" w:sz="6" w:space="0" w:color="auto"/>
              <w:left w:val="nil" w:sz="6" w:space="0" w:color="auto"/>
              <w:bottom w:val="nil" w:sz="6" w:space="0" w:color="auto"/>
              <w:right w:val="nil" w:sz="6" w:space="0" w:color="auto"/>
            </w:tcBorders>
          </w:tcPr>
          <w:p>
            <w:pPr>
              <w:pStyle w:val="TableParagraph"/>
              <w:spacing w:line="231" w:lineRule="exact"/>
              <w:ind w:right="4"/>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4"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44" w:right="0"/>
              <w:jc w:val="center"/>
              <w:rPr>
                <w:rFonts w:ascii="Arial" w:hAnsi="Arial" w:cs="Arial" w:eastAsia="Arial" w:hint="default"/>
                <w:sz w:val="21"/>
                <w:szCs w:val="21"/>
              </w:rPr>
            </w:pPr>
            <w:r>
              <w:rPr>
                <w:rFonts w:ascii="Arial"/>
                <w:sz w:val="21"/>
              </w:rPr>
              <w:t>(21)</w:t>
            </w:r>
          </w:p>
        </w:tc>
        <w:tc>
          <w:tcPr>
            <w:tcW w:w="4717" w:type="dxa"/>
            <w:tcBorders>
              <w:top w:val="nil" w:sz="6" w:space="0" w:color="auto"/>
              <w:left w:val="nil" w:sz="6" w:space="0" w:color="auto"/>
              <w:bottom w:val="nil" w:sz="6" w:space="0" w:color="auto"/>
              <w:right w:val="nil" w:sz="6" w:space="0" w:color="auto"/>
            </w:tcBorders>
          </w:tcPr>
          <w:p>
            <w:pPr>
              <w:pStyle w:val="TableParagraph"/>
              <w:spacing w:line="231" w:lineRule="exact"/>
              <w:ind w:left="54" w:right="0"/>
              <w:jc w:val="left"/>
              <w:rPr>
                <w:rFonts w:ascii="宋体" w:hAnsi="宋体" w:cs="宋体" w:eastAsia="宋体" w:hint="default"/>
                <w:sz w:val="21"/>
                <w:szCs w:val="21"/>
              </w:rPr>
            </w:pPr>
            <w:r>
              <w:rPr>
                <w:rFonts w:ascii="宋体" w:hAnsi="宋体" w:cs="宋体" w:eastAsia="宋体" w:hint="default"/>
                <w:sz w:val="21"/>
                <w:szCs w:val="21"/>
              </w:rPr>
              <w:t>联通宽带业务应用国家工程实验室有限公司</w:t>
            </w:r>
          </w:p>
        </w:tc>
        <w:tc>
          <w:tcPr>
            <w:tcW w:w="3735" w:type="dxa"/>
            <w:tcBorders>
              <w:top w:val="nil" w:sz="6" w:space="0" w:color="auto"/>
              <w:left w:val="nil" w:sz="6" w:space="0" w:color="auto"/>
              <w:bottom w:val="nil" w:sz="6" w:space="0" w:color="auto"/>
              <w:right w:val="nil" w:sz="6" w:space="0" w:color="auto"/>
            </w:tcBorders>
          </w:tcPr>
          <w:p>
            <w:pPr>
              <w:pStyle w:val="TableParagraph"/>
              <w:spacing w:line="231" w:lineRule="exact"/>
              <w:ind w:right="4"/>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1"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44" w:right="0"/>
              <w:jc w:val="center"/>
              <w:rPr>
                <w:rFonts w:ascii="Arial" w:hAnsi="Arial" w:cs="Arial" w:eastAsia="Arial" w:hint="default"/>
                <w:sz w:val="21"/>
                <w:szCs w:val="21"/>
              </w:rPr>
            </w:pPr>
            <w:r>
              <w:rPr>
                <w:rFonts w:ascii="Arial"/>
                <w:sz w:val="21"/>
              </w:rPr>
              <w:t>(22)</w:t>
            </w:r>
          </w:p>
        </w:tc>
        <w:tc>
          <w:tcPr>
            <w:tcW w:w="4717" w:type="dxa"/>
            <w:tcBorders>
              <w:top w:val="nil" w:sz="6" w:space="0" w:color="auto"/>
              <w:left w:val="nil" w:sz="6" w:space="0" w:color="auto"/>
              <w:bottom w:val="nil" w:sz="6" w:space="0" w:color="auto"/>
              <w:right w:val="nil" w:sz="6" w:space="0" w:color="auto"/>
            </w:tcBorders>
          </w:tcPr>
          <w:p>
            <w:pPr>
              <w:pStyle w:val="TableParagraph"/>
              <w:spacing w:line="231" w:lineRule="exact"/>
              <w:ind w:left="54" w:right="0"/>
              <w:jc w:val="left"/>
              <w:rPr>
                <w:rFonts w:ascii="宋体" w:hAnsi="宋体" w:cs="宋体" w:eastAsia="宋体" w:hint="default"/>
                <w:sz w:val="21"/>
                <w:szCs w:val="21"/>
              </w:rPr>
            </w:pPr>
            <w:r>
              <w:rPr>
                <w:rFonts w:ascii="宋体" w:hAnsi="宋体" w:cs="宋体" w:eastAsia="宋体" w:hint="default"/>
                <w:sz w:val="21"/>
                <w:szCs w:val="21"/>
              </w:rPr>
              <w:t>环宇国际租赁有限公司</w:t>
            </w:r>
          </w:p>
        </w:tc>
        <w:tc>
          <w:tcPr>
            <w:tcW w:w="3735" w:type="dxa"/>
            <w:tcBorders>
              <w:top w:val="nil" w:sz="6" w:space="0" w:color="auto"/>
              <w:left w:val="nil" w:sz="6" w:space="0" w:color="auto"/>
              <w:bottom w:val="nil" w:sz="6" w:space="0" w:color="auto"/>
              <w:right w:val="nil" w:sz="6" w:space="0" w:color="auto"/>
            </w:tcBorders>
          </w:tcPr>
          <w:p>
            <w:pPr>
              <w:pStyle w:val="TableParagraph"/>
              <w:spacing w:line="231" w:lineRule="exact"/>
              <w:ind w:right="2"/>
              <w:jc w:val="right"/>
              <w:rPr>
                <w:rFonts w:ascii="宋体" w:hAnsi="宋体" w:cs="宋体" w:eastAsia="宋体" w:hint="default"/>
                <w:sz w:val="21"/>
                <w:szCs w:val="21"/>
              </w:rPr>
            </w:pPr>
            <w:r>
              <w:rPr>
                <w:rFonts w:ascii="宋体" w:hAnsi="宋体" w:cs="宋体" w:eastAsia="宋体" w:hint="default"/>
                <w:spacing w:val="-1"/>
                <w:sz w:val="21"/>
                <w:szCs w:val="21"/>
              </w:rPr>
              <w:t>联通集团的联营公司</w:t>
            </w:r>
          </w:p>
        </w:tc>
      </w:tr>
      <w:tr>
        <w:trPr>
          <w:trHeight w:val="254"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44" w:right="0"/>
              <w:jc w:val="center"/>
              <w:rPr>
                <w:rFonts w:ascii="Arial" w:hAnsi="Arial" w:cs="Arial" w:eastAsia="Arial" w:hint="default"/>
                <w:sz w:val="21"/>
                <w:szCs w:val="21"/>
              </w:rPr>
            </w:pPr>
            <w:r>
              <w:rPr>
                <w:rFonts w:ascii="Arial"/>
                <w:sz w:val="21"/>
              </w:rPr>
              <w:t>(23)</w:t>
            </w:r>
          </w:p>
        </w:tc>
        <w:tc>
          <w:tcPr>
            <w:tcW w:w="4717" w:type="dxa"/>
            <w:tcBorders>
              <w:top w:val="nil" w:sz="6" w:space="0" w:color="auto"/>
              <w:left w:val="nil" w:sz="6" w:space="0" w:color="auto"/>
              <w:bottom w:val="nil" w:sz="6" w:space="0" w:color="auto"/>
              <w:right w:val="nil" w:sz="6" w:space="0" w:color="auto"/>
            </w:tcBorders>
          </w:tcPr>
          <w:p>
            <w:pPr>
              <w:pStyle w:val="TableParagraph"/>
              <w:spacing w:line="231" w:lineRule="exact"/>
              <w:ind w:left="54" w:right="0"/>
              <w:jc w:val="left"/>
              <w:rPr>
                <w:rFonts w:ascii="宋体" w:hAnsi="宋体" w:cs="宋体" w:eastAsia="宋体" w:hint="default"/>
                <w:sz w:val="21"/>
                <w:szCs w:val="21"/>
              </w:rPr>
            </w:pPr>
            <w:r>
              <w:rPr>
                <w:rFonts w:ascii="宋体" w:hAnsi="宋体" w:cs="宋体" w:eastAsia="宋体" w:hint="default"/>
                <w:sz w:val="21"/>
                <w:szCs w:val="21"/>
              </w:rPr>
              <w:t>中国铁塔股份有限公司</w:t>
            </w:r>
          </w:p>
        </w:tc>
        <w:tc>
          <w:tcPr>
            <w:tcW w:w="3735" w:type="dxa"/>
            <w:tcBorders>
              <w:top w:val="nil" w:sz="6" w:space="0" w:color="auto"/>
              <w:left w:val="nil" w:sz="6" w:space="0" w:color="auto"/>
              <w:bottom w:val="nil" w:sz="6" w:space="0" w:color="auto"/>
              <w:right w:val="nil" w:sz="6" w:space="0" w:color="auto"/>
            </w:tcBorders>
          </w:tcPr>
          <w:p>
            <w:pPr>
              <w:pStyle w:val="TableParagraph"/>
              <w:spacing w:line="231" w:lineRule="exact"/>
              <w:ind w:right="2"/>
              <w:jc w:val="right"/>
              <w:rPr>
                <w:rFonts w:ascii="宋体" w:hAnsi="宋体" w:cs="宋体" w:eastAsia="宋体" w:hint="default"/>
                <w:sz w:val="21"/>
                <w:szCs w:val="21"/>
              </w:rPr>
            </w:pPr>
            <w:r>
              <w:rPr>
                <w:rFonts w:ascii="宋体" w:hAnsi="宋体" w:cs="宋体" w:eastAsia="宋体" w:hint="default"/>
                <w:spacing w:val="-2"/>
                <w:sz w:val="21"/>
                <w:szCs w:val="21"/>
              </w:rPr>
              <w:t>本集团的联营公司</w:t>
            </w:r>
          </w:p>
        </w:tc>
      </w:tr>
    </w:tbl>
    <w:p>
      <w:pPr>
        <w:spacing w:after="0" w:line="231" w:lineRule="exact"/>
        <w:jc w:val="right"/>
        <w:rPr>
          <w:rFonts w:ascii="宋体" w:hAnsi="宋体" w:cs="宋体" w:eastAsia="宋体" w:hint="default"/>
          <w:sz w:val="21"/>
          <w:szCs w:val="21"/>
        </w:rPr>
        <w:sectPr>
          <w:headerReference w:type="default" r:id="rId142"/>
          <w:pgSz w:w="11910" w:h="16840"/>
          <w:pgMar w:header="1181" w:footer="923" w:top="2500" w:bottom="1120" w:left="1280" w:right="1060"/>
        </w:sectPr>
      </w:pPr>
    </w:p>
    <w:p>
      <w:pPr>
        <w:spacing w:line="240" w:lineRule="auto" w:before="4"/>
        <w:rPr>
          <w:rFonts w:ascii="宋体" w:hAnsi="宋体" w:cs="宋体" w:eastAsia="宋体" w:hint="default"/>
          <w:sz w:val="16"/>
          <w:szCs w:val="16"/>
        </w:rPr>
      </w:pPr>
    </w:p>
    <w:p>
      <w:pPr>
        <w:pStyle w:val="BodyText"/>
        <w:spacing w:line="240" w:lineRule="auto" w:before="32"/>
        <w:ind w:left="178" w:right="0"/>
        <w:jc w:val="left"/>
      </w:pPr>
      <w:r>
        <w:rPr>
          <w:rFonts w:ascii="Arial" w:hAnsi="Arial" w:cs="Arial" w:eastAsia="Arial" w:hint="default"/>
        </w:rPr>
        <w:t>5</w:t>
      </w:r>
      <w:r>
        <w:rPr/>
        <w:t>、</w:t>
      </w:r>
      <w:r>
        <w:rPr>
          <w:spacing w:val="-68"/>
        </w:rPr>
        <w:t> </w:t>
      </w:r>
      <w:r>
        <w:rPr/>
        <w:t>重大关联交易</w:t>
      </w:r>
    </w:p>
    <w:p>
      <w:pPr>
        <w:spacing w:line="240" w:lineRule="auto" w:before="10"/>
        <w:rPr>
          <w:rFonts w:ascii="宋体" w:hAnsi="宋体" w:cs="宋体" w:eastAsia="宋体" w:hint="default"/>
          <w:sz w:val="22"/>
          <w:szCs w:val="22"/>
        </w:rPr>
      </w:pPr>
    </w:p>
    <w:tbl>
      <w:tblPr>
        <w:tblW w:w="0" w:type="auto"/>
        <w:jc w:val="left"/>
        <w:tblInd w:w="522" w:type="dxa"/>
        <w:tblLayout w:type="fixed"/>
        <w:tblCellMar>
          <w:top w:w="0" w:type="dxa"/>
          <w:left w:w="0" w:type="dxa"/>
          <w:bottom w:w="0" w:type="dxa"/>
          <w:right w:w="0" w:type="dxa"/>
        </w:tblCellMar>
        <w:tblLook w:val="01E0"/>
      </w:tblPr>
      <w:tblGrid>
        <w:gridCol w:w="2470"/>
        <w:gridCol w:w="761"/>
        <w:gridCol w:w="1687"/>
        <w:gridCol w:w="985"/>
        <w:gridCol w:w="1516"/>
        <w:gridCol w:w="1702"/>
      </w:tblGrid>
      <w:tr>
        <w:trPr>
          <w:trHeight w:val="606" w:hRule="exact"/>
        </w:trPr>
        <w:tc>
          <w:tcPr>
            <w:tcW w:w="2470"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746" w:right="0"/>
              <w:jc w:val="left"/>
              <w:rPr>
                <w:rFonts w:ascii="宋体" w:hAnsi="宋体" w:cs="宋体" w:eastAsia="宋体" w:hint="default"/>
                <w:sz w:val="16"/>
                <w:szCs w:val="16"/>
              </w:rPr>
            </w:pPr>
            <w:r>
              <w:rPr>
                <w:rFonts w:ascii="宋体" w:hAnsi="宋体" w:cs="宋体" w:eastAsia="宋体" w:hint="default"/>
                <w:sz w:val="16"/>
                <w:szCs w:val="16"/>
              </w:rPr>
              <w:t>关联交易内容</w:t>
            </w:r>
          </w:p>
        </w:tc>
        <w:tc>
          <w:tcPr>
            <w:tcW w:w="761"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08" w:lineRule="exact"/>
              <w:ind w:left="72" w:right="0"/>
              <w:jc w:val="left"/>
              <w:rPr>
                <w:rFonts w:ascii="宋体" w:hAnsi="宋体" w:cs="宋体" w:eastAsia="宋体" w:hint="default"/>
                <w:sz w:val="16"/>
                <w:szCs w:val="16"/>
              </w:rPr>
            </w:pPr>
            <w:r>
              <w:rPr>
                <w:rFonts w:ascii="宋体" w:hAnsi="宋体" w:cs="宋体" w:eastAsia="宋体" w:hint="default"/>
                <w:sz w:val="16"/>
                <w:szCs w:val="16"/>
              </w:rPr>
              <w:t>关联交易</w:t>
            </w:r>
          </w:p>
          <w:p>
            <w:pPr>
              <w:pStyle w:val="TableParagraph"/>
              <w:spacing w:line="208" w:lineRule="exact"/>
              <w:ind w:left="345" w:right="0"/>
              <w:jc w:val="left"/>
              <w:rPr>
                <w:rFonts w:ascii="宋体" w:hAnsi="宋体" w:cs="宋体" w:eastAsia="宋体" w:hint="default"/>
                <w:sz w:val="16"/>
                <w:szCs w:val="16"/>
              </w:rPr>
            </w:pPr>
            <w:r>
              <w:rPr>
                <w:rFonts w:ascii="宋体" w:hAnsi="宋体" w:cs="宋体" w:eastAsia="宋体" w:hint="default"/>
                <w:sz w:val="16"/>
                <w:szCs w:val="16"/>
              </w:rPr>
              <w:t>类型</w:t>
            </w:r>
          </w:p>
        </w:tc>
        <w:tc>
          <w:tcPr>
            <w:tcW w:w="1687"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关联方</w:t>
            </w:r>
          </w:p>
        </w:tc>
        <w:tc>
          <w:tcPr>
            <w:tcW w:w="985" w:type="dxa"/>
            <w:tcBorders>
              <w:top w:val="nil" w:sz="6" w:space="0" w:color="auto"/>
              <w:left w:val="nil" w:sz="6" w:space="0" w:color="auto"/>
              <w:bottom w:val="single" w:sz="6" w:space="0" w:color="000000"/>
              <w:right w:val="nil" w:sz="6" w:space="0" w:color="auto"/>
            </w:tcBorders>
          </w:tcPr>
          <w:p>
            <w:pPr>
              <w:pStyle w:val="TableParagraph"/>
              <w:spacing w:line="159" w:lineRule="exact"/>
              <w:ind w:left="196" w:right="0"/>
              <w:jc w:val="left"/>
              <w:rPr>
                <w:rFonts w:ascii="宋体" w:hAnsi="宋体" w:cs="宋体" w:eastAsia="宋体" w:hint="default"/>
                <w:sz w:val="16"/>
                <w:szCs w:val="16"/>
              </w:rPr>
            </w:pPr>
            <w:r>
              <w:rPr>
                <w:rFonts w:ascii="宋体" w:hAnsi="宋体" w:cs="宋体" w:eastAsia="宋体" w:hint="default"/>
                <w:sz w:val="16"/>
                <w:szCs w:val="16"/>
              </w:rPr>
              <w:t>关联交易</w:t>
            </w:r>
          </w:p>
          <w:p>
            <w:pPr>
              <w:pStyle w:val="TableParagraph"/>
              <w:spacing w:line="206" w:lineRule="exact" w:before="20"/>
              <w:ind w:left="38" w:right="143" w:firstLine="158"/>
              <w:jc w:val="left"/>
              <w:rPr>
                <w:rFonts w:ascii="宋体" w:hAnsi="宋体" w:cs="宋体" w:eastAsia="宋体" w:hint="default"/>
                <w:sz w:val="16"/>
                <w:szCs w:val="16"/>
              </w:rPr>
            </w:pPr>
            <w:r>
              <w:rPr>
                <w:rFonts w:ascii="宋体" w:hAnsi="宋体" w:cs="宋体" w:eastAsia="宋体" w:hint="default"/>
                <w:sz w:val="16"/>
                <w:szCs w:val="16"/>
              </w:rPr>
              <w:t>定价方式</w:t>
            </w:r>
            <w:r>
              <w:rPr>
                <w:rFonts w:ascii="宋体" w:hAnsi="宋体" w:cs="宋体" w:eastAsia="宋体" w:hint="default"/>
                <w:w w:val="100"/>
                <w:sz w:val="16"/>
                <w:szCs w:val="16"/>
              </w:rPr>
              <w:t> </w:t>
            </w:r>
            <w:r>
              <w:rPr>
                <w:rFonts w:ascii="宋体" w:hAnsi="宋体" w:cs="宋体" w:eastAsia="宋体" w:hint="default"/>
                <w:spacing w:val="-1"/>
                <w:sz w:val="16"/>
                <w:szCs w:val="16"/>
              </w:rPr>
              <w:t>及决策程序</w:t>
            </w:r>
          </w:p>
        </w:tc>
        <w:tc>
          <w:tcPr>
            <w:tcW w:w="1516"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418" w:right="0"/>
              <w:jc w:val="lef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6"/>
                <w:sz w:val="16"/>
                <w:szCs w:val="16"/>
              </w:rPr>
              <w:t> </w:t>
            </w:r>
            <w:r>
              <w:rPr>
                <w:rFonts w:ascii="宋体" w:hAnsi="宋体" w:cs="宋体" w:eastAsia="宋体" w:hint="default"/>
                <w:sz w:val="16"/>
                <w:szCs w:val="16"/>
              </w:rPr>
              <w:t>年</w:t>
            </w:r>
          </w:p>
        </w:tc>
        <w:tc>
          <w:tcPr>
            <w:tcW w:w="1702"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602" w:right="0"/>
              <w:jc w:val="left"/>
              <w:rPr>
                <w:rFonts w:ascii="宋体" w:hAnsi="宋体" w:cs="宋体" w:eastAsia="宋体" w:hint="default"/>
                <w:sz w:val="16"/>
                <w:szCs w:val="16"/>
              </w:rPr>
            </w:pPr>
            <w:r>
              <w:rPr>
                <w:rFonts w:ascii="Arial" w:hAnsi="Arial" w:cs="Arial" w:eastAsia="Arial" w:hint="default"/>
                <w:sz w:val="16"/>
                <w:szCs w:val="16"/>
              </w:rPr>
              <w:t>2013</w:t>
            </w:r>
            <w:r>
              <w:rPr>
                <w:rFonts w:ascii="Arial" w:hAnsi="Arial" w:cs="Arial" w:eastAsia="Arial" w:hint="default"/>
                <w:spacing w:val="-6"/>
                <w:sz w:val="16"/>
                <w:szCs w:val="16"/>
              </w:rPr>
              <w:t> </w:t>
            </w:r>
            <w:r>
              <w:rPr>
                <w:rFonts w:ascii="宋体" w:hAnsi="宋体" w:cs="宋体" w:eastAsia="宋体" w:hint="default"/>
                <w:sz w:val="16"/>
                <w:szCs w:val="16"/>
              </w:rPr>
              <w:t>年</w:t>
            </w:r>
          </w:p>
        </w:tc>
      </w:tr>
      <w:tr>
        <w:trPr>
          <w:trHeight w:val="399" w:hRule="exact"/>
        </w:trPr>
        <w:tc>
          <w:tcPr>
            <w:tcW w:w="2470"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9" w:right="0"/>
              <w:jc w:val="left"/>
              <w:rPr>
                <w:rFonts w:ascii="宋体" w:hAnsi="宋体" w:cs="宋体" w:eastAsia="宋体" w:hint="default"/>
                <w:sz w:val="16"/>
                <w:szCs w:val="16"/>
              </w:rPr>
            </w:pPr>
            <w:r>
              <w:rPr>
                <w:rFonts w:ascii="宋体" w:hAnsi="宋体" w:cs="宋体" w:eastAsia="宋体" w:hint="default"/>
                <w:sz w:val="16"/>
                <w:szCs w:val="16"/>
              </w:rPr>
              <w:t>收入项目：</w:t>
            </w:r>
          </w:p>
        </w:tc>
        <w:tc>
          <w:tcPr>
            <w:tcW w:w="761" w:type="dxa"/>
            <w:tcBorders>
              <w:top w:val="single" w:sz="6" w:space="0" w:color="000000"/>
              <w:left w:val="nil" w:sz="6" w:space="0" w:color="auto"/>
              <w:bottom w:val="nil" w:sz="6" w:space="0" w:color="auto"/>
              <w:right w:val="nil" w:sz="6" w:space="0" w:color="auto"/>
            </w:tcBorders>
          </w:tcPr>
          <w:p>
            <w:pPr/>
          </w:p>
        </w:tc>
        <w:tc>
          <w:tcPr>
            <w:tcW w:w="1687" w:type="dxa"/>
            <w:tcBorders>
              <w:top w:val="single" w:sz="6" w:space="0" w:color="000000"/>
              <w:left w:val="nil" w:sz="6" w:space="0" w:color="auto"/>
              <w:bottom w:val="nil" w:sz="6" w:space="0" w:color="auto"/>
              <w:right w:val="nil" w:sz="6" w:space="0" w:color="auto"/>
            </w:tcBorders>
          </w:tcPr>
          <w:p>
            <w:pPr/>
          </w:p>
        </w:tc>
        <w:tc>
          <w:tcPr>
            <w:tcW w:w="985" w:type="dxa"/>
            <w:tcBorders>
              <w:top w:val="single" w:sz="6" w:space="0" w:color="000000"/>
              <w:left w:val="nil" w:sz="6" w:space="0" w:color="auto"/>
              <w:bottom w:val="nil" w:sz="6" w:space="0" w:color="auto"/>
              <w:right w:val="nil" w:sz="6" w:space="0" w:color="auto"/>
            </w:tcBorders>
          </w:tcPr>
          <w:p>
            <w:pPr/>
          </w:p>
        </w:tc>
        <w:tc>
          <w:tcPr>
            <w:tcW w:w="1516" w:type="dxa"/>
            <w:tcBorders>
              <w:top w:val="single" w:sz="6" w:space="0" w:color="000000"/>
              <w:left w:val="nil" w:sz="6" w:space="0" w:color="auto"/>
              <w:bottom w:val="nil" w:sz="6" w:space="0" w:color="auto"/>
              <w:right w:val="nil" w:sz="6" w:space="0" w:color="auto"/>
            </w:tcBorders>
          </w:tcPr>
          <w:p>
            <w:pPr/>
          </w:p>
        </w:tc>
        <w:tc>
          <w:tcPr>
            <w:tcW w:w="1702" w:type="dxa"/>
            <w:tcBorders>
              <w:top w:val="single" w:sz="6" w:space="0" w:color="000000"/>
              <w:left w:val="nil" w:sz="6" w:space="0" w:color="auto"/>
              <w:bottom w:val="nil" w:sz="6" w:space="0" w:color="auto"/>
              <w:right w:val="nil" w:sz="6" w:space="0" w:color="auto"/>
            </w:tcBorders>
          </w:tcPr>
          <w:p>
            <w:pPr/>
          </w:p>
        </w:tc>
      </w:tr>
      <w:tr>
        <w:trPr>
          <w:trHeight w:val="216"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183" w:lineRule="exact"/>
              <w:ind w:left="177" w:right="0"/>
              <w:jc w:val="left"/>
              <w:rPr>
                <w:rFonts w:ascii="宋体" w:hAnsi="宋体" w:cs="宋体" w:eastAsia="宋体" w:hint="default"/>
                <w:sz w:val="16"/>
                <w:szCs w:val="16"/>
              </w:rPr>
            </w:pPr>
            <w:r>
              <w:rPr>
                <w:rFonts w:ascii="宋体" w:hAnsi="宋体" w:cs="宋体" w:eastAsia="宋体" w:hint="default"/>
                <w:sz w:val="16"/>
                <w:szCs w:val="16"/>
              </w:rPr>
              <w:t>综合服务收入</w:t>
            </w:r>
          </w:p>
        </w:tc>
        <w:tc>
          <w:tcPr>
            <w:tcW w:w="761" w:type="dxa"/>
            <w:tcBorders>
              <w:top w:val="nil" w:sz="6" w:space="0" w:color="auto"/>
              <w:left w:val="nil" w:sz="6" w:space="0" w:color="auto"/>
              <w:bottom w:val="nil" w:sz="6" w:space="0" w:color="auto"/>
              <w:right w:val="nil" w:sz="6" w:space="0" w:color="auto"/>
            </w:tcBorders>
          </w:tcPr>
          <w:p>
            <w:pPr>
              <w:pStyle w:val="TableParagraph"/>
              <w:spacing w:line="183" w:lineRule="exact"/>
              <w:ind w:right="65"/>
              <w:jc w:val="right"/>
              <w:rPr>
                <w:rFonts w:ascii="宋体" w:hAnsi="宋体" w:cs="宋体" w:eastAsia="宋体" w:hint="default"/>
                <w:sz w:val="16"/>
                <w:szCs w:val="16"/>
              </w:rPr>
            </w:pPr>
            <w:r>
              <w:rPr>
                <w:rFonts w:ascii="宋体" w:hAnsi="宋体" w:cs="宋体" w:eastAsia="宋体" w:hint="default"/>
                <w:sz w:val="16"/>
                <w:szCs w:val="16"/>
              </w:rPr>
              <w:t>提供劳务</w:t>
            </w:r>
          </w:p>
        </w:tc>
        <w:tc>
          <w:tcPr>
            <w:tcW w:w="1687" w:type="dxa"/>
            <w:tcBorders>
              <w:top w:val="nil" w:sz="6" w:space="0" w:color="auto"/>
              <w:left w:val="nil" w:sz="6" w:space="0" w:color="auto"/>
              <w:bottom w:val="nil" w:sz="6" w:space="0" w:color="auto"/>
              <w:right w:val="nil" w:sz="6" w:space="0" w:color="auto"/>
            </w:tcBorders>
          </w:tcPr>
          <w:p>
            <w:pPr>
              <w:pStyle w:val="TableParagraph"/>
              <w:spacing w:line="183" w:lineRule="exact"/>
              <w:ind w:right="36"/>
              <w:jc w:val="right"/>
              <w:rPr>
                <w:rFonts w:ascii="宋体" w:hAnsi="宋体" w:cs="宋体" w:eastAsia="宋体" w:hint="default"/>
                <w:sz w:val="16"/>
                <w:szCs w:val="16"/>
              </w:rPr>
            </w:pPr>
            <w:r>
              <w:rPr>
                <w:rFonts w:ascii="宋体" w:hAnsi="宋体" w:cs="宋体" w:eastAsia="宋体" w:hint="default"/>
                <w:spacing w:val="-1"/>
                <w:sz w:val="16"/>
                <w:szCs w:val="16"/>
              </w:rPr>
              <w:t>联通集团及其附属公司</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47" w:right="0"/>
              <w:jc w:val="left"/>
              <w:rPr>
                <w:rFonts w:ascii="Arial" w:hAnsi="Arial" w:cs="Arial" w:eastAsia="Arial" w:hint="default"/>
                <w:sz w:val="16"/>
                <w:szCs w:val="16"/>
              </w:rPr>
            </w:pPr>
            <w:r>
              <w:rPr>
                <w:rFonts w:ascii="Arial"/>
                <w:sz w:val="16"/>
              </w:rPr>
              <w:t>(1)(9)</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45"/>
              <w:jc w:val="right"/>
              <w:rPr>
                <w:rFonts w:ascii="Arial" w:hAnsi="Arial" w:cs="Arial" w:eastAsia="Arial" w:hint="default"/>
                <w:sz w:val="16"/>
                <w:szCs w:val="16"/>
              </w:rPr>
            </w:pPr>
            <w:r>
              <w:rPr>
                <w:rFonts w:ascii="Arial"/>
                <w:spacing w:val="-1"/>
                <w:sz w:val="16"/>
              </w:rPr>
              <w:t>20,088,359</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50"/>
              <w:jc w:val="right"/>
              <w:rPr>
                <w:rFonts w:ascii="Arial" w:hAnsi="Arial" w:cs="Arial" w:eastAsia="Arial" w:hint="default"/>
                <w:sz w:val="16"/>
                <w:szCs w:val="16"/>
              </w:rPr>
            </w:pPr>
            <w:r>
              <w:rPr>
                <w:rFonts w:ascii="Arial"/>
                <w:spacing w:val="-1"/>
                <w:sz w:val="16"/>
              </w:rPr>
              <w:t>54,555,280</w:t>
            </w:r>
          </w:p>
        </w:tc>
      </w:tr>
      <w:tr>
        <w:trPr>
          <w:trHeight w:val="300"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176" w:lineRule="exact"/>
              <w:ind w:left="177" w:right="0"/>
              <w:jc w:val="left"/>
              <w:rPr>
                <w:rFonts w:ascii="宋体" w:hAnsi="宋体" w:cs="宋体" w:eastAsia="宋体" w:hint="default"/>
                <w:sz w:val="16"/>
                <w:szCs w:val="16"/>
              </w:rPr>
            </w:pPr>
            <w:r>
              <w:rPr>
                <w:rFonts w:ascii="宋体" w:hAnsi="宋体" w:cs="宋体" w:eastAsia="宋体" w:hint="default"/>
                <w:sz w:val="16"/>
                <w:szCs w:val="16"/>
              </w:rPr>
              <w:t>房屋租赁收入</w:t>
            </w:r>
          </w:p>
        </w:tc>
        <w:tc>
          <w:tcPr>
            <w:tcW w:w="761" w:type="dxa"/>
            <w:tcBorders>
              <w:top w:val="nil" w:sz="6" w:space="0" w:color="auto"/>
              <w:left w:val="nil" w:sz="6" w:space="0" w:color="auto"/>
              <w:bottom w:val="nil" w:sz="6" w:space="0" w:color="auto"/>
              <w:right w:val="nil" w:sz="6" w:space="0" w:color="auto"/>
            </w:tcBorders>
          </w:tcPr>
          <w:p>
            <w:pPr>
              <w:pStyle w:val="TableParagraph"/>
              <w:spacing w:line="176" w:lineRule="exact"/>
              <w:ind w:right="65"/>
              <w:jc w:val="right"/>
              <w:rPr>
                <w:rFonts w:ascii="宋体" w:hAnsi="宋体" w:cs="宋体" w:eastAsia="宋体" w:hint="default"/>
                <w:sz w:val="16"/>
                <w:szCs w:val="16"/>
              </w:rPr>
            </w:pPr>
            <w:r>
              <w:rPr>
                <w:rFonts w:ascii="宋体" w:hAnsi="宋体" w:cs="宋体" w:eastAsia="宋体" w:hint="default"/>
                <w:sz w:val="16"/>
                <w:szCs w:val="16"/>
              </w:rPr>
              <w:t>租赁收入</w:t>
            </w:r>
          </w:p>
        </w:tc>
        <w:tc>
          <w:tcPr>
            <w:tcW w:w="1687" w:type="dxa"/>
            <w:tcBorders>
              <w:top w:val="nil" w:sz="6" w:space="0" w:color="auto"/>
              <w:left w:val="nil" w:sz="6" w:space="0" w:color="auto"/>
              <w:bottom w:val="nil" w:sz="6" w:space="0" w:color="auto"/>
              <w:right w:val="nil" w:sz="6" w:space="0" w:color="auto"/>
            </w:tcBorders>
          </w:tcPr>
          <w:p>
            <w:pPr>
              <w:pStyle w:val="TableParagraph"/>
              <w:spacing w:line="176" w:lineRule="exact"/>
              <w:ind w:right="36"/>
              <w:jc w:val="right"/>
              <w:rPr>
                <w:rFonts w:ascii="宋体" w:hAnsi="宋体" w:cs="宋体" w:eastAsia="宋体" w:hint="default"/>
                <w:sz w:val="16"/>
                <w:szCs w:val="16"/>
              </w:rPr>
            </w:pPr>
            <w:r>
              <w:rPr>
                <w:rFonts w:ascii="宋体" w:hAnsi="宋体" w:cs="宋体" w:eastAsia="宋体" w:hint="default"/>
                <w:sz w:val="16"/>
                <w:szCs w:val="16"/>
              </w:rPr>
              <w:t>铁塔公司</w:t>
            </w:r>
          </w:p>
        </w:tc>
        <w:tc>
          <w:tcPr>
            <w:tcW w:w="985"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5"/>
              <w:jc w:val="right"/>
              <w:rPr>
                <w:rFonts w:ascii="Arial" w:hAnsi="Arial" w:cs="Arial" w:eastAsia="Arial" w:hint="default"/>
                <w:sz w:val="16"/>
                <w:szCs w:val="16"/>
              </w:rPr>
            </w:pPr>
            <w:r>
              <w:rPr>
                <w:rFonts w:ascii="Arial"/>
                <w:spacing w:val="-1"/>
                <w:sz w:val="16"/>
              </w:rPr>
              <w:t>555,180</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9"/>
              <w:jc w:val="right"/>
              <w:rPr>
                <w:rFonts w:ascii="Arial" w:hAnsi="Arial" w:cs="Arial" w:eastAsia="Arial" w:hint="default"/>
                <w:sz w:val="16"/>
                <w:szCs w:val="16"/>
              </w:rPr>
            </w:pPr>
            <w:r>
              <w:rPr>
                <w:rFonts w:ascii="Arial"/>
                <w:w w:val="100"/>
                <w:sz w:val="16"/>
              </w:rPr>
              <w:t>-</w:t>
            </w:r>
          </w:p>
        </w:tc>
      </w:tr>
      <w:tr>
        <w:trPr>
          <w:trHeight w:val="290"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9" w:right="0"/>
              <w:jc w:val="left"/>
              <w:rPr>
                <w:rFonts w:ascii="宋体" w:hAnsi="宋体" w:cs="宋体" w:eastAsia="宋体" w:hint="default"/>
                <w:sz w:val="16"/>
                <w:szCs w:val="16"/>
              </w:rPr>
            </w:pPr>
            <w:r>
              <w:rPr>
                <w:rFonts w:ascii="宋体" w:hAnsi="宋体" w:cs="宋体" w:eastAsia="宋体" w:hint="default"/>
                <w:sz w:val="16"/>
                <w:szCs w:val="16"/>
              </w:rPr>
              <w:t>支出项目：</w:t>
            </w:r>
          </w:p>
        </w:tc>
        <w:tc>
          <w:tcPr>
            <w:tcW w:w="76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r>
      <w:tr>
        <w:trPr>
          <w:trHeight w:val="216"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183" w:lineRule="exact"/>
              <w:ind w:left="177" w:right="0"/>
              <w:jc w:val="left"/>
              <w:rPr>
                <w:rFonts w:ascii="宋体" w:hAnsi="宋体" w:cs="宋体" w:eastAsia="宋体" w:hint="default"/>
                <w:sz w:val="16"/>
                <w:szCs w:val="16"/>
              </w:rPr>
            </w:pPr>
            <w:r>
              <w:rPr>
                <w:rFonts w:ascii="宋体" w:hAnsi="宋体" w:cs="宋体" w:eastAsia="宋体" w:hint="default"/>
                <w:sz w:val="16"/>
                <w:szCs w:val="16"/>
              </w:rPr>
              <w:t>支付移动增值服务支出</w:t>
            </w:r>
          </w:p>
        </w:tc>
        <w:tc>
          <w:tcPr>
            <w:tcW w:w="761" w:type="dxa"/>
            <w:tcBorders>
              <w:top w:val="nil" w:sz="6" w:space="0" w:color="auto"/>
              <w:left w:val="nil" w:sz="6" w:space="0" w:color="auto"/>
              <w:bottom w:val="nil" w:sz="6" w:space="0" w:color="auto"/>
              <w:right w:val="nil" w:sz="6" w:space="0" w:color="auto"/>
            </w:tcBorders>
          </w:tcPr>
          <w:p>
            <w:pPr>
              <w:pStyle w:val="TableParagraph"/>
              <w:spacing w:line="183" w:lineRule="exact"/>
              <w:ind w:right="65"/>
              <w:jc w:val="right"/>
              <w:rPr>
                <w:rFonts w:ascii="宋体" w:hAnsi="宋体" w:cs="宋体" w:eastAsia="宋体" w:hint="default"/>
                <w:sz w:val="16"/>
                <w:szCs w:val="16"/>
              </w:rPr>
            </w:pPr>
            <w:r>
              <w:rPr>
                <w:rFonts w:ascii="宋体" w:hAnsi="宋体" w:cs="宋体" w:eastAsia="宋体" w:hint="default"/>
                <w:sz w:val="16"/>
                <w:szCs w:val="16"/>
              </w:rPr>
              <w:t>接受劳务</w:t>
            </w:r>
          </w:p>
        </w:tc>
        <w:tc>
          <w:tcPr>
            <w:tcW w:w="1687" w:type="dxa"/>
            <w:tcBorders>
              <w:top w:val="nil" w:sz="6" w:space="0" w:color="auto"/>
              <w:left w:val="nil" w:sz="6" w:space="0" w:color="auto"/>
              <w:bottom w:val="nil" w:sz="6" w:space="0" w:color="auto"/>
              <w:right w:val="nil" w:sz="6" w:space="0" w:color="auto"/>
            </w:tcBorders>
          </w:tcPr>
          <w:p>
            <w:pPr>
              <w:pStyle w:val="TableParagraph"/>
              <w:spacing w:line="183" w:lineRule="exact"/>
              <w:ind w:right="36"/>
              <w:jc w:val="right"/>
              <w:rPr>
                <w:rFonts w:ascii="宋体" w:hAnsi="宋体" w:cs="宋体" w:eastAsia="宋体" w:hint="default"/>
                <w:sz w:val="16"/>
                <w:szCs w:val="16"/>
              </w:rPr>
            </w:pPr>
            <w:r>
              <w:rPr>
                <w:rFonts w:ascii="宋体" w:hAnsi="宋体" w:cs="宋体" w:eastAsia="宋体" w:hint="default"/>
                <w:sz w:val="16"/>
                <w:szCs w:val="16"/>
              </w:rPr>
              <w:t>联通时科</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47" w:right="0"/>
              <w:jc w:val="left"/>
              <w:rPr>
                <w:rFonts w:ascii="Arial" w:hAnsi="Arial" w:cs="Arial" w:eastAsia="Arial" w:hint="default"/>
                <w:sz w:val="16"/>
                <w:szCs w:val="16"/>
              </w:rPr>
            </w:pPr>
            <w:r>
              <w:rPr>
                <w:rFonts w:ascii="Arial"/>
                <w:sz w:val="16"/>
              </w:rPr>
              <w:t>(1)(2)</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45"/>
              <w:jc w:val="right"/>
              <w:rPr>
                <w:rFonts w:ascii="Arial" w:hAnsi="Arial" w:cs="Arial" w:eastAsia="Arial" w:hint="default"/>
                <w:sz w:val="16"/>
                <w:szCs w:val="16"/>
              </w:rPr>
            </w:pPr>
            <w:r>
              <w:rPr>
                <w:rFonts w:ascii="Arial"/>
                <w:spacing w:val="-1"/>
                <w:sz w:val="16"/>
              </w:rPr>
              <w:t>51,231,760</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50"/>
              <w:jc w:val="right"/>
              <w:rPr>
                <w:rFonts w:ascii="Arial" w:hAnsi="Arial" w:cs="Arial" w:eastAsia="Arial" w:hint="default"/>
                <w:sz w:val="16"/>
                <w:szCs w:val="16"/>
              </w:rPr>
            </w:pPr>
            <w:r>
              <w:rPr>
                <w:rFonts w:ascii="Arial"/>
                <w:spacing w:val="-1"/>
                <w:sz w:val="16"/>
              </w:rPr>
              <w:t>52,795,451</w:t>
            </w:r>
          </w:p>
        </w:tc>
      </w:tr>
      <w:tr>
        <w:trPr>
          <w:trHeight w:val="208"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176" w:lineRule="exact"/>
              <w:ind w:left="177" w:right="0"/>
              <w:jc w:val="left"/>
              <w:rPr>
                <w:rFonts w:ascii="宋体" w:hAnsi="宋体" w:cs="宋体" w:eastAsia="宋体" w:hint="default"/>
                <w:sz w:val="16"/>
                <w:szCs w:val="16"/>
              </w:rPr>
            </w:pPr>
            <w:r>
              <w:rPr>
                <w:rFonts w:ascii="宋体" w:hAnsi="宋体" w:cs="宋体" w:eastAsia="宋体" w:hint="default"/>
                <w:sz w:val="16"/>
                <w:szCs w:val="16"/>
              </w:rPr>
              <w:t>通信资源租用支出</w:t>
            </w:r>
          </w:p>
        </w:tc>
        <w:tc>
          <w:tcPr>
            <w:tcW w:w="761" w:type="dxa"/>
            <w:tcBorders>
              <w:top w:val="nil" w:sz="6" w:space="0" w:color="auto"/>
              <w:left w:val="nil" w:sz="6" w:space="0" w:color="auto"/>
              <w:bottom w:val="nil" w:sz="6" w:space="0" w:color="auto"/>
              <w:right w:val="nil" w:sz="6" w:space="0" w:color="auto"/>
            </w:tcBorders>
          </w:tcPr>
          <w:p>
            <w:pPr>
              <w:pStyle w:val="TableParagraph"/>
              <w:spacing w:line="176" w:lineRule="exact"/>
              <w:ind w:right="65"/>
              <w:jc w:val="right"/>
              <w:rPr>
                <w:rFonts w:ascii="宋体" w:hAnsi="宋体" w:cs="宋体" w:eastAsia="宋体" w:hint="default"/>
                <w:sz w:val="16"/>
                <w:szCs w:val="16"/>
              </w:rPr>
            </w:pPr>
            <w:r>
              <w:rPr>
                <w:rFonts w:ascii="宋体" w:hAnsi="宋体" w:cs="宋体" w:eastAsia="宋体" w:hint="default"/>
                <w:sz w:val="16"/>
                <w:szCs w:val="16"/>
              </w:rPr>
              <w:t>接受劳务</w:t>
            </w:r>
          </w:p>
        </w:tc>
        <w:tc>
          <w:tcPr>
            <w:tcW w:w="1687" w:type="dxa"/>
            <w:tcBorders>
              <w:top w:val="nil" w:sz="6" w:space="0" w:color="auto"/>
              <w:left w:val="nil" w:sz="6" w:space="0" w:color="auto"/>
              <w:bottom w:val="nil" w:sz="6" w:space="0" w:color="auto"/>
              <w:right w:val="nil" w:sz="6" w:space="0" w:color="auto"/>
            </w:tcBorders>
          </w:tcPr>
          <w:p>
            <w:pPr>
              <w:pStyle w:val="TableParagraph"/>
              <w:spacing w:line="176" w:lineRule="exact"/>
              <w:ind w:right="36"/>
              <w:jc w:val="right"/>
              <w:rPr>
                <w:rFonts w:ascii="宋体" w:hAnsi="宋体" w:cs="宋体" w:eastAsia="宋体" w:hint="default"/>
                <w:sz w:val="16"/>
                <w:szCs w:val="16"/>
              </w:rPr>
            </w:pPr>
            <w:r>
              <w:rPr>
                <w:rFonts w:ascii="宋体" w:hAnsi="宋体" w:cs="宋体" w:eastAsia="宋体" w:hint="default"/>
                <w:spacing w:val="-1"/>
                <w:sz w:val="16"/>
                <w:szCs w:val="16"/>
              </w:rPr>
              <w:t>联通集团及其附属公司</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47" w:right="0"/>
              <w:jc w:val="left"/>
              <w:rPr>
                <w:rFonts w:ascii="Arial" w:hAnsi="Arial" w:cs="Arial" w:eastAsia="Arial" w:hint="default"/>
                <w:sz w:val="16"/>
                <w:szCs w:val="16"/>
              </w:rPr>
            </w:pPr>
            <w:r>
              <w:rPr>
                <w:rFonts w:ascii="Arial"/>
                <w:sz w:val="16"/>
              </w:rPr>
              <w:t>(1)(3)</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5"/>
              <w:jc w:val="right"/>
              <w:rPr>
                <w:rFonts w:ascii="Arial" w:hAnsi="Arial" w:cs="Arial" w:eastAsia="Arial" w:hint="default"/>
                <w:sz w:val="16"/>
                <w:szCs w:val="16"/>
              </w:rPr>
            </w:pPr>
            <w:r>
              <w:rPr>
                <w:rFonts w:ascii="Arial"/>
                <w:spacing w:val="-1"/>
                <w:sz w:val="16"/>
              </w:rPr>
              <w:t>271,117,154</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50"/>
              <w:jc w:val="right"/>
              <w:rPr>
                <w:rFonts w:ascii="Arial" w:hAnsi="Arial" w:cs="Arial" w:eastAsia="Arial" w:hint="default"/>
                <w:sz w:val="16"/>
                <w:szCs w:val="16"/>
              </w:rPr>
            </w:pPr>
            <w:r>
              <w:rPr>
                <w:rFonts w:ascii="Arial"/>
                <w:spacing w:val="-1"/>
                <w:sz w:val="16"/>
              </w:rPr>
              <w:t>328,227,853</w:t>
            </w:r>
          </w:p>
        </w:tc>
      </w:tr>
      <w:tr>
        <w:trPr>
          <w:trHeight w:val="208"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175" w:lineRule="exact"/>
              <w:ind w:right="48"/>
              <w:jc w:val="right"/>
              <w:rPr>
                <w:rFonts w:ascii="宋体" w:hAnsi="宋体" w:cs="宋体" w:eastAsia="宋体" w:hint="default"/>
                <w:sz w:val="16"/>
                <w:szCs w:val="16"/>
              </w:rPr>
            </w:pPr>
            <w:r>
              <w:rPr>
                <w:rFonts w:ascii="宋体" w:hAnsi="宋体" w:cs="宋体" w:eastAsia="宋体" w:hint="default"/>
                <w:spacing w:val="-1"/>
                <w:sz w:val="16"/>
                <w:szCs w:val="16"/>
              </w:rPr>
              <w:t>物业、设备和设施的租赁费支出</w:t>
            </w:r>
          </w:p>
        </w:tc>
        <w:tc>
          <w:tcPr>
            <w:tcW w:w="761" w:type="dxa"/>
            <w:tcBorders>
              <w:top w:val="nil" w:sz="6" w:space="0" w:color="auto"/>
              <w:left w:val="nil" w:sz="6" w:space="0" w:color="auto"/>
              <w:bottom w:val="nil" w:sz="6" w:space="0" w:color="auto"/>
              <w:right w:val="nil" w:sz="6" w:space="0" w:color="auto"/>
            </w:tcBorders>
          </w:tcPr>
          <w:p>
            <w:pPr>
              <w:pStyle w:val="TableParagraph"/>
              <w:spacing w:line="175" w:lineRule="exact"/>
              <w:ind w:right="65"/>
              <w:jc w:val="right"/>
              <w:rPr>
                <w:rFonts w:ascii="宋体" w:hAnsi="宋体" w:cs="宋体" w:eastAsia="宋体" w:hint="default"/>
                <w:sz w:val="16"/>
                <w:szCs w:val="16"/>
              </w:rPr>
            </w:pPr>
            <w:r>
              <w:rPr>
                <w:rFonts w:ascii="宋体" w:hAnsi="宋体" w:cs="宋体" w:eastAsia="宋体" w:hint="default"/>
                <w:sz w:val="16"/>
                <w:szCs w:val="16"/>
              </w:rPr>
              <w:t>租赁支出</w:t>
            </w:r>
          </w:p>
        </w:tc>
        <w:tc>
          <w:tcPr>
            <w:tcW w:w="1687" w:type="dxa"/>
            <w:tcBorders>
              <w:top w:val="nil" w:sz="6" w:space="0" w:color="auto"/>
              <w:left w:val="nil" w:sz="6" w:space="0" w:color="auto"/>
              <w:bottom w:val="nil" w:sz="6" w:space="0" w:color="auto"/>
              <w:right w:val="nil" w:sz="6" w:space="0" w:color="auto"/>
            </w:tcBorders>
          </w:tcPr>
          <w:p>
            <w:pPr>
              <w:pStyle w:val="TableParagraph"/>
              <w:spacing w:line="175" w:lineRule="exact"/>
              <w:ind w:right="36"/>
              <w:jc w:val="right"/>
              <w:rPr>
                <w:rFonts w:ascii="宋体" w:hAnsi="宋体" w:cs="宋体" w:eastAsia="宋体" w:hint="default"/>
                <w:sz w:val="16"/>
                <w:szCs w:val="16"/>
              </w:rPr>
            </w:pPr>
            <w:r>
              <w:rPr>
                <w:rFonts w:ascii="宋体" w:hAnsi="宋体" w:cs="宋体" w:eastAsia="宋体" w:hint="default"/>
                <w:spacing w:val="-1"/>
                <w:sz w:val="16"/>
                <w:szCs w:val="16"/>
              </w:rPr>
              <w:t>联通集团及其附属公司</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47" w:right="0"/>
              <w:jc w:val="left"/>
              <w:rPr>
                <w:rFonts w:ascii="Arial" w:hAnsi="Arial" w:cs="Arial" w:eastAsia="Arial" w:hint="default"/>
                <w:sz w:val="16"/>
                <w:szCs w:val="16"/>
              </w:rPr>
            </w:pPr>
            <w:r>
              <w:rPr>
                <w:rFonts w:ascii="Arial"/>
                <w:sz w:val="16"/>
              </w:rPr>
              <w:t>(1)(4)</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5"/>
              <w:jc w:val="right"/>
              <w:rPr>
                <w:rFonts w:ascii="Arial" w:hAnsi="Arial" w:cs="Arial" w:eastAsia="Arial" w:hint="default"/>
                <w:sz w:val="16"/>
                <w:szCs w:val="16"/>
              </w:rPr>
            </w:pPr>
            <w:r>
              <w:rPr>
                <w:rFonts w:ascii="Arial"/>
                <w:spacing w:val="-1"/>
                <w:sz w:val="16"/>
              </w:rPr>
              <w:t>954,570,807</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50"/>
              <w:jc w:val="right"/>
              <w:rPr>
                <w:rFonts w:ascii="Arial" w:hAnsi="Arial" w:cs="Arial" w:eastAsia="Arial" w:hint="default"/>
                <w:sz w:val="16"/>
                <w:szCs w:val="16"/>
              </w:rPr>
            </w:pPr>
            <w:r>
              <w:rPr>
                <w:rFonts w:ascii="Arial"/>
                <w:spacing w:val="-1"/>
                <w:sz w:val="16"/>
              </w:rPr>
              <w:t>942,813,952</w:t>
            </w:r>
          </w:p>
        </w:tc>
      </w:tr>
      <w:tr>
        <w:trPr>
          <w:trHeight w:val="206"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176" w:lineRule="exact"/>
              <w:ind w:left="177" w:right="0"/>
              <w:jc w:val="left"/>
              <w:rPr>
                <w:rFonts w:ascii="宋体" w:hAnsi="宋体" w:cs="宋体" w:eastAsia="宋体" w:hint="default"/>
                <w:sz w:val="16"/>
                <w:szCs w:val="16"/>
              </w:rPr>
            </w:pPr>
            <w:r>
              <w:rPr>
                <w:rFonts w:ascii="宋体" w:hAnsi="宋体" w:cs="宋体" w:eastAsia="宋体" w:hint="default"/>
                <w:sz w:val="16"/>
                <w:szCs w:val="16"/>
              </w:rPr>
              <w:t>接受工程及信息相关服务支出</w:t>
            </w:r>
          </w:p>
        </w:tc>
        <w:tc>
          <w:tcPr>
            <w:tcW w:w="761" w:type="dxa"/>
            <w:tcBorders>
              <w:top w:val="nil" w:sz="6" w:space="0" w:color="auto"/>
              <w:left w:val="nil" w:sz="6" w:space="0" w:color="auto"/>
              <w:bottom w:val="nil" w:sz="6" w:space="0" w:color="auto"/>
              <w:right w:val="nil" w:sz="6" w:space="0" w:color="auto"/>
            </w:tcBorders>
          </w:tcPr>
          <w:p>
            <w:pPr>
              <w:pStyle w:val="TableParagraph"/>
              <w:spacing w:line="176" w:lineRule="exact"/>
              <w:ind w:right="65"/>
              <w:jc w:val="right"/>
              <w:rPr>
                <w:rFonts w:ascii="宋体" w:hAnsi="宋体" w:cs="宋体" w:eastAsia="宋体" w:hint="default"/>
                <w:sz w:val="16"/>
                <w:szCs w:val="16"/>
              </w:rPr>
            </w:pPr>
            <w:r>
              <w:rPr>
                <w:rFonts w:ascii="宋体" w:hAnsi="宋体" w:cs="宋体" w:eastAsia="宋体" w:hint="default"/>
                <w:sz w:val="16"/>
                <w:szCs w:val="16"/>
              </w:rPr>
              <w:t>接受劳务</w:t>
            </w:r>
          </w:p>
        </w:tc>
        <w:tc>
          <w:tcPr>
            <w:tcW w:w="1687" w:type="dxa"/>
            <w:tcBorders>
              <w:top w:val="nil" w:sz="6" w:space="0" w:color="auto"/>
              <w:left w:val="nil" w:sz="6" w:space="0" w:color="auto"/>
              <w:bottom w:val="nil" w:sz="6" w:space="0" w:color="auto"/>
              <w:right w:val="nil" w:sz="6" w:space="0" w:color="auto"/>
            </w:tcBorders>
          </w:tcPr>
          <w:p>
            <w:pPr>
              <w:pStyle w:val="TableParagraph"/>
              <w:spacing w:line="176" w:lineRule="exact"/>
              <w:ind w:right="36"/>
              <w:jc w:val="right"/>
              <w:rPr>
                <w:rFonts w:ascii="宋体" w:hAnsi="宋体" w:cs="宋体" w:eastAsia="宋体" w:hint="default"/>
                <w:sz w:val="16"/>
                <w:szCs w:val="16"/>
              </w:rPr>
            </w:pPr>
            <w:r>
              <w:rPr>
                <w:rFonts w:ascii="宋体" w:hAnsi="宋体" w:cs="宋体" w:eastAsia="宋体" w:hint="default"/>
                <w:spacing w:val="-1"/>
                <w:sz w:val="16"/>
                <w:szCs w:val="16"/>
              </w:rPr>
              <w:t>联通集团及其附属公司</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47" w:right="0"/>
              <w:jc w:val="left"/>
              <w:rPr>
                <w:rFonts w:ascii="Arial" w:hAnsi="Arial" w:cs="Arial" w:eastAsia="Arial" w:hint="default"/>
                <w:sz w:val="16"/>
                <w:szCs w:val="16"/>
              </w:rPr>
            </w:pPr>
            <w:r>
              <w:rPr>
                <w:rFonts w:ascii="Arial"/>
                <w:sz w:val="16"/>
              </w:rPr>
              <w:t>(1)(5)</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3"/>
              <w:jc w:val="right"/>
              <w:rPr>
                <w:rFonts w:ascii="Arial" w:hAnsi="Arial" w:cs="Arial" w:eastAsia="Arial" w:hint="default"/>
                <w:sz w:val="16"/>
                <w:szCs w:val="16"/>
              </w:rPr>
            </w:pPr>
            <w:r>
              <w:rPr>
                <w:rFonts w:ascii="Arial"/>
                <w:spacing w:val="-1"/>
                <w:sz w:val="16"/>
              </w:rPr>
              <w:t>3,138,109,934</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8"/>
              <w:jc w:val="right"/>
              <w:rPr>
                <w:rFonts w:ascii="Arial" w:hAnsi="Arial" w:cs="Arial" w:eastAsia="Arial" w:hint="default"/>
                <w:sz w:val="16"/>
                <w:szCs w:val="16"/>
              </w:rPr>
            </w:pPr>
            <w:r>
              <w:rPr>
                <w:rFonts w:ascii="Arial"/>
                <w:spacing w:val="-1"/>
                <w:sz w:val="16"/>
              </w:rPr>
              <w:t>2,178,424,326</w:t>
            </w:r>
          </w:p>
        </w:tc>
      </w:tr>
      <w:tr>
        <w:trPr>
          <w:trHeight w:val="209"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176" w:lineRule="exact"/>
              <w:ind w:right="48"/>
              <w:jc w:val="right"/>
              <w:rPr>
                <w:rFonts w:ascii="宋体" w:hAnsi="宋体" w:cs="宋体" w:eastAsia="宋体" w:hint="default"/>
                <w:sz w:val="16"/>
                <w:szCs w:val="16"/>
              </w:rPr>
            </w:pPr>
            <w:r>
              <w:rPr>
                <w:rFonts w:ascii="宋体" w:hAnsi="宋体" w:cs="宋体" w:eastAsia="宋体" w:hint="default"/>
                <w:spacing w:val="-1"/>
                <w:sz w:val="16"/>
                <w:szCs w:val="16"/>
              </w:rPr>
              <w:t>向联通集团支付的共享服务支出</w:t>
            </w:r>
          </w:p>
        </w:tc>
        <w:tc>
          <w:tcPr>
            <w:tcW w:w="761" w:type="dxa"/>
            <w:tcBorders>
              <w:top w:val="nil" w:sz="6" w:space="0" w:color="auto"/>
              <w:left w:val="nil" w:sz="6" w:space="0" w:color="auto"/>
              <w:bottom w:val="nil" w:sz="6" w:space="0" w:color="auto"/>
              <w:right w:val="nil" w:sz="6" w:space="0" w:color="auto"/>
            </w:tcBorders>
          </w:tcPr>
          <w:p>
            <w:pPr>
              <w:pStyle w:val="TableParagraph"/>
              <w:spacing w:line="176" w:lineRule="exact"/>
              <w:ind w:right="65"/>
              <w:jc w:val="right"/>
              <w:rPr>
                <w:rFonts w:ascii="宋体" w:hAnsi="宋体" w:cs="宋体" w:eastAsia="宋体" w:hint="default"/>
                <w:sz w:val="16"/>
                <w:szCs w:val="16"/>
              </w:rPr>
            </w:pPr>
            <w:r>
              <w:rPr>
                <w:rFonts w:ascii="宋体" w:hAnsi="宋体" w:cs="宋体" w:eastAsia="宋体" w:hint="default"/>
                <w:sz w:val="16"/>
                <w:szCs w:val="16"/>
              </w:rPr>
              <w:t>接受劳务</w:t>
            </w:r>
          </w:p>
        </w:tc>
        <w:tc>
          <w:tcPr>
            <w:tcW w:w="1687" w:type="dxa"/>
            <w:tcBorders>
              <w:top w:val="nil" w:sz="6" w:space="0" w:color="auto"/>
              <w:left w:val="nil" w:sz="6" w:space="0" w:color="auto"/>
              <w:bottom w:val="nil" w:sz="6" w:space="0" w:color="auto"/>
              <w:right w:val="nil" w:sz="6" w:space="0" w:color="auto"/>
            </w:tcBorders>
          </w:tcPr>
          <w:p>
            <w:pPr>
              <w:pStyle w:val="TableParagraph"/>
              <w:spacing w:line="176" w:lineRule="exact"/>
              <w:ind w:right="36"/>
              <w:jc w:val="right"/>
              <w:rPr>
                <w:rFonts w:ascii="宋体" w:hAnsi="宋体" w:cs="宋体" w:eastAsia="宋体" w:hint="default"/>
                <w:sz w:val="16"/>
                <w:szCs w:val="16"/>
              </w:rPr>
            </w:pPr>
            <w:r>
              <w:rPr>
                <w:rFonts w:ascii="宋体" w:hAnsi="宋体" w:cs="宋体" w:eastAsia="宋体" w:hint="default"/>
                <w:spacing w:val="-1"/>
                <w:sz w:val="16"/>
                <w:szCs w:val="16"/>
              </w:rPr>
              <w:t>联通集团及其附属公司</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47" w:right="0"/>
              <w:jc w:val="left"/>
              <w:rPr>
                <w:rFonts w:ascii="Arial" w:hAnsi="Arial" w:cs="Arial" w:eastAsia="Arial" w:hint="default"/>
                <w:sz w:val="16"/>
                <w:szCs w:val="16"/>
              </w:rPr>
            </w:pPr>
            <w:r>
              <w:rPr>
                <w:rFonts w:ascii="Arial"/>
                <w:sz w:val="16"/>
              </w:rPr>
              <w:t>(1)(6)</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5"/>
              <w:jc w:val="right"/>
              <w:rPr>
                <w:rFonts w:ascii="Arial" w:hAnsi="Arial" w:cs="Arial" w:eastAsia="Arial" w:hint="default"/>
                <w:sz w:val="16"/>
                <w:szCs w:val="16"/>
              </w:rPr>
            </w:pPr>
            <w:r>
              <w:rPr>
                <w:rFonts w:ascii="Arial"/>
                <w:spacing w:val="-1"/>
                <w:sz w:val="16"/>
              </w:rPr>
              <w:t>119,264,661</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50"/>
              <w:jc w:val="right"/>
              <w:rPr>
                <w:rFonts w:ascii="Arial" w:hAnsi="Arial" w:cs="Arial" w:eastAsia="Arial" w:hint="default"/>
                <w:sz w:val="16"/>
                <w:szCs w:val="16"/>
              </w:rPr>
            </w:pPr>
            <w:r>
              <w:rPr>
                <w:rFonts w:ascii="Arial"/>
                <w:spacing w:val="-1"/>
                <w:sz w:val="16"/>
              </w:rPr>
              <w:t>171,495,785</w:t>
            </w:r>
          </w:p>
        </w:tc>
      </w:tr>
      <w:tr>
        <w:trPr>
          <w:trHeight w:val="206"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176" w:lineRule="exact"/>
              <w:ind w:left="177" w:right="0"/>
              <w:jc w:val="left"/>
              <w:rPr>
                <w:rFonts w:ascii="宋体" w:hAnsi="宋体" w:cs="宋体" w:eastAsia="宋体" w:hint="default"/>
                <w:sz w:val="16"/>
                <w:szCs w:val="16"/>
              </w:rPr>
            </w:pPr>
            <w:r>
              <w:rPr>
                <w:rFonts w:ascii="宋体" w:hAnsi="宋体" w:cs="宋体" w:eastAsia="宋体" w:hint="default"/>
                <w:sz w:val="16"/>
                <w:szCs w:val="16"/>
              </w:rPr>
              <w:t>物资采购</w:t>
            </w:r>
          </w:p>
        </w:tc>
        <w:tc>
          <w:tcPr>
            <w:tcW w:w="761" w:type="dxa"/>
            <w:tcBorders>
              <w:top w:val="nil" w:sz="6" w:space="0" w:color="auto"/>
              <w:left w:val="nil" w:sz="6" w:space="0" w:color="auto"/>
              <w:bottom w:val="nil" w:sz="6" w:space="0" w:color="auto"/>
              <w:right w:val="nil" w:sz="6" w:space="0" w:color="auto"/>
            </w:tcBorders>
          </w:tcPr>
          <w:p>
            <w:pPr>
              <w:pStyle w:val="TableParagraph"/>
              <w:spacing w:line="176" w:lineRule="exact"/>
              <w:ind w:right="65"/>
              <w:jc w:val="right"/>
              <w:rPr>
                <w:rFonts w:ascii="宋体" w:hAnsi="宋体" w:cs="宋体" w:eastAsia="宋体" w:hint="default"/>
                <w:sz w:val="16"/>
                <w:szCs w:val="16"/>
              </w:rPr>
            </w:pPr>
            <w:r>
              <w:rPr>
                <w:rFonts w:ascii="宋体" w:hAnsi="宋体" w:cs="宋体" w:eastAsia="宋体" w:hint="default"/>
                <w:sz w:val="16"/>
                <w:szCs w:val="16"/>
              </w:rPr>
              <w:t>物资采购</w:t>
            </w:r>
          </w:p>
        </w:tc>
        <w:tc>
          <w:tcPr>
            <w:tcW w:w="1687" w:type="dxa"/>
            <w:tcBorders>
              <w:top w:val="nil" w:sz="6" w:space="0" w:color="auto"/>
              <w:left w:val="nil" w:sz="6" w:space="0" w:color="auto"/>
              <w:bottom w:val="nil" w:sz="6" w:space="0" w:color="auto"/>
              <w:right w:val="nil" w:sz="6" w:space="0" w:color="auto"/>
            </w:tcBorders>
          </w:tcPr>
          <w:p>
            <w:pPr>
              <w:pStyle w:val="TableParagraph"/>
              <w:spacing w:line="176" w:lineRule="exact"/>
              <w:ind w:right="36"/>
              <w:jc w:val="right"/>
              <w:rPr>
                <w:rFonts w:ascii="宋体" w:hAnsi="宋体" w:cs="宋体" w:eastAsia="宋体" w:hint="default"/>
                <w:sz w:val="16"/>
                <w:szCs w:val="16"/>
              </w:rPr>
            </w:pPr>
            <w:r>
              <w:rPr>
                <w:rFonts w:ascii="宋体" w:hAnsi="宋体" w:cs="宋体" w:eastAsia="宋体" w:hint="default"/>
                <w:spacing w:val="-1"/>
                <w:sz w:val="16"/>
                <w:szCs w:val="16"/>
              </w:rPr>
              <w:t>联通集团及其附属公司</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47" w:right="0"/>
              <w:jc w:val="left"/>
              <w:rPr>
                <w:rFonts w:ascii="Arial" w:hAnsi="Arial" w:cs="Arial" w:eastAsia="Arial" w:hint="default"/>
                <w:sz w:val="16"/>
                <w:szCs w:val="16"/>
              </w:rPr>
            </w:pPr>
            <w:r>
              <w:rPr>
                <w:rFonts w:ascii="Arial"/>
                <w:sz w:val="16"/>
              </w:rPr>
              <w:t>(1)(7)</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5"/>
              <w:jc w:val="right"/>
              <w:rPr>
                <w:rFonts w:ascii="Arial" w:hAnsi="Arial" w:cs="Arial" w:eastAsia="Arial" w:hint="default"/>
                <w:sz w:val="16"/>
                <w:szCs w:val="16"/>
              </w:rPr>
            </w:pPr>
            <w:r>
              <w:rPr>
                <w:rFonts w:ascii="Arial"/>
                <w:spacing w:val="-1"/>
                <w:sz w:val="16"/>
              </w:rPr>
              <w:t>91,266,505</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0"/>
              <w:jc w:val="right"/>
              <w:rPr>
                <w:rFonts w:ascii="Arial" w:hAnsi="Arial" w:cs="Arial" w:eastAsia="Arial" w:hint="default"/>
                <w:sz w:val="16"/>
                <w:szCs w:val="16"/>
              </w:rPr>
            </w:pPr>
            <w:r>
              <w:rPr>
                <w:rFonts w:ascii="Arial"/>
                <w:spacing w:val="-1"/>
                <w:sz w:val="16"/>
              </w:rPr>
              <w:t>188,234,416</w:t>
            </w:r>
          </w:p>
        </w:tc>
      </w:tr>
      <w:tr>
        <w:trPr>
          <w:trHeight w:val="208"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176" w:lineRule="exact"/>
              <w:ind w:left="177" w:right="0"/>
              <w:jc w:val="left"/>
              <w:rPr>
                <w:rFonts w:ascii="宋体" w:hAnsi="宋体" w:cs="宋体" w:eastAsia="宋体" w:hint="default"/>
                <w:sz w:val="16"/>
                <w:szCs w:val="16"/>
              </w:rPr>
            </w:pPr>
            <w:r>
              <w:rPr>
                <w:rFonts w:ascii="宋体" w:hAnsi="宋体" w:cs="宋体" w:eastAsia="宋体" w:hint="default"/>
                <w:sz w:val="16"/>
                <w:szCs w:val="16"/>
              </w:rPr>
              <w:t>末梢电信服务支出</w:t>
            </w:r>
          </w:p>
        </w:tc>
        <w:tc>
          <w:tcPr>
            <w:tcW w:w="761" w:type="dxa"/>
            <w:tcBorders>
              <w:top w:val="nil" w:sz="6" w:space="0" w:color="auto"/>
              <w:left w:val="nil" w:sz="6" w:space="0" w:color="auto"/>
              <w:bottom w:val="nil" w:sz="6" w:space="0" w:color="auto"/>
              <w:right w:val="nil" w:sz="6" w:space="0" w:color="auto"/>
            </w:tcBorders>
          </w:tcPr>
          <w:p>
            <w:pPr>
              <w:pStyle w:val="TableParagraph"/>
              <w:spacing w:line="176" w:lineRule="exact"/>
              <w:ind w:right="65"/>
              <w:jc w:val="right"/>
              <w:rPr>
                <w:rFonts w:ascii="宋体" w:hAnsi="宋体" w:cs="宋体" w:eastAsia="宋体" w:hint="default"/>
                <w:sz w:val="16"/>
                <w:szCs w:val="16"/>
              </w:rPr>
            </w:pPr>
            <w:r>
              <w:rPr>
                <w:rFonts w:ascii="宋体" w:hAnsi="宋体" w:cs="宋体" w:eastAsia="宋体" w:hint="default"/>
                <w:sz w:val="16"/>
                <w:szCs w:val="16"/>
              </w:rPr>
              <w:t>接受劳务</w:t>
            </w:r>
          </w:p>
        </w:tc>
        <w:tc>
          <w:tcPr>
            <w:tcW w:w="1687" w:type="dxa"/>
            <w:tcBorders>
              <w:top w:val="nil" w:sz="6" w:space="0" w:color="auto"/>
              <w:left w:val="nil" w:sz="6" w:space="0" w:color="auto"/>
              <w:bottom w:val="nil" w:sz="6" w:space="0" w:color="auto"/>
              <w:right w:val="nil" w:sz="6" w:space="0" w:color="auto"/>
            </w:tcBorders>
          </w:tcPr>
          <w:p>
            <w:pPr>
              <w:pStyle w:val="TableParagraph"/>
              <w:spacing w:line="176" w:lineRule="exact"/>
              <w:ind w:right="36"/>
              <w:jc w:val="right"/>
              <w:rPr>
                <w:rFonts w:ascii="宋体" w:hAnsi="宋体" w:cs="宋体" w:eastAsia="宋体" w:hint="default"/>
                <w:sz w:val="16"/>
                <w:szCs w:val="16"/>
              </w:rPr>
            </w:pPr>
            <w:r>
              <w:rPr>
                <w:rFonts w:ascii="宋体" w:hAnsi="宋体" w:cs="宋体" w:eastAsia="宋体" w:hint="default"/>
                <w:spacing w:val="-1"/>
                <w:sz w:val="16"/>
                <w:szCs w:val="16"/>
              </w:rPr>
              <w:t>联通集团及其附属公司</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47" w:right="0"/>
              <w:jc w:val="left"/>
              <w:rPr>
                <w:rFonts w:ascii="Arial" w:hAnsi="Arial" w:cs="Arial" w:eastAsia="Arial" w:hint="default"/>
                <w:sz w:val="16"/>
                <w:szCs w:val="16"/>
              </w:rPr>
            </w:pPr>
            <w:r>
              <w:rPr>
                <w:rFonts w:ascii="Arial"/>
                <w:sz w:val="16"/>
              </w:rPr>
              <w:t>(1)(8)</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3"/>
              <w:jc w:val="right"/>
              <w:rPr>
                <w:rFonts w:ascii="Arial" w:hAnsi="Arial" w:cs="Arial" w:eastAsia="Arial" w:hint="default"/>
                <w:sz w:val="16"/>
                <w:szCs w:val="16"/>
              </w:rPr>
            </w:pPr>
            <w:r>
              <w:rPr>
                <w:rFonts w:ascii="Arial"/>
                <w:spacing w:val="-1"/>
                <w:sz w:val="16"/>
              </w:rPr>
              <w:t>2,110,715,193</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8"/>
              <w:jc w:val="right"/>
              <w:rPr>
                <w:rFonts w:ascii="Arial" w:hAnsi="Arial" w:cs="Arial" w:eastAsia="Arial" w:hint="default"/>
                <w:sz w:val="16"/>
                <w:szCs w:val="16"/>
              </w:rPr>
            </w:pPr>
            <w:r>
              <w:rPr>
                <w:rFonts w:ascii="Arial"/>
                <w:spacing w:val="-1"/>
                <w:sz w:val="16"/>
              </w:rPr>
              <w:t>1,852,819,275</w:t>
            </w:r>
          </w:p>
        </w:tc>
      </w:tr>
      <w:tr>
        <w:trPr>
          <w:trHeight w:val="192"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175" w:lineRule="exact"/>
              <w:ind w:left="177" w:right="0"/>
              <w:jc w:val="left"/>
              <w:rPr>
                <w:rFonts w:ascii="宋体" w:hAnsi="宋体" w:cs="宋体" w:eastAsia="宋体" w:hint="default"/>
                <w:sz w:val="16"/>
                <w:szCs w:val="16"/>
              </w:rPr>
            </w:pPr>
            <w:r>
              <w:rPr>
                <w:rFonts w:ascii="宋体" w:hAnsi="宋体" w:cs="宋体" w:eastAsia="宋体" w:hint="default"/>
                <w:sz w:val="16"/>
                <w:szCs w:val="16"/>
              </w:rPr>
              <w:t>综合服务支出</w:t>
            </w:r>
          </w:p>
        </w:tc>
        <w:tc>
          <w:tcPr>
            <w:tcW w:w="761" w:type="dxa"/>
            <w:tcBorders>
              <w:top w:val="nil" w:sz="6" w:space="0" w:color="auto"/>
              <w:left w:val="nil" w:sz="6" w:space="0" w:color="auto"/>
              <w:bottom w:val="nil" w:sz="6" w:space="0" w:color="auto"/>
              <w:right w:val="nil" w:sz="6" w:space="0" w:color="auto"/>
            </w:tcBorders>
          </w:tcPr>
          <w:p>
            <w:pPr>
              <w:pStyle w:val="TableParagraph"/>
              <w:spacing w:line="175" w:lineRule="exact"/>
              <w:ind w:right="65"/>
              <w:jc w:val="right"/>
              <w:rPr>
                <w:rFonts w:ascii="宋体" w:hAnsi="宋体" w:cs="宋体" w:eastAsia="宋体" w:hint="default"/>
                <w:sz w:val="16"/>
                <w:szCs w:val="16"/>
              </w:rPr>
            </w:pPr>
            <w:r>
              <w:rPr>
                <w:rFonts w:ascii="宋体" w:hAnsi="宋体" w:cs="宋体" w:eastAsia="宋体" w:hint="default"/>
                <w:sz w:val="16"/>
                <w:szCs w:val="16"/>
              </w:rPr>
              <w:t>接受劳务</w:t>
            </w:r>
          </w:p>
        </w:tc>
        <w:tc>
          <w:tcPr>
            <w:tcW w:w="1687" w:type="dxa"/>
            <w:tcBorders>
              <w:top w:val="nil" w:sz="6" w:space="0" w:color="auto"/>
              <w:left w:val="nil" w:sz="6" w:space="0" w:color="auto"/>
              <w:bottom w:val="nil" w:sz="6" w:space="0" w:color="auto"/>
              <w:right w:val="nil" w:sz="6" w:space="0" w:color="auto"/>
            </w:tcBorders>
          </w:tcPr>
          <w:p>
            <w:pPr>
              <w:pStyle w:val="TableParagraph"/>
              <w:spacing w:line="175" w:lineRule="exact"/>
              <w:ind w:right="36"/>
              <w:jc w:val="right"/>
              <w:rPr>
                <w:rFonts w:ascii="宋体" w:hAnsi="宋体" w:cs="宋体" w:eastAsia="宋体" w:hint="default"/>
                <w:sz w:val="16"/>
                <w:szCs w:val="16"/>
              </w:rPr>
            </w:pPr>
            <w:r>
              <w:rPr>
                <w:rFonts w:ascii="宋体" w:hAnsi="宋体" w:cs="宋体" w:eastAsia="宋体" w:hint="default"/>
                <w:spacing w:val="-1"/>
                <w:sz w:val="16"/>
                <w:szCs w:val="16"/>
              </w:rPr>
              <w:t>联通集团附属公司</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47" w:right="0"/>
              <w:jc w:val="left"/>
              <w:rPr>
                <w:rFonts w:ascii="Arial" w:hAnsi="Arial" w:cs="Arial" w:eastAsia="Arial" w:hint="default"/>
                <w:sz w:val="16"/>
                <w:szCs w:val="16"/>
              </w:rPr>
            </w:pPr>
            <w:r>
              <w:rPr>
                <w:rFonts w:ascii="Arial"/>
                <w:sz w:val="16"/>
              </w:rPr>
              <w:t>(1)(9)</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5"/>
              <w:jc w:val="right"/>
              <w:rPr>
                <w:rFonts w:ascii="Arial" w:hAnsi="Arial" w:cs="Arial" w:eastAsia="Arial" w:hint="default"/>
                <w:sz w:val="16"/>
                <w:szCs w:val="16"/>
              </w:rPr>
            </w:pPr>
            <w:r>
              <w:rPr>
                <w:rFonts w:ascii="Arial"/>
                <w:spacing w:val="-1"/>
                <w:sz w:val="16"/>
              </w:rPr>
              <w:t>840,496,835</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50"/>
              <w:jc w:val="right"/>
              <w:rPr>
                <w:rFonts w:ascii="Arial" w:hAnsi="Arial" w:cs="Arial" w:eastAsia="Arial" w:hint="default"/>
                <w:sz w:val="16"/>
                <w:szCs w:val="16"/>
              </w:rPr>
            </w:pPr>
            <w:r>
              <w:rPr>
                <w:rFonts w:ascii="Arial"/>
                <w:spacing w:val="-1"/>
                <w:sz w:val="16"/>
              </w:rPr>
              <w:t>612,772,847</w:t>
            </w:r>
          </w:p>
        </w:tc>
      </w:tr>
    </w:tbl>
    <w:p>
      <w:pPr>
        <w:spacing w:line="240" w:lineRule="auto" w:before="6"/>
        <w:rPr>
          <w:rFonts w:ascii="宋体" w:hAnsi="宋体" w:cs="宋体" w:eastAsia="宋体" w:hint="default"/>
          <w:sz w:val="14"/>
          <w:szCs w:val="14"/>
        </w:rPr>
      </w:pPr>
    </w:p>
    <w:p>
      <w:pPr>
        <w:pStyle w:val="BodyText"/>
        <w:spacing w:line="240" w:lineRule="auto" w:before="32"/>
        <w:ind w:left="594" w:right="0"/>
        <w:jc w:val="left"/>
      </w:pPr>
      <w:r>
        <w:rPr/>
        <w:t>注释：</w:t>
      </w:r>
    </w:p>
    <w:p>
      <w:pPr>
        <w:spacing w:line="240" w:lineRule="auto" w:before="3"/>
        <w:rPr>
          <w:rFonts w:ascii="宋体" w:hAnsi="宋体" w:cs="宋体" w:eastAsia="宋体" w:hint="default"/>
          <w:sz w:val="19"/>
          <w:szCs w:val="19"/>
        </w:rPr>
      </w:pPr>
    </w:p>
    <w:p>
      <w:pPr>
        <w:pStyle w:val="BodyText"/>
        <w:tabs>
          <w:tab w:pos="606" w:val="left" w:leader="none"/>
        </w:tabs>
        <w:spacing w:line="295" w:lineRule="exact"/>
        <w:ind w:left="114" w:right="0"/>
        <w:jc w:val="left"/>
      </w:pPr>
      <w:r>
        <w:rPr>
          <w:rFonts w:ascii="Arial" w:hAnsi="Arial" w:cs="Arial" w:eastAsia="Arial" w:hint="default"/>
          <w:w w:val="100"/>
        </w:rPr>
        <w:t>(</w:t>
      </w:r>
      <w:r>
        <w:rPr>
          <w:rFonts w:ascii="Arial" w:hAnsi="Arial" w:cs="Arial" w:eastAsia="Arial" w:hint="default"/>
          <w:w w:val="100"/>
        </w:rPr>
        <w:t>1)</w:t>
      </w:r>
      <w:r>
        <w:rPr>
          <w:rFonts w:ascii="Arial" w:hAnsi="Arial" w:cs="Arial" w:eastAsia="Arial" w:hint="default"/>
        </w:rPr>
        <w:tab/>
      </w:r>
      <w:r>
        <w:rPr>
          <w:w w:val="100"/>
        </w:rPr>
        <w:t>联通运</w:t>
      </w:r>
      <w:r>
        <w:rPr>
          <w:spacing w:val="-3"/>
          <w:w w:val="100"/>
        </w:rPr>
        <w:t>营</w:t>
      </w:r>
      <w:r>
        <w:rPr>
          <w:w w:val="100"/>
        </w:rPr>
        <w:t>公司</w:t>
      </w:r>
      <w:r>
        <w:rPr>
          <w:spacing w:val="-3"/>
          <w:w w:val="100"/>
        </w:rPr>
        <w:t>与</w:t>
      </w:r>
      <w:r>
        <w:rPr>
          <w:w w:val="100"/>
        </w:rPr>
        <w:t>联通</w:t>
      </w:r>
      <w:r>
        <w:rPr>
          <w:spacing w:val="-3"/>
          <w:w w:val="100"/>
        </w:rPr>
        <w:t>集团</w:t>
      </w:r>
      <w:r>
        <w:rPr>
          <w:w w:val="100"/>
        </w:rPr>
        <w:t>于</w:t>
      </w:r>
      <w:r>
        <w:rPr>
          <w:spacing w:val="-55"/>
        </w:rPr>
        <w:t> </w:t>
      </w:r>
      <w:r>
        <w:rPr>
          <w:rFonts w:ascii="Arial" w:hAnsi="Arial" w:cs="Arial" w:eastAsia="Arial" w:hint="default"/>
          <w:spacing w:val="-1"/>
          <w:w w:val="100"/>
        </w:rPr>
        <w:t>201</w:t>
      </w:r>
      <w:r>
        <w:rPr>
          <w:rFonts w:ascii="Arial" w:hAnsi="Arial" w:cs="Arial" w:eastAsia="Arial" w:hint="default"/>
          <w:w w:val="100"/>
        </w:rPr>
        <w:t>0</w:t>
      </w:r>
      <w:r>
        <w:rPr>
          <w:rFonts w:ascii="Arial" w:hAnsi="Arial" w:cs="Arial" w:eastAsia="Arial" w:hint="default"/>
          <w:spacing w:val="-7"/>
        </w:rPr>
        <w:t> </w:t>
      </w:r>
      <w:r>
        <w:rPr>
          <w:w w:val="100"/>
        </w:rPr>
        <w:t>年</w:t>
      </w:r>
      <w:r>
        <w:rPr>
          <w:spacing w:val="-3"/>
          <w:w w:val="100"/>
        </w:rPr>
        <w:t>度</w:t>
      </w:r>
      <w:r>
        <w:rPr>
          <w:w w:val="100"/>
        </w:rPr>
        <w:t>签订</w:t>
      </w:r>
      <w:r>
        <w:rPr>
          <w:spacing w:val="-101"/>
          <w:w w:val="100"/>
        </w:rPr>
        <w:t>的</w:t>
      </w:r>
      <w:r>
        <w:rPr>
          <w:w w:val="100"/>
        </w:rPr>
        <w:t>《</w:t>
      </w:r>
      <w:r>
        <w:rPr>
          <w:rFonts w:ascii="Arial" w:hAnsi="Arial" w:cs="Arial" w:eastAsia="Arial" w:hint="default"/>
          <w:w w:val="100"/>
        </w:rPr>
        <w:t>2</w:t>
      </w:r>
      <w:r>
        <w:rPr>
          <w:rFonts w:ascii="Arial" w:hAnsi="Arial" w:cs="Arial" w:eastAsia="Arial" w:hint="default"/>
          <w:spacing w:val="-1"/>
          <w:w w:val="100"/>
        </w:rPr>
        <w:t>0</w:t>
      </w:r>
      <w:r>
        <w:rPr>
          <w:rFonts w:ascii="Arial" w:hAnsi="Arial" w:cs="Arial" w:eastAsia="Arial" w:hint="default"/>
          <w:spacing w:val="-3"/>
          <w:w w:val="100"/>
        </w:rPr>
        <w:t>1</w:t>
      </w:r>
      <w:r>
        <w:rPr>
          <w:rFonts w:ascii="Arial" w:hAnsi="Arial" w:cs="Arial" w:eastAsia="Arial" w:hint="default"/>
          <w:w w:val="100"/>
        </w:rPr>
        <w:t>1</w:t>
      </w:r>
      <w:r>
        <w:rPr>
          <w:rFonts w:ascii="Arial" w:hAnsi="Arial" w:cs="Arial" w:eastAsia="Arial" w:hint="default"/>
          <w:w w:val="100"/>
        </w:rPr>
        <w:t>-</w:t>
      </w:r>
      <w:r>
        <w:rPr>
          <w:rFonts w:ascii="Arial" w:hAnsi="Arial" w:cs="Arial" w:eastAsia="Arial" w:hint="default"/>
          <w:spacing w:val="-1"/>
          <w:w w:val="100"/>
        </w:rPr>
        <w:t>201</w:t>
      </w:r>
      <w:r>
        <w:rPr>
          <w:rFonts w:ascii="Arial" w:hAnsi="Arial" w:cs="Arial" w:eastAsia="Arial" w:hint="default"/>
          <w:w w:val="100"/>
        </w:rPr>
        <w:t>3</w:t>
      </w:r>
      <w:r>
        <w:rPr>
          <w:rFonts w:ascii="Arial" w:hAnsi="Arial" w:cs="Arial" w:eastAsia="Arial" w:hint="default"/>
          <w:spacing w:val="-7"/>
        </w:rPr>
        <w:t> </w:t>
      </w:r>
      <w:r>
        <w:rPr>
          <w:w w:val="100"/>
        </w:rPr>
        <w:t>年</w:t>
      </w:r>
      <w:r>
        <w:rPr>
          <w:spacing w:val="-3"/>
          <w:w w:val="100"/>
        </w:rPr>
        <w:t>综</w:t>
      </w:r>
      <w:r>
        <w:rPr>
          <w:w w:val="100"/>
        </w:rPr>
        <w:t>合服</w:t>
      </w:r>
      <w:r>
        <w:rPr>
          <w:spacing w:val="-3"/>
          <w:w w:val="100"/>
        </w:rPr>
        <w:t>务</w:t>
      </w:r>
      <w:r>
        <w:rPr>
          <w:w w:val="100"/>
        </w:rPr>
        <w:t>协议</w:t>
      </w:r>
      <w:r>
        <w:rPr>
          <w:spacing w:val="-101"/>
          <w:w w:val="100"/>
        </w:rPr>
        <w:t>》</w:t>
      </w:r>
      <w:r>
        <w:rPr>
          <w:w w:val="100"/>
        </w:rPr>
        <w:t>于</w:t>
      </w:r>
      <w:r>
        <w:rPr>
          <w:spacing w:val="-55"/>
        </w:rPr>
        <w:t> </w:t>
      </w:r>
      <w:r>
        <w:rPr>
          <w:rFonts w:ascii="Arial" w:hAnsi="Arial" w:cs="Arial" w:eastAsia="Arial" w:hint="default"/>
          <w:spacing w:val="-1"/>
          <w:w w:val="100"/>
        </w:rPr>
        <w:t>201</w:t>
      </w:r>
      <w:r>
        <w:rPr>
          <w:rFonts w:ascii="Arial" w:hAnsi="Arial" w:cs="Arial" w:eastAsia="Arial" w:hint="default"/>
          <w:w w:val="100"/>
        </w:rPr>
        <w:t>3</w:t>
      </w:r>
      <w:r>
        <w:rPr>
          <w:rFonts w:ascii="Arial" w:hAnsi="Arial" w:cs="Arial" w:eastAsia="Arial" w:hint="default"/>
          <w:spacing w:val="-6"/>
        </w:rPr>
        <w:t> </w:t>
      </w:r>
      <w:r>
        <w:rPr>
          <w:w w:val="100"/>
        </w:rPr>
        <w:t>年</w:t>
      </w:r>
      <w:r>
        <w:rPr>
          <w:spacing w:val="-3"/>
          <w:w w:val="100"/>
        </w:rPr>
        <w:t>末</w:t>
      </w:r>
      <w:r>
        <w:rPr>
          <w:w w:val="100"/>
        </w:rPr>
        <w:t>到期。</w:t>
      </w:r>
    </w:p>
    <w:p>
      <w:pPr>
        <w:pStyle w:val="BodyText"/>
        <w:spacing w:line="284" w:lineRule="exact"/>
        <w:ind w:left="591" w:right="0"/>
        <w:jc w:val="left"/>
      </w:pPr>
      <w:r>
        <w:rPr/>
        <w:t>联通运营公司于</w:t>
      </w:r>
      <w:r>
        <w:rPr>
          <w:spacing w:val="-52"/>
        </w:rPr>
        <w:t> </w:t>
      </w:r>
      <w:r>
        <w:rPr>
          <w:rFonts w:ascii="Arial" w:hAnsi="Arial" w:cs="Arial" w:eastAsia="Arial" w:hint="default"/>
        </w:rPr>
        <w:t>2013</w:t>
      </w:r>
      <w:r>
        <w:rPr>
          <w:rFonts w:ascii="Arial" w:hAnsi="Arial" w:cs="Arial" w:eastAsia="Arial" w:hint="default"/>
          <w:spacing w:val="-3"/>
        </w:rPr>
        <w:t> </w:t>
      </w:r>
      <w:r>
        <w:rPr/>
        <w:t>年</w:t>
      </w:r>
      <w:r>
        <w:rPr>
          <w:spacing w:val="-53"/>
        </w:rPr>
        <w:t> </w:t>
      </w:r>
      <w:r>
        <w:rPr>
          <w:rFonts w:ascii="Arial" w:hAnsi="Arial" w:cs="Arial" w:eastAsia="Arial" w:hint="default"/>
        </w:rPr>
        <w:t>11</w:t>
      </w:r>
      <w:r>
        <w:rPr>
          <w:rFonts w:ascii="Arial" w:hAnsi="Arial" w:cs="Arial" w:eastAsia="Arial" w:hint="default"/>
          <w:spacing w:val="-3"/>
        </w:rPr>
        <w:t> </w:t>
      </w:r>
      <w:r>
        <w:rPr/>
        <w:t>月</w:t>
      </w:r>
      <w:r>
        <w:rPr>
          <w:spacing w:val="-51"/>
        </w:rPr>
        <w:t> </w:t>
      </w:r>
      <w:r>
        <w:rPr>
          <w:rFonts w:ascii="Arial" w:hAnsi="Arial" w:cs="Arial" w:eastAsia="Arial" w:hint="default"/>
        </w:rPr>
        <w:t>29</w:t>
      </w:r>
      <w:r>
        <w:rPr>
          <w:rFonts w:ascii="Arial" w:hAnsi="Arial" w:cs="Arial" w:eastAsia="Arial" w:hint="default"/>
          <w:spacing w:val="-3"/>
        </w:rPr>
        <w:t> </w:t>
      </w:r>
      <w:r>
        <w:rPr/>
        <w:t>日与联通集团重新签订了《</w:t>
      </w:r>
      <w:r>
        <w:rPr>
          <w:rFonts w:ascii="Arial" w:hAnsi="Arial" w:cs="Arial" w:eastAsia="Arial" w:hint="default"/>
        </w:rPr>
        <w:t>2014-2016</w:t>
      </w:r>
      <w:r>
        <w:rPr>
          <w:rFonts w:ascii="Arial" w:hAnsi="Arial" w:cs="Arial" w:eastAsia="Arial" w:hint="default"/>
          <w:spacing w:val="-3"/>
        </w:rPr>
        <w:t> </w:t>
      </w:r>
      <w:r>
        <w:rPr/>
        <w:t>年综合服务协议》以</w:t>
      </w:r>
    </w:p>
    <w:p>
      <w:pPr>
        <w:pStyle w:val="BodyText"/>
        <w:spacing w:line="293" w:lineRule="exact"/>
        <w:ind w:left="591" w:right="0"/>
        <w:jc w:val="left"/>
      </w:pPr>
      <w:r>
        <w:rPr/>
        <w:t>延续关联交易，经本公司董事会批准，该协议于</w:t>
      </w:r>
      <w:r>
        <w:rPr>
          <w:spacing w:val="-56"/>
        </w:rPr>
        <w:t> </w:t>
      </w:r>
      <w:r>
        <w:rPr>
          <w:rFonts w:ascii="Arial" w:hAnsi="Arial" w:cs="Arial" w:eastAsia="Arial" w:hint="default"/>
        </w:rPr>
        <w:t>2014</w:t>
      </w:r>
      <w:r>
        <w:rPr>
          <w:rFonts w:ascii="Arial" w:hAnsi="Arial" w:cs="Arial" w:eastAsia="Arial" w:hint="default"/>
          <w:spacing w:val="-7"/>
        </w:rPr>
        <w:t> </w:t>
      </w:r>
      <w:r>
        <w:rPr/>
        <w:t>年</w:t>
      </w:r>
      <w:r>
        <w:rPr>
          <w:spacing w:val="-56"/>
        </w:rPr>
        <w:t> </w:t>
      </w:r>
      <w:r>
        <w:rPr>
          <w:rFonts w:ascii="Arial" w:hAnsi="Arial" w:cs="Arial" w:eastAsia="Arial" w:hint="default"/>
        </w:rPr>
        <w:t>1</w:t>
      </w:r>
      <w:r>
        <w:rPr>
          <w:rFonts w:ascii="Arial" w:hAnsi="Arial" w:cs="Arial" w:eastAsia="Arial" w:hint="default"/>
          <w:spacing w:val="-8"/>
        </w:rPr>
        <w:t> </w:t>
      </w:r>
      <w:r>
        <w:rPr/>
        <w:t>月</w:t>
      </w:r>
      <w:r>
        <w:rPr>
          <w:spacing w:val="-56"/>
        </w:rPr>
        <w:t> </w:t>
      </w:r>
      <w:r>
        <w:rPr>
          <w:rFonts w:ascii="Arial" w:hAnsi="Arial" w:cs="Arial" w:eastAsia="Arial" w:hint="default"/>
        </w:rPr>
        <w:t>1</w:t>
      </w:r>
      <w:r>
        <w:rPr>
          <w:rFonts w:ascii="Arial" w:hAnsi="Arial" w:cs="Arial" w:eastAsia="Arial" w:hint="default"/>
          <w:spacing w:val="-8"/>
        </w:rPr>
        <w:t> </w:t>
      </w:r>
      <w:r>
        <w:rPr/>
        <w:t>日生效。</w:t>
      </w:r>
    </w:p>
    <w:p>
      <w:pPr>
        <w:spacing w:line="240" w:lineRule="auto" w:before="3"/>
        <w:rPr>
          <w:rFonts w:ascii="宋体" w:hAnsi="宋体" w:cs="宋体" w:eastAsia="宋体" w:hint="default"/>
          <w:sz w:val="20"/>
          <w:szCs w:val="20"/>
        </w:rPr>
      </w:pPr>
    </w:p>
    <w:p>
      <w:pPr>
        <w:pStyle w:val="BodyText"/>
        <w:tabs>
          <w:tab w:pos="618" w:val="left" w:leader="none"/>
        </w:tabs>
        <w:spacing w:line="286" w:lineRule="exact"/>
        <w:ind w:left="591" w:right="240" w:hanging="478"/>
        <w:jc w:val="left"/>
      </w:pPr>
      <w:r>
        <w:rPr>
          <w:rFonts w:ascii="Arial" w:hAnsi="Arial" w:cs="Arial" w:eastAsia="Arial" w:hint="default"/>
        </w:rPr>
        <w:t>(2)</w:t>
        <w:tab/>
        <w:tab/>
      </w:r>
      <w:r>
        <w:rPr>
          <w:spacing w:val="-1"/>
        </w:rPr>
        <w:t>联通时科利用联通运营公司的移动通信网络及数据平台向用户提供增值服务，并参考与同类地</w:t>
      </w:r>
      <w:r>
        <w:rPr>
          <w:spacing w:val="-67"/>
        </w:rPr>
        <w:t> </w:t>
      </w:r>
      <w:r>
        <w:rPr>
          <w:spacing w:val="-67"/>
        </w:rPr>
      </w:r>
      <w:r>
        <w:rPr/>
        <w:t>区第三方的交易标准按照协议中规定的收入分成比例向联通运营公司收费。</w:t>
      </w:r>
    </w:p>
    <w:p>
      <w:pPr>
        <w:spacing w:line="240" w:lineRule="auto" w:before="6"/>
        <w:rPr>
          <w:rFonts w:ascii="宋体" w:hAnsi="宋体" w:cs="宋体" w:eastAsia="宋体" w:hint="default"/>
          <w:sz w:val="17"/>
          <w:szCs w:val="17"/>
        </w:rPr>
      </w:pPr>
    </w:p>
    <w:p>
      <w:pPr>
        <w:pStyle w:val="BodyText"/>
        <w:tabs>
          <w:tab w:pos="591" w:val="left" w:leader="none"/>
        </w:tabs>
        <w:spacing w:line="235" w:lineRule="auto"/>
        <w:ind w:left="591" w:right="131" w:hanging="478"/>
        <w:jc w:val="left"/>
      </w:pPr>
      <w:r>
        <w:rPr>
          <w:rFonts w:ascii="Arial" w:hAnsi="Arial" w:cs="Arial" w:eastAsia="Arial" w:hint="default"/>
        </w:rPr>
        <w:t>(3)</w:t>
        <w:tab/>
      </w:r>
      <w:r>
        <w:rPr>
          <w:spacing w:val="-3"/>
        </w:rPr>
        <w:t>联通运营公司向联通集团及其附属公司租用拥有的国际通信信道出入口，国际通信业务出入口，</w:t>
      </w:r>
      <w:r>
        <w:rPr>
          <w:spacing w:val="-69"/>
        </w:rPr>
        <w:t> </w:t>
      </w:r>
      <w:r>
        <w:rPr>
          <w:spacing w:val="-69"/>
        </w:rPr>
      </w:r>
      <w:r>
        <w:rPr/>
        <w:t>国际海缆容量以及国际陆缆等国际通信资源及其他通信设施，租金以通信资源和设施的年度折</w:t>
      </w:r>
      <w:r>
        <w:rPr>
          <w:w w:val="100"/>
        </w:rPr>
        <w:t> </w:t>
      </w:r>
      <w:r>
        <w:rPr/>
        <w:t>旧金额为基础确定，且收费不高于市场租金水平。除联通运营公司与联通集团另行协商外，上</w:t>
      </w:r>
      <w:r>
        <w:rPr>
          <w:w w:val="100"/>
        </w:rPr>
        <w:t> </w:t>
      </w:r>
      <w:r>
        <w:rPr/>
        <w:t>述通信设施维护所产生的费用由联通运营公司承担，相关费用参照市场价格确定，若没有市场</w:t>
      </w:r>
      <w:r>
        <w:rPr>
          <w:w w:val="100"/>
        </w:rPr>
        <w:t> </w:t>
      </w:r>
      <w:r>
        <w:rPr/>
        <w:t>价格，则以合理成本加合理利润的方式确定。</w:t>
      </w:r>
    </w:p>
    <w:p>
      <w:pPr>
        <w:spacing w:line="240" w:lineRule="auto" w:before="12"/>
        <w:rPr>
          <w:rFonts w:ascii="宋体" w:hAnsi="宋体" w:cs="宋体" w:eastAsia="宋体" w:hint="default"/>
          <w:sz w:val="19"/>
          <w:szCs w:val="19"/>
        </w:rPr>
      </w:pPr>
    </w:p>
    <w:p>
      <w:pPr>
        <w:pStyle w:val="BodyText"/>
        <w:tabs>
          <w:tab w:pos="606" w:val="left" w:leader="none"/>
        </w:tabs>
        <w:spacing w:line="232" w:lineRule="auto"/>
        <w:ind w:left="606" w:right="117" w:hanging="492"/>
        <w:jc w:val="left"/>
      </w:pPr>
      <w:r>
        <w:rPr>
          <w:rFonts w:ascii="Arial" w:hAnsi="Arial" w:cs="Arial" w:eastAsia="Arial" w:hint="default"/>
        </w:rPr>
        <w:t>(4)</w:t>
        <w:tab/>
      </w:r>
      <w:r>
        <w:rPr/>
        <w:t>联通运营公司向联通集团及其附属公司租用若干物业，该等物业用途为办公室、电信设备场地</w:t>
      </w:r>
      <w:r>
        <w:rPr>
          <w:spacing w:val="-78"/>
        </w:rPr>
        <w:t> </w:t>
      </w:r>
      <w:r>
        <w:rPr>
          <w:spacing w:val="-3"/>
        </w:rPr>
        <w:t>和其它辅助用途。联通运营公司应付的费用基于市场租金水平或每一项物业的折旧及税金确定。</w:t>
      </w:r>
      <w:r>
        <w:rPr>
          <w:w w:val="100"/>
        </w:rPr>
        <w:t> </w:t>
      </w:r>
      <w:r>
        <w:rPr/>
        <w:t>后者在折旧及税金不高于市场租金水平时适用。相关费用应按季于每季末支付，每年参考租赁</w:t>
      </w:r>
      <w:r>
        <w:rPr>
          <w:w w:val="100"/>
        </w:rPr>
        <w:t> </w:t>
      </w:r>
      <w:r>
        <w:rPr/>
        <w:t>物业当时市场租金水平重新审定。</w:t>
      </w:r>
    </w:p>
    <w:p>
      <w:pPr>
        <w:spacing w:after="0" w:line="232" w:lineRule="auto"/>
        <w:jc w:val="left"/>
        <w:sectPr>
          <w:headerReference w:type="default" r:id="rId143"/>
          <w:pgSz w:w="11910" w:h="16840"/>
          <w:pgMar w:header="1181" w:footer="923" w:top="3020" w:bottom="1120" w:left="1240" w:right="780"/>
        </w:sectPr>
      </w:pPr>
    </w:p>
    <w:p>
      <w:pPr>
        <w:spacing w:line="240" w:lineRule="auto" w:before="12"/>
        <w:rPr>
          <w:rFonts w:ascii="宋体" w:hAnsi="宋体" w:cs="宋体" w:eastAsia="宋体" w:hint="default"/>
          <w:sz w:val="15"/>
          <w:szCs w:val="15"/>
        </w:rPr>
      </w:pPr>
    </w:p>
    <w:p>
      <w:pPr>
        <w:pStyle w:val="BodyText"/>
        <w:spacing w:line="284" w:lineRule="exact" w:before="62"/>
        <w:ind w:left="606" w:right="107" w:hanging="492"/>
        <w:jc w:val="both"/>
      </w:pPr>
      <w:r>
        <w:rPr>
          <w:rFonts w:ascii="Arial" w:hAnsi="Arial" w:cs="Arial" w:eastAsia="Arial" w:hint="default"/>
        </w:rPr>
        <w:t>(5)</w:t>
      </w:r>
      <w:r>
        <w:rPr>
          <w:rFonts w:ascii="Arial" w:hAnsi="Arial" w:cs="Arial" w:eastAsia="Arial" w:hint="default"/>
          <w:spacing w:val="10"/>
        </w:rPr>
        <w:t> </w:t>
      </w:r>
      <w:r>
        <w:rPr/>
        <w:t>联通集团及其附属公司向联通运营公司提供若干工程及信息技术相关服务的一系列相关服务，</w:t>
      </w:r>
      <w:r>
        <w:rPr>
          <w:w w:val="100"/>
        </w:rPr>
        <w:t> </w:t>
      </w:r>
      <w:r>
        <w:rPr/>
        <w:t>其应付价格参照市场价格制定，于提供相关服务时结算。</w:t>
      </w:r>
    </w:p>
    <w:p>
      <w:pPr>
        <w:spacing w:line="240" w:lineRule="auto" w:before="6"/>
        <w:rPr>
          <w:rFonts w:ascii="宋体" w:hAnsi="宋体" w:cs="宋体" w:eastAsia="宋体" w:hint="default"/>
          <w:sz w:val="19"/>
          <w:szCs w:val="19"/>
        </w:rPr>
      </w:pPr>
    </w:p>
    <w:p>
      <w:pPr>
        <w:pStyle w:val="BodyText"/>
        <w:spacing w:line="286" w:lineRule="exact"/>
        <w:ind w:left="606" w:right="107" w:hanging="492"/>
        <w:jc w:val="both"/>
      </w:pPr>
      <w:r>
        <w:rPr>
          <w:rFonts w:ascii="Arial" w:hAnsi="Arial" w:cs="Arial" w:eastAsia="Arial" w:hint="default"/>
        </w:rPr>
        <w:t>(6)</w:t>
      </w:r>
      <w:r>
        <w:rPr>
          <w:rFonts w:ascii="Arial" w:hAnsi="Arial" w:cs="Arial" w:eastAsia="Arial" w:hint="default"/>
          <w:spacing w:val="10"/>
        </w:rPr>
        <w:t> </w:t>
      </w:r>
      <w:r>
        <w:rPr/>
        <w:t>联通运营公司与联通集团及其附属公司签订了一般行政服务的共享服务协议。根据此项协议，</w:t>
      </w:r>
      <w:r>
        <w:rPr>
          <w:w w:val="100"/>
        </w:rPr>
        <w:t> </w:t>
      </w:r>
      <w:r>
        <w:rPr/>
        <w:t>共享服务的费用将根据各自资产比例在双方之间分摊。</w:t>
      </w:r>
    </w:p>
    <w:p>
      <w:pPr>
        <w:spacing w:line="240" w:lineRule="auto" w:before="9"/>
        <w:rPr>
          <w:rFonts w:ascii="宋体" w:hAnsi="宋体" w:cs="宋体" w:eastAsia="宋体" w:hint="default"/>
          <w:sz w:val="17"/>
          <w:szCs w:val="17"/>
        </w:rPr>
      </w:pPr>
    </w:p>
    <w:p>
      <w:pPr>
        <w:pStyle w:val="BodyText"/>
        <w:spacing w:line="232" w:lineRule="auto"/>
        <w:ind w:left="606" w:right="107" w:hanging="492"/>
        <w:jc w:val="both"/>
      </w:pPr>
      <w:r>
        <w:rPr>
          <w:rFonts w:ascii="Arial" w:hAnsi="Arial" w:cs="Arial" w:eastAsia="Arial" w:hint="default"/>
        </w:rPr>
        <w:t>(7)</w:t>
      </w:r>
      <w:r>
        <w:rPr>
          <w:rFonts w:ascii="Arial" w:hAnsi="Arial" w:cs="Arial" w:eastAsia="Arial" w:hint="default"/>
          <w:spacing w:val="10"/>
        </w:rPr>
        <w:t> </w:t>
      </w:r>
      <w:r>
        <w:rPr/>
        <w:t>联通运营公司可要求联通集团及其附属公司担任采购进口及国内电信设备以及其它国内非电信</w:t>
      </w:r>
      <w:r>
        <w:rPr>
          <w:w w:val="100"/>
        </w:rPr>
        <w:t> </w:t>
      </w:r>
      <w:r>
        <w:rPr/>
        <w:t>设备的代理商，联通集团及其附属公司向联通运营公司提供协议项下与物资或设备采购相关的</w:t>
      </w:r>
      <w:r>
        <w:rPr>
          <w:w w:val="100"/>
        </w:rPr>
        <w:t> </w:t>
      </w:r>
      <w:r>
        <w:rPr/>
        <w:t>仓储和运输服务。联通运营公司支付给联通集团及其附属公司的费用基于政府指导价、市场价</w:t>
      </w:r>
      <w:r>
        <w:rPr>
          <w:w w:val="100"/>
        </w:rPr>
        <w:t> </w:t>
      </w:r>
      <w:r>
        <w:rPr/>
        <w:t>格或成本加利润的方式确定。</w:t>
      </w:r>
    </w:p>
    <w:p>
      <w:pPr>
        <w:spacing w:line="240" w:lineRule="auto" w:before="12"/>
        <w:rPr>
          <w:rFonts w:ascii="宋体" w:hAnsi="宋体" w:cs="宋体" w:eastAsia="宋体" w:hint="default"/>
          <w:sz w:val="19"/>
          <w:szCs w:val="19"/>
        </w:rPr>
      </w:pPr>
    </w:p>
    <w:p>
      <w:pPr>
        <w:pStyle w:val="BodyText"/>
        <w:spacing w:line="232" w:lineRule="auto"/>
        <w:ind w:left="591" w:right="111" w:hanging="478"/>
        <w:jc w:val="both"/>
      </w:pPr>
      <w:r>
        <w:rPr>
          <w:rFonts w:ascii="Arial" w:hAnsi="Arial" w:cs="Arial" w:eastAsia="Arial" w:hint="default"/>
        </w:rPr>
        <w:t>(8)</w:t>
      </w:r>
      <w:r>
        <w:rPr>
          <w:rFonts w:ascii="Arial" w:hAnsi="Arial" w:cs="Arial" w:eastAsia="Arial" w:hint="default"/>
          <w:spacing w:val="2"/>
        </w:rPr>
        <w:t> </w:t>
      </w:r>
      <w:r>
        <w:rPr/>
        <w:t>联通集团及其附属公司向联通运营公司提供末梢电信服务的相关服务，包括若干通信业务销售</w:t>
      </w:r>
      <w:r>
        <w:rPr>
          <w:w w:val="100"/>
        </w:rPr>
        <w:t> </w:t>
      </w:r>
      <w:r>
        <w:rPr/>
        <w:t>前、销售中和销售后的服务（例如若干通信设施组装及维修）、销售代理服务、账单打印和递</w:t>
      </w:r>
      <w:r>
        <w:rPr>
          <w:w w:val="100"/>
        </w:rPr>
        <w:t> </w:t>
      </w:r>
      <w:r>
        <w:rPr/>
        <w:t>送服务、电话亭维护、客户发展和接待以及其它客户服务。相关定价或收费标准参考政府指导</w:t>
      </w:r>
      <w:r>
        <w:rPr>
          <w:w w:val="100"/>
        </w:rPr>
        <w:t> </w:t>
      </w:r>
      <w:r>
        <w:rPr/>
        <w:t>价、市场价格或成本加利润的方式而指定，并在提供相关服务时结算。</w:t>
      </w:r>
    </w:p>
    <w:p>
      <w:pPr>
        <w:spacing w:line="240" w:lineRule="auto" w:before="12"/>
        <w:rPr>
          <w:rFonts w:ascii="宋体" w:hAnsi="宋体" w:cs="宋体" w:eastAsia="宋体" w:hint="default"/>
          <w:sz w:val="19"/>
          <w:szCs w:val="19"/>
        </w:rPr>
      </w:pPr>
    </w:p>
    <w:p>
      <w:pPr>
        <w:pStyle w:val="BodyText"/>
        <w:spacing w:line="232" w:lineRule="auto"/>
        <w:ind w:left="591" w:right="110" w:hanging="478"/>
        <w:jc w:val="both"/>
      </w:pPr>
      <w:r>
        <w:rPr>
          <w:rFonts w:ascii="Arial" w:hAnsi="Arial" w:cs="Arial" w:eastAsia="Arial" w:hint="default"/>
        </w:rPr>
        <w:t>(9)</w:t>
      </w:r>
      <w:r>
        <w:rPr>
          <w:rFonts w:ascii="Arial" w:hAnsi="Arial" w:cs="Arial" w:eastAsia="Arial" w:hint="default"/>
          <w:spacing w:val="2"/>
        </w:rPr>
        <w:t> </w:t>
      </w:r>
      <w:r>
        <w:rPr/>
        <w:t>联通运营公司和联通集团附属公司互相提供多种综合服务，包括设备租赁和维护服务、车辆服</w:t>
      </w:r>
      <w:r>
        <w:rPr>
          <w:w w:val="100"/>
        </w:rPr>
        <w:t> </w:t>
      </w:r>
      <w:r>
        <w:rPr/>
        <w:t>务、商品销售、系统集成服务、安全保卫服务、施工及安装配套服务、软件开发服务、职工培</w:t>
      </w:r>
      <w:r>
        <w:rPr>
          <w:w w:val="100"/>
        </w:rPr>
        <w:t> </w:t>
      </w:r>
      <w:r>
        <w:rPr/>
        <w:t>训服务、运维服务和广告及其它综合服务。相关定价或收费标准参考政府指导价、市场价格或</w:t>
      </w:r>
      <w:r>
        <w:rPr>
          <w:w w:val="100"/>
        </w:rPr>
        <w:t> </w:t>
      </w:r>
      <w:r>
        <w:rPr/>
        <w:t>成本加利润的方式而指定，并在提供相关服务时结算。</w:t>
      </w:r>
    </w:p>
    <w:p>
      <w:pPr>
        <w:spacing w:line="240" w:lineRule="auto" w:before="2"/>
        <w:rPr>
          <w:rFonts w:ascii="宋体" w:hAnsi="宋体" w:cs="宋体" w:eastAsia="宋体" w:hint="default"/>
          <w:sz w:val="20"/>
          <w:szCs w:val="20"/>
        </w:rPr>
      </w:pPr>
    </w:p>
    <w:p>
      <w:pPr>
        <w:pStyle w:val="BodyText"/>
        <w:spacing w:line="230" w:lineRule="auto"/>
        <w:ind w:left="591" w:right="111" w:hanging="478"/>
        <w:jc w:val="both"/>
      </w:pPr>
      <w:r>
        <w:rPr>
          <w:rFonts w:ascii="Arial" w:hAnsi="Arial" w:cs="Arial" w:eastAsia="Arial" w:hint="default"/>
        </w:rPr>
        <w:t>(10) </w:t>
      </w:r>
      <w:r>
        <w:rPr/>
        <w:t>联通集团为联通商标的注册持有人。商标上带有联通标识，均已在中国国家商标局登记。根据</w:t>
      </w:r>
      <w:r>
        <w:rPr>
          <w:spacing w:val="-107"/>
        </w:rPr>
        <w:t> </w:t>
      </w:r>
      <w:r>
        <w:rPr>
          <w:spacing w:val="-107"/>
        </w:rPr>
      </w:r>
      <w:r>
        <w:rPr/>
        <w:t>联通集团和联通运营公司之间的独家中国商标使用协议，本集团被授予有权以免交商标使用费</w:t>
      </w:r>
      <w:r>
        <w:rPr>
          <w:w w:val="100"/>
        </w:rPr>
        <w:t> </w:t>
      </w:r>
      <w:r>
        <w:rPr/>
        <w:t>及可延期的方式来使用这些商标。</w:t>
      </w:r>
    </w:p>
    <w:p>
      <w:pPr>
        <w:spacing w:line="240" w:lineRule="auto" w:before="5"/>
        <w:rPr>
          <w:rFonts w:ascii="宋体" w:hAnsi="宋体" w:cs="宋体" w:eastAsia="宋体" w:hint="default"/>
          <w:sz w:val="19"/>
          <w:szCs w:val="19"/>
        </w:rPr>
      </w:pPr>
    </w:p>
    <w:p>
      <w:pPr>
        <w:pStyle w:val="BodyText"/>
        <w:spacing w:line="240" w:lineRule="auto"/>
        <w:ind w:left="114" w:right="0"/>
        <w:jc w:val="left"/>
      </w:pPr>
      <w:r>
        <w:rPr>
          <w:rFonts w:ascii="Arial" w:hAnsi="Arial" w:cs="Arial" w:eastAsia="Arial" w:hint="default"/>
        </w:rPr>
        <w:t>(11)</w:t>
      </w:r>
      <w:r>
        <w:rPr>
          <w:rFonts w:ascii="Arial" w:hAnsi="Arial" w:cs="Arial" w:eastAsia="Arial" w:hint="default"/>
          <w:spacing w:val="23"/>
        </w:rPr>
        <w:t> </w:t>
      </w:r>
      <w:r>
        <w:rPr/>
        <w:t>关键管理人员报酬</w:t>
      </w:r>
    </w:p>
    <w:p>
      <w:pPr>
        <w:spacing w:line="240" w:lineRule="auto" w:before="5"/>
        <w:rPr>
          <w:rFonts w:ascii="宋体" w:hAnsi="宋体" w:cs="宋体" w:eastAsia="宋体" w:hint="default"/>
          <w:sz w:val="15"/>
          <w:szCs w:val="15"/>
        </w:rPr>
      </w:pPr>
    </w:p>
    <w:tbl>
      <w:tblPr>
        <w:tblW w:w="0" w:type="auto"/>
        <w:jc w:val="left"/>
        <w:tblInd w:w="671" w:type="dxa"/>
        <w:tblLayout w:type="fixed"/>
        <w:tblCellMar>
          <w:top w:w="0" w:type="dxa"/>
          <w:left w:w="0" w:type="dxa"/>
          <w:bottom w:w="0" w:type="dxa"/>
          <w:right w:w="0" w:type="dxa"/>
        </w:tblCellMar>
        <w:tblLook w:val="01E0"/>
      </w:tblPr>
      <w:tblGrid>
        <w:gridCol w:w="4015"/>
        <w:gridCol w:w="3157"/>
        <w:gridCol w:w="1405"/>
      </w:tblGrid>
      <w:tr>
        <w:trPr>
          <w:trHeight w:val="485" w:hRule="exact"/>
        </w:trPr>
        <w:tc>
          <w:tcPr>
            <w:tcW w:w="401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2"/>
                <w:szCs w:val="22"/>
              </w:rPr>
            </w:pPr>
            <w:r>
              <w:rPr>
                <w:rFonts w:ascii="宋体" w:hAnsi="宋体" w:cs="宋体" w:eastAsia="宋体" w:hint="default"/>
                <w:sz w:val="22"/>
                <w:szCs w:val="22"/>
              </w:rPr>
              <w:t>（单位：人民币万元）</w:t>
            </w:r>
          </w:p>
        </w:tc>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14"/>
              <w:jc w:val="right"/>
              <w:rPr>
                <w:rFonts w:ascii="宋体" w:hAnsi="宋体" w:cs="宋体" w:eastAsia="宋体" w:hint="default"/>
                <w:sz w:val="22"/>
                <w:szCs w:val="22"/>
              </w:rPr>
            </w:pPr>
            <w:r>
              <w:rPr>
                <w:rFonts w:ascii="Arial" w:hAnsi="Arial" w:cs="Arial" w:eastAsia="Arial" w:hint="default"/>
                <w:w w:val="100"/>
                <w:sz w:val="22"/>
                <w:szCs w:val="22"/>
              </w:rPr>
            </w:r>
            <w:r>
              <w:rPr>
                <w:rFonts w:ascii="Arial" w:hAnsi="Arial" w:cs="Arial" w:eastAsia="Arial" w:hint="default"/>
                <w:sz w:val="22"/>
                <w:szCs w:val="22"/>
                <w:u w:val="single" w:color="000000"/>
              </w:rPr>
              <w:t>2014</w:t>
            </w:r>
            <w:r>
              <w:rPr>
                <w:rFonts w:ascii="Arial" w:hAnsi="Arial" w:cs="Arial" w:eastAsia="Arial" w:hint="default"/>
                <w:spacing w:val="-8"/>
                <w:sz w:val="22"/>
                <w:szCs w:val="22"/>
                <w:u w:val="single" w:color="000000"/>
              </w:rPr>
              <w:t> </w:t>
            </w:r>
            <w:r>
              <w:rPr>
                <w:rFonts w:ascii="宋体" w:hAnsi="宋体" w:cs="宋体" w:eastAsia="宋体" w:hint="default"/>
                <w:sz w:val="22"/>
                <w:szCs w:val="22"/>
                <w:u w:val="single" w:color="000000"/>
              </w:rPr>
              <w:t>年</w:t>
            </w:r>
            <w:r>
              <w:rPr>
                <w:rFonts w:ascii="宋体" w:hAnsi="宋体" w:cs="宋体" w:eastAsia="宋体" w:hint="default"/>
                <w:sz w:val="22"/>
                <w:szCs w:val="22"/>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宋体" w:hAnsi="宋体" w:cs="宋体" w:eastAsia="宋体" w:hint="default"/>
                <w:sz w:val="22"/>
                <w:szCs w:val="22"/>
              </w:rPr>
            </w:pPr>
            <w:r>
              <w:rPr>
                <w:rFonts w:ascii="Arial" w:hAnsi="Arial" w:cs="Arial" w:eastAsia="Arial" w:hint="default"/>
                <w:w w:val="100"/>
                <w:sz w:val="22"/>
                <w:szCs w:val="22"/>
              </w:rPr>
            </w:r>
            <w:r>
              <w:rPr>
                <w:rFonts w:ascii="Arial" w:hAnsi="Arial" w:cs="Arial" w:eastAsia="Arial" w:hint="default"/>
                <w:sz w:val="22"/>
                <w:szCs w:val="22"/>
                <w:u w:val="single" w:color="000000"/>
              </w:rPr>
              <w:t>2013</w:t>
            </w:r>
            <w:r>
              <w:rPr>
                <w:rFonts w:ascii="Arial" w:hAnsi="Arial" w:cs="Arial" w:eastAsia="Arial" w:hint="default"/>
                <w:spacing w:val="-8"/>
                <w:sz w:val="22"/>
                <w:szCs w:val="22"/>
                <w:u w:val="single" w:color="000000"/>
              </w:rPr>
              <w:t> </w:t>
            </w:r>
            <w:r>
              <w:rPr>
                <w:rFonts w:ascii="宋体" w:hAnsi="宋体" w:cs="宋体" w:eastAsia="宋体" w:hint="default"/>
                <w:sz w:val="22"/>
                <w:szCs w:val="22"/>
                <w:u w:val="single" w:color="000000"/>
              </w:rPr>
              <w:t>年</w:t>
            </w:r>
            <w:r>
              <w:rPr>
                <w:rFonts w:ascii="宋体" w:hAnsi="宋体" w:cs="宋体" w:eastAsia="宋体" w:hint="default"/>
                <w:sz w:val="22"/>
                <w:szCs w:val="22"/>
              </w:rPr>
            </w:r>
          </w:p>
        </w:tc>
      </w:tr>
      <w:tr>
        <w:trPr>
          <w:trHeight w:val="485" w:hRule="exact"/>
        </w:trPr>
        <w:tc>
          <w:tcPr>
            <w:tcW w:w="401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7" w:right="0"/>
              <w:jc w:val="left"/>
              <w:rPr>
                <w:rFonts w:ascii="宋体" w:hAnsi="宋体" w:cs="宋体" w:eastAsia="宋体" w:hint="default"/>
                <w:sz w:val="22"/>
                <w:szCs w:val="22"/>
              </w:rPr>
            </w:pPr>
            <w:r>
              <w:rPr>
                <w:rFonts w:ascii="宋体" w:hAnsi="宋体" w:cs="宋体" w:eastAsia="宋体" w:hint="default"/>
                <w:sz w:val="22"/>
                <w:szCs w:val="22"/>
              </w:rPr>
              <w:t>关键管理人员报酬</w:t>
            </w:r>
          </w:p>
        </w:tc>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602"/>
              <w:jc w:val="right"/>
              <w:rPr>
                <w:rFonts w:ascii="Arial" w:hAnsi="Arial" w:cs="Arial" w:eastAsia="Arial" w:hint="default"/>
                <w:sz w:val="22"/>
                <w:szCs w:val="22"/>
              </w:rPr>
            </w:pPr>
            <w:r>
              <w:rPr>
                <w:rFonts w:ascii="Arial"/>
                <w:spacing w:val="-1"/>
                <w:sz w:val="22"/>
              </w:rPr>
              <w:t>689.18</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52"/>
              <w:jc w:val="right"/>
              <w:rPr>
                <w:rFonts w:ascii="Arial" w:hAnsi="Arial" w:cs="Arial" w:eastAsia="Arial" w:hint="default"/>
                <w:sz w:val="22"/>
                <w:szCs w:val="22"/>
              </w:rPr>
            </w:pPr>
            <w:r>
              <w:rPr>
                <w:rFonts w:ascii="Arial"/>
                <w:spacing w:val="-1"/>
                <w:sz w:val="22"/>
              </w:rPr>
              <w:t>740.30</w:t>
            </w:r>
          </w:p>
        </w:tc>
      </w:tr>
    </w:tbl>
    <w:p>
      <w:pPr>
        <w:spacing w:after="0" w:line="240" w:lineRule="auto"/>
        <w:jc w:val="right"/>
        <w:rPr>
          <w:rFonts w:ascii="Arial" w:hAnsi="Arial" w:cs="Arial" w:eastAsia="Arial" w:hint="default"/>
          <w:sz w:val="22"/>
          <w:szCs w:val="22"/>
        </w:rPr>
        <w:sectPr>
          <w:headerReference w:type="default" r:id="rId144"/>
          <w:pgSz w:w="11910" w:h="16840"/>
          <w:pgMar w:header="1181" w:footer="923" w:top="3580" w:bottom="1120" w:left="1240" w:right="900"/>
        </w:sectPr>
      </w:pPr>
    </w:p>
    <w:p>
      <w:pPr>
        <w:spacing w:line="240" w:lineRule="auto" w:before="7"/>
        <w:rPr>
          <w:rFonts w:ascii="Times New Roman" w:hAnsi="Times New Roman" w:cs="Times New Roman" w:eastAsia="Times New Roman" w:hint="default"/>
          <w:sz w:val="22"/>
          <w:szCs w:val="22"/>
        </w:rPr>
      </w:pPr>
    </w:p>
    <w:tbl>
      <w:tblPr>
        <w:tblW w:w="0" w:type="auto"/>
        <w:jc w:val="left"/>
        <w:tblInd w:w="361" w:type="dxa"/>
        <w:tblLayout w:type="fixed"/>
        <w:tblCellMar>
          <w:top w:w="0" w:type="dxa"/>
          <w:left w:w="0" w:type="dxa"/>
          <w:bottom w:w="0" w:type="dxa"/>
          <w:right w:w="0" w:type="dxa"/>
        </w:tblCellMar>
        <w:tblLook w:val="01E0"/>
      </w:tblPr>
      <w:tblGrid>
        <w:gridCol w:w="1557"/>
        <w:gridCol w:w="3359"/>
        <w:gridCol w:w="2088"/>
        <w:gridCol w:w="274"/>
        <w:gridCol w:w="2100"/>
      </w:tblGrid>
      <w:tr>
        <w:trPr>
          <w:trHeight w:val="264" w:hRule="exact"/>
        </w:trPr>
        <w:tc>
          <w:tcPr>
            <w:tcW w:w="1557" w:type="dxa"/>
            <w:tcBorders>
              <w:top w:val="nil" w:sz="6" w:space="0" w:color="auto"/>
              <w:left w:val="nil" w:sz="6" w:space="0" w:color="auto"/>
              <w:bottom w:val="nil" w:sz="6" w:space="0" w:color="auto"/>
              <w:right w:val="nil" w:sz="6" w:space="0" w:color="auto"/>
            </w:tcBorders>
          </w:tcPr>
          <w:p>
            <w:pPr/>
          </w:p>
        </w:tc>
        <w:tc>
          <w:tcPr>
            <w:tcW w:w="3359"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single" w:sz="6" w:space="0" w:color="000000"/>
              <w:right w:val="nil" w:sz="6" w:space="0" w:color="auto"/>
            </w:tcBorders>
          </w:tcPr>
          <w:p>
            <w:pPr>
              <w:pStyle w:val="TableParagraph"/>
              <w:spacing w:line="236" w:lineRule="exact"/>
              <w:ind w:left="108"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16"/>
                <w:sz w:val="22"/>
                <w:szCs w:val="22"/>
              </w:rPr>
              <w:t> </w:t>
            </w:r>
            <w:r>
              <w:rPr>
                <w:rFonts w:ascii="宋体" w:hAnsi="宋体" w:cs="宋体" w:eastAsia="宋体" w:hint="default"/>
                <w:sz w:val="22"/>
                <w:szCs w:val="22"/>
              </w:rPr>
              <w:t>年</w:t>
            </w:r>
            <w:r>
              <w:rPr>
                <w:rFonts w:ascii="宋体" w:hAnsi="宋体" w:cs="宋体" w:eastAsia="宋体" w:hint="default"/>
                <w:spacing w:val="-65"/>
                <w:sz w:val="22"/>
                <w:szCs w:val="22"/>
              </w:rPr>
              <w:t> </w:t>
            </w:r>
            <w:r>
              <w:rPr>
                <w:rFonts w:ascii="Arial" w:hAnsi="Arial" w:cs="Arial" w:eastAsia="Arial" w:hint="default"/>
                <w:sz w:val="22"/>
                <w:szCs w:val="22"/>
              </w:rPr>
              <w:t>12</w:t>
            </w:r>
            <w:r>
              <w:rPr>
                <w:rFonts w:ascii="Arial" w:hAnsi="Arial" w:cs="Arial" w:eastAsia="Arial" w:hint="default"/>
                <w:spacing w:val="-16"/>
                <w:sz w:val="22"/>
                <w:szCs w:val="22"/>
              </w:rPr>
              <w:t> </w:t>
            </w:r>
            <w:r>
              <w:rPr>
                <w:rFonts w:ascii="宋体" w:hAnsi="宋体" w:cs="宋体" w:eastAsia="宋体" w:hint="default"/>
                <w:sz w:val="22"/>
                <w:szCs w:val="22"/>
              </w:rPr>
              <w:t>月</w:t>
            </w:r>
            <w:r>
              <w:rPr>
                <w:rFonts w:ascii="宋体" w:hAnsi="宋体" w:cs="宋体" w:eastAsia="宋体" w:hint="default"/>
                <w:spacing w:val="-65"/>
                <w:sz w:val="22"/>
                <w:szCs w:val="22"/>
              </w:rPr>
              <w:t> </w:t>
            </w:r>
            <w:r>
              <w:rPr>
                <w:rFonts w:ascii="Arial" w:hAnsi="Arial" w:cs="Arial" w:eastAsia="Arial" w:hint="default"/>
                <w:sz w:val="22"/>
                <w:szCs w:val="22"/>
              </w:rPr>
              <w:t>31</w:t>
            </w:r>
            <w:r>
              <w:rPr>
                <w:rFonts w:ascii="Arial" w:hAnsi="Arial" w:cs="Arial" w:eastAsia="Arial" w:hint="default"/>
                <w:spacing w:val="-16"/>
                <w:sz w:val="22"/>
                <w:szCs w:val="22"/>
              </w:rPr>
              <w:t> </w:t>
            </w:r>
            <w:r>
              <w:rPr>
                <w:rFonts w:ascii="宋体" w:hAnsi="宋体" w:cs="宋体" w:eastAsia="宋体" w:hint="default"/>
                <w:sz w:val="22"/>
                <w:szCs w:val="22"/>
              </w:rPr>
              <w:t>日</w:t>
            </w:r>
          </w:p>
        </w:tc>
        <w:tc>
          <w:tcPr>
            <w:tcW w:w="274"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single" w:sz="6" w:space="0" w:color="000000"/>
              <w:right w:val="nil" w:sz="6" w:space="0" w:color="auto"/>
            </w:tcBorders>
          </w:tcPr>
          <w:p>
            <w:pPr>
              <w:pStyle w:val="TableParagraph"/>
              <w:spacing w:line="236" w:lineRule="exact"/>
              <w:ind w:left="115" w:right="0"/>
              <w:jc w:val="lef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13"/>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Arial" w:hAnsi="Arial" w:cs="Arial" w:eastAsia="Arial" w:hint="default"/>
                <w:sz w:val="22"/>
                <w:szCs w:val="22"/>
              </w:rPr>
              <w:t>12</w:t>
            </w:r>
            <w:r>
              <w:rPr>
                <w:rFonts w:ascii="Arial" w:hAnsi="Arial" w:cs="Arial" w:eastAsia="Arial" w:hint="default"/>
                <w:spacing w:val="-14"/>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Arial" w:hAnsi="Arial" w:cs="Arial" w:eastAsia="Arial" w:hint="default"/>
                <w:sz w:val="22"/>
                <w:szCs w:val="22"/>
              </w:rPr>
              <w:t>31</w:t>
            </w:r>
            <w:r>
              <w:rPr>
                <w:rFonts w:ascii="Arial" w:hAnsi="Arial" w:cs="Arial" w:eastAsia="Arial" w:hint="default"/>
                <w:spacing w:val="-16"/>
                <w:sz w:val="22"/>
                <w:szCs w:val="22"/>
              </w:rPr>
              <w:t> </w:t>
            </w:r>
            <w:r>
              <w:rPr>
                <w:rFonts w:ascii="宋体" w:hAnsi="宋体" w:cs="宋体" w:eastAsia="宋体" w:hint="default"/>
                <w:sz w:val="22"/>
                <w:szCs w:val="22"/>
              </w:rPr>
              <w:t>日</w:t>
            </w:r>
          </w:p>
        </w:tc>
      </w:tr>
      <w:tr>
        <w:trPr>
          <w:trHeight w:val="558" w:hRule="exact"/>
        </w:trPr>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55"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2088"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Arial" w:hAnsi="Arial" w:cs="Arial" w:eastAsia="Arial" w:hint="default"/>
                <w:sz w:val="22"/>
                <w:szCs w:val="22"/>
              </w:rPr>
            </w:pPr>
            <w:r>
              <w:rPr>
                <w:rFonts w:ascii="Arial"/>
                <w:sz w:val="22"/>
              </w:rPr>
              <w:t>5,849,903</w:t>
            </w:r>
          </w:p>
        </w:tc>
        <w:tc>
          <w:tcPr>
            <w:tcW w:w="274" w:type="dxa"/>
            <w:tcBorders>
              <w:top w:val="nil" w:sz="6" w:space="0" w:color="auto"/>
              <w:left w:val="nil" w:sz="6" w:space="0" w:color="auto"/>
              <w:bottom w:val="nil" w:sz="6" w:space="0" w:color="auto"/>
              <w:right w:val="nil" w:sz="6" w:space="0" w:color="auto"/>
            </w:tcBorders>
          </w:tcPr>
          <w:p>
            <w:pPr/>
          </w:p>
        </w:tc>
        <w:tc>
          <w:tcPr>
            <w:tcW w:w="2100"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888" w:right="0"/>
              <w:jc w:val="left"/>
              <w:rPr>
                <w:rFonts w:ascii="Arial" w:hAnsi="Arial" w:cs="Arial" w:eastAsia="Arial" w:hint="default"/>
                <w:sz w:val="22"/>
                <w:szCs w:val="22"/>
              </w:rPr>
            </w:pPr>
            <w:r>
              <w:rPr>
                <w:rFonts w:ascii="Arial"/>
                <w:sz w:val="22"/>
              </w:rPr>
              <w:t>93,813,387</w:t>
            </w:r>
          </w:p>
        </w:tc>
      </w:tr>
      <w:tr>
        <w:trPr>
          <w:trHeight w:val="291" w:hRule="exact"/>
        </w:trPr>
        <w:tc>
          <w:tcPr>
            <w:tcW w:w="1557" w:type="dxa"/>
            <w:tcBorders>
              <w:top w:val="nil" w:sz="6" w:space="0" w:color="auto"/>
              <w:left w:val="nil" w:sz="6" w:space="0" w:color="auto"/>
              <w:bottom w:val="nil" w:sz="6" w:space="0" w:color="auto"/>
              <w:right w:val="nil" w:sz="6" w:space="0" w:color="auto"/>
            </w:tcBorders>
          </w:tcPr>
          <w:p>
            <w:pPr/>
          </w:p>
        </w:tc>
        <w:tc>
          <w:tcPr>
            <w:tcW w:w="3359" w:type="dxa"/>
            <w:tcBorders>
              <w:top w:val="nil" w:sz="6" w:space="0" w:color="auto"/>
              <w:left w:val="nil" w:sz="6" w:space="0" w:color="auto"/>
              <w:bottom w:val="nil" w:sz="6" w:space="0" w:color="auto"/>
              <w:right w:val="nil" w:sz="6" w:space="0" w:color="auto"/>
            </w:tcBorders>
          </w:tcPr>
          <w:p>
            <w:pPr>
              <w:pStyle w:val="TableParagraph"/>
              <w:spacing w:line="240" w:lineRule="exact"/>
              <w:ind w:left="255" w:right="0"/>
              <w:jc w:val="left"/>
              <w:rPr>
                <w:rFonts w:ascii="宋体" w:hAnsi="宋体" w:cs="宋体" w:eastAsia="宋体" w:hint="default"/>
                <w:sz w:val="22"/>
                <w:szCs w:val="22"/>
              </w:rPr>
            </w:pPr>
            <w:r>
              <w:rPr>
                <w:rFonts w:ascii="宋体" w:hAnsi="宋体" w:cs="宋体" w:eastAsia="宋体" w:hint="default"/>
                <w:sz w:val="22"/>
                <w:szCs w:val="22"/>
              </w:rPr>
              <w:t>联通集团其他附属公司</w:t>
            </w:r>
          </w:p>
        </w:tc>
        <w:tc>
          <w:tcPr>
            <w:tcW w:w="2088" w:type="dxa"/>
            <w:tcBorders>
              <w:top w:val="nil" w:sz="6" w:space="0" w:color="auto"/>
              <w:left w:val="nil" w:sz="6" w:space="0" w:color="auto"/>
              <w:bottom w:val="nil" w:sz="6" w:space="0" w:color="auto"/>
              <w:right w:val="nil" w:sz="6" w:space="0" w:color="auto"/>
            </w:tcBorders>
          </w:tcPr>
          <w:p>
            <w:pPr>
              <w:pStyle w:val="TableParagraph"/>
              <w:tabs>
                <w:tab w:pos="1001" w:val="left" w:leader="none"/>
                <w:tab w:pos="2088" w:val="left" w:leader="none"/>
              </w:tabs>
              <w:spacing w:line="240" w:lineRule="auto" w:before="19"/>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5,927,762</w:t>
              <w:tab/>
            </w:r>
            <w:r>
              <w:rPr>
                <w:rFonts w:ascii="Arial"/>
                <w:sz w:val="22"/>
              </w:rPr>
            </w:r>
          </w:p>
        </w:tc>
        <w:tc>
          <w:tcPr>
            <w:tcW w:w="274"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tabs>
                <w:tab w:pos="888" w:val="left" w:leader="none"/>
                <w:tab w:pos="2100" w:val="left" w:leader="none"/>
              </w:tabs>
              <w:spacing w:line="240" w:lineRule="auto" w:before="19"/>
              <w:ind w:left="7"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10,814,325</w:t>
              <w:tab/>
            </w:r>
            <w:r>
              <w:rPr>
                <w:rFonts w:ascii="Arial"/>
                <w:sz w:val="22"/>
              </w:rPr>
            </w:r>
          </w:p>
        </w:tc>
      </w:tr>
      <w:tr>
        <w:trPr>
          <w:trHeight w:val="273" w:hRule="exact"/>
        </w:trPr>
        <w:tc>
          <w:tcPr>
            <w:tcW w:w="1557" w:type="dxa"/>
            <w:tcBorders>
              <w:top w:val="nil" w:sz="6" w:space="0" w:color="auto"/>
              <w:left w:val="nil" w:sz="6" w:space="0" w:color="auto"/>
              <w:bottom w:val="nil" w:sz="6" w:space="0" w:color="auto"/>
              <w:right w:val="nil" w:sz="6" w:space="0" w:color="auto"/>
            </w:tcBorders>
          </w:tcPr>
          <w:p>
            <w:pPr/>
          </w:p>
        </w:tc>
        <w:tc>
          <w:tcPr>
            <w:tcW w:w="5448" w:type="dxa"/>
            <w:gridSpan w:val="2"/>
            <w:tcBorders>
              <w:top w:val="nil" w:sz="6" w:space="0" w:color="auto"/>
              <w:left w:val="nil" w:sz="6" w:space="0" w:color="auto"/>
              <w:bottom w:val="nil" w:sz="6" w:space="0" w:color="auto"/>
              <w:right w:val="nil" w:sz="6" w:space="0" w:color="auto"/>
            </w:tcBorders>
          </w:tcPr>
          <w:p>
            <w:pPr>
              <w:pStyle w:val="TableParagraph"/>
              <w:spacing w:line="250" w:lineRule="exact"/>
              <w:ind w:right="103"/>
              <w:jc w:val="right"/>
              <w:rPr>
                <w:rFonts w:ascii="Arial" w:hAnsi="Arial" w:cs="Arial" w:eastAsia="Arial" w:hint="default"/>
                <w:sz w:val="22"/>
                <w:szCs w:val="22"/>
              </w:rPr>
            </w:pPr>
            <w:r>
              <w:rPr>
                <w:rFonts w:ascii="Arial"/>
                <w:spacing w:val="-1"/>
                <w:sz w:val="22"/>
              </w:rPr>
              <w:t>11,777,665</w:t>
            </w:r>
          </w:p>
        </w:tc>
        <w:tc>
          <w:tcPr>
            <w:tcW w:w="274"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single" w:sz="17" w:space="0" w:color="000000"/>
              <w:right w:val="nil" w:sz="6" w:space="0" w:color="auto"/>
            </w:tcBorders>
          </w:tcPr>
          <w:p>
            <w:pPr>
              <w:pStyle w:val="TableParagraph"/>
              <w:spacing w:line="250" w:lineRule="exact"/>
              <w:ind w:left="766" w:right="0"/>
              <w:jc w:val="left"/>
              <w:rPr>
                <w:rFonts w:ascii="Arial" w:hAnsi="Arial" w:cs="Arial" w:eastAsia="Arial" w:hint="default"/>
                <w:sz w:val="22"/>
                <w:szCs w:val="22"/>
              </w:rPr>
            </w:pPr>
            <w:r>
              <w:rPr>
                <w:rFonts w:ascii="Arial"/>
                <w:sz w:val="22"/>
              </w:rPr>
              <w:t>104,627,712</w:t>
            </w:r>
          </w:p>
        </w:tc>
      </w:tr>
      <w:tr>
        <w:trPr>
          <w:trHeight w:val="566" w:hRule="exact"/>
        </w:trPr>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55" w:right="0"/>
              <w:jc w:val="left"/>
              <w:rPr>
                <w:rFonts w:ascii="宋体" w:hAnsi="宋体" w:cs="宋体" w:eastAsia="宋体" w:hint="default"/>
                <w:sz w:val="22"/>
                <w:szCs w:val="22"/>
              </w:rPr>
            </w:pPr>
            <w:r>
              <w:rPr>
                <w:rFonts w:ascii="宋体" w:hAnsi="宋体" w:cs="宋体" w:eastAsia="宋体" w:hint="default"/>
                <w:sz w:val="22"/>
                <w:szCs w:val="22"/>
              </w:rPr>
              <w:t>铁塔公司</w:t>
            </w:r>
          </w:p>
        </w:tc>
        <w:tc>
          <w:tcPr>
            <w:tcW w:w="2088" w:type="dxa"/>
            <w:tcBorders>
              <w:top w:val="single" w:sz="17"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Arial" w:hAnsi="Arial" w:cs="Arial" w:eastAsia="Arial" w:hint="default"/>
                <w:sz w:val="22"/>
                <w:szCs w:val="22"/>
              </w:rPr>
            </w:pPr>
            <w:r>
              <w:rPr>
                <w:rFonts w:ascii="Arial"/>
                <w:sz w:val="22"/>
              </w:rPr>
              <w:t>6,008,332</w:t>
            </w:r>
          </w:p>
        </w:tc>
        <w:tc>
          <w:tcPr>
            <w:tcW w:w="274" w:type="dxa"/>
            <w:tcBorders>
              <w:top w:val="nil" w:sz="6" w:space="0" w:color="auto"/>
              <w:left w:val="nil" w:sz="6" w:space="0" w:color="auto"/>
              <w:bottom w:val="nil" w:sz="6" w:space="0" w:color="auto"/>
              <w:right w:val="nil" w:sz="6" w:space="0" w:color="auto"/>
            </w:tcBorders>
          </w:tcPr>
          <w:p>
            <w:pPr/>
          </w:p>
        </w:tc>
        <w:tc>
          <w:tcPr>
            <w:tcW w:w="2100" w:type="dxa"/>
            <w:tcBorders>
              <w:top w:val="single" w:sz="17"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Arial" w:hAnsi="Arial" w:cs="Arial" w:eastAsia="Arial" w:hint="default"/>
                <w:sz w:val="22"/>
                <w:szCs w:val="22"/>
              </w:rPr>
            </w:pPr>
            <w:r>
              <w:rPr>
                <w:rFonts w:ascii="Arial"/>
                <w:w w:val="100"/>
                <w:sz w:val="22"/>
              </w:rPr>
              <w:t>-</w:t>
            </w:r>
          </w:p>
        </w:tc>
      </w:tr>
      <w:tr>
        <w:trPr>
          <w:trHeight w:val="274" w:hRule="exact"/>
        </w:trPr>
        <w:tc>
          <w:tcPr>
            <w:tcW w:w="1557" w:type="dxa"/>
            <w:tcBorders>
              <w:top w:val="nil" w:sz="6" w:space="0" w:color="auto"/>
              <w:left w:val="nil" w:sz="6" w:space="0" w:color="auto"/>
              <w:bottom w:val="nil" w:sz="6" w:space="0" w:color="auto"/>
              <w:right w:val="nil" w:sz="6" w:space="0" w:color="auto"/>
            </w:tcBorders>
          </w:tcPr>
          <w:p>
            <w:pPr/>
          </w:p>
        </w:tc>
        <w:tc>
          <w:tcPr>
            <w:tcW w:w="3359" w:type="dxa"/>
            <w:tcBorders>
              <w:top w:val="nil" w:sz="6" w:space="0" w:color="auto"/>
              <w:left w:val="nil" w:sz="6" w:space="0" w:color="auto"/>
              <w:bottom w:val="nil" w:sz="6" w:space="0" w:color="auto"/>
              <w:right w:val="nil" w:sz="6" w:space="0" w:color="auto"/>
            </w:tcBorders>
          </w:tcPr>
          <w:p>
            <w:pPr/>
          </w:p>
        </w:tc>
        <w:tc>
          <w:tcPr>
            <w:tcW w:w="2088"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03"/>
              <w:jc w:val="right"/>
              <w:rPr>
                <w:rFonts w:ascii="Arial" w:hAnsi="Arial" w:cs="Arial" w:eastAsia="Arial" w:hint="default"/>
                <w:sz w:val="22"/>
                <w:szCs w:val="22"/>
              </w:rPr>
            </w:pPr>
            <w:r>
              <w:rPr>
                <w:rFonts w:ascii="Arial"/>
                <w:spacing w:val="-1"/>
                <w:sz w:val="22"/>
              </w:rPr>
              <w:t>6,008,332</w:t>
            </w:r>
          </w:p>
        </w:tc>
        <w:tc>
          <w:tcPr>
            <w:tcW w:w="274" w:type="dxa"/>
            <w:tcBorders>
              <w:top w:val="nil" w:sz="6" w:space="0" w:color="auto"/>
              <w:left w:val="nil" w:sz="6" w:space="0" w:color="auto"/>
              <w:bottom w:val="nil" w:sz="6" w:space="0" w:color="auto"/>
              <w:right w:val="nil" w:sz="6" w:space="0" w:color="auto"/>
            </w:tcBorders>
          </w:tcPr>
          <w:p>
            <w:pPr/>
          </w:p>
        </w:tc>
        <w:tc>
          <w:tcPr>
            <w:tcW w:w="2100"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06"/>
              <w:jc w:val="right"/>
              <w:rPr>
                <w:rFonts w:ascii="Arial" w:hAnsi="Arial" w:cs="Arial" w:eastAsia="Arial" w:hint="default"/>
                <w:sz w:val="22"/>
                <w:szCs w:val="22"/>
              </w:rPr>
            </w:pPr>
            <w:r>
              <w:rPr>
                <w:rFonts w:ascii="Arial"/>
                <w:w w:val="100"/>
                <w:sz w:val="22"/>
              </w:rPr>
              <w:t>-</w:t>
            </w:r>
          </w:p>
        </w:tc>
      </w:tr>
      <w:tr>
        <w:trPr>
          <w:trHeight w:val="559" w:hRule="exact"/>
        </w:trPr>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预付款项</w:t>
            </w:r>
          </w:p>
        </w:tc>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55" w:right="0"/>
              <w:jc w:val="left"/>
              <w:rPr>
                <w:rFonts w:ascii="宋体" w:hAnsi="宋体" w:cs="宋体" w:eastAsia="宋体" w:hint="default"/>
                <w:sz w:val="22"/>
                <w:szCs w:val="22"/>
              </w:rPr>
            </w:pPr>
            <w:r>
              <w:rPr>
                <w:rFonts w:ascii="宋体" w:hAnsi="宋体" w:cs="宋体" w:eastAsia="宋体" w:hint="default"/>
                <w:sz w:val="22"/>
                <w:szCs w:val="22"/>
              </w:rPr>
              <w:t>联通集团其他附属公司</w:t>
            </w:r>
          </w:p>
        </w:tc>
        <w:tc>
          <w:tcPr>
            <w:tcW w:w="2088" w:type="dxa"/>
            <w:tcBorders>
              <w:top w:val="single" w:sz="12"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Arial" w:hAnsi="Arial" w:cs="Arial" w:eastAsia="Arial" w:hint="default"/>
                <w:sz w:val="22"/>
                <w:szCs w:val="22"/>
              </w:rPr>
            </w:pPr>
            <w:r>
              <w:rPr>
                <w:rFonts w:ascii="Arial"/>
                <w:sz w:val="22"/>
              </w:rPr>
              <w:t>5,264,092</w:t>
            </w:r>
          </w:p>
        </w:tc>
        <w:tc>
          <w:tcPr>
            <w:tcW w:w="274" w:type="dxa"/>
            <w:tcBorders>
              <w:top w:val="nil" w:sz="6" w:space="0" w:color="auto"/>
              <w:left w:val="nil" w:sz="6" w:space="0" w:color="auto"/>
              <w:bottom w:val="nil" w:sz="6" w:space="0" w:color="auto"/>
              <w:right w:val="nil" w:sz="6" w:space="0" w:color="auto"/>
            </w:tcBorders>
          </w:tcPr>
          <w:p>
            <w:pPr/>
          </w:p>
        </w:tc>
        <w:tc>
          <w:tcPr>
            <w:tcW w:w="2100" w:type="dxa"/>
            <w:tcBorders>
              <w:top w:val="single" w:sz="12"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Arial" w:hAnsi="Arial" w:cs="Arial" w:eastAsia="Arial" w:hint="default"/>
                <w:sz w:val="22"/>
                <w:szCs w:val="22"/>
              </w:rPr>
            </w:pPr>
            <w:r>
              <w:rPr>
                <w:rFonts w:ascii="Arial"/>
                <w:w w:val="100"/>
                <w:sz w:val="22"/>
              </w:rPr>
              <w:t>-</w:t>
            </w:r>
          </w:p>
        </w:tc>
      </w:tr>
      <w:tr>
        <w:trPr>
          <w:trHeight w:val="574" w:hRule="exact"/>
        </w:trPr>
        <w:tc>
          <w:tcPr>
            <w:tcW w:w="1557" w:type="dxa"/>
            <w:tcBorders>
              <w:top w:val="nil" w:sz="6" w:space="0" w:color="auto"/>
              <w:left w:val="nil" w:sz="6" w:space="0" w:color="auto"/>
              <w:bottom w:val="nil" w:sz="6" w:space="0" w:color="auto"/>
              <w:right w:val="nil" w:sz="6" w:space="0" w:color="auto"/>
            </w:tcBorders>
          </w:tcPr>
          <w:p>
            <w:pPr/>
          </w:p>
        </w:tc>
        <w:tc>
          <w:tcPr>
            <w:tcW w:w="3359" w:type="dxa"/>
            <w:tcBorders>
              <w:top w:val="nil" w:sz="6" w:space="0" w:color="auto"/>
              <w:left w:val="nil" w:sz="6" w:space="0" w:color="auto"/>
              <w:bottom w:val="nil" w:sz="6" w:space="0" w:color="auto"/>
              <w:right w:val="nil" w:sz="6" w:space="0" w:color="auto"/>
            </w:tcBorders>
          </w:tcPr>
          <w:p>
            <w:pPr/>
          </w:p>
        </w:tc>
        <w:tc>
          <w:tcPr>
            <w:tcW w:w="2088"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Arial" w:hAnsi="Arial" w:cs="Arial" w:eastAsia="Arial" w:hint="default"/>
                <w:sz w:val="22"/>
                <w:szCs w:val="22"/>
              </w:rPr>
            </w:pPr>
            <w:r>
              <w:rPr>
                <w:rFonts w:ascii="Arial"/>
                <w:sz w:val="22"/>
              </w:rPr>
              <w:t>5,264,092</w:t>
            </w:r>
          </w:p>
        </w:tc>
        <w:tc>
          <w:tcPr>
            <w:tcW w:w="274" w:type="dxa"/>
            <w:tcBorders>
              <w:top w:val="nil" w:sz="6" w:space="0" w:color="auto"/>
              <w:left w:val="nil" w:sz="6" w:space="0" w:color="auto"/>
              <w:bottom w:val="nil" w:sz="6" w:space="0" w:color="auto"/>
              <w:right w:val="nil" w:sz="6" w:space="0" w:color="auto"/>
            </w:tcBorders>
          </w:tcPr>
          <w:p>
            <w:pPr/>
          </w:p>
        </w:tc>
        <w:tc>
          <w:tcPr>
            <w:tcW w:w="210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6"/>
              <w:jc w:val="right"/>
              <w:rPr>
                <w:rFonts w:ascii="Arial" w:hAnsi="Arial" w:cs="Arial" w:eastAsia="Arial" w:hint="default"/>
                <w:sz w:val="22"/>
                <w:szCs w:val="22"/>
              </w:rPr>
            </w:pPr>
            <w:r>
              <w:rPr>
                <w:rFonts w:ascii="Arial"/>
                <w:w w:val="100"/>
                <w:sz w:val="22"/>
              </w:rPr>
              <w:t>-</w:t>
            </w:r>
          </w:p>
        </w:tc>
      </w:tr>
    </w:tbl>
    <w:p>
      <w:pPr>
        <w:spacing w:line="240" w:lineRule="auto" w:before="5"/>
        <w:rPr>
          <w:rFonts w:ascii="Times New Roman" w:hAnsi="Times New Roman" w:cs="Times New Roman" w:eastAsia="Times New Roman" w:hint="default"/>
          <w:sz w:val="24"/>
          <w:szCs w:val="24"/>
        </w:rPr>
      </w:pPr>
    </w:p>
    <w:tbl>
      <w:tblPr>
        <w:tblW w:w="0" w:type="auto"/>
        <w:jc w:val="left"/>
        <w:tblInd w:w="351" w:type="dxa"/>
        <w:tblLayout w:type="fixed"/>
        <w:tblCellMar>
          <w:top w:w="0" w:type="dxa"/>
          <w:left w:w="0" w:type="dxa"/>
          <w:bottom w:w="0" w:type="dxa"/>
          <w:right w:w="0" w:type="dxa"/>
        </w:tblCellMar>
        <w:tblLook w:val="01E0"/>
      </w:tblPr>
      <w:tblGrid>
        <w:gridCol w:w="1566"/>
        <w:gridCol w:w="3358"/>
        <w:gridCol w:w="2088"/>
        <w:gridCol w:w="276"/>
        <w:gridCol w:w="2100"/>
      </w:tblGrid>
      <w:tr>
        <w:trPr>
          <w:trHeight w:val="268" w:hRule="exact"/>
        </w:trPr>
        <w:tc>
          <w:tcPr>
            <w:tcW w:w="1566"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3358" w:type="dxa"/>
            <w:tcBorders>
              <w:top w:val="nil" w:sz="6" w:space="0" w:color="auto"/>
              <w:left w:val="nil" w:sz="6" w:space="0" w:color="auto"/>
              <w:bottom w:val="nil" w:sz="6" w:space="0" w:color="auto"/>
              <w:right w:val="nil" w:sz="6" w:space="0" w:color="auto"/>
            </w:tcBorders>
          </w:tcPr>
          <w:p>
            <w:pPr>
              <w:pStyle w:val="TableParagraph"/>
              <w:spacing w:line="221" w:lineRule="exact"/>
              <w:ind w:left="254"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Arial" w:hAnsi="Arial" w:cs="Arial" w:eastAsia="Arial" w:hint="default"/>
                <w:sz w:val="22"/>
                <w:szCs w:val="22"/>
              </w:rPr>
            </w:pPr>
            <w:r>
              <w:rPr>
                <w:rFonts w:ascii="Arial"/>
                <w:spacing w:val="-1"/>
                <w:sz w:val="22"/>
              </w:rPr>
              <w:t>31,999,702</w:t>
            </w:r>
          </w:p>
        </w:tc>
        <w:tc>
          <w:tcPr>
            <w:tcW w:w="27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
              <w:ind w:left="883" w:right="0"/>
              <w:jc w:val="left"/>
              <w:rPr>
                <w:rFonts w:ascii="Arial" w:hAnsi="Arial" w:cs="Arial" w:eastAsia="Arial" w:hint="default"/>
                <w:sz w:val="22"/>
                <w:szCs w:val="22"/>
              </w:rPr>
            </w:pPr>
            <w:r>
              <w:rPr>
                <w:rFonts w:ascii="Arial"/>
                <w:sz w:val="22"/>
              </w:rPr>
              <w:t>52,411,243</w:t>
            </w:r>
          </w:p>
        </w:tc>
      </w:tr>
      <w:tr>
        <w:trPr>
          <w:trHeight w:val="286" w:hRule="exact"/>
        </w:trPr>
        <w:tc>
          <w:tcPr>
            <w:tcW w:w="1566" w:type="dxa"/>
            <w:tcBorders>
              <w:top w:val="nil" w:sz="6" w:space="0" w:color="auto"/>
              <w:left w:val="nil" w:sz="6" w:space="0" w:color="auto"/>
              <w:bottom w:val="nil" w:sz="6" w:space="0" w:color="auto"/>
              <w:right w:val="nil" w:sz="6" w:space="0" w:color="auto"/>
            </w:tcBorders>
          </w:tcPr>
          <w:p>
            <w:pPr/>
          </w:p>
        </w:tc>
        <w:tc>
          <w:tcPr>
            <w:tcW w:w="3358" w:type="dxa"/>
            <w:tcBorders>
              <w:top w:val="nil" w:sz="6" w:space="0" w:color="auto"/>
              <w:left w:val="nil" w:sz="6" w:space="0" w:color="auto"/>
              <w:bottom w:val="nil" w:sz="6" w:space="0" w:color="auto"/>
              <w:right w:val="nil" w:sz="6" w:space="0" w:color="auto"/>
            </w:tcBorders>
          </w:tcPr>
          <w:p>
            <w:pPr>
              <w:pStyle w:val="TableParagraph"/>
              <w:spacing w:line="238" w:lineRule="exact"/>
              <w:ind w:left="254" w:right="0"/>
              <w:jc w:val="left"/>
              <w:rPr>
                <w:rFonts w:ascii="宋体" w:hAnsi="宋体" w:cs="宋体" w:eastAsia="宋体" w:hint="default"/>
                <w:sz w:val="22"/>
                <w:szCs w:val="22"/>
              </w:rPr>
            </w:pPr>
            <w:r>
              <w:rPr>
                <w:rFonts w:ascii="宋体" w:hAnsi="宋体" w:cs="宋体" w:eastAsia="宋体" w:hint="default"/>
                <w:sz w:val="22"/>
                <w:szCs w:val="22"/>
              </w:rPr>
              <w:t>联通进出口</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4"/>
              <w:jc w:val="right"/>
              <w:rPr>
                <w:rFonts w:ascii="Arial" w:hAnsi="Arial" w:cs="Arial" w:eastAsia="Arial" w:hint="default"/>
                <w:sz w:val="22"/>
                <w:szCs w:val="22"/>
              </w:rPr>
            </w:pPr>
            <w:r>
              <w:rPr>
                <w:rFonts w:ascii="Arial"/>
                <w:w w:val="100"/>
                <w:sz w:val="22"/>
              </w:rPr>
              <w:t>-</w:t>
            </w:r>
          </w:p>
        </w:tc>
        <w:tc>
          <w:tcPr>
            <w:tcW w:w="27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06" w:right="0"/>
              <w:jc w:val="left"/>
              <w:rPr>
                <w:rFonts w:ascii="Arial" w:hAnsi="Arial" w:cs="Arial" w:eastAsia="Arial" w:hint="default"/>
                <w:sz w:val="22"/>
                <w:szCs w:val="22"/>
              </w:rPr>
            </w:pPr>
            <w:r>
              <w:rPr>
                <w:rFonts w:ascii="Arial"/>
                <w:sz w:val="22"/>
              </w:rPr>
              <w:t>1,744,611</w:t>
            </w:r>
          </w:p>
        </w:tc>
      </w:tr>
      <w:tr>
        <w:trPr>
          <w:trHeight w:val="284" w:hRule="exact"/>
        </w:trPr>
        <w:tc>
          <w:tcPr>
            <w:tcW w:w="1566" w:type="dxa"/>
            <w:tcBorders>
              <w:top w:val="nil" w:sz="6" w:space="0" w:color="auto"/>
              <w:left w:val="nil" w:sz="6" w:space="0" w:color="auto"/>
              <w:bottom w:val="nil" w:sz="6" w:space="0" w:color="auto"/>
              <w:right w:val="nil" w:sz="6" w:space="0" w:color="auto"/>
            </w:tcBorders>
          </w:tcPr>
          <w:p>
            <w:pPr/>
          </w:p>
        </w:tc>
        <w:tc>
          <w:tcPr>
            <w:tcW w:w="3358" w:type="dxa"/>
            <w:tcBorders>
              <w:top w:val="nil" w:sz="6" w:space="0" w:color="auto"/>
              <w:left w:val="nil" w:sz="6" w:space="0" w:color="auto"/>
              <w:bottom w:val="nil" w:sz="6" w:space="0" w:color="auto"/>
              <w:right w:val="nil" w:sz="6" w:space="0" w:color="auto"/>
            </w:tcBorders>
          </w:tcPr>
          <w:p>
            <w:pPr>
              <w:pStyle w:val="TableParagraph"/>
              <w:spacing w:line="238" w:lineRule="exact"/>
              <w:ind w:left="254" w:right="0"/>
              <w:jc w:val="left"/>
              <w:rPr>
                <w:rFonts w:ascii="宋体" w:hAnsi="宋体" w:cs="宋体" w:eastAsia="宋体" w:hint="default"/>
                <w:sz w:val="22"/>
                <w:szCs w:val="22"/>
              </w:rPr>
            </w:pPr>
            <w:r>
              <w:rPr>
                <w:rFonts w:ascii="宋体" w:hAnsi="宋体" w:cs="宋体" w:eastAsia="宋体" w:hint="default"/>
                <w:sz w:val="22"/>
                <w:szCs w:val="22"/>
              </w:rPr>
              <w:t>联通时科</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0"/>
              <w:jc w:val="right"/>
              <w:rPr>
                <w:rFonts w:ascii="Arial" w:hAnsi="Arial" w:cs="Arial" w:eastAsia="Arial" w:hint="default"/>
                <w:sz w:val="22"/>
                <w:szCs w:val="22"/>
              </w:rPr>
            </w:pPr>
            <w:r>
              <w:rPr>
                <w:rFonts w:ascii="Arial"/>
                <w:spacing w:val="-1"/>
                <w:sz w:val="22"/>
              </w:rPr>
              <w:t>43,033,720</w:t>
            </w:r>
          </w:p>
        </w:tc>
        <w:tc>
          <w:tcPr>
            <w:tcW w:w="27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883" w:right="0"/>
              <w:jc w:val="left"/>
              <w:rPr>
                <w:rFonts w:ascii="Arial" w:hAnsi="Arial" w:cs="Arial" w:eastAsia="Arial" w:hint="default"/>
                <w:sz w:val="22"/>
                <w:szCs w:val="22"/>
              </w:rPr>
            </w:pPr>
            <w:r>
              <w:rPr>
                <w:rFonts w:ascii="Arial"/>
                <w:sz w:val="22"/>
              </w:rPr>
              <w:t>24,644,669</w:t>
            </w:r>
          </w:p>
        </w:tc>
      </w:tr>
      <w:tr>
        <w:trPr>
          <w:trHeight w:val="291" w:hRule="exact"/>
        </w:trPr>
        <w:tc>
          <w:tcPr>
            <w:tcW w:w="1566" w:type="dxa"/>
            <w:tcBorders>
              <w:top w:val="nil" w:sz="6" w:space="0" w:color="auto"/>
              <w:left w:val="nil" w:sz="6" w:space="0" w:color="auto"/>
              <w:bottom w:val="nil" w:sz="6" w:space="0" w:color="auto"/>
              <w:right w:val="nil" w:sz="6" w:space="0" w:color="auto"/>
            </w:tcBorders>
          </w:tcPr>
          <w:p>
            <w:pPr/>
          </w:p>
        </w:tc>
        <w:tc>
          <w:tcPr>
            <w:tcW w:w="3358" w:type="dxa"/>
            <w:tcBorders>
              <w:top w:val="nil" w:sz="6" w:space="0" w:color="auto"/>
              <w:left w:val="nil" w:sz="6" w:space="0" w:color="auto"/>
              <w:bottom w:val="nil" w:sz="6" w:space="0" w:color="auto"/>
              <w:right w:val="nil" w:sz="6" w:space="0" w:color="auto"/>
            </w:tcBorders>
          </w:tcPr>
          <w:p>
            <w:pPr>
              <w:pStyle w:val="TableParagraph"/>
              <w:spacing w:line="239" w:lineRule="exact"/>
              <w:ind w:left="254" w:right="0"/>
              <w:jc w:val="left"/>
              <w:rPr>
                <w:rFonts w:ascii="宋体" w:hAnsi="宋体" w:cs="宋体" w:eastAsia="宋体" w:hint="default"/>
                <w:sz w:val="22"/>
                <w:szCs w:val="22"/>
              </w:rPr>
            </w:pPr>
            <w:r>
              <w:rPr>
                <w:rFonts w:ascii="宋体" w:hAnsi="宋体" w:cs="宋体" w:eastAsia="宋体" w:hint="default"/>
                <w:sz w:val="22"/>
                <w:szCs w:val="22"/>
              </w:rPr>
              <w:t>联通集团其他附属公司</w:t>
            </w:r>
          </w:p>
        </w:tc>
        <w:tc>
          <w:tcPr>
            <w:tcW w:w="2088" w:type="dxa"/>
            <w:tcBorders>
              <w:top w:val="nil" w:sz="6" w:space="0" w:color="auto"/>
              <w:left w:val="nil" w:sz="6" w:space="0" w:color="auto"/>
              <w:bottom w:val="nil" w:sz="6" w:space="0" w:color="auto"/>
              <w:right w:val="nil" w:sz="6" w:space="0" w:color="auto"/>
            </w:tcBorders>
          </w:tcPr>
          <w:p>
            <w:pPr>
              <w:pStyle w:val="TableParagraph"/>
              <w:tabs>
                <w:tab w:pos="576" w:val="left" w:leader="none"/>
                <w:tab w:pos="2088"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2,945,733,737</w:t>
              <w:tab/>
            </w:r>
            <w:r>
              <w:rPr>
                <w:rFonts w:ascii="Arial"/>
                <w:spacing w:val="-1"/>
                <w:sz w:val="22"/>
              </w:rPr>
            </w:r>
          </w:p>
        </w:tc>
        <w:tc>
          <w:tcPr>
            <w:tcW w:w="27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tabs>
                <w:tab w:pos="571" w:val="left" w:leader="none"/>
                <w:tab w:pos="2093"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2,298,720,427</w:t>
              <w:tab/>
            </w:r>
            <w:r>
              <w:rPr>
                <w:rFonts w:ascii="Arial"/>
                <w:spacing w:val="-1"/>
                <w:sz w:val="22"/>
              </w:rPr>
            </w:r>
          </w:p>
        </w:tc>
      </w:tr>
      <w:tr>
        <w:trPr>
          <w:trHeight w:val="273" w:hRule="exact"/>
        </w:trPr>
        <w:tc>
          <w:tcPr>
            <w:tcW w:w="1566" w:type="dxa"/>
            <w:tcBorders>
              <w:top w:val="nil" w:sz="6" w:space="0" w:color="auto"/>
              <w:left w:val="nil" w:sz="6" w:space="0" w:color="auto"/>
              <w:bottom w:val="nil" w:sz="6" w:space="0" w:color="auto"/>
              <w:right w:val="nil" w:sz="6" w:space="0" w:color="auto"/>
            </w:tcBorders>
          </w:tcPr>
          <w:p>
            <w:pPr/>
          </w:p>
        </w:tc>
        <w:tc>
          <w:tcPr>
            <w:tcW w:w="5447" w:type="dxa"/>
            <w:gridSpan w:val="2"/>
            <w:tcBorders>
              <w:top w:val="nil" w:sz="6" w:space="0" w:color="auto"/>
              <w:left w:val="nil" w:sz="6" w:space="0" w:color="auto"/>
              <w:bottom w:val="nil" w:sz="6" w:space="0" w:color="auto"/>
              <w:right w:val="nil" w:sz="6" w:space="0" w:color="auto"/>
            </w:tcBorders>
          </w:tcPr>
          <w:p>
            <w:pPr>
              <w:pStyle w:val="TableParagraph"/>
              <w:spacing w:line="250" w:lineRule="exact"/>
              <w:ind w:right="100"/>
              <w:jc w:val="right"/>
              <w:rPr>
                <w:rFonts w:ascii="Arial" w:hAnsi="Arial" w:cs="Arial" w:eastAsia="Arial" w:hint="default"/>
                <w:sz w:val="22"/>
                <w:szCs w:val="22"/>
              </w:rPr>
            </w:pPr>
            <w:r>
              <w:rPr>
                <w:rFonts w:ascii="Arial"/>
                <w:spacing w:val="-1"/>
                <w:sz w:val="22"/>
              </w:rPr>
              <w:t>3,020,767,159</w:t>
            </w:r>
          </w:p>
        </w:tc>
        <w:tc>
          <w:tcPr>
            <w:tcW w:w="27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single" w:sz="17" w:space="0" w:color="000000"/>
              <w:right w:val="nil" w:sz="6" w:space="0" w:color="auto"/>
            </w:tcBorders>
          </w:tcPr>
          <w:p>
            <w:pPr>
              <w:pStyle w:val="TableParagraph"/>
              <w:spacing w:line="250" w:lineRule="exact"/>
              <w:ind w:left="578" w:right="0"/>
              <w:jc w:val="left"/>
              <w:rPr>
                <w:rFonts w:ascii="Arial" w:hAnsi="Arial" w:cs="Arial" w:eastAsia="Arial" w:hint="default"/>
                <w:sz w:val="22"/>
                <w:szCs w:val="22"/>
              </w:rPr>
            </w:pPr>
            <w:r>
              <w:rPr>
                <w:rFonts w:ascii="Arial"/>
                <w:sz w:val="22"/>
              </w:rPr>
              <w:t>2,377,520,950</w:t>
            </w:r>
          </w:p>
        </w:tc>
      </w:tr>
      <w:tr>
        <w:trPr>
          <w:trHeight w:val="573" w:hRule="exact"/>
        </w:trPr>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33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54" w:right="0"/>
              <w:jc w:val="left"/>
              <w:rPr>
                <w:rFonts w:ascii="宋体" w:hAnsi="宋体" w:cs="宋体" w:eastAsia="宋体" w:hint="default"/>
                <w:sz w:val="22"/>
                <w:szCs w:val="22"/>
              </w:rPr>
            </w:pPr>
            <w:r>
              <w:rPr>
                <w:rFonts w:ascii="宋体" w:hAnsi="宋体" w:cs="宋体" w:eastAsia="宋体" w:hint="default"/>
                <w:sz w:val="22"/>
                <w:szCs w:val="22"/>
              </w:rPr>
              <w:t>联通集团（注</w:t>
            </w:r>
            <w:r>
              <w:rPr>
                <w:rFonts w:ascii="宋体" w:hAnsi="宋体" w:cs="宋体" w:eastAsia="宋体" w:hint="default"/>
                <w:spacing w:val="-53"/>
                <w:sz w:val="22"/>
                <w:szCs w:val="22"/>
              </w:rPr>
              <w:t> </w:t>
            </w:r>
            <w:r>
              <w:rPr>
                <w:rFonts w:ascii="Arial" w:hAnsi="Arial" w:cs="Arial" w:eastAsia="Arial" w:hint="default"/>
                <w:sz w:val="22"/>
                <w:szCs w:val="22"/>
              </w:rPr>
              <w:t>1</w:t>
            </w:r>
            <w:r>
              <w:rPr>
                <w:rFonts w:ascii="宋体" w:hAnsi="宋体" w:cs="宋体" w:eastAsia="宋体" w:hint="default"/>
                <w:sz w:val="22"/>
                <w:szCs w:val="22"/>
              </w:rPr>
              <w:t>）</w:t>
            </w:r>
          </w:p>
        </w:tc>
        <w:tc>
          <w:tcPr>
            <w:tcW w:w="2088" w:type="dxa"/>
            <w:tcBorders>
              <w:top w:val="single" w:sz="17"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Arial" w:hAnsi="Arial" w:cs="Arial" w:eastAsia="Arial" w:hint="default"/>
                <w:sz w:val="22"/>
                <w:szCs w:val="22"/>
              </w:rPr>
            </w:pPr>
            <w:r>
              <w:rPr>
                <w:rFonts w:ascii="Arial"/>
                <w:spacing w:val="-1"/>
                <w:sz w:val="22"/>
              </w:rPr>
              <w:t>246,630,041</w:t>
            </w:r>
            <w:r>
              <w:rPr>
                <w:rFonts w:ascii="Arial"/>
                <w:sz w:val="22"/>
              </w:rPr>
            </w:r>
          </w:p>
        </w:tc>
        <w:tc>
          <w:tcPr>
            <w:tcW w:w="276" w:type="dxa"/>
            <w:tcBorders>
              <w:top w:val="nil" w:sz="6" w:space="0" w:color="auto"/>
              <w:left w:val="nil" w:sz="6" w:space="0" w:color="auto"/>
              <w:bottom w:val="nil" w:sz="6" w:space="0" w:color="auto"/>
              <w:right w:val="nil" w:sz="6" w:space="0" w:color="auto"/>
            </w:tcBorders>
          </w:tcPr>
          <w:p>
            <w:pPr/>
          </w:p>
        </w:tc>
        <w:tc>
          <w:tcPr>
            <w:tcW w:w="2100" w:type="dxa"/>
            <w:tcBorders>
              <w:top w:val="single" w:sz="17"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761" w:right="0"/>
              <w:jc w:val="left"/>
              <w:rPr>
                <w:rFonts w:ascii="Arial" w:hAnsi="Arial" w:cs="Arial" w:eastAsia="Arial" w:hint="default"/>
                <w:sz w:val="22"/>
                <w:szCs w:val="22"/>
              </w:rPr>
            </w:pPr>
            <w:r>
              <w:rPr>
                <w:rFonts w:ascii="Arial"/>
                <w:sz w:val="22"/>
              </w:rPr>
              <w:t>331,611,035</w:t>
            </w:r>
          </w:p>
        </w:tc>
      </w:tr>
      <w:tr>
        <w:trPr>
          <w:trHeight w:val="286" w:hRule="exact"/>
        </w:trPr>
        <w:tc>
          <w:tcPr>
            <w:tcW w:w="1566" w:type="dxa"/>
            <w:tcBorders>
              <w:top w:val="nil" w:sz="6" w:space="0" w:color="auto"/>
              <w:left w:val="nil" w:sz="6" w:space="0" w:color="auto"/>
              <w:bottom w:val="nil" w:sz="6" w:space="0" w:color="auto"/>
              <w:right w:val="nil" w:sz="6" w:space="0" w:color="auto"/>
            </w:tcBorders>
          </w:tcPr>
          <w:p>
            <w:pPr/>
          </w:p>
        </w:tc>
        <w:tc>
          <w:tcPr>
            <w:tcW w:w="3358" w:type="dxa"/>
            <w:tcBorders>
              <w:top w:val="nil" w:sz="6" w:space="0" w:color="auto"/>
              <w:left w:val="nil" w:sz="6" w:space="0" w:color="auto"/>
              <w:bottom w:val="nil" w:sz="6" w:space="0" w:color="auto"/>
              <w:right w:val="nil" w:sz="6" w:space="0" w:color="auto"/>
            </w:tcBorders>
          </w:tcPr>
          <w:p>
            <w:pPr>
              <w:pStyle w:val="TableParagraph"/>
              <w:spacing w:line="238" w:lineRule="exact"/>
              <w:ind w:left="254" w:right="0"/>
              <w:jc w:val="left"/>
              <w:rPr>
                <w:rFonts w:ascii="宋体" w:hAnsi="宋体" w:cs="宋体" w:eastAsia="宋体" w:hint="default"/>
                <w:sz w:val="22"/>
                <w:szCs w:val="22"/>
              </w:rPr>
            </w:pPr>
            <w:r>
              <w:rPr>
                <w:rFonts w:ascii="宋体" w:hAnsi="宋体" w:cs="宋体" w:eastAsia="宋体" w:hint="default"/>
                <w:sz w:val="22"/>
                <w:szCs w:val="22"/>
              </w:rPr>
              <w:t>联通进出口</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4"/>
              <w:jc w:val="right"/>
              <w:rPr>
                <w:rFonts w:ascii="Arial" w:hAnsi="Arial" w:cs="Arial" w:eastAsia="Arial" w:hint="default"/>
                <w:sz w:val="22"/>
                <w:szCs w:val="22"/>
              </w:rPr>
            </w:pPr>
            <w:r>
              <w:rPr>
                <w:rFonts w:ascii="Arial"/>
                <w:w w:val="100"/>
                <w:sz w:val="22"/>
              </w:rPr>
              <w:t>-</w:t>
            </w:r>
          </w:p>
        </w:tc>
        <w:tc>
          <w:tcPr>
            <w:tcW w:w="27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06" w:right="0"/>
              <w:jc w:val="left"/>
              <w:rPr>
                <w:rFonts w:ascii="Arial" w:hAnsi="Arial" w:cs="Arial" w:eastAsia="Arial" w:hint="default"/>
                <w:sz w:val="22"/>
                <w:szCs w:val="22"/>
              </w:rPr>
            </w:pPr>
            <w:r>
              <w:rPr>
                <w:rFonts w:ascii="Arial"/>
                <w:sz w:val="22"/>
              </w:rPr>
              <w:t>1,895,994</w:t>
            </w:r>
          </w:p>
        </w:tc>
      </w:tr>
      <w:tr>
        <w:trPr>
          <w:trHeight w:val="286" w:hRule="exact"/>
        </w:trPr>
        <w:tc>
          <w:tcPr>
            <w:tcW w:w="1566" w:type="dxa"/>
            <w:tcBorders>
              <w:top w:val="nil" w:sz="6" w:space="0" w:color="auto"/>
              <w:left w:val="nil" w:sz="6" w:space="0" w:color="auto"/>
              <w:bottom w:val="nil" w:sz="6" w:space="0" w:color="auto"/>
              <w:right w:val="nil" w:sz="6" w:space="0" w:color="auto"/>
            </w:tcBorders>
          </w:tcPr>
          <w:p>
            <w:pPr/>
          </w:p>
        </w:tc>
        <w:tc>
          <w:tcPr>
            <w:tcW w:w="3358" w:type="dxa"/>
            <w:tcBorders>
              <w:top w:val="nil" w:sz="6" w:space="0" w:color="auto"/>
              <w:left w:val="nil" w:sz="6" w:space="0" w:color="auto"/>
              <w:bottom w:val="nil" w:sz="6" w:space="0" w:color="auto"/>
              <w:right w:val="nil" w:sz="6" w:space="0" w:color="auto"/>
            </w:tcBorders>
          </w:tcPr>
          <w:p>
            <w:pPr>
              <w:pStyle w:val="TableParagraph"/>
              <w:spacing w:line="254" w:lineRule="exact"/>
              <w:ind w:left="254" w:right="0"/>
              <w:jc w:val="left"/>
              <w:rPr>
                <w:rFonts w:ascii="宋体" w:hAnsi="宋体" w:cs="宋体" w:eastAsia="宋体" w:hint="default"/>
                <w:sz w:val="22"/>
                <w:szCs w:val="22"/>
              </w:rPr>
            </w:pPr>
            <w:r>
              <w:rPr>
                <w:rFonts w:ascii="宋体" w:hAnsi="宋体" w:cs="宋体" w:eastAsia="宋体" w:hint="default"/>
                <w:sz w:val="22"/>
                <w:szCs w:val="22"/>
              </w:rPr>
              <w:t>联通集团</w:t>
            </w:r>
            <w:r>
              <w:rPr>
                <w:rFonts w:ascii="宋体" w:hAnsi="宋体" w:cs="宋体" w:eastAsia="宋体" w:hint="default"/>
                <w:spacing w:val="-55"/>
                <w:sz w:val="22"/>
                <w:szCs w:val="22"/>
              </w:rPr>
              <w:t> </w:t>
            </w:r>
            <w:r>
              <w:rPr>
                <w:rFonts w:ascii="Arial" w:hAnsi="Arial" w:cs="Arial" w:eastAsia="Arial" w:hint="default"/>
                <w:sz w:val="22"/>
                <w:szCs w:val="22"/>
              </w:rPr>
              <w:t>BVI</w:t>
            </w:r>
            <w:r>
              <w:rPr>
                <w:rFonts w:ascii="Arial" w:hAnsi="Arial" w:cs="Arial" w:eastAsia="Arial" w:hint="default"/>
                <w:spacing w:val="-5"/>
                <w:sz w:val="22"/>
                <w:szCs w:val="22"/>
              </w:rPr>
              <w:t> </w:t>
            </w:r>
            <w:r>
              <w:rPr>
                <w:rFonts w:ascii="宋体" w:hAnsi="宋体" w:cs="宋体" w:eastAsia="宋体" w:hint="default"/>
                <w:sz w:val="22"/>
                <w:szCs w:val="22"/>
              </w:rPr>
              <w:t>公司</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0"/>
              <w:jc w:val="right"/>
              <w:rPr>
                <w:rFonts w:ascii="Arial" w:hAnsi="Arial" w:cs="Arial" w:eastAsia="Arial" w:hint="default"/>
                <w:sz w:val="22"/>
                <w:szCs w:val="22"/>
              </w:rPr>
            </w:pPr>
            <w:r>
              <w:rPr>
                <w:rFonts w:ascii="Arial"/>
                <w:spacing w:val="-1"/>
                <w:sz w:val="22"/>
              </w:rPr>
              <w:t>64,812,067</w:t>
            </w:r>
          </w:p>
        </w:tc>
        <w:tc>
          <w:tcPr>
            <w:tcW w:w="27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83" w:right="0"/>
              <w:jc w:val="left"/>
              <w:rPr>
                <w:rFonts w:ascii="Arial" w:hAnsi="Arial" w:cs="Arial" w:eastAsia="Arial" w:hint="default"/>
                <w:sz w:val="22"/>
                <w:szCs w:val="22"/>
              </w:rPr>
            </w:pPr>
            <w:r>
              <w:rPr>
                <w:rFonts w:ascii="Arial"/>
                <w:sz w:val="22"/>
              </w:rPr>
              <w:t>64,590,249</w:t>
            </w:r>
          </w:p>
        </w:tc>
      </w:tr>
      <w:tr>
        <w:trPr>
          <w:trHeight w:val="291" w:hRule="exact"/>
        </w:trPr>
        <w:tc>
          <w:tcPr>
            <w:tcW w:w="1566" w:type="dxa"/>
            <w:tcBorders>
              <w:top w:val="nil" w:sz="6" w:space="0" w:color="auto"/>
              <w:left w:val="nil" w:sz="6" w:space="0" w:color="auto"/>
              <w:bottom w:val="nil" w:sz="6" w:space="0" w:color="auto"/>
              <w:right w:val="nil" w:sz="6" w:space="0" w:color="auto"/>
            </w:tcBorders>
          </w:tcPr>
          <w:p>
            <w:pPr/>
          </w:p>
        </w:tc>
        <w:tc>
          <w:tcPr>
            <w:tcW w:w="3358" w:type="dxa"/>
            <w:tcBorders>
              <w:top w:val="nil" w:sz="6" w:space="0" w:color="auto"/>
              <w:left w:val="nil" w:sz="6" w:space="0" w:color="auto"/>
              <w:bottom w:val="nil" w:sz="6" w:space="0" w:color="auto"/>
              <w:right w:val="nil" w:sz="6" w:space="0" w:color="auto"/>
            </w:tcBorders>
          </w:tcPr>
          <w:p>
            <w:pPr>
              <w:pStyle w:val="TableParagraph"/>
              <w:spacing w:line="238" w:lineRule="exact"/>
              <w:ind w:left="254" w:right="0"/>
              <w:jc w:val="left"/>
              <w:rPr>
                <w:rFonts w:ascii="宋体" w:hAnsi="宋体" w:cs="宋体" w:eastAsia="宋体" w:hint="default"/>
                <w:sz w:val="22"/>
                <w:szCs w:val="22"/>
              </w:rPr>
            </w:pPr>
            <w:r>
              <w:rPr>
                <w:rFonts w:ascii="宋体" w:hAnsi="宋体" w:cs="宋体" w:eastAsia="宋体" w:hint="default"/>
                <w:sz w:val="22"/>
                <w:szCs w:val="22"/>
              </w:rPr>
              <w:t>联通集团其他附属公司</w:t>
            </w:r>
          </w:p>
        </w:tc>
        <w:tc>
          <w:tcPr>
            <w:tcW w:w="2088" w:type="dxa"/>
            <w:tcBorders>
              <w:top w:val="nil" w:sz="6" w:space="0" w:color="auto"/>
              <w:left w:val="nil" w:sz="6" w:space="0" w:color="auto"/>
              <w:bottom w:val="nil" w:sz="6" w:space="0" w:color="auto"/>
              <w:right w:val="nil" w:sz="6" w:space="0" w:color="auto"/>
            </w:tcBorders>
          </w:tcPr>
          <w:p>
            <w:pPr>
              <w:pStyle w:val="TableParagraph"/>
              <w:tabs>
                <w:tab w:pos="881" w:val="left" w:leader="none"/>
                <w:tab w:pos="2088"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12,464,281</w:t>
              <w:tab/>
            </w:r>
            <w:r>
              <w:rPr>
                <w:rFonts w:ascii="Arial"/>
                <w:spacing w:val="-1"/>
                <w:sz w:val="22"/>
              </w:rPr>
            </w:r>
          </w:p>
        </w:tc>
        <w:tc>
          <w:tcPr>
            <w:tcW w:w="27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tabs>
                <w:tab w:pos="571" w:val="left" w:leader="none"/>
                <w:tab w:pos="2093"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1,936,478,189</w:t>
              <w:tab/>
            </w:r>
            <w:r>
              <w:rPr>
                <w:rFonts w:ascii="Arial"/>
                <w:spacing w:val="-1"/>
                <w:sz w:val="22"/>
              </w:rPr>
            </w:r>
          </w:p>
        </w:tc>
      </w:tr>
      <w:tr>
        <w:trPr>
          <w:trHeight w:val="274" w:hRule="exact"/>
        </w:trPr>
        <w:tc>
          <w:tcPr>
            <w:tcW w:w="1566" w:type="dxa"/>
            <w:tcBorders>
              <w:top w:val="nil" w:sz="6" w:space="0" w:color="auto"/>
              <w:left w:val="nil" w:sz="6" w:space="0" w:color="auto"/>
              <w:bottom w:val="nil" w:sz="6" w:space="0" w:color="auto"/>
              <w:right w:val="nil" w:sz="6" w:space="0" w:color="auto"/>
            </w:tcBorders>
          </w:tcPr>
          <w:p>
            <w:pPr/>
          </w:p>
        </w:tc>
        <w:tc>
          <w:tcPr>
            <w:tcW w:w="5447" w:type="dxa"/>
            <w:gridSpan w:val="2"/>
            <w:tcBorders>
              <w:top w:val="nil" w:sz="6" w:space="0" w:color="auto"/>
              <w:left w:val="nil" w:sz="6" w:space="0" w:color="auto"/>
              <w:bottom w:val="nil" w:sz="6" w:space="0" w:color="auto"/>
              <w:right w:val="nil" w:sz="6" w:space="0" w:color="auto"/>
            </w:tcBorders>
          </w:tcPr>
          <w:p>
            <w:pPr>
              <w:pStyle w:val="TableParagraph"/>
              <w:spacing w:line="248" w:lineRule="exact"/>
              <w:ind w:right="100"/>
              <w:jc w:val="right"/>
              <w:rPr>
                <w:rFonts w:ascii="Arial" w:hAnsi="Arial" w:cs="Arial" w:eastAsia="Arial" w:hint="default"/>
                <w:sz w:val="22"/>
                <w:szCs w:val="22"/>
              </w:rPr>
            </w:pPr>
            <w:r>
              <w:rPr>
                <w:rFonts w:ascii="Arial"/>
                <w:spacing w:val="-1"/>
                <w:sz w:val="22"/>
              </w:rPr>
              <w:t>323,906,389</w:t>
            </w:r>
          </w:p>
        </w:tc>
        <w:tc>
          <w:tcPr>
            <w:tcW w:w="27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single" w:sz="17" w:space="0" w:color="000000"/>
              <w:right w:val="nil" w:sz="6" w:space="0" w:color="auto"/>
            </w:tcBorders>
          </w:tcPr>
          <w:p>
            <w:pPr>
              <w:pStyle w:val="TableParagraph"/>
              <w:spacing w:line="248" w:lineRule="exact"/>
              <w:ind w:left="578" w:right="0"/>
              <w:jc w:val="left"/>
              <w:rPr>
                <w:rFonts w:ascii="Arial" w:hAnsi="Arial" w:cs="Arial" w:eastAsia="Arial" w:hint="default"/>
                <w:sz w:val="22"/>
                <w:szCs w:val="22"/>
              </w:rPr>
            </w:pPr>
            <w:r>
              <w:rPr>
                <w:rFonts w:ascii="Arial"/>
                <w:sz w:val="22"/>
              </w:rPr>
              <w:t>2,334,575,467</w:t>
            </w:r>
          </w:p>
        </w:tc>
      </w:tr>
      <w:tr>
        <w:trPr>
          <w:trHeight w:val="567" w:hRule="exact"/>
        </w:trPr>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09" w:right="0"/>
              <w:jc w:val="left"/>
              <w:rPr>
                <w:rFonts w:ascii="宋体" w:hAnsi="宋体" w:cs="宋体" w:eastAsia="宋体" w:hint="default"/>
                <w:sz w:val="22"/>
                <w:szCs w:val="22"/>
              </w:rPr>
            </w:pPr>
            <w:r>
              <w:rPr>
                <w:rFonts w:ascii="宋体" w:hAnsi="宋体" w:cs="宋体" w:eastAsia="宋体" w:hint="default"/>
                <w:sz w:val="22"/>
                <w:szCs w:val="22"/>
              </w:rPr>
              <w:t>长期应付款</w:t>
            </w:r>
          </w:p>
        </w:tc>
        <w:tc>
          <w:tcPr>
            <w:tcW w:w="3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54" w:right="0"/>
              <w:jc w:val="left"/>
              <w:rPr>
                <w:rFonts w:ascii="宋体" w:hAnsi="宋体" w:cs="宋体" w:eastAsia="宋体" w:hint="default"/>
                <w:sz w:val="22"/>
                <w:szCs w:val="22"/>
              </w:rPr>
            </w:pPr>
            <w:r>
              <w:rPr>
                <w:rFonts w:ascii="宋体" w:hAnsi="宋体" w:cs="宋体" w:eastAsia="宋体" w:hint="default"/>
                <w:sz w:val="22"/>
                <w:szCs w:val="22"/>
              </w:rPr>
              <w:t>联通集团其他附属公司（注</w:t>
            </w:r>
            <w:r>
              <w:rPr>
                <w:rFonts w:ascii="宋体" w:hAnsi="宋体" w:cs="宋体" w:eastAsia="宋体" w:hint="default"/>
                <w:spacing w:val="-58"/>
                <w:sz w:val="22"/>
                <w:szCs w:val="22"/>
              </w:rPr>
              <w:t> </w:t>
            </w:r>
            <w:r>
              <w:rPr>
                <w:rFonts w:ascii="Arial" w:hAnsi="Arial" w:cs="Arial" w:eastAsia="Arial" w:hint="default"/>
                <w:sz w:val="22"/>
                <w:szCs w:val="22"/>
              </w:rPr>
              <w:t>2</w:t>
            </w:r>
            <w:r>
              <w:rPr>
                <w:rFonts w:ascii="宋体" w:hAnsi="宋体" w:cs="宋体" w:eastAsia="宋体" w:hint="default"/>
                <w:sz w:val="22"/>
                <w:szCs w:val="22"/>
              </w:rPr>
              <w:t>）</w:t>
            </w:r>
          </w:p>
        </w:tc>
        <w:tc>
          <w:tcPr>
            <w:tcW w:w="2088" w:type="dxa"/>
            <w:tcBorders>
              <w:top w:val="single" w:sz="17"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Arial" w:hAnsi="Arial" w:cs="Arial" w:eastAsia="Arial" w:hint="default"/>
                <w:sz w:val="22"/>
                <w:szCs w:val="22"/>
              </w:rPr>
            </w:pPr>
            <w:r>
              <w:rPr>
                <w:rFonts w:ascii="Arial"/>
                <w:spacing w:val="-1"/>
                <w:sz w:val="22"/>
              </w:rPr>
              <w:t>285,846,311</w:t>
            </w:r>
          </w:p>
        </w:tc>
        <w:tc>
          <w:tcPr>
            <w:tcW w:w="276" w:type="dxa"/>
            <w:tcBorders>
              <w:top w:val="nil" w:sz="6" w:space="0" w:color="auto"/>
              <w:left w:val="nil" w:sz="6" w:space="0" w:color="auto"/>
              <w:bottom w:val="nil" w:sz="6" w:space="0" w:color="auto"/>
              <w:right w:val="nil" w:sz="6" w:space="0" w:color="auto"/>
            </w:tcBorders>
          </w:tcPr>
          <w:p>
            <w:pPr/>
          </w:p>
        </w:tc>
        <w:tc>
          <w:tcPr>
            <w:tcW w:w="2100" w:type="dxa"/>
            <w:tcBorders>
              <w:top w:val="single" w:sz="17"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768" w:right="0"/>
              <w:jc w:val="left"/>
              <w:rPr>
                <w:rFonts w:ascii="Arial" w:hAnsi="Arial" w:cs="Arial" w:eastAsia="Arial" w:hint="default"/>
                <w:sz w:val="22"/>
                <w:szCs w:val="22"/>
              </w:rPr>
            </w:pPr>
            <w:r>
              <w:rPr>
                <w:rFonts w:ascii="Arial"/>
                <w:sz w:val="22"/>
              </w:rPr>
              <w:t>316,784,490</w:t>
            </w:r>
          </w:p>
        </w:tc>
      </w:tr>
      <w:tr>
        <w:trPr>
          <w:trHeight w:val="274" w:hRule="exact"/>
        </w:trPr>
        <w:tc>
          <w:tcPr>
            <w:tcW w:w="1566" w:type="dxa"/>
            <w:tcBorders>
              <w:top w:val="nil" w:sz="6" w:space="0" w:color="auto"/>
              <w:left w:val="nil" w:sz="6" w:space="0" w:color="auto"/>
              <w:bottom w:val="nil" w:sz="6" w:space="0" w:color="auto"/>
              <w:right w:val="nil" w:sz="6" w:space="0" w:color="auto"/>
            </w:tcBorders>
          </w:tcPr>
          <w:p>
            <w:pPr/>
          </w:p>
        </w:tc>
        <w:tc>
          <w:tcPr>
            <w:tcW w:w="3358" w:type="dxa"/>
            <w:tcBorders>
              <w:top w:val="nil" w:sz="6" w:space="0" w:color="auto"/>
              <w:left w:val="nil" w:sz="6" w:space="0" w:color="auto"/>
              <w:bottom w:val="nil" w:sz="6" w:space="0" w:color="auto"/>
              <w:right w:val="nil" w:sz="6" w:space="0" w:color="auto"/>
            </w:tcBorders>
          </w:tcPr>
          <w:p>
            <w:pPr/>
          </w:p>
        </w:tc>
        <w:tc>
          <w:tcPr>
            <w:tcW w:w="2088"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100"/>
              <w:jc w:val="right"/>
              <w:rPr>
                <w:rFonts w:ascii="Arial" w:hAnsi="Arial" w:cs="Arial" w:eastAsia="Arial" w:hint="default"/>
                <w:sz w:val="22"/>
                <w:szCs w:val="22"/>
              </w:rPr>
            </w:pPr>
            <w:r>
              <w:rPr>
                <w:rFonts w:ascii="Arial"/>
                <w:spacing w:val="-1"/>
                <w:sz w:val="22"/>
              </w:rPr>
              <w:t>285,846,311</w:t>
            </w:r>
          </w:p>
        </w:tc>
        <w:tc>
          <w:tcPr>
            <w:tcW w:w="276" w:type="dxa"/>
            <w:tcBorders>
              <w:top w:val="nil" w:sz="6" w:space="0" w:color="auto"/>
              <w:left w:val="nil" w:sz="6" w:space="0" w:color="auto"/>
              <w:bottom w:val="nil" w:sz="6" w:space="0" w:color="auto"/>
              <w:right w:val="nil" w:sz="6" w:space="0" w:color="auto"/>
            </w:tcBorders>
          </w:tcPr>
          <w:p>
            <w:pPr/>
          </w:p>
        </w:tc>
        <w:tc>
          <w:tcPr>
            <w:tcW w:w="2100" w:type="dxa"/>
            <w:tcBorders>
              <w:top w:val="single" w:sz="4" w:space="0" w:color="000000"/>
              <w:left w:val="nil" w:sz="6" w:space="0" w:color="auto"/>
              <w:bottom w:val="single" w:sz="12" w:space="0" w:color="000000"/>
              <w:right w:val="nil" w:sz="6" w:space="0" w:color="auto"/>
            </w:tcBorders>
          </w:tcPr>
          <w:p>
            <w:pPr>
              <w:pStyle w:val="TableParagraph"/>
              <w:spacing w:line="251" w:lineRule="exact"/>
              <w:ind w:left="768" w:right="0"/>
              <w:jc w:val="left"/>
              <w:rPr>
                <w:rFonts w:ascii="Arial" w:hAnsi="Arial" w:cs="Arial" w:eastAsia="Arial" w:hint="default"/>
                <w:sz w:val="22"/>
                <w:szCs w:val="22"/>
              </w:rPr>
            </w:pPr>
            <w:r>
              <w:rPr>
                <w:rFonts w:ascii="Arial"/>
                <w:sz w:val="22"/>
              </w:rPr>
              <w:t>316,784,490</w:t>
            </w:r>
          </w:p>
        </w:tc>
      </w:tr>
    </w:tbl>
    <w:p>
      <w:pPr>
        <w:spacing w:line="240" w:lineRule="auto" w:before="5"/>
        <w:rPr>
          <w:rFonts w:ascii="Times New Roman" w:hAnsi="Times New Roman" w:cs="Times New Roman" w:eastAsia="Times New Roman" w:hint="default"/>
          <w:sz w:val="24"/>
          <w:szCs w:val="24"/>
        </w:rPr>
      </w:pPr>
    </w:p>
    <w:tbl>
      <w:tblPr>
        <w:tblW w:w="0" w:type="auto"/>
        <w:jc w:val="left"/>
        <w:tblInd w:w="351" w:type="dxa"/>
        <w:tblLayout w:type="fixed"/>
        <w:tblCellMar>
          <w:top w:w="0" w:type="dxa"/>
          <w:left w:w="0" w:type="dxa"/>
          <w:bottom w:w="0" w:type="dxa"/>
          <w:right w:w="0" w:type="dxa"/>
        </w:tblCellMar>
        <w:tblLook w:val="01E0"/>
      </w:tblPr>
      <w:tblGrid>
        <w:gridCol w:w="1712"/>
        <w:gridCol w:w="3233"/>
        <w:gridCol w:w="2067"/>
        <w:gridCol w:w="276"/>
        <w:gridCol w:w="2096"/>
      </w:tblGrid>
      <w:tr>
        <w:trPr>
          <w:trHeight w:val="268"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21" w:lineRule="exact"/>
              <w:ind w:left="209"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3233" w:type="dxa"/>
            <w:tcBorders>
              <w:top w:val="nil" w:sz="6" w:space="0" w:color="auto"/>
              <w:left w:val="nil" w:sz="6" w:space="0" w:color="auto"/>
              <w:bottom w:val="nil" w:sz="6" w:space="0" w:color="auto"/>
              <w:right w:val="nil" w:sz="6" w:space="0" w:color="auto"/>
            </w:tcBorders>
          </w:tcPr>
          <w:p>
            <w:pPr>
              <w:pStyle w:val="TableParagraph"/>
              <w:spacing w:line="236" w:lineRule="exact"/>
              <w:ind w:left="117" w:right="0"/>
              <w:jc w:val="left"/>
              <w:rPr>
                <w:rFonts w:ascii="宋体" w:hAnsi="宋体" w:cs="宋体" w:eastAsia="宋体" w:hint="default"/>
                <w:sz w:val="22"/>
                <w:szCs w:val="22"/>
              </w:rPr>
            </w:pPr>
            <w:r>
              <w:rPr>
                <w:rFonts w:ascii="宋体" w:hAnsi="宋体" w:cs="宋体" w:eastAsia="宋体" w:hint="default"/>
                <w:sz w:val="22"/>
                <w:szCs w:val="22"/>
              </w:rPr>
              <w:t>联通集团（注</w:t>
            </w:r>
            <w:r>
              <w:rPr>
                <w:rFonts w:ascii="宋体" w:hAnsi="宋体" w:cs="宋体" w:eastAsia="宋体" w:hint="default"/>
                <w:spacing w:val="-53"/>
                <w:sz w:val="22"/>
                <w:szCs w:val="22"/>
              </w:rPr>
              <w:t> </w:t>
            </w:r>
            <w:r>
              <w:rPr>
                <w:rFonts w:ascii="Arial" w:hAnsi="Arial" w:cs="Arial" w:eastAsia="Arial" w:hint="default"/>
                <w:sz w:val="22"/>
                <w:szCs w:val="22"/>
              </w:rPr>
              <w:t>3</w:t>
            </w:r>
            <w:r>
              <w:rPr>
                <w:rFonts w:ascii="宋体" w:hAnsi="宋体" w:cs="宋体" w:eastAsia="宋体" w:hint="default"/>
                <w:sz w:val="22"/>
                <w:szCs w:val="22"/>
              </w:rPr>
              <w:t>）</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1"/>
              <w:jc w:val="right"/>
              <w:rPr>
                <w:rFonts w:ascii="Arial" w:hAnsi="Arial" w:cs="Arial" w:eastAsia="Arial" w:hint="default"/>
                <w:sz w:val="22"/>
                <w:szCs w:val="22"/>
              </w:rPr>
            </w:pPr>
            <w:r>
              <w:rPr>
                <w:rFonts w:ascii="Arial"/>
                <w:spacing w:val="-1"/>
                <w:sz w:val="22"/>
              </w:rPr>
              <w:t>1,344,261,200</w:t>
            </w:r>
          </w:p>
        </w:tc>
        <w:tc>
          <w:tcPr>
            <w:tcW w:w="276" w:type="dxa"/>
            <w:tcBorders>
              <w:top w:val="nil" w:sz="6" w:space="0" w:color="auto"/>
              <w:left w:val="nil" w:sz="6" w:space="0" w:color="auto"/>
              <w:bottom w:val="nil" w:sz="6" w:space="0" w:color="auto"/>
              <w:right w:val="nil" w:sz="6" w:space="0" w:color="auto"/>
            </w:tcBorders>
          </w:tcPr>
          <w:p>
            <w:pP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2"/>
              <w:ind w:left="576" w:right="0"/>
              <w:jc w:val="left"/>
              <w:rPr>
                <w:rFonts w:ascii="Arial" w:hAnsi="Arial" w:cs="Arial" w:eastAsia="Arial" w:hint="default"/>
                <w:sz w:val="22"/>
                <w:szCs w:val="22"/>
              </w:rPr>
            </w:pPr>
            <w:r>
              <w:rPr>
                <w:rFonts w:ascii="Arial"/>
                <w:sz w:val="22"/>
              </w:rPr>
              <w:t>1,344,261,200</w:t>
            </w:r>
          </w:p>
        </w:tc>
      </w:tr>
      <w:tr>
        <w:trPr>
          <w:trHeight w:val="289" w:hRule="exact"/>
        </w:trPr>
        <w:tc>
          <w:tcPr>
            <w:tcW w:w="1712" w:type="dxa"/>
            <w:tcBorders>
              <w:top w:val="nil" w:sz="6" w:space="0" w:color="auto"/>
              <w:left w:val="nil" w:sz="6" w:space="0" w:color="auto"/>
              <w:bottom w:val="nil" w:sz="6" w:space="0" w:color="auto"/>
              <w:right w:val="nil" w:sz="6" w:space="0" w:color="auto"/>
            </w:tcBorders>
          </w:tcPr>
          <w:p>
            <w:pPr/>
          </w:p>
        </w:tc>
        <w:tc>
          <w:tcPr>
            <w:tcW w:w="3233" w:type="dxa"/>
            <w:tcBorders>
              <w:top w:val="nil" w:sz="6" w:space="0" w:color="auto"/>
              <w:left w:val="nil" w:sz="6" w:space="0" w:color="auto"/>
              <w:bottom w:val="nil" w:sz="6" w:space="0" w:color="auto"/>
              <w:right w:val="nil" w:sz="6" w:space="0" w:color="auto"/>
            </w:tcBorders>
          </w:tcPr>
          <w:p>
            <w:pPr>
              <w:pStyle w:val="TableParagraph"/>
              <w:spacing w:line="254" w:lineRule="exact"/>
              <w:ind w:left="117" w:right="0"/>
              <w:jc w:val="left"/>
              <w:rPr>
                <w:rFonts w:ascii="宋体" w:hAnsi="宋体" w:cs="宋体" w:eastAsia="宋体" w:hint="default"/>
                <w:sz w:val="22"/>
                <w:szCs w:val="22"/>
              </w:rPr>
            </w:pPr>
            <w:r>
              <w:rPr>
                <w:rFonts w:ascii="宋体" w:hAnsi="宋体" w:cs="宋体" w:eastAsia="宋体" w:hint="default"/>
                <w:sz w:val="22"/>
                <w:szCs w:val="22"/>
              </w:rPr>
              <w:t>联通集团</w:t>
            </w:r>
            <w:r>
              <w:rPr>
                <w:rFonts w:ascii="宋体" w:hAnsi="宋体" w:cs="宋体" w:eastAsia="宋体" w:hint="default"/>
                <w:spacing w:val="-56"/>
                <w:sz w:val="22"/>
                <w:szCs w:val="22"/>
              </w:rPr>
              <w:t> </w:t>
            </w:r>
            <w:r>
              <w:rPr>
                <w:rFonts w:ascii="Arial" w:hAnsi="Arial" w:cs="Arial" w:eastAsia="Arial" w:hint="default"/>
                <w:sz w:val="22"/>
                <w:szCs w:val="22"/>
              </w:rPr>
              <w:t>BVI</w:t>
            </w:r>
            <w:r>
              <w:rPr>
                <w:rFonts w:ascii="Arial" w:hAnsi="Arial" w:cs="Arial" w:eastAsia="Arial" w:hint="default"/>
                <w:spacing w:val="-6"/>
                <w:sz w:val="22"/>
                <w:szCs w:val="22"/>
              </w:rPr>
              <w:t> </w:t>
            </w:r>
            <w:r>
              <w:rPr>
                <w:rFonts w:ascii="宋体" w:hAnsi="宋体" w:cs="宋体" w:eastAsia="宋体" w:hint="default"/>
                <w:sz w:val="22"/>
                <w:szCs w:val="22"/>
              </w:rPr>
              <w:t>公司（注</w:t>
            </w:r>
            <w:r>
              <w:rPr>
                <w:rFonts w:ascii="宋体" w:hAnsi="宋体" w:cs="宋体" w:eastAsia="宋体" w:hint="default"/>
                <w:spacing w:val="-56"/>
                <w:sz w:val="22"/>
                <w:szCs w:val="22"/>
              </w:rPr>
              <w:t> </w:t>
            </w:r>
            <w:r>
              <w:rPr>
                <w:rFonts w:ascii="Arial" w:hAnsi="Arial" w:cs="Arial" w:eastAsia="Arial" w:hint="default"/>
                <w:sz w:val="22"/>
                <w:szCs w:val="22"/>
              </w:rPr>
              <w:t>4</w:t>
            </w:r>
            <w:r>
              <w:rPr>
                <w:rFonts w:ascii="宋体" w:hAnsi="宋体" w:cs="宋体" w:eastAsia="宋体" w:hint="default"/>
                <w:sz w:val="22"/>
                <w:szCs w:val="22"/>
              </w:rPr>
              <w:t>）</w:t>
            </w:r>
          </w:p>
        </w:tc>
        <w:tc>
          <w:tcPr>
            <w:tcW w:w="2067" w:type="dxa"/>
            <w:tcBorders>
              <w:top w:val="nil" w:sz="6" w:space="0" w:color="auto"/>
              <w:left w:val="nil" w:sz="6" w:space="0" w:color="auto"/>
              <w:bottom w:val="nil" w:sz="6" w:space="0" w:color="auto"/>
              <w:right w:val="nil" w:sz="6" w:space="0" w:color="auto"/>
            </w:tcBorders>
          </w:tcPr>
          <w:p>
            <w:pPr>
              <w:pStyle w:val="TableParagraph"/>
              <w:tabs>
                <w:tab w:pos="737" w:val="left" w:leader="none"/>
                <w:tab w:pos="2066"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473,340,000</w:t>
              <w:tab/>
            </w:r>
            <w:r>
              <w:rPr>
                <w:rFonts w:ascii="Arial"/>
                <w:spacing w:val="-1"/>
                <w:sz w:val="22"/>
              </w:rPr>
            </w:r>
          </w:p>
        </w:tc>
        <w:tc>
          <w:tcPr>
            <w:tcW w:w="276" w:type="dxa"/>
            <w:tcBorders>
              <w:top w:val="nil" w:sz="6" w:space="0" w:color="auto"/>
              <w:left w:val="nil" w:sz="6" w:space="0" w:color="auto"/>
              <w:bottom w:val="nil" w:sz="6" w:space="0" w:color="auto"/>
              <w:right w:val="nil" w:sz="6" w:space="0" w:color="auto"/>
            </w:tcBorders>
          </w:tcPr>
          <w:p>
            <w:pPr/>
          </w:p>
        </w:tc>
        <w:tc>
          <w:tcPr>
            <w:tcW w:w="2096" w:type="dxa"/>
            <w:tcBorders>
              <w:top w:val="nil" w:sz="6" w:space="0" w:color="auto"/>
              <w:left w:val="nil" w:sz="6" w:space="0" w:color="auto"/>
              <w:bottom w:val="nil" w:sz="6" w:space="0" w:color="auto"/>
              <w:right w:val="nil" w:sz="6" w:space="0" w:color="auto"/>
            </w:tcBorders>
          </w:tcPr>
          <w:p>
            <w:pPr>
              <w:pStyle w:val="TableParagraph"/>
              <w:tabs>
                <w:tab w:pos="1901" w:val="left" w:leader="none"/>
                <w:tab w:pos="2088"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tab/>
            </w:r>
            <w:r>
              <w:rPr>
                <w:rFonts w:ascii="Arial"/>
                <w:sz w:val="22"/>
              </w:rPr>
            </w:r>
          </w:p>
        </w:tc>
      </w:tr>
      <w:tr>
        <w:trPr>
          <w:trHeight w:val="264" w:hRule="exact"/>
        </w:trPr>
        <w:tc>
          <w:tcPr>
            <w:tcW w:w="1712" w:type="dxa"/>
            <w:tcBorders>
              <w:top w:val="nil" w:sz="6" w:space="0" w:color="auto"/>
              <w:left w:val="nil" w:sz="6" w:space="0" w:color="auto"/>
              <w:bottom w:val="nil" w:sz="6" w:space="0" w:color="auto"/>
              <w:right w:val="nil" w:sz="6" w:space="0" w:color="auto"/>
            </w:tcBorders>
          </w:tcPr>
          <w:p>
            <w:pPr/>
          </w:p>
        </w:tc>
        <w:tc>
          <w:tcPr>
            <w:tcW w:w="5300" w:type="dxa"/>
            <w:gridSpan w:val="2"/>
            <w:tcBorders>
              <w:top w:val="nil" w:sz="6" w:space="0" w:color="auto"/>
              <w:left w:val="nil" w:sz="6" w:space="0" w:color="auto"/>
              <w:bottom w:val="nil" w:sz="6" w:space="0" w:color="auto"/>
              <w:right w:val="nil" w:sz="6" w:space="0" w:color="auto"/>
            </w:tcBorders>
          </w:tcPr>
          <w:p>
            <w:pPr>
              <w:pStyle w:val="TableParagraph"/>
              <w:spacing w:line="246" w:lineRule="exact"/>
              <w:ind w:right="100"/>
              <w:jc w:val="right"/>
              <w:rPr>
                <w:rFonts w:ascii="Arial" w:hAnsi="Arial" w:cs="Arial" w:eastAsia="Arial" w:hint="default"/>
                <w:sz w:val="22"/>
                <w:szCs w:val="22"/>
              </w:rPr>
            </w:pPr>
            <w:r>
              <w:rPr>
                <w:rFonts w:ascii="Arial"/>
                <w:spacing w:val="-1"/>
                <w:sz w:val="22"/>
              </w:rPr>
              <w:t>1,817,601,200</w:t>
            </w:r>
          </w:p>
        </w:tc>
        <w:tc>
          <w:tcPr>
            <w:tcW w:w="276" w:type="dxa"/>
            <w:tcBorders>
              <w:top w:val="nil" w:sz="6" w:space="0" w:color="auto"/>
              <w:left w:val="nil" w:sz="6" w:space="0" w:color="auto"/>
              <w:bottom w:val="nil" w:sz="6" w:space="0" w:color="auto"/>
              <w:right w:val="nil" w:sz="6" w:space="0" w:color="auto"/>
            </w:tcBorders>
          </w:tcPr>
          <w:p>
            <w:pPr/>
          </w:p>
        </w:tc>
        <w:tc>
          <w:tcPr>
            <w:tcW w:w="2096" w:type="dxa"/>
            <w:tcBorders>
              <w:top w:val="nil" w:sz="6" w:space="0" w:color="auto"/>
              <w:left w:val="nil" w:sz="6" w:space="0" w:color="auto"/>
              <w:bottom w:val="single" w:sz="12" w:space="0" w:color="000000"/>
              <w:right w:val="nil" w:sz="6" w:space="0" w:color="auto"/>
            </w:tcBorders>
          </w:tcPr>
          <w:p>
            <w:pPr>
              <w:pStyle w:val="TableParagraph"/>
              <w:spacing w:line="246" w:lineRule="exact"/>
              <w:ind w:left="576" w:right="0"/>
              <w:jc w:val="left"/>
              <w:rPr>
                <w:rFonts w:ascii="Arial" w:hAnsi="Arial" w:cs="Arial" w:eastAsia="Arial" w:hint="default"/>
                <w:sz w:val="22"/>
                <w:szCs w:val="22"/>
              </w:rPr>
            </w:pPr>
            <w:r>
              <w:rPr>
                <w:rFonts w:ascii="Arial"/>
                <w:sz w:val="22"/>
              </w:rPr>
              <w:t>1,344,261,200</w:t>
            </w:r>
          </w:p>
        </w:tc>
      </w:tr>
      <w:tr>
        <w:trPr>
          <w:trHeight w:val="574"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09" w:right="0"/>
              <w:jc w:val="left"/>
              <w:rPr>
                <w:rFonts w:ascii="宋体" w:hAnsi="宋体" w:cs="宋体" w:eastAsia="宋体" w:hint="default"/>
                <w:sz w:val="22"/>
                <w:szCs w:val="22"/>
              </w:rPr>
            </w:pPr>
            <w:r>
              <w:rPr>
                <w:rFonts w:ascii="宋体" w:hAnsi="宋体" w:cs="宋体" w:eastAsia="宋体" w:hint="default"/>
                <w:sz w:val="22"/>
                <w:szCs w:val="22"/>
              </w:rPr>
              <w:t>应付股利</w:t>
            </w:r>
            <w:r>
              <w:rPr>
                <w:rFonts w:ascii="Arial" w:hAnsi="Arial" w:cs="Arial" w:eastAsia="Arial" w:hint="default"/>
                <w:sz w:val="22"/>
                <w:szCs w:val="22"/>
              </w:rPr>
              <w:t>/</w:t>
            </w:r>
            <w:r>
              <w:rPr>
                <w:rFonts w:ascii="宋体" w:hAnsi="宋体" w:cs="宋体" w:eastAsia="宋体" w:hint="default"/>
                <w:sz w:val="22"/>
                <w:szCs w:val="22"/>
              </w:rPr>
              <w:t>利润</w:t>
            </w:r>
          </w:p>
        </w:tc>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17"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2067" w:type="dxa"/>
            <w:tcBorders>
              <w:top w:val="single" w:sz="12" w:space="0" w:color="000000"/>
              <w:left w:val="nil" w:sz="6" w:space="0" w:color="auto"/>
              <w:bottom w:val="single" w:sz="17"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Arial" w:hAnsi="Arial" w:cs="Arial" w:eastAsia="Arial" w:hint="default"/>
                <w:sz w:val="22"/>
                <w:szCs w:val="22"/>
              </w:rPr>
            </w:pPr>
            <w:r>
              <w:rPr>
                <w:rFonts w:ascii="Arial"/>
                <w:sz w:val="22"/>
              </w:rPr>
              <w:t>2,266,014</w:t>
            </w:r>
          </w:p>
        </w:tc>
        <w:tc>
          <w:tcPr>
            <w:tcW w:w="276" w:type="dxa"/>
            <w:tcBorders>
              <w:top w:val="nil" w:sz="6" w:space="0" w:color="auto"/>
              <w:left w:val="nil" w:sz="6" w:space="0" w:color="auto"/>
              <w:bottom w:val="nil" w:sz="6" w:space="0" w:color="auto"/>
              <w:right w:val="nil" w:sz="6" w:space="0" w:color="auto"/>
            </w:tcBorders>
          </w:tcPr>
          <w:p>
            <w:pPr/>
          </w:p>
        </w:tc>
        <w:tc>
          <w:tcPr>
            <w:tcW w:w="2096" w:type="dxa"/>
            <w:tcBorders>
              <w:top w:val="single" w:sz="12" w:space="0" w:color="000000"/>
              <w:left w:val="nil" w:sz="6" w:space="0" w:color="auto"/>
              <w:bottom w:val="single" w:sz="17"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003" w:right="0"/>
              <w:jc w:val="left"/>
              <w:rPr>
                <w:rFonts w:ascii="Arial" w:hAnsi="Arial" w:cs="Arial" w:eastAsia="Arial" w:hint="default"/>
                <w:sz w:val="22"/>
                <w:szCs w:val="22"/>
              </w:rPr>
            </w:pPr>
            <w:r>
              <w:rPr>
                <w:rFonts w:ascii="Arial"/>
                <w:sz w:val="22"/>
              </w:rPr>
              <w:t>2,266,014</w:t>
            </w:r>
          </w:p>
        </w:tc>
      </w:tr>
      <w:tr>
        <w:trPr>
          <w:trHeight w:val="573"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应付利息</w:t>
            </w:r>
          </w:p>
        </w:tc>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17" w:right="0"/>
              <w:jc w:val="left"/>
              <w:rPr>
                <w:rFonts w:ascii="宋体" w:hAnsi="宋体" w:cs="宋体" w:eastAsia="宋体" w:hint="default"/>
                <w:sz w:val="22"/>
                <w:szCs w:val="22"/>
              </w:rPr>
            </w:pPr>
            <w:r>
              <w:rPr>
                <w:rFonts w:ascii="宋体" w:hAnsi="宋体" w:cs="宋体" w:eastAsia="宋体" w:hint="default"/>
                <w:sz w:val="22"/>
                <w:szCs w:val="22"/>
              </w:rPr>
              <w:t>联通集团（注</w:t>
            </w:r>
            <w:r>
              <w:rPr>
                <w:rFonts w:ascii="宋体" w:hAnsi="宋体" w:cs="宋体" w:eastAsia="宋体" w:hint="default"/>
                <w:spacing w:val="-53"/>
                <w:sz w:val="22"/>
                <w:szCs w:val="22"/>
              </w:rPr>
              <w:t> </w:t>
            </w:r>
            <w:r>
              <w:rPr>
                <w:rFonts w:ascii="Arial" w:hAnsi="Arial" w:cs="Arial" w:eastAsia="Arial" w:hint="default"/>
                <w:sz w:val="22"/>
                <w:szCs w:val="22"/>
              </w:rPr>
              <w:t>3</w:t>
            </w:r>
            <w:r>
              <w:rPr>
                <w:rFonts w:ascii="宋体" w:hAnsi="宋体" w:cs="宋体" w:eastAsia="宋体" w:hint="default"/>
                <w:sz w:val="22"/>
                <w:szCs w:val="22"/>
              </w:rPr>
              <w:t>）</w:t>
            </w:r>
          </w:p>
        </w:tc>
        <w:tc>
          <w:tcPr>
            <w:tcW w:w="2067" w:type="dxa"/>
            <w:tcBorders>
              <w:top w:val="single" w:sz="17"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Arial" w:hAnsi="Arial" w:cs="Arial" w:eastAsia="Arial" w:hint="default"/>
                <w:sz w:val="22"/>
                <w:szCs w:val="22"/>
              </w:rPr>
            </w:pPr>
            <w:r>
              <w:rPr>
                <w:rFonts w:ascii="Arial"/>
                <w:sz w:val="22"/>
              </w:rPr>
              <w:t>2,218,031</w:t>
            </w:r>
          </w:p>
        </w:tc>
        <w:tc>
          <w:tcPr>
            <w:tcW w:w="276" w:type="dxa"/>
            <w:tcBorders>
              <w:top w:val="nil" w:sz="6" w:space="0" w:color="auto"/>
              <w:left w:val="nil" w:sz="6" w:space="0" w:color="auto"/>
              <w:bottom w:val="nil" w:sz="6" w:space="0" w:color="auto"/>
              <w:right w:val="nil" w:sz="6" w:space="0" w:color="auto"/>
            </w:tcBorders>
          </w:tcPr>
          <w:p>
            <w:pPr/>
          </w:p>
        </w:tc>
        <w:tc>
          <w:tcPr>
            <w:tcW w:w="2096" w:type="dxa"/>
            <w:tcBorders>
              <w:top w:val="single" w:sz="17"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3" w:right="0"/>
              <w:jc w:val="left"/>
              <w:rPr>
                <w:rFonts w:ascii="Arial" w:hAnsi="Arial" w:cs="Arial" w:eastAsia="Arial" w:hint="default"/>
                <w:sz w:val="22"/>
                <w:szCs w:val="22"/>
              </w:rPr>
            </w:pPr>
            <w:r>
              <w:rPr>
                <w:rFonts w:ascii="Arial"/>
                <w:sz w:val="22"/>
              </w:rPr>
              <w:t>2,218,031</w:t>
            </w:r>
          </w:p>
        </w:tc>
      </w:tr>
      <w:tr>
        <w:trPr>
          <w:trHeight w:val="289" w:hRule="exact"/>
        </w:trPr>
        <w:tc>
          <w:tcPr>
            <w:tcW w:w="1712" w:type="dxa"/>
            <w:tcBorders>
              <w:top w:val="nil" w:sz="6" w:space="0" w:color="auto"/>
              <w:left w:val="nil" w:sz="6" w:space="0" w:color="auto"/>
              <w:bottom w:val="nil" w:sz="6" w:space="0" w:color="auto"/>
              <w:right w:val="nil" w:sz="6" w:space="0" w:color="auto"/>
            </w:tcBorders>
          </w:tcPr>
          <w:p>
            <w:pPr/>
          </w:p>
        </w:tc>
        <w:tc>
          <w:tcPr>
            <w:tcW w:w="3233" w:type="dxa"/>
            <w:tcBorders>
              <w:top w:val="nil" w:sz="6" w:space="0" w:color="auto"/>
              <w:left w:val="nil" w:sz="6" w:space="0" w:color="auto"/>
              <w:bottom w:val="nil" w:sz="6" w:space="0" w:color="auto"/>
              <w:right w:val="nil" w:sz="6" w:space="0" w:color="auto"/>
            </w:tcBorders>
          </w:tcPr>
          <w:p>
            <w:pPr>
              <w:pStyle w:val="TableParagraph"/>
              <w:spacing w:line="254" w:lineRule="exact"/>
              <w:ind w:left="117" w:right="0"/>
              <w:jc w:val="left"/>
              <w:rPr>
                <w:rFonts w:ascii="宋体" w:hAnsi="宋体" w:cs="宋体" w:eastAsia="宋体" w:hint="default"/>
                <w:sz w:val="22"/>
                <w:szCs w:val="22"/>
              </w:rPr>
            </w:pPr>
            <w:r>
              <w:rPr>
                <w:rFonts w:ascii="宋体" w:hAnsi="宋体" w:cs="宋体" w:eastAsia="宋体" w:hint="default"/>
                <w:sz w:val="22"/>
                <w:szCs w:val="22"/>
              </w:rPr>
              <w:t>联通集团</w:t>
            </w:r>
            <w:r>
              <w:rPr>
                <w:rFonts w:ascii="宋体" w:hAnsi="宋体" w:cs="宋体" w:eastAsia="宋体" w:hint="default"/>
                <w:spacing w:val="-56"/>
                <w:sz w:val="22"/>
                <w:szCs w:val="22"/>
              </w:rPr>
              <w:t> </w:t>
            </w:r>
            <w:r>
              <w:rPr>
                <w:rFonts w:ascii="Arial" w:hAnsi="Arial" w:cs="Arial" w:eastAsia="Arial" w:hint="default"/>
                <w:sz w:val="22"/>
                <w:szCs w:val="22"/>
              </w:rPr>
              <w:t>BVI</w:t>
            </w:r>
            <w:r>
              <w:rPr>
                <w:rFonts w:ascii="Arial" w:hAnsi="Arial" w:cs="Arial" w:eastAsia="Arial" w:hint="default"/>
                <w:spacing w:val="-6"/>
                <w:sz w:val="22"/>
                <w:szCs w:val="22"/>
              </w:rPr>
              <w:t> </w:t>
            </w:r>
            <w:r>
              <w:rPr>
                <w:rFonts w:ascii="宋体" w:hAnsi="宋体" w:cs="宋体" w:eastAsia="宋体" w:hint="default"/>
                <w:sz w:val="22"/>
                <w:szCs w:val="22"/>
              </w:rPr>
              <w:t>公司（注</w:t>
            </w:r>
            <w:r>
              <w:rPr>
                <w:rFonts w:ascii="宋体" w:hAnsi="宋体" w:cs="宋体" w:eastAsia="宋体" w:hint="default"/>
                <w:spacing w:val="-56"/>
                <w:sz w:val="22"/>
                <w:szCs w:val="22"/>
              </w:rPr>
              <w:t> </w:t>
            </w:r>
            <w:r>
              <w:rPr>
                <w:rFonts w:ascii="Arial" w:hAnsi="Arial" w:cs="Arial" w:eastAsia="Arial" w:hint="default"/>
                <w:sz w:val="22"/>
                <w:szCs w:val="22"/>
              </w:rPr>
              <w:t>4</w:t>
            </w:r>
            <w:r>
              <w:rPr>
                <w:rFonts w:ascii="宋体" w:hAnsi="宋体" w:cs="宋体" w:eastAsia="宋体" w:hint="default"/>
                <w:sz w:val="22"/>
                <w:szCs w:val="22"/>
              </w:rPr>
              <w:t>）</w:t>
            </w:r>
          </w:p>
        </w:tc>
        <w:tc>
          <w:tcPr>
            <w:tcW w:w="2067" w:type="dxa"/>
            <w:tcBorders>
              <w:top w:val="nil" w:sz="6" w:space="0" w:color="auto"/>
              <w:left w:val="nil" w:sz="6" w:space="0" w:color="auto"/>
              <w:bottom w:val="nil" w:sz="6" w:space="0" w:color="auto"/>
              <w:right w:val="nil" w:sz="6" w:space="0" w:color="auto"/>
            </w:tcBorders>
          </w:tcPr>
          <w:p>
            <w:pPr>
              <w:pStyle w:val="TableParagraph"/>
              <w:tabs>
                <w:tab w:pos="981" w:val="left" w:leader="none"/>
                <w:tab w:pos="2066"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8,239,898</w:t>
              <w:tab/>
            </w:r>
            <w:r>
              <w:rPr>
                <w:rFonts w:ascii="Arial"/>
                <w:sz w:val="22"/>
              </w:rPr>
            </w:r>
          </w:p>
        </w:tc>
        <w:tc>
          <w:tcPr>
            <w:tcW w:w="276" w:type="dxa"/>
            <w:tcBorders>
              <w:top w:val="nil" w:sz="6" w:space="0" w:color="auto"/>
              <w:left w:val="nil" w:sz="6" w:space="0" w:color="auto"/>
              <w:bottom w:val="nil" w:sz="6" w:space="0" w:color="auto"/>
              <w:right w:val="nil" w:sz="6" w:space="0" w:color="auto"/>
            </w:tcBorders>
          </w:tcPr>
          <w:p>
            <w:pPr/>
          </w:p>
        </w:tc>
        <w:tc>
          <w:tcPr>
            <w:tcW w:w="2096" w:type="dxa"/>
            <w:tcBorders>
              <w:top w:val="nil" w:sz="6" w:space="0" w:color="auto"/>
              <w:left w:val="nil" w:sz="6" w:space="0" w:color="auto"/>
              <w:bottom w:val="nil" w:sz="6" w:space="0" w:color="auto"/>
              <w:right w:val="nil" w:sz="6" w:space="0" w:color="auto"/>
            </w:tcBorders>
          </w:tcPr>
          <w:p>
            <w:pPr>
              <w:pStyle w:val="TableParagraph"/>
              <w:tabs>
                <w:tab w:pos="1901" w:val="left" w:leader="none"/>
                <w:tab w:pos="2088"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tab/>
            </w:r>
            <w:r>
              <w:rPr>
                <w:rFonts w:ascii="Arial"/>
                <w:sz w:val="22"/>
              </w:rPr>
            </w:r>
          </w:p>
        </w:tc>
      </w:tr>
      <w:tr>
        <w:trPr>
          <w:trHeight w:val="274" w:hRule="exact"/>
        </w:trPr>
        <w:tc>
          <w:tcPr>
            <w:tcW w:w="1712" w:type="dxa"/>
            <w:tcBorders>
              <w:top w:val="nil" w:sz="6" w:space="0" w:color="auto"/>
              <w:left w:val="nil" w:sz="6" w:space="0" w:color="auto"/>
              <w:bottom w:val="nil" w:sz="6" w:space="0" w:color="auto"/>
              <w:right w:val="nil" w:sz="6" w:space="0" w:color="auto"/>
            </w:tcBorders>
          </w:tcPr>
          <w:p>
            <w:pPr/>
          </w:p>
        </w:tc>
        <w:tc>
          <w:tcPr>
            <w:tcW w:w="3233" w:type="dxa"/>
            <w:tcBorders>
              <w:top w:val="nil" w:sz="6" w:space="0" w:color="auto"/>
              <w:left w:val="nil" w:sz="6" w:space="0" w:color="auto"/>
              <w:bottom w:val="nil" w:sz="6" w:space="0" w:color="auto"/>
              <w:right w:val="nil" w:sz="6" w:space="0" w:color="auto"/>
            </w:tcBorders>
          </w:tcPr>
          <w:p>
            <w:pPr/>
          </w:p>
        </w:tc>
        <w:tc>
          <w:tcPr>
            <w:tcW w:w="2067" w:type="dxa"/>
            <w:tcBorders>
              <w:top w:val="nil" w:sz="6" w:space="0" w:color="auto"/>
              <w:left w:val="nil" w:sz="6" w:space="0" w:color="auto"/>
              <w:bottom w:val="single" w:sz="17" w:space="0" w:color="000000"/>
              <w:right w:val="nil" w:sz="6" w:space="0" w:color="auto"/>
            </w:tcBorders>
          </w:tcPr>
          <w:p>
            <w:pPr>
              <w:pStyle w:val="TableParagraph"/>
              <w:spacing w:line="246" w:lineRule="exact"/>
              <w:ind w:right="100"/>
              <w:jc w:val="right"/>
              <w:rPr>
                <w:rFonts w:ascii="Arial" w:hAnsi="Arial" w:cs="Arial" w:eastAsia="Arial" w:hint="default"/>
                <w:sz w:val="22"/>
                <w:szCs w:val="22"/>
              </w:rPr>
            </w:pPr>
            <w:r>
              <w:rPr>
                <w:rFonts w:ascii="Arial"/>
                <w:spacing w:val="-1"/>
                <w:sz w:val="22"/>
              </w:rPr>
              <w:t>10,457,929</w:t>
            </w:r>
          </w:p>
        </w:tc>
        <w:tc>
          <w:tcPr>
            <w:tcW w:w="276" w:type="dxa"/>
            <w:tcBorders>
              <w:top w:val="nil" w:sz="6" w:space="0" w:color="auto"/>
              <w:left w:val="nil" w:sz="6" w:space="0" w:color="auto"/>
              <w:bottom w:val="nil" w:sz="6" w:space="0" w:color="auto"/>
              <w:right w:val="nil" w:sz="6" w:space="0" w:color="auto"/>
            </w:tcBorders>
          </w:tcPr>
          <w:p>
            <w:pPr/>
          </w:p>
        </w:tc>
        <w:tc>
          <w:tcPr>
            <w:tcW w:w="2096" w:type="dxa"/>
            <w:tcBorders>
              <w:top w:val="nil" w:sz="6" w:space="0" w:color="auto"/>
              <w:left w:val="nil" w:sz="6" w:space="0" w:color="auto"/>
              <w:bottom w:val="single" w:sz="17" w:space="0" w:color="000000"/>
              <w:right w:val="nil" w:sz="6" w:space="0" w:color="auto"/>
            </w:tcBorders>
          </w:tcPr>
          <w:p>
            <w:pPr>
              <w:pStyle w:val="TableParagraph"/>
              <w:spacing w:line="246" w:lineRule="exact"/>
              <w:ind w:left="1003" w:right="0"/>
              <w:jc w:val="left"/>
              <w:rPr>
                <w:rFonts w:ascii="Arial" w:hAnsi="Arial" w:cs="Arial" w:eastAsia="Arial" w:hint="default"/>
                <w:sz w:val="22"/>
                <w:szCs w:val="22"/>
              </w:rPr>
            </w:pPr>
            <w:r>
              <w:rPr>
                <w:rFonts w:ascii="Arial"/>
                <w:sz w:val="22"/>
              </w:rPr>
              <w:t>2,218,031</w:t>
            </w:r>
          </w:p>
        </w:tc>
      </w:tr>
    </w:tbl>
    <w:p>
      <w:pPr>
        <w:spacing w:after="0" w:line="246" w:lineRule="exact"/>
        <w:jc w:val="left"/>
        <w:rPr>
          <w:rFonts w:ascii="Arial" w:hAnsi="Arial" w:cs="Arial" w:eastAsia="Arial" w:hint="default"/>
          <w:sz w:val="22"/>
          <w:szCs w:val="22"/>
        </w:rPr>
        <w:sectPr>
          <w:headerReference w:type="default" r:id="rId145"/>
          <w:pgSz w:w="11910" w:h="16840"/>
          <w:pgMar w:header="1181" w:footer="923" w:top="3580" w:bottom="1120" w:left="1280" w:right="780"/>
        </w:sectPr>
      </w:pPr>
    </w:p>
    <w:p>
      <w:pPr>
        <w:spacing w:line="240" w:lineRule="auto" w:before="1"/>
        <w:rPr>
          <w:rFonts w:ascii="Times New Roman" w:hAnsi="Times New Roman" w:cs="Times New Roman" w:eastAsia="Times New Roman" w:hint="default"/>
          <w:sz w:val="18"/>
          <w:szCs w:val="18"/>
        </w:rPr>
      </w:pPr>
    </w:p>
    <w:p>
      <w:pPr>
        <w:pStyle w:val="BodyText"/>
        <w:spacing w:line="293" w:lineRule="exact" w:before="32"/>
        <w:ind w:left="554" w:right="0"/>
        <w:jc w:val="both"/>
      </w:pPr>
      <w:r>
        <w:rPr/>
        <w:t>注</w:t>
      </w:r>
      <w:r>
        <w:rPr>
          <w:spacing w:val="-44"/>
        </w:rPr>
        <w:t> </w:t>
      </w:r>
      <w:r>
        <w:rPr>
          <w:rFonts w:ascii="Arial" w:hAnsi="Arial" w:cs="Arial" w:eastAsia="Arial" w:hint="default"/>
        </w:rPr>
        <w:t>1</w:t>
      </w:r>
      <w:r>
        <w:rPr/>
        <w:t>：于</w:t>
      </w:r>
      <w:r>
        <w:rPr>
          <w:spacing w:val="-44"/>
        </w:rPr>
        <w:t> </w:t>
      </w:r>
      <w:r>
        <w:rPr>
          <w:rFonts w:ascii="Arial" w:hAnsi="Arial" w:cs="Arial" w:eastAsia="Arial" w:hint="default"/>
        </w:rPr>
        <w:t>2014</w:t>
      </w:r>
      <w:r>
        <w:rPr>
          <w:rFonts w:ascii="Arial" w:hAnsi="Arial" w:cs="Arial" w:eastAsia="Arial" w:hint="default"/>
          <w:spacing w:val="2"/>
        </w:rPr>
        <w:t> </w:t>
      </w:r>
      <w:r>
        <w:rPr/>
        <w:t>年</w:t>
      </w:r>
      <w:r>
        <w:rPr>
          <w:spacing w:val="-44"/>
        </w:rPr>
        <w:t> </w:t>
      </w:r>
      <w:r>
        <w:rPr>
          <w:rFonts w:ascii="Arial" w:hAnsi="Arial" w:cs="Arial" w:eastAsia="Arial" w:hint="default"/>
        </w:rPr>
        <w:t>12</w:t>
      </w:r>
      <w:r>
        <w:rPr>
          <w:rFonts w:ascii="Arial" w:hAnsi="Arial" w:cs="Arial" w:eastAsia="Arial" w:hint="default"/>
          <w:spacing w:val="4"/>
        </w:rPr>
        <w:t> </w:t>
      </w:r>
      <w:r>
        <w:rPr/>
        <w:t>月</w:t>
      </w:r>
      <w:r>
        <w:rPr>
          <w:spacing w:val="-46"/>
        </w:rPr>
        <w:t> </w:t>
      </w:r>
      <w:r>
        <w:rPr>
          <w:rFonts w:ascii="Arial" w:hAnsi="Arial" w:cs="Arial" w:eastAsia="Arial" w:hint="default"/>
        </w:rPr>
        <w:t>31</w:t>
      </w:r>
      <w:r>
        <w:rPr>
          <w:rFonts w:ascii="Arial" w:hAnsi="Arial" w:cs="Arial" w:eastAsia="Arial" w:hint="default"/>
          <w:spacing w:val="4"/>
        </w:rPr>
        <w:t> </w:t>
      </w:r>
      <w:r>
        <w:rPr/>
        <w:t>日，应付联通集团款主要包括宽带在线收购联通新时讯尚未支付的</w:t>
      </w:r>
    </w:p>
    <w:p>
      <w:pPr>
        <w:pStyle w:val="BodyText"/>
        <w:spacing w:line="285" w:lineRule="exact"/>
        <w:ind w:left="1173" w:right="0"/>
        <w:jc w:val="left"/>
      </w:pPr>
      <w:r>
        <w:rPr/>
        <w:t>对价约人民币</w:t>
      </w:r>
      <w:r>
        <w:rPr>
          <w:spacing w:val="-50"/>
        </w:rPr>
        <w:t> </w:t>
      </w:r>
      <w:r>
        <w:rPr>
          <w:rFonts w:ascii="Arial" w:hAnsi="Arial" w:cs="Arial" w:eastAsia="Arial" w:hint="default"/>
        </w:rPr>
        <w:t>1.58</w:t>
      </w:r>
      <w:r>
        <w:rPr>
          <w:rFonts w:ascii="Arial" w:hAnsi="Arial" w:cs="Arial" w:eastAsia="Arial" w:hint="default"/>
          <w:spacing w:val="-3"/>
        </w:rPr>
        <w:t> </w:t>
      </w:r>
      <w:r>
        <w:rPr/>
        <w:t>亿元（</w:t>
      </w:r>
      <w:r>
        <w:rPr>
          <w:rFonts w:ascii="Arial" w:hAnsi="Arial" w:cs="Arial" w:eastAsia="Arial" w:hint="default"/>
        </w:rPr>
        <w:t>2013</w:t>
      </w:r>
      <w:r>
        <w:rPr>
          <w:rFonts w:ascii="Arial" w:hAnsi="Arial" w:cs="Arial" w:eastAsia="Arial" w:hint="default"/>
          <w:spacing w:val="-2"/>
        </w:rPr>
        <w:t> </w:t>
      </w:r>
      <w:r>
        <w:rPr/>
        <w:t>年</w:t>
      </w:r>
      <w:r>
        <w:rPr>
          <w:spacing w:val="-50"/>
        </w:rPr>
        <w:t> </w:t>
      </w:r>
      <w:r>
        <w:rPr>
          <w:rFonts w:ascii="Arial" w:hAnsi="Arial" w:cs="Arial" w:eastAsia="Arial" w:hint="default"/>
        </w:rPr>
        <w:t>12</w:t>
      </w:r>
      <w:r>
        <w:rPr>
          <w:rFonts w:ascii="Arial" w:hAnsi="Arial" w:cs="Arial" w:eastAsia="Arial" w:hint="default"/>
          <w:spacing w:val="-2"/>
        </w:rPr>
        <w:t> </w:t>
      </w:r>
      <w:r>
        <w:rPr/>
        <w:t>月</w:t>
      </w:r>
      <w:r>
        <w:rPr>
          <w:spacing w:val="-50"/>
        </w:rPr>
        <w:t> </w:t>
      </w:r>
      <w:r>
        <w:rPr>
          <w:rFonts w:ascii="Arial" w:hAnsi="Arial" w:cs="Arial" w:eastAsia="Arial" w:hint="default"/>
        </w:rPr>
        <w:t>31</w:t>
      </w:r>
      <w:r>
        <w:rPr>
          <w:rFonts w:ascii="Arial" w:hAnsi="Arial" w:cs="Arial" w:eastAsia="Arial" w:hint="default"/>
          <w:spacing w:val="-2"/>
        </w:rPr>
        <w:t> </w:t>
      </w:r>
      <w:r>
        <w:rPr/>
        <w:t>日：应付联通集团款主要包括宽带在线收购</w:t>
      </w:r>
    </w:p>
    <w:p>
      <w:pPr>
        <w:pStyle w:val="BodyText"/>
        <w:spacing w:line="295" w:lineRule="exact"/>
        <w:ind w:left="1173" w:right="0"/>
        <w:jc w:val="left"/>
      </w:pPr>
      <w:r>
        <w:rPr/>
        <w:t>联通新时讯尚未支付的对价约人民币</w:t>
      </w:r>
      <w:r>
        <w:rPr>
          <w:spacing w:val="-56"/>
        </w:rPr>
        <w:t> </w:t>
      </w:r>
      <w:r>
        <w:rPr>
          <w:rFonts w:ascii="Arial" w:hAnsi="Arial" w:cs="Arial" w:eastAsia="Arial" w:hint="default"/>
        </w:rPr>
        <w:t>1.58</w:t>
      </w:r>
      <w:r>
        <w:rPr>
          <w:rFonts w:ascii="Arial" w:hAnsi="Arial" w:cs="Arial" w:eastAsia="Arial" w:hint="default"/>
          <w:spacing w:val="-10"/>
        </w:rPr>
        <w:t> </w:t>
      </w:r>
      <w:r>
        <w:rPr/>
        <w:t>亿元）。</w:t>
      </w:r>
    </w:p>
    <w:p>
      <w:pPr>
        <w:spacing w:line="240" w:lineRule="auto" w:before="1"/>
        <w:rPr>
          <w:rFonts w:ascii="宋体" w:hAnsi="宋体" w:cs="宋体" w:eastAsia="宋体" w:hint="default"/>
          <w:sz w:val="18"/>
          <w:szCs w:val="18"/>
        </w:rPr>
      </w:pPr>
    </w:p>
    <w:p>
      <w:pPr>
        <w:pStyle w:val="BodyText"/>
        <w:spacing w:line="293" w:lineRule="exact"/>
        <w:ind w:left="554" w:right="0"/>
        <w:jc w:val="both"/>
      </w:pPr>
      <w:r>
        <w:rPr/>
        <w:t>注</w:t>
      </w:r>
      <w:r>
        <w:rPr>
          <w:spacing w:val="-56"/>
        </w:rPr>
        <w:t> </w:t>
      </w:r>
      <w:r>
        <w:rPr>
          <w:rFonts w:ascii="Arial" w:hAnsi="Arial" w:cs="Arial" w:eastAsia="Arial" w:hint="default"/>
          <w:spacing w:val="2"/>
        </w:rPr>
        <w:t>2</w:t>
      </w:r>
      <w:r>
        <w:rPr>
          <w:spacing w:val="2"/>
        </w:rPr>
        <w:t>：于</w:t>
      </w:r>
      <w:r>
        <w:rPr>
          <w:spacing w:val="-49"/>
        </w:rPr>
        <w:t> </w:t>
      </w:r>
      <w:r>
        <w:rPr>
          <w:rFonts w:ascii="Arial" w:hAnsi="Arial" w:cs="Arial" w:eastAsia="Arial" w:hint="default"/>
        </w:rPr>
        <w:t>2014</w:t>
      </w:r>
      <w:r>
        <w:rPr>
          <w:rFonts w:ascii="Arial" w:hAnsi="Arial" w:cs="Arial" w:eastAsia="Arial" w:hint="default"/>
          <w:spacing w:val="-1"/>
        </w:rPr>
        <w:t> </w:t>
      </w:r>
      <w:r>
        <w:rPr/>
        <w:t>年</w:t>
      </w:r>
      <w:r>
        <w:rPr>
          <w:spacing w:val="-49"/>
        </w:rPr>
        <w:t> </w:t>
      </w:r>
      <w:r>
        <w:rPr>
          <w:rFonts w:ascii="Arial" w:hAnsi="Arial" w:cs="Arial" w:eastAsia="Arial" w:hint="default"/>
        </w:rPr>
        <w:t>12</w:t>
      </w:r>
      <w:r>
        <w:rPr>
          <w:rFonts w:ascii="Arial" w:hAnsi="Arial" w:cs="Arial" w:eastAsia="Arial" w:hint="default"/>
          <w:spacing w:val="-1"/>
        </w:rPr>
        <w:t> </w:t>
      </w:r>
      <w:r>
        <w:rPr/>
        <w:t>月</w:t>
      </w:r>
      <w:r>
        <w:rPr>
          <w:spacing w:val="-48"/>
        </w:rPr>
        <w:t> </w:t>
      </w:r>
      <w:r>
        <w:rPr>
          <w:rFonts w:ascii="Arial" w:hAnsi="Arial" w:cs="Arial" w:eastAsia="Arial" w:hint="default"/>
        </w:rPr>
        <w:t>31</w:t>
      </w:r>
      <w:r>
        <w:rPr>
          <w:rFonts w:ascii="Arial" w:hAnsi="Arial" w:cs="Arial" w:eastAsia="Arial" w:hint="default"/>
          <w:spacing w:val="-3"/>
        </w:rPr>
        <w:t> </w:t>
      </w:r>
      <w:r>
        <w:rPr/>
        <w:t>日及</w:t>
      </w:r>
      <w:r>
        <w:rPr>
          <w:spacing w:val="-49"/>
        </w:rPr>
        <w:t> </w:t>
      </w:r>
      <w:r>
        <w:rPr>
          <w:rFonts w:ascii="Arial" w:hAnsi="Arial" w:cs="Arial" w:eastAsia="Arial" w:hint="default"/>
        </w:rPr>
        <w:t>2013</w:t>
      </w:r>
      <w:r>
        <w:rPr>
          <w:rFonts w:ascii="Arial" w:hAnsi="Arial" w:cs="Arial" w:eastAsia="Arial" w:hint="default"/>
          <w:spacing w:val="-1"/>
        </w:rPr>
        <w:t> </w:t>
      </w:r>
      <w:r>
        <w:rPr/>
        <w:t>年</w:t>
      </w:r>
      <w:r>
        <w:rPr>
          <w:spacing w:val="-49"/>
        </w:rPr>
        <w:t> </w:t>
      </w:r>
      <w:r>
        <w:rPr>
          <w:rFonts w:ascii="Arial" w:hAnsi="Arial" w:cs="Arial" w:eastAsia="Arial" w:hint="default"/>
        </w:rPr>
        <w:t>12</w:t>
      </w:r>
      <w:r>
        <w:rPr>
          <w:rFonts w:ascii="Arial" w:hAnsi="Arial" w:cs="Arial" w:eastAsia="Arial" w:hint="default"/>
          <w:spacing w:val="-1"/>
        </w:rPr>
        <w:t> </w:t>
      </w:r>
      <w:r>
        <w:rPr/>
        <w:t>月</w:t>
      </w:r>
      <w:r>
        <w:rPr>
          <w:spacing w:val="-49"/>
        </w:rPr>
        <w:t> </w:t>
      </w:r>
      <w:r>
        <w:rPr>
          <w:rFonts w:ascii="Arial" w:hAnsi="Arial" w:cs="Arial" w:eastAsia="Arial" w:hint="default"/>
        </w:rPr>
        <w:t>31</w:t>
      </w:r>
      <w:r>
        <w:rPr>
          <w:rFonts w:ascii="Arial" w:hAnsi="Arial" w:cs="Arial" w:eastAsia="Arial" w:hint="default"/>
          <w:spacing w:val="-3"/>
        </w:rPr>
        <w:t> </w:t>
      </w:r>
      <w:r>
        <w:rPr/>
        <w:t>日，长期应付款余额为应付融资租赁款，其</w:t>
      </w:r>
    </w:p>
    <w:p>
      <w:pPr>
        <w:pStyle w:val="BodyText"/>
        <w:spacing w:line="293" w:lineRule="exact"/>
        <w:ind w:left="1182" w:right="0"/>
        <w:jc w:val="left"/>
      </w:pPr>
      <w:r>
        <w:rPr/>
        <w:t>中一年内到期的部分分别为人民币</w:t>
      </w:r>
      <w:r>
        <w:rPr>
          <w:spacing w:val="-55"/>
        </w:rPr>
        <w:t> </w:t>
      </w:r>
      <w:r>
        <w:rPr>
          <w:rFonts w:ascii="Arial" w:hAnsi="Arial" w:cs="Arial" w:eastAsia="Arial" w:hint="default"/>
        </w:rPr>
        <w:t>1.68</w:t>
      </w:r>
      <w:r>
        <w:rPr>
          <w:rFonts w:ascii="Arial" w:hAnsi="Arial" w:cs="Arial" w:eastAsia="Arial" w:hint="default"/>
          <w:spacing w:val="-7"/>
        </w:rPr>
        <w:t> </w:t>
      </w:r>
      <w:r>
        <w:rPr/>
        <w:t>亿元及人民币</w:t>
      </w:r>
      <w:r>
        <w:rPr>
          <w:spacing w:val="-55"/>
        </w:rPr>
        <w:t> </w:t>
      </w:r>
      <w:r>
        <w:rPr>
          <w:rFonts w:ascii="Arial" w:hAnsi="Arial" w:cs="Arial" w:eastAsia="Arial" w:hint="default"/>
        </w:rPr>
        <w:t>1.61</w:t>
      </w:r>
      <w:r>
        <w:rPr>
          <w:rFonts w:ascii="Arial" w:hAnsi="Arial" w:cs="Arial" w:eastAsia="Arial" w:hint="default"/>
          <w:spacing w:val="-9"/>
        </w:rPr>
        <w:t> </w:t>
      </w:r>
      <w:r>
        <w:rPr/>
        <w:t>亿元。</w:t>
      </w:r>
    </w:p>
    <w:p>
      <w:pPr>
        <w:spacing w:line="240" w:lineRule="auto" w:before="1"/>
        <w:rPr>
          <w:rFonts w:ascii="宋体" w:hAnsi="宋体" w:cs="宋体" w:eastAsia="宋体" w:hint="default"/>
          <w:sz w:val="18"/>
          <w:szCs w:val="18"/>
        </w:rPr>
      </w:pPr>
    </w:p>
    <w:p>
      <w:pPr>
        <w:pStyle w:val="BodyText"/>
        <w:spacing w:line="295" w:lineRule="exact"/>
        <w:ind w:left="554" w:right="0"/>
        <w:jc w:val="both"/>
        <w:rPr>
          <w:rFonts w:ascii="Arial" w:hAnsi="Arial" w:cs="Arial" w:eastAsia="Arial" w:hint="default"/>
        </w:rPr>
      </w:pPr>
      <w:r>
        <w:rPr/>
        <w:t>注</w:t>
      </w:r>
      <w:r>
        <w:rPr>
          <w:spacing w:val="-45"/>
        </w:rPr>
        <w:t> </w:t>
      </w:r>
      <w:r>
        <w:rPr>
          <w:rFonts w:ascii="Arial" w:hAnsi="Arial" w:cs="Arial" w:eastAsia="Arial" w:hint="default"/>
          <w:spacing w:val="-3"/>
        </w:rPr>
        <w:t>3</w:t>
      </w:r>
      <w:r>
        <w:rPr>
          <w:spacing w:val="-3"/>
        </w:rPr>
        <w:t>：联通运营公司通过工商银行自联通集团借入的委托贷款人民币</w:t>
      </w:r>
      <w:r>
        <w:rPr>
          <w:spacing w:val="-44"/>
        </w:rPr>
        <w:t> </w:t>
      </w:r>
      <w:r>
        <w:rPr>
          <w:rFonts w:ascii="Arial" w:hAnsi="Arial" w:cs="Arial" w:eastAsia="Arial" w:hint="default"/>
        </w:rPr>
        <w:t>13.44</w:t>
      </w:r>
      <w:r>
        <w:rPr>
          <w:rFonts w:ascii="Arial" w:hAnsi="Arial" w:cs="Arial" w:eastAsia="Arial" w:hint="default"/>
          <w:spacing w:val="1"/>
        </w:rPr>
        <w:t> </w:t>
      </w:r>
      <w:r>
        <w:rPr>
          <w:spacing w:val="-8"/>
        </w:rPr>
        <w:t>亿元，借款期限为</w:t>
      </w:r>
      <w:r>
        <w:rPr>
          <w:spacing w:val="-45"/>
        </w:rPr>
        <w:t> </w:t>
      </w:r>
      <w:r>
        <w:rPr>
          <w:rFonts w:ascii="Arial" w:hAnsi="Arial" w:cs="Arial" w:eastAsia="Arial" w:hint="default"/>
        </w:rPr>
        <w:t>1</w:t>
      </w:r>
    </w:p>
    <w:p>
      <w:pPr>
        <w:pStyle w:val="BodyText"/>
        <w:spacing w:line="295" w:lineRule="exact"/>
        <w:ind w:left="1182" w:right="0"/>
        <w:jc w:val="left"/>
      </w:pPr>
      <w:r>
        <w:rPr/>
        <w:t>年，借款利率为固定利率</w:t>
      </w:r>
      <w:r>
        <w:rPr>
          <w:spacing w:val="-55"/>
        </w:rPr>
        <w:t> </w:t>
      </w:r>
      <w:r>
        <w:rPr>
          <w:rFonts w:ascii="Arial" w:hAnsi="Arial" w:cs="Arial" w:eastAsia="Arial" w:hint="default"/>
        </w:rPr>
        <w:t>5.40%</w:t>
      </w:r>
      <w:r>
        <w:rPr/>
        <w:t>。</w:t>
      </w:r>
    </w:p>
    <w:p>
      <w:pPr>
        <w:spacing w:line="240" w:lineRule="auto" w:before="12"/>
        <w:rPr>
          <w:rFonts w:ascii="宋体" w:hAnsi="宋体" w:cs="宋体" w:eastAsia="宋体" w:hint="default"/>
          <w:sz w:val="17"/>
          <w:szCs w:val="17"/>
        </w:rPr>
      </w:pPr>
    </w:p>
    <w:p>
      <w:pPr>
        <w:pStyle w:val="BodyText"/>
        <w:spacing w:line="295" w:lineRule="exact"/>
        <w:ind w:left="554" w:right="0"/>
        <w:jc w:val="both"/>
        <w:rPr>
          <w:rFonts w:ascii="Arial" w:hAnsi="Arial" w:cs="Arial" w:eastAsia="Arial" w:hint="default"/>
        </w:rPr>
      </w:pPr>
      <w:r>
        <w:rPr/>
        <w:t>注</w:t>
      </w:r>
      <w:r>
        <w:rPr>
          <w:spacing w:val="-46"/>
        </w:rPr>
        <w:t> </w:t>
      </w:r>
      <w:r>
        <w:rPr>
          <w:rFonts w:ascii="Arial" w:hAnsi="Arial" w:cs="Arial" w:eastAsia="Arial" w:hint="default"/>
          <w:spacing w:val="-4"/>
        </w:rPr>
        <w:t>4</w:t>
      </w:r>
      <w:r>
        <w:rPr>
          <w:spacing w:val="-4"/>
        </w:rPr>
        <w:t>：联通红筹公司向中国联通集团（</w:t>
      </w:r>
      <w:r>
        <w:rPr>
          <w:rFonts w:ascii="Arial" w:hAnsi="Arial" w:cs="Arial" w:eastAsia="Arial" w:hint="default"/>
          <w:spacing w:val="-4"/>
        </w:rPr>
        <w:t>BVI</w:t>
      </w:r>
      <w:r>
        <w:rPr>
          <w:spacing w:val="-4"/>
        </w:rPr>
        <w:t>）有限公司借入的借款港币</w:t>
      </w:r>
      <w:r>
        <w:rPr>
          <w:spacing w:val="-46"/>
        </w:rPr>
        <w:t> </w:t>
      </w:r>
      <w:r>
        <w:rPr>
          <w:rFonts w:ascii="Arial" w:hAnsi="Arial" w:cs="Arial" w:eastAsia="Arial" w:hint="default"/>
        </w:rPr>
        <w:t>6</w:t>
      </w:r>
      <w:r>
        <w:rPr>
          <w:rFonts w:ascii="Arial" w:hAnsi="Arial" w:cs="Arial" w:eastAsia="Arial" w:hint="default"/>
          <w:spacing w:val="2"/>
        </w:rPr>
        <w:t> </w:t>
      </w:r>
      <w:r>
        <w:rPr>
          <w:spacing w:val="-5"/>
        </w:rPr>
        <w:t>亿元（折合人民币</w:t>
      </w:r>
      <w:r>
        <w:rPr>
          <w:spacing w:val="-46"/>
        </w:rPr>
        <w:t> </w:t>
      </w:r>
      <w:r>
        <w:rPr>
          <w:rFonts w:ascii="Arial" w:hAnsi="Arial" w:cs="Arial" w:eastAsia="Arial" w:hint="default"/>
        </w:rPr>
        <w:t>4.73</w:t>
      </w:r>
    </w:p>
    <w:p>
      <w:pPr>
        <w:pStyle w:val="BodyText"/>
        <w:spacing w:line="295" w:lineRule="exact"/>
        <w:ind w:left="1182" w:right="0"/>
        <w:jc w:val="left"/>
      </w:pPr>
      <w:r>
        <w:rPr/>
        <w:t>亿元），借款期限为</w:t>
      </w:r>
      <w:r>
        <w:rPr>
          <w:spacing w:val="-57"/>
        </w:rPr>
        <w:t> </w:t>
      </w:r>
      <w:r>
        <w:rPr>
          <w:rFonts w:ascii="Arial" w:hAnsi="Arial" w:cs="Arial" w:eastAsia="Arial" w:hint="default"/>
        </w:rPr>
        <w:t>1</w:t>
      </w:r>
      <w:r>
        <w:rPr>
          <w:rFonts w:ascii="Arial" w:hAnsi="Arial" w:cs="Arial" w:eastAsia="Arial" w:hint="default"/>
          <w:spacing w:val="-9"/>
        </w:rPr>
        <w:t> </w:t>
      </w:r>
      <w:r>
        <w:rPr/>
        <w:t>年，借款利率为香港银行同业拆借利率上浮</w:t>
      </w:r>
      <w:r>
        <w:rPr>
          <w:spacing w:val="-57"/>
        </w:rPr>
        <w:t> </w:t>
      </w:r>
      <w:r>
        <w:rPr>
          <w:rFonts w:ascii="Arial" w:hAnsi="Arial" w:cs="Arial" w:eastAsia="Arial" w:hint="default"/>
        </w:rPr>
        <w:t>2.30%</w:t>
      </w:r>
      <w:r>
        <w:rPr/>
        <w:t>。</w:t>
      </w:r>
    </w:p>
    <w:p>
      <w:pPr>
        <w:spacing w:line="240" w:lineRule="auto" w:before="0"/>
        <w:rPr>
          <w:rFonts w:ascii="宋体" w:hAnsi="宋体" w:cs="宋体" w:eastAsia="宋体" w:hint="default"/>
          <w:sz w:val="20"/>
          <w:szCs w:val="20"/>
        </w:rPr>
      </w:pPr>
    </w:p>
    <w:p>
      <w:pPr>
        <w:pStyle w:val="BodyText"/>
        <w:spacing w:line="286" w:lineRule="exact"/>
        <w:ind w:left="554" w:right="99"/>
        <w:jc w:val="both"/>
      </w:pPr>
      <w:r>
        <w:rPr/>
        <w:t>应收、应付关联公司余额除应付联通集团</w:t>
      </w:r>
      <w:r>
        <w:rPr>
          <w:spacing w:val="-55"/>
        </w:rPr>
        <w:t> </w:t>
      </w:r>
      <w:r>
        <w:rPr>
          <w:rFonts w:ascii="Arial" w:hAnsi="Arial" w:cs="Arial" w:eastAsia="Arial" w:hint="default"/>
        </w:rPr>
        <w:t>BVI</w:t>
      </w:r>
      <w:r>
        <w:rPr>
          <w:rFonts w:ascii="Arial" w:hAnsi="Arial" w:cs="Arial" w:eastAsia="Arial" w:hint="default"/>
          <w:spacing w:val="-8"/>
        </w:rPr>
        <w:t> </w:t>
      </w:r>
      <w:r>
        <w:rPr/>
        <w:t>公司款项外，均为无抵押、不计息、即期偿付或</w:t>
      </w:r>
      <w:r>
        <w:rPr>
          <w:w w:val="100"/>
        </w:rPr>
        <w:t> </w:t>
      </w:r>
      <w:r>
        <w:rPr>
          <w:spacing w:val="-2"/>
        </w:rPr>
        <w:t>于有关合同条款规定的期限内支付或收取，并主要依据附注十</w:t>
      </w:r>
      <w:r>
        <w:rPr>
          <w:rFonts w:ascii="Arial" w:hAnsi="Arial" w:cs="Arial" w:eastAsia="Arial" w:hint="default"/>
          <w:spacing w:val="-2"/>
        </w:rPr>
        <w:t>(5)</w:t>
      </w:r>
      <w:r>
        <w:rPr>
          <w:spacing w:val="-2"/>
        </w:rPr>
        <w:t>所述联通集团及其子公司的经</w:t>
      </w:r>
      <w:r>
        <w:rPr>
          <w:spacing w:val="-48"/>
        </w:rPr>
        <w:t> </w:t>
      </w:r>
      <w:r>
        <w:rPr>
          <w:spacing w:val="-48"/>
        </w:rPr>
      </w:r>
      <w:r>
        <w:rPr/>
        <w:t>营交易产生。</w:t>
      </w:r>
    </w:p>
    <w:p>
      <w:pPr>
        <w:spacing w:line="240" w:lineRule="auto" w:before="1"/>
        <w:rPr>
          <w:rFonts w:ascii="宋体" w:hAnsi="宋体" w:cs="宋体" w:eastAsia="宋体" w:hint="default"/>
          <w:sz w:val="17"/>
          <w:szCs w:val="17"/>
        </w:rPr>
      </w:pPr>
    </w:p>
    <w:p>
      <w:pPr>
        <w:pStyle w:val="BodyText"/>
        <w:spacing w:line="240" w:lineRule="auto"/>
        <w:ind w:left="102" w:right="0"/>
        <w:jc w:val="left"/>
      </w:pPr>
      <w:r>
        <w:rPr>
          <w:rFonts w:ascii="Arial" w:hAnsi="Arial" w:cs="Arial" w:eastAsia="Arial" w:hint="default"/>
        </w:rPr>
        <w:t>7</w:t>
      </w:r>
      <w:r>
        <w:rPr/>
        <w:t>、</w:t>
      </w:r>
      <w:r>
        <w:rPr>
          <w:spacing w:val="-33"/>
        </w:rPr>
        <w:t> </w:t>
      </w:r>
      <w:r>
        <w:rPr/>
        <w:t>关联方承诺</w:t>
      </w:r>
    </w:p>
    <w:p>
      <w:pPr>
        <w:spacing w:line="240" w:lineRule="auto" w:before="0"/>
        <w:rPr>
          <w:rFonts w:ascii="宋体" w:hAnsi="宋体" w:cs="宋体" w:eastAsia="宋体" w:hint="default"/>
          <w:sz w:val="20"/>
          <w:szCs w:val="20"/>
        </w:rPr>
      </w:pPr>
    </w:p>
    <w:p>
      <w:pPr>
        <w:pStyle w:val="BodyText"/>
        <w:spacing w:line="286" w:lineRule="exact"/>
        <w:ind w:left="554" w:right="102"/>
        <w:jc w:val="both"/>
      </w:pPr>
      <w:r>
        <w:rPr>
          <w:spacing w:val="-1"/>
        </w:rPr>
        <w:t>以下为本集团于资产负债表日，已签约而尚不必在资产负债表上列示的与关联方有关的承诺事</w:t>
      </w:r>
      <w:r>
        <w:rPr>
          <w:spacing w:val="-40"/>
        </w:rPr>
        <w:t> </w:t>
      </w:r>
      <w:r>
        <w:rPr>
          <w:spacing w:val="-40"/>
        </w:rPr>
      </w:r>
      <w:r>
        <w:rPr/>
        <w:t>项：</w:t>
      </w:r>
    </w:p>
    <w:p>
      <w:pPr>
        <w:spacing w:line="240" w:lineRule="auto" w:before="5"/>
        <w:rPr>
          <w:rFonts w:ascii="宋体" w:hAnsi="宋体" w:cs="宋体" w:eastAsia="宋体" w:hint="default"/>
          <w:sz w:val="22"/>
          <w:szCs w:val="22"/>
        </w:rPr>
      </w:pPr>
    </w:p>
    <w:tbl>
      <w:tblPr>
        <w:tblW w:w="0" w:type="auto"/>
        <w:jc w:val="left"/>
        <w:tblInd w:w="351" w:type="dxa"/>
        <w:tblLayout w:type="fixed"/>
        <w:tblCellMar>
          <w:top w:w="0" w:type="dxa"/>
          <w:left w:w="0" w:type="dxa"/>
          <w:bottom w:w="0" w:type="dxa"/>
          <w:right w:w="0" w:type="dxa"/>
        </w:tblCellMar>
        <w:tblLook w:val="01E0"/>
      </w:tblPr>
      <w:tblGrid>
        <w:gridCol w:w="3784"/>
        <w:gridCol w:w="2619"/>
        <w:gridCol w:w="254"/>
        <w:gridCol w:w="2564"/>
      </w:tblGrid>
      <w:tr>
        <w:trPr>
          <w:trHeight w:val="262"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21" w:lineRule="exact"/>
              <w:ind w:left="209" w:right="0"/>
              <w:jc w:val="left"/>
              <w:rPr>
                <w:rFonts w:ascii="宋体" w:hAnsi="宋体" w:cs="宋体" w:eastAsia="宋体" w:hint="default"/>
                <w:sz w:val="22"/>
                <w:szCs w:val="22"/>
              </w:rPr>
            </w:pPr>
            <w:r>
              <w:rPr>
                <w:rFonts w:ascii="宋体" w:hAnsi="宋体" w:cs="宋体" w:eastAsia="宋体" w:hint="default"/>
                <w:sz w:val="22"/>
                <w:szCs w:val="22"/>
              </w:rPr>
              <w:t>租赁支出</w:t>
            </w:r>
          </w:p>
        </w:tc>
        <w:tc>
          <w:tcPr>
            <w:tcW w:w="2619" w:type="dxa"/>
            <w:tcBorders>
              <w:top w:val="nil" w:sz="6" w:space="0" w:color="auto"/>
              <w:left w:val="nil" w:sz="6" w:space="0" w:color="auto"/>
              <w:bottom w:val="single" w:sz="6" w:space="0" w:color="000000"/>
              <w:right w:val="nil" w:sz="6" w:space="0" w:color="auto"/>
            </w:tcBorders>
          </w:tcPr>
          <w:p>
            <w:pPr>
              <w:pStyle w:val="TableParagraph"/>
              <w:spacing w:line="236" w:lineRule="exact"/>
              <w:ind w:right="103"/>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254" w:type="dxa"/>
            <w:tcBorders>
              <w:top w:val="nil" w:sz="6" w:space="0" w:color="auto"/>
              <w:left w:val="nil" w:sz="6" w:space="0" w:color="auto"/>
              <w:bottom w:val="nil" w:sz="6" w:space="0" w:color="auto"/>
              <w:right w:val="nil" w:sz="6" w:space="0" w:color="auto"/>
            </w:tcBorders>
          </w:tcPr>
          <w:p>
            <w:pPr/>
          </w:p>
        </w:tc>
        <w:tc>
          <w:tcPr>
            <w:tcW w:w="2564" w:type="dxa"/>
            <w:tcBorders>
              <w:top w:val="nil" w:sz="6" w:space="0" w:color="auto"/>
              <w:left w:val="nil" w:sz="6" w:space="0" w:color="auto"/>
              <w:bottom w:val="single" w:sz="6" w:space="0" w:color="000000"/>
              <w:right w:val="nil" w:sz="6" w:space="0" w:color="auto"/>
            </w:tcBorders>
          </w:tcPr>
          <w:p>
            <w:pPr>
              <w:pStyle w:val="TableParagraph"/>
              <w:spacing w:line="236" w:lineRule="exact"/>
              <w:ind w:right="103"/>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62"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联通集团及其附属公司</w:t>
            </w:r>
          </w:p>
        </w:tc>
        <w:tc>
          <w:tcPr>
            <w:tcW w:w="2619" w:type="dxa"/>
            <w:tcBorders>
              <w:top w:val="single" w:sz="6"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49"/>
              <w:jc w:val="right"/>
              <w:rPr>
                <w:rFonts w:ascii="Arial" w:hAnsi="Arial" w:cs="Arial" w:eastAsia="Arial" w:hint="default"/>
                <w:sz w:val="22"/>
                <w:szCs w:val="22"/>
              </w:rPr>
            </w:pPr>
            <w:r>
              <w:rPr>
                <w:rFonts w:ascii="Arial"/>
                <w:spacing w:val="-1"/>
                <w:sz w:val="22"/>
              </w:rPr>
              <w:t>930,357,854</w:t>
            </w:r>
          </w:p>
        </w:tc>
        <w:tc>
          <w:tcPr>
            <w:tcW w:w="254" w:type="dxa"/>
            <w:tcBorders>
              <w:top w:val="nil" w:sz="6" w:space="0" w:color="auto"/>
              <w:left w:val="nil" w:sz="6" w:space="0" w:color="auto"/>
              <w:bottom w:val="nil" w:sz="6" w:space="0" w:color="auto"/>
              <w:right w:val="nil" w:sz="6" w:space="0" w:color="auto"/>
            </w:tcBorders>
          </w:tcPr>
          <w:p>
            <w:pPr/>
          </w:p>
        </w:tc>
        <w:tc>
          <w:tcPr>
            <w:tcW w:w="2564" w:type="dxa"/>
            <w:tcBorders>
              <w:top w:val="single" w:sz="6"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29"/>
              <w:jc w:val="right"/>
              <w:rPr>
                <w:rFonts w:ascii="Arial" w:hAnsi="Arial" w:cs="Arial" w:eastAsia="Arial" w:hint="default"/>
                <w:sz w:val="22"/>
                <w:szCs w:val="22"/>
              </w:rPr>
            </w:pPr>
            <w:r>
              <w:rPr>
                <w:rFonts w:ascii="Arial"/>
                <w:spacing w:val="-1"/>
                <w:sz w:val="22"/>
              </w:rPr>
              <w:t>925,627,908</w:t>
            </w:r>
          </w:p>
        </w:tc>
      </w:tr>
    </w:tbl>
    <w:p>
      <w:pPr>
        <w:spacing w:line="240" w:lineRule="auto" w:before="0"/>
        <w:rPr>
          <w:rFonts w:ascii="宋体" w:hAnsi="宋体" w:cs="宋体" w:eastAsia="宋体" w:hint="default"/>
          <w:sz w:val="14"/>
          <w:szCs w:val="14"/>
        </w:rPr>
      </w:pPr>
    </w:p>
    <w:p>
      <w:pPr>
        <w:pStyle w:val="BodyText"/>
        <w:spacing w:line="286" w:lineRule="exact" w:before="61"/>
        <w:ind w:left="534" w:right="98"/>
        <w:jc w:val="both"/>
      </w:pPr>
      <w:r>
        <w:rPr/>
        <w:t>于</w:t>
      </w:r>
      <w:r>
        <w:rPr>
          <w:spacing w:val="-44"/>
        </w:rPr>
        <w:t> </w:t>
      </w:r>
      <w:r>
        <w:rPr>
          <w:rFonts w:ascii="Arial" w:hAnsi="Arial" w:cs="Arial" w:eastAsia="Arial" w:hint="default"/>
        </w:rPr>
        <w:t>2013</w:t>
      </w:r>
      <w:r>
        <w:rPr>
          <w:rFonts w:ascii="Arial" w:hAnsi="Arial" w:cs="Arial" w:eastAsia="Arial" w:hint="default"/>
          <w:spacing w:val="4"/>
        </w:rPr>
        <w:t> </w:t>
      </w:r>
      <w:r>
        <w:rPr/>
        <w:t>年</w:t>
      </w:r>
      <w:r>
        <w:rPr>
          <w:spacing w:val="-44"/>
        </w:rPr>
        <w:t> </w:t>
      </w:r>
      <w:r>
        <w:rPr>
          <w:rFonts w:ascii="Arial" w:hAnsi="Arial" w:cs="Arial" w:eastAsia="Arial" w:hint="default"/>
        </w:rPr>
        <w:t>12</w:t>
      </w:r>
      <w:r>
        <w:rPr>
          <w:rFonts w:ascii="Arial" w:hAnsi="Arial" w:cs="Arial" w:eastAsia="Arial" w:hint="default"/>
          <w:spacing w:val="2"/>
        </w:rPr>
        <w:t> </w:t>
      </w:r>
      <w:r>
        <w:rPr/>
        <w:t>月</w:t>
      </w:r>
      <w:r>
        <w:rPr>
          <w:spacing w:val="-44"/>
        </w:rPr>
        <w:t> </w:t>
      </w:r>
      <w:r>
        <w:rPr>
          <w:rFonts w:ascii="Arial" w:hAnsi="Arial" w:cs="Arial" w:eastAsia="Arial" w:hint="default"/>
        </w:rPr>
        <w:t>6</w:t>
      </w:r>
      <w:r>
        <w:rPr>
          <w:rFonts w:ascii="Arial" w:hAnsi="Arial" w:cs="Arial" w:eastAsia="Arial" w:hint="default"/>
          <w:spacing w:val="4"/>
        </w:rPr>
        <w:t> </w:t>
      </w:r>
      <w:r>
        <w:rPr/>
        <w:t>日，中国联通运营公司和联通集团订立出资协议，设立一家财务公司(“合</w:t>
      </w:r>
      <w:r>
        <w:rPr>
          <w:w w:val="100"/>
        </w:rPr>
        <w:t> </w:t>
      </w:r>
      <w:r>
        <w:rPr>
          <w:spacing w:val="-3"/>
        </w:rPr>
        <w:t>资公司”)以向本集团提供各种财务服务。联通运营公司和联通集团同意分别向合资公司出资人</w:t>
      </w:r>
      <w:r>
        <w:rPr>
          <w:spacing w:val="-50"/>
        </w:rPr>
        <w:t> </w:t>
      </w:r>
      <w:r>
        <w:rPr>
          <w:spacing w:val="-50"/>
        </w:rPr>
      </w:r>
      <w:r>
        <w:rPr/>
        <w:t>民币</w:t>
      </w:r>
      <w:r>
        <w:rPr>
          <w:spacing w:val="-49"/>
        </w:rPr>
        <w:t> </w:t>
      </w:r>
      <w:r>
        <w:rPr>
          <w:rFonts w:ascii="Arial" w:hAnsi="Arial" w:cs="Arial" w:eastAsia="Arial" w:hint="default"/>
        </w:rPr>
        <w:t>27.30</w:t>
      </w:r>
      <w:r>
        <w:rPr>
          <w:rFonts w:ascii="Arial" w:hAnsi="Arial" w:cs="Arial" w:eastAsia="Arial" w:hint="default"/>
          <w:spacing w:val="-3"/>
        </w:rPr>
        <w:t> </w:t>
      </w:r>
      <w:r>
        <w:rPr/>
        <w:t>亿元和人民币</w:t>
      </w:r>
      <w:r>
        <w:rPr>
          <w:spacing w:val="-49"/>
        </w:rPr>
        <w:t> </w:t>
      </w:r>
      <w:r>
        <w:rPr>
          <w:rFonts w:ascii="Arial" w:hAnsi="Arial" w:cs="Arial" w:eastAsia="Arial" w:hint="default"/>
        </w:rPr>
        <w:t>2.70 </w:t>
      </w:r>
      <w:r>
        <w:rPr>
          <w:spacing w:val="-3"/>
        </w:rPr>
        <w:t>亿元，分别占合资公司注册资本总额的</w:t>
      </w:r>
      <w:r>
        <w:rPr>
          <w:spacing w:val="-49"/>
        </w:rPr>
        <w:t> </w:t>
      </w:r>
      <w:r>
        <w:rPr>
          <w:rFonts w:ascii="Arial" w:hAnsi="Arial" w:cs="Arial" w:eastAsia="Arial" w:hint="default"/>
        </w:rPr>
        <w:t>91%</w:t>
      </w:r>
      <w:r>
        <w:rPr/>
        <w:t>和</w:t>
      </w:r>
      <w:r>
        <w:rPr>
          <w:spacing w:val="-49"/>
        </w:rPr>
        <w:t> </w:t>
      </w:r>
      <w:r>
        <w:rPr>
          <w:rFonts w:ascii="Arial" w:hAnsi="Arial" w:cs="Arial" w:eastAsia="Arial" w:hint="default"/>
          <w:spacing w:val="-4"/>
        </w:rPr>
        <w:t>9%</w:t>
      </w:r>
      <w:r>
        <w:rPr>
          <w:spacing w:val="-4"/>
        </w:rPr>
        <w:t>。出资协议经</w:t>
      </w:r>
      <w:r>
        <w:rPr>
          <w:w w:val="100"/>
        </w:rPr>
        <w:t> </w:t>
      </w:r>
      <w:r>
        <w:rPr/>
        <w:t>中国银行业监督管理委员会批准后方可生效。</w:t>
      </w:r>
    </w:p>
    <w:p>
      <w:pPr>
        <w:spacing w:line="240" w:lineRule="auto" w:before="1"/>
        <w:rPr>
          <w:rFonts w:ascii="宋体" w:hAnsi="宋体" w:cs="宋体" w:eastAsia="宋体" w:hint="default"/>
          <w:sz w:val="17"/>
          <w:szCs w:val="17"/>
        </w:rPr>
      </w:pPr>
    </w:p>
    <w:p>
      <w:pPr>
        <w:pStyle w:val="BodyText"/>
        <w:spacing w:line="240" w:lineRule="auto"/>
        <w:ind w:left="534" w:right="0"/>
        <w:jc w:val="both"/>
      </w:pPr>
      <w:r>
        <w:rPr/>
        <w:t>于</w:t>
      </w:r>
      <w:r>
        <w:rPr>
          <w:spacing w:val="-56"/>
        </w:rPr>
        <w:t> </w:t>
      </w:r>
      <w:r>
        <w:rPr>
          <w:rFonts w:ascii="Arial" w:hAnsi="Arial" w:cs="Arial" w:eastAsia="Arial" w:hint="default"/>
        </w:rPr>
        <w:t>2014</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日，本集团其他关联方承诺并不重大。</w:t>
      </w:r>
    </w:p>
    <w:p>
      <w:pPr>
        <w:spacing w:after="0" w:line="240" w:lineRule="auto"/>
        <w:jc w:val="both"/>
        <w:sectPr>
          <w:headerReference w:type="default" r:id="rId146"/>
          <w:pgSz w:w="11910" w:h="16840"/>
          <w:pgMar w:header="1181" w:footer="923" w:top="3580" w:bottom="1120" w:left="1280" w:right="920"/>
        </w:sectPr>
      </w:pPr>
    </w:p>
    <w:p>
      <w:pPr>
        <w:spacing w:line="240" w:lineRule="auto" w:before="10"/>
        <w:rPr>
          <w:rFonts w:ascii="宋体" w:hAnsi="宋体" w:cs="宋体" w:eastAsia="宋体" w:hint="default"/>
          <w:sz w:val="16"/>
          <w:szCs w:val="16"/>
        </w:rPr>
      </w:pPr>
    </w:p>
    <w:p>
      <w:pPr>
        <w:pStyle w:val="BodyText"/>
        <w:spacing w:line="240" w:lineRule="auto" w:before="32"/>
        <w:ind w:left="114" w:right="0"/>
        <w:jc w:val="left"/>
      </w:pPr>
      <w:r>
        <w:rPr>
          <w:rFonts w:ascii="Arial" w:hAnsi="Arial" w:cs="Arial" w:eastAsia="Arial" w:hint="default"/>
        </w:rPr>
        <w:t>1</w:t>
      </w:r>
      <w:r>
        <w:rPr/>
        <w:t>、重要承诺事项</w:t>
      </w:r>
    </w:p>
    <w:p>
      <w:pPr>
        <w:spacing w:line="240" w:lineRule="auto" w:before="12"/>
        <w:rPr>
          <w:rFonts w:ascii="宋体" w:hAnsi="宋体" w:cs="宋体" w:eastAsia="宋体" w:hint="default"/>
          <w:sz w:val="17"/>
          <w:szCs w:val="17"/>
        </w:rPr>
      </w:pPr>
    </w:p>
    <w:p>
      <w:pPr>
        <w:pStyle w:val="BodyText"/>
        <w:spacing w:line="240" w:lineRule="auto"/>
        <w:ind w:left="142" w:right="0"/>
        <w:jc w:val="left"/>
      </w:pPr>
      <w:r>
        <w:rPr>
          <w:rFonts w:ascii="Arial" w:hAnsi="Arial" w:cs="Arial" w:eastAsia="Arial" w:hint="default"/>
        </w:rPr>
        <w:t>(a) </w:t>
      </w:r>
      <w:r>
        <w:rPr>
          <w:rFonts w:ascii="Arial" w:hAnsi="Arial" w:cs="Arial" w:eastAsia="Arial" w:hint="default"/>
          <w:spacing w:val="29"/>
        </w:rPr>
        <w:t> </w:t>
      </w:r>
      <w:r>
        <w:rPr/>
        <w:t>资本性支出承诺事项</w:t>
      </w:r>
    </w:p>
    <w:p>
      <w:pPr>
        <w:spacing w:line="240" w:lineRule="auto" w:before="12"/>
        <w:rPr>
          <w:rFonts w:ascii="宋体" w:hAnsi="宋体" w:cs="宋体" w:eastAsia="宋体" w:hint="default"/>
          <w:sz w:val="17"/>
          <w:szCs w:val="17"/>
        </w:rPr>
      </w:pPr>
    </w:p>
    <w:p>
      <w:pPr>
        <w:pStyle w:val="BodyText"/>
        <w:spacing w:line="240" w:lineRule="auto"/>
        <w:ind w:left="562" w:right="0"/>
        <w:jc w:val="left"/>
      </w:pPr>
      <w:r>
        <w:rPr>
          <w:spacing w:val="-1"/>
        </w:rPr>
        <w:t>本集团的资本性支出承诺主要是关于电信网络建设方面的资本支出。以下为本集团于资产负债</w:t>
      </w:r>
      <w:r>
        <w:rPr>
          <w:spacing w:val="-78"/>
        </w:rPr>
        <w:t> </w:t>
      </w:r>
      <w:r>
        <w:rPr>
          <w:spacing w:val="-78"/>
        </w:rPr>
      </w:r>
      <w:r>
        <w:rPr/>
        <w:t>表日，已签约而尚不必在资产负债表上列示的资本性支出及其他承诺：</w:t>
      </w:r>
    </w:p>
    <w:p>
      <w:pPr>
        <w:spacing w:line="240" w:lineRule="auto" w:before="3"/>
        <w:rPr>
          <w:rFonts w:ascii="宋体" w:hAnsi="宋体" w:cs="宋体" w:eastAsia="宋体" w:hint="default"/>
          <w:sz w:val="24"/>
          <w:szCs w:val="24"/>
        </w:rPr>
      </w:pPr>
    </w:p>
    <w:tbl>
      <w:tblPr>
        <w:tblW w:w="0" w:type="auto"/>
        <w:jc w:val="left"/>
        <w:tblInd w:w="384" w:type="dxa"/>
        <w:tblLayout w:type="fixed"/>
        <w:tblCellMar>
          <w:top w:w="0" w:type="dxa"/>
          <w:left w:w="0" w:type="dxa"/>
          <w:bottom w:w="0" w:type="dxa"/>
          <w:right w:w="0" w:type="dxa"/>
        </w:tblCellMar>
        <w:tblLook w:val="01E0"/>
      </w:tblPr>
      <w:tblGrid>
        <w:gridCol w:w="3474"/>
        <w:gridCol w:w="2532"/>
        <w:gridCol w:w="432"/>
        <w:gridCol w:w="2772"/>
      </w:tblGrid>
      <w:tr>
        <w:trPr>
          <w:trHeight w:val="264" w:hRule="exact"/>
        </w:trPr>
        <w:tc>
          <w:tcPr>
            <w:tcW w:w="3474" w:type="dxa"/>
            <w:tcBorders>
              <w:top w:val="nil" w:sz="6" w:space="0" w:color="auto"/>
              <w:left w:val="nil" w:sz="6" w:space="0" w:color="auto"/>
              <w:bottom w:val="nil" w:sz="6" w:space="0" w:color="auto"/>
              <w:right w:val="nil" w:sz="6" w:space="0" w:color="auto"/>
            </w:tcBorders>
          </w:tcPr>
          <w:p>
            <w:pPr/>
          </w:p>
        </w:tc>
        <w:tc>
          <w:tcPr>
            <w:tcW w:w="2532" w:type="dxa"/>
            <w:tcBorders>
              <w:top w:val="nil" w:sz="6" w:space="0" w:color="auto"/>
              <w:left w:val="nil" w:sz="6" w:space="0" w:color="auto"/>
              <w:bottom w:val="single" w:sz="6" w:space="0" w:color="000000"/>
              <w:right w:val="nil" w:sz="6" w:space="0" w:color="auto"/>
            </w:tcBorders>
          </w:tcPr>
          <w:p>
            <w:pPr>
              <w:pStyle w:val="TableParagraph"/>
              <w:spacing w:line="236" w:lineRule="exact"/>
              <w:ind w:right="48"/>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6"/>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432" w:type="dxa"/>
            <w:tcBorders>
              <w:top w:val="nil" w:sz="6" w:space="0" w:color="auto"/>
              <w:left w:val="nil" w:sz="6" w:space="0" w:color="auto"/>
              <w:bottom w:val="nil" w:sz="6" w:space="0" w:color="auto"/>
              <w:right w:val="nil" w:sz="6" w:space="0" w:color="auto"/>
            </w:tcBorders>
          </w:tcPr>
          <w:p>
            <w:pPr/>
          </w:p>
        </w:tc>
        <w:tc>
          <w:tcPr>
            <w:tcW w:w="2772" w:type="dxa"/>
            <w:tcBorders>
              <w:top w:val="nil" w:sz="6" w:space="0" w:color="auto"/>
              <w:left w:val="nil" w:sz="6" w:space="0" w:color="auto"/>
              <w:bottom w:val="single" w:sz="6" w:space="0" w:color="000000"/>
              <w:right w:val="nil" w:sz="6" w:space="0" w:color="auto"/>
            </w:tcBorders>
          </w:tcPr>
          <w:p>
            <w:pPr>
              <w:pStyle w:val="TableParagraph"/>
              <w:spacing w:line="236" w:lineRule="exact"/>
              <w:ind w:right="139"/>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71"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房屋、建筑物及机器设备</w:t>
            </w:r>
          </w:p>
        </w:tc>
        <w:tc>
          <w:tcPr>
            <w:tcW w:w="2532"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6"/>
              <w:jc w:val="right"/>
              <w:rPr>
                <w:rFonts w:ascii="Arial" w:hAnsi="Arial" w:cs="Arial" w:eastAsia="Arial" w:hint="default"/>
                <w:sz w:val="22"/>
                <w:szCs w:val="22"/>
              </w:rPr>
            </w:pPr>
            <w:r>
              <w:rPr>
                <w:rFonts w:ascii="Arial"/>
                <w:spacing w:val="-1"/>
                <w:sz w:val="22"/>
              </w:rPr>
              <w:t>18,787,401,691</w:t>
            </w:r>
          </w:p>
        </w:tc>
        <w:tc>
          <w:tcPr>
            <w:tcW w:w="432" w:type="dxa"/>
            <w:tcBorders>
              <w:top w:val="nil" w:sz="6" w:space="0" w:color="auto"/>
              <w:left w:val="nil" w:sz="6" w:space="0" w:color="auto"/>
              <w:bottom w:val="nil" w:sz="6" w:space="0" w:color="auto"/>
              <w:right w:val="nil" w:sz="6" w:space="0" w:color="auto"/>
            </w:tcBorders>
          </w:tcPr>
          <w:p>
            <w:pPr/>
          </w:p>
        </w:tc>
        <w:tc>
          <w:tcPr>
            <w:tcW w:w="2772"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58"/>
              <w:jc w:val="right"/>
              <w:rPr>
                <w:rFonts w:ascii="Arial" w:hAnsi="Arial" w:cs="Arial" w:eastAsia="Arial" w:hint="default"/>
                <w:sz w:val="22"/>
                <w:szCs w:val="22"/>
              </w:rPr>
            </w:pPr>
            <w:r>
              <w:rPr>
                <w:rFonts w:ascii="Arial"/>
                <w:spacing w:val="-1"/>
                <w:sz w:val="22"/>
              </w:rPr>
              <w:t>11,814,977,331</w:t>
            </w:r>
          </w:p>
        </w:tc>
      </w:tr>
    </w:tbl>
    <w:p>
      <w:pPr>
        <w:spacing w:line="240" w:lineRule="auto" w:before="11"/>
        <w:rPr>
          <w:rFonts w:ascii="宋体" w:hAnsi="宋体" w:cs="宋体" w:eastAsia="宋体" w:hint="default"/>
          <w:sz w:val="13"/>
          <w:szCs w:val="13"/>
        </w:rPr>
      </w:pPr>
    </w:p>
    <w:p>
      <w:pPr>
        <w:pStyle w:val="BodyText"/>
        <w:spacing w:line="240" w:lineRule="auto" w:before="32"/>
        <w:ind w:left="142" w:right="0"/>
        <w:jc w:val="left"/>
      </w:pPr>
      <w:r>
        <w:rPr>
          <w:rFonts w:ascii="Arial" w:hAnsi="Arial" w:cs="Arial" w:eastAsia="Arial" w:hint="default"/>
        </w:rPr>
        <w:t>(b) </w:t>
      </w:r>
      <w:r>
        <w:rPr>
          <w:rFonts w:ascii="Arial" w:hAnsi="Arial" w:cs="Arial" w:eastAsia="Arial" w:hint="default"/>
          <w:spacing w:val="28"/>
        </w:rPr>
        <w:t> </w:t>
      </w:r>
      <w:r>
        <w:rPr/>
        <w:t>经营租赁承诺事项</w:t>
      </w:r>
    </w:p>
    <w:p>
      <w:pPr>
        <w:spacing w:line="240" w:lineRule="auto" w:before="0"/>
        <w:rPr>
          <w:rFonts w:ascii="宋体" w:hAnsi="宋体" w:cs="宋体" w:eastAsia="宋体" w:hint="default"/>
          <w:sz w:val="23"/>
          <w:szCs w:val="23"/>
        </w:rPr>
      </w:pPr>
    </w:p>
    <w:tbl>
      <w:tblPr>
        <w:tblW w:w="0" w:type="auto"/>
        <w:jc w:val="left"/>
        <w:tblInd w:w="384" w:type="dxa"/>
        <w:tblLayout w:type="fixed"/>
        <w:tblCellMar>
          <w:top w:w="0" w:type="dxa"/>
          <w:left w:w="0" w:type="dxa"/>
          <w:bottom w:w="0" w:type="dxa"/>
          <w:right w:w="0" w:type="dxa"/>
        </w:tblCellMar>
        <w:tblLook w:val="01E0"/>
      </w:tblPr>
      <w:tblGrid>
        <w:gridCol w:w="3474"/>
        <w:gridCol w:w="2532"/>
        <w:gridCol w:w="408"/>
        <w:gridCol w:w="2693"/>
      </w:tblGrid>
      <w:tr>
        <w:trPr>
          <w:trHeight w:val="380" w:hRule="exact"/>
        </w:trPr>
        <w:tc>
          <w:tcPr>
            <w:tcW w:w="9108" w:type="dxa"/>
            <w:gridSpan w:val="4"/>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22"/>
                <w:szCs w:val="22"/>
              </w:rPr>
            </w:pPr>
            <w:r>
              <w:rPr>
                <w:rFonts w:ascii="宋体" w:hAnsi="宋体" w:cs="宋体" w:eastAsia="宋体" w:hint="default"/>
                <w:sz w:val="22"/>
                <w:szCs w:val="22"/>
              </w:rPr>
              <w:t>根据已签订的不可撤销的经营性租赁合同，本集团未来最低应支付租金汇总如下：</w:t>
            </w:r>
          </w:p>
        </w:tc>
      </w:tr>
      <w:tr>
        <w:trPr>
          <w:trHeight w:val="422" w:hRule="exact"/>
        </w:trPr>
        <w:tc>
          <w:tcPr>
            <w:tcW w:w="3474" w:type="dxa"/>
            <w:tcBorders>
              <w:top w:val="nil" w:sz="6" w:space="0" w:color="auto"/>
              <w:left w:val="nil" w:sz="6" w:space="0" w:color="auto"/>
              <w:bottom w:val="nil" w:sz="6" w:space="0" w:color="auto"/>
              <w:right w:val="nil" w:sz="6" w:space="0" w:color="auto"/>
            </w:tcBorders>
          </w:tcPr>
          <w:p>
            <w:pPr/>
          </w:p>
        </w:tc>
        <w:tc>
          <w:tcPr>
            <w:tcW w:w="2532" w:type="dxa"/>
            <w:tcBorders>
              <w:top w:val="nil" w:sz="6" w:space="0" w:color="auto"/>
              <w:left w:val="nil" w:sz="6" w:space="0" w:color="auto"/>
              <w:bottom w:val="single" w:sz="6" w:space="0" w:color="000000"/>
              <w:right w:val="nil" w:sz="6" w:space="0" w:color="auto"/>
            </w:tcBorders>
          </w:tcPr>
          <w:p>
            <w:pPr>
              <w:pStyle w:val="TableParagraph"/>
              <w:spacing w:line="240" w:lineRule="auto" w:before="92"/>
              <w:ind w:right="103"/>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6"/>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408"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6" w:space="0" w:color="000000"/>
              <w:right w:val="nil" w:sz="6" w:space="0" w:color="auto"/>
            </w:tcBorders>
          </w:tcPr>
          <w:p>
            <w:pPr>
              <w:pStyle w:val="TableParagraph"/>
              <w:spacing w:line="240" w:lineRule="auto" w:before="92"/>
              <w:ind w:right="72"/>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8"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5"/>
                <w:sz w:val="22"/>
                <w:szCs w:val="22"/>
              </w:rPr>
              <w:t> </w:t>
            </w:r>
            <w:r>
              <w:rPr>
                <w:rFonts w:ascii="宋体" w:hAnsi="宋体" w:cs="宋体" w:eastAsia="宋体" w:hint="default"/>
                <w:sz w:val="22"/>
                <w:szCs w:val="22"/>
              </w:rPr>
              <w:t>年以内</w:t>
            </w:r>
          </w:p>
        </w:tc>
        <w:tc>
          <w:tcPr>
            <w:tcW w:w="2532"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8"/>
              <w:jc w:val="right"/>
              <w:rPr>
                <w:rFonts w:ascii="Arial" w:hAnsi="Arial" w:cs="Arial" w:eastAsia="Arial" w:hint="default"/>
                <w:sz w:val="22"/>
                <w:szCs w:val="22"/>
              </w:rPr>
            </w:pPr>
            <w:r>
              <w:rPr>
                <w:rFonts w:ascii="Arial"/>
                <w:spacing w:val="-1"/>
                <w:sz w:val="22"/>
              </w:rPr>
              <w:t>4,331,553,124</w:t>
            </w:r>
          </w:p>
        </w:tc>
        <w:tc>
          <w:tcPr>
            <w:tcW w:w="408" w:type="dxa"/>
            <w:tcBorders>
              <w:top w:val="nil" w:sz="6" w:space="0" w:color="auto"/>
              <w:left w:val="nil" w:sz="6" w:space="0" w:color="auto"/>
              <w:bottom w:val="nil" w:sz="6" w:space="0" w:color="auto"/>
              <w:right w:val="nil" w:sz="6" w:space="0" w:color="auto"/>
            </w:tcBorders>
          </w:tcPr>
          <w:p>
            <w:pPr/>
          </w:p>
        </w:tc>
        <w:tc>
          <w:tcPr>
            <w:tcW w:w="2693"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Arial" w:hAnsi="Arial" w:cs="Arial" w:eastAsia="Arial" w:hint="default"/>
                <w:sz w:val="22"/>
                <w:szCs w:val="22"/>
              </w:rPr>
            </w:pPr>
            <w:r>
              <w:rPr>
                <w:rFonts w:ascii="Arial"/>
                <w:spacing w:val="-1"/>
                <w:sz w:val="22"/>
              </w:rPr>
              <w:t>5,099,829,800</w:t>
            </w:r>
          </w:p>
        </w:tc>
      </w:tr>
      <w:tr>
        <w:trPr>
          <w:trHeight w:val="284"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7"/>
                <w:sz w:val="22"/>
                <w:szCs w:val="22"/>
              </w:rPr>
              <w:t> </w:t>
            </w:r>
            <w:r>
              <w:rPr>
                <w:rFonts w:ascii="宋体" w:hAnsi="宋体" w:cs="宋体" w:eastAsia="宋体" w:hint="default"/>
                <w:sz w:val="22"/>
                <w:szCs w:val="22"/>
              </w:rPr>
              <w:t>到</w:t>
            </w:r>
            <w:r>
              <w:rPr>
                <w:rFonts w:ascii="宋体" w:hAnsi="宋体" w:cs="宋体" w:eastAsia="宋体" w:hint="default"/>
                <w:spacing w:val="-55"/>
                <w:sz w:val="22"/>
                <w:szCs w:val="22"/>
              </w:rPr>
              <w:t> </w:t>
            </w:r>
            <w:r>
              <w:rPr>
                <w:rFonts w:ascii="Arial" w:hAnsi="Arial" w:cs="Arial" w:eastAsia="Arial" w:hint="default"/>
                <w:sz w:val="22"/>
                <w:szCs w:val="22"/>
              </w:rPr>
              <w:t>2</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Arial" w:hAnsi="Arial" w:cs="Arial" w:eastAsia="Arial" w:hint="default"/>
                <w:sz w:val="22"/>
                <w:szCs w:val="22"/>
              </w:rPr>
            </w:pPr>
            <w:r>
              <w:rPr>
                <w:rFonts w:ascii="Arial"/>
                <w:spacing w:val="-1"/>
                <w:sz w:val="22"/>
              </w:rPr>
              <w:t>2,940,521,024</w:t>
            </w:r>
          </w:p>
        </w:tc>
        <w:tc>
          <w:tcPr>
            <w:tcW w:w="408"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1"/>
              <w:jc w:val="right"/>
              <w:rPr>
                <w:rFonts w:ascii="Arial" w:hAnsi="Arial" w:cs="Arial" w:eastAsia="Arial" w:hint="default"/>
                <w:sz w:val="22"/>
                <w:szCs w:val="22"/>
              </w:rPr>
            </w:pPr>
            <w:r>
              <w:rPr>
                <w:rFonts w:ascii="Arial"/>
                <w:spacing w:val="-1"/>
                <w:sz w:val="22"/>
              </w:rPr>
              <w:t>2,895,711,071</w:t>
            </w:r>
          </w:p>
        </w:tc>
      </w:tr>
      <w:tr>
        <w:trPr>
          <w:trHeight w:val="286"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2</w:t>
            </w:r>
            <w:r>
              <w:rPr>
                <w:rFonts w:ascii="Arial" w:hAnsi="Arial" w:cs="Arial" w:eastAsia="Arial" w:hint="default"/>
                <w:spacing w:val="-7"/>
                <w:sz w:val="22"/>
                <w:szCs w:val="22"/>
              </w:rPr>
              <w:t> </w:t>
            </w:r>
            <w:r>
              <w:rPr>
                <w:rFonts w:ascii="宋体" w:hAnsi="宋体" w:cs="宋体" w:eastAsia="宋体" w:hint="default"/>
                <w:sz w:val="22"/>
                <w:szCs w:val="22"/>
              </w:rPr>
              <w:t>到</w:t>
            </w:r>
            <w:r>
              <w:rPr>
                <w:rFonts w:ascii="宋体" w:hAnsi="宋体" w:cs="宋体" w:eastAsia="宋体" w:hint="default"/>
                <w:spacing w:val="-55"/>
                <w:sz w:val="22"/>
                <w:szCs w:val="22"/>
              </w:rPr>
              <w:t> </w:t>
            </w:r>
            <w:r>
              <w:rPr>
                <w:rFonts w:ascii="Arial" w:hAnsi="Arial" w:cs="Arial" w:eastAsia="Arial" w:hint="default"/>
                <w:sz w:val="22"/>
                <w:szCs w:val="22"/>
              </w:rPr>
              <w:t>3</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8"/>
              <w:jc w:val="right"/>
              <w:rPr>
                <w:rFonts w:ascii="Arial" w:hAnsi="Arial" w:cs="Arial" w:eastAsia="Arial" w:hint="default"/>
                <w:sz w:val="22"/>
                <w:szCs w:val="22"/>
              </w:rPr>
            </w:pPr>
            <w:r>
              <w:rPr>
                <w:rFonts w:ascii="Arial"/>
                <w:spacing w:val="-1"/>
                <w:sz w:val="22"/>
              </w:rPr>
              <w:t>2,280,345,145</w:t>
            </w:r>
          </w:p>
        </w:tc>
        <w:tc>
          <w:tcPr>
            <w:tcW w:w="408"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1"/>
              <w:jc w:val="right"/>
              <w:rPr>
                <w:rFonts w:ascii="Arial" w:hAnsi="Arial" w:cs="Arial" w:eastAsia="Arial" w:hint="default"/>
                <w:sz w:val="22"/>
                <w:szCs w:val="22"/>
              </w:rPr>
            </w:pPr>
            <w:r>
              <w:rPr>
                <w:rFonts w:ascii="Arial"/>
                <w:spacing w:val="-1"/>
                <w:sz w:val="22"/>
              </w:rPr>
              <w:t>2,756,484,696</w:t>
            </w:r>
          </w:p>
        </w:tc>
      </w:tr>
      <w:tr>
        <w:trPr>
          <w:trHeight w:val="419"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3</w:t>
            </w:r>
            <w:r>
              <w:rPr>
                <w:rFonts w:ascii="Arial" w:hAnsi="Arial" w:cs="Arial" w:eastAsia="Arial" w:hint="default"/>
                <w:spacing w:val="-5"/>
                <w:sz w:val="22"/>
                <w:szCs w:val="22"/>
              </w:rPr>
              <w:t> </w:t>
            </w:r>
            <w:r>
              <w:rPr>
                <w:rFonts w:ascii="宋体" w:hAnsi="宋体" w:cs="宋体" w:eastAsia="宋体" w:hint="default"/>
                <w:sz w:val="22"/>
                <w:szCs w:val="22"/>
              </w:rPr>
              <w:t>年以上</w:t>
            </w:r>
          </w:p>
        </w:tc>
        <w:tc>
          <w:tcPr>
            <w:tcW w:w="2532" w:type="dxa"/>
            <w:tcBorders>
              <w:top w:val="nil" w:sz="6" w:space="0" w:color="auto"/>
              <w:left w:val="nil" w:sz="6" w:space="0" w:color="auto"/>
              <w:bottom w:val="nil" w:sz="6" w:space="0" w:color="auto"/>
              <w:right w:val="nil" w:sz="6" w:space="0" w:color="auto"/>
            </w:tcBorders>
          </w:tcPr>
          <w:p>
            <w:pPr>
              <w:pStyle w:val="TableParagraph"/>
              <w:tabs>
                <w:tab w:pos="1022" w:val="left" w:leader="none"/>
                <w:tab w:pos="2532"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4,395,806,744</w:t>
              <w:tab/>
            </w:r>
            <w:r>
              <w:rPr>
                <w:rFonts w:ascii="Arial"/>
                <w:spacing w:val="-1"/>
                <w:sz w:val="22"/>
              </w:rPr>
            </w:r>
          </w:p>
        </w:tc>
        <w:tc>
          <w:tcPr>
            <w:tcW w:w="408"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tabs>
                <w:tab w:pos="1173" w:val="left" w:leader="none"/>
                <w:tab w:pos="2685"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3,680,564,916</w:t>
              <w:tab/>
            </w:r>
            <w:r>
              <w:rPr>
                <w:rFonts w:ascii="Arial"/>
                <w:spacing w:val="-1"/>
                <w:sz w:val="22"/>
              </w:rPr>
            </w:r>
          </w:p>
        </w:tc>
      </w:tr>
      <w:tr>
        <w:trPr>
          <w:trHeight w:val="433"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532"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88"/>
              <w:jc w:val="right"/>
              <w:rPr>
                <w:rFonts w:ascii="Arial" w:hAnsi="Arial" w:cs="Arial" w:eastAsia="Arial" w:hint="default"/>
                <w:sz w:val="22"/>
                <w:szCs w:val="22"/>
              </w:rPr>
            </w:pPr>
            <w:r>
              <w:rPr>
                <w:rFonts w:ascii="Arial"/>
                <w:spacing w:val="-1"/>
                <w:sz w:val="22"/>
              </w:rPr>
              <w:t>13,948,226,037</w:t>
            </w:r>
          </w:p>
        </w:tc>
        <w:tc>
          <w:tcPr>
            <w:tcW w:w="408"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101"/>
              <w:jc w:val="right"/>
              <w:rPr>
                <w:rFonts w:ascii="Arial" w:hAnsi="Arial" w:cs="Arial" w:eastAsia="Arial" w:hint="default"/>
                <w:sz w:val="22"/>
                <w:szCs w:val="22"/>
              </w:rPr>
            </w:pPr>
            <w:r>
              <w:rPr>
                <w:rFonts w:ascii="Arial"/>
                <w:spacing w:val="-1"/>
                <w:sz w:val="22"/>
              </w:rPr>
              <w:t>14,432,590,483</w:t>
            </w:r>
          </w:p>
        </w:tc>
      </w:tr>
    </w:tbl>
    <w:p>
      <w:pPr>
        <w:spacing w:line="240" w:lineRule="auto" w:before="11"/>
        <w:rPr>
          <w:rFonts w:ascii="宋体" w:hAnsi="宋体" w:cs="宋体" w:eastAsia="宋体" w:hint="default"/>
          <w:sz w:val="13"/>
          <w:szCs w:val="13"/>
        </w:rPr>
      </w:pPr>
    </w:p>
    <w:p>
      <w:pPr>
        <w:pStyle w:val="BodyText"/>
        <w:spacing w:line="240" w:lineRule="auto" w:before="32"/>
        <w:ind w:left="114" w:right="0"/>
        <w:jc w:val="left"/>
      </w:pPr>
      <w:r>
        <w:rPr>
          <w:rFonts w:ascii="Arial" w:hAnsi="Arial" w:cs="Arial" w:eastAsia="Arial" w:hint="default"/>
        </w:rPr>
        <w:t>2</w:t>
      </w:r>
      <w:r>
        <w:rPr/>
        <w:t>、或有事项</w:t>
      </w:r>
    </w:p>
    <w:p>
      <w:pPr>
        <w:spacing w:line="240" w:lineRule="auto" w:before="1"/>
        <w:rPr>
          <w:rFonts w:ascii="宋体" w:hAnsi="宋体" w:cs="宋体" w:eastAsia="宋体" w:hint="default"/>
          <w:sz w:val="18"/>
          <w:szCs w:val="18"/>
        </w:rPr>
      </w:pPr>
    </w:p>
    <w:p>
      <w:pPr>
        <w:pStyle w:val="BodyText"/>
        <w:spacing w:line="240" w:lineRule="auto"/>
        <w:ind w:left="562" w:right="0"/>
        <w:jc w:val="left"/>
      </w:pPr>
      <w:r>
        <w:rPr/>
        <w:t>于</w:t>
      </w:r>
      <w:r>
        <w:rPr>
          <w:spacing w:val="-56"/>
        </w:rPr>
        <w:t> </w:t>
      </w:r>
      <w:r>
        <w:rPr>
          <w:rFonts w:ascii="Arial" w:hAnsi="Arial" w:cs="Arial" w:eastAsia="Arial" w:hint="default"/>
        </w:rPr>
        <w:t>2014</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日，本集团没有重大或有事项。</w:t>
      </w:r>
    </w:p>
    <w:p>
      <w:pPr>
        <w:spacing w:after="0" w:line="240" w:lineRule="auto"/>
        <w:jc w:val="left"/>
        <w:sectPr>
          <w:headerReference w:type="default" r:id="rId147"/>
          <w:pgSz w:w="11910" w:h="16840"/>
          <w:pgMar w:header="1181" w:footer="923" w:top="3040" w:bottom="1120" w:left="1240" w:right="960"/>
        </w:sectPr>
      </w:pPr>
    </w:p>
    <w:p>
      <w:pPr>
        <w:spacing w:line="240" w:lineRule="auto" w:before="7"/>
        <w:rPr>
          <w:rFonts w:ascii="宋体" w:hAnsi="宋体" w:cs="宋体" w:eastAsia="宋体" w:hint="default"/>
          <w:sz w:val="16"/>
          <w:szCs w:val="16"/>
        </w:rPr>
      </w:pPr>
    </w:p>
    <w:p>
      <w:pPr>
        <w:pStyle w:val="BodyText"/>
        <w:spacing w:line="240" w:lineRule="auto" w:before="32"/>
        <w:ind w:left="142" w:right="0"/>
        <w:jc w:val="left"/>
        <w:rPr>
          <w:rFonts w:ascii="黑体" w:hAnsi="黑体" w:cs="黑体" w:eastAsia="黑体" w:hint="default"/>
        </w:rPr>
      </w:pPr>
      <w:r>
        <w:rPr>
          <w:rFonts w:ascii="黑体" w:hAnsi="黑体" w:cs="黑体" w:eastAsia="黑体" w:hint="default"/>
        </w:rPr>
        <w:t>十二</w:t>
      </w:r>
      <w:r>
        <w:rPr>
          <w:rFonts w:ascii="黑体" w:hAnsi="黑体" w:cs="黑体" w:eastAsia="黑体" w:hint="default"/>
          <w:spacing w:val="71"/>
        </w:rPr>
        <w:t> </w:t>
      </w:r>
      <w:r>
        <w:rPr>
          <w:rFonts w:ascii="黑体" w:hAnsi="黑体" w:cs="黑体" w:eastAsia="黑体" w:hint="default"/>
        </w:rPr>
        <w:t>资产负债表日后事项</w:t>
      </w:r>
    </w:p>
    <w:p>
      <w:pPr>
        <w:spacing w:line="240" w:lineRule="auto" w:before="3"/>
        <w:rPr>
          <w:rFonts w:ascii="黑体" w:hAnsi="黑体" w:cs="黑体" w:eastAsia="黑体" w:hint="default"/>
          <w:sz w:val="19"/>
          <w:szCs w:val="19"/>
        </w:rPr>
      </w:pPr>
    </w:p>
    <w:p>
      <w:pPr>
        <w:pStyle w:val="BodyText"/>
        <w:spacing w:line="240" w:lineRule="auto"/>
        <w:ind w:left="114" w:right="0"/>
        <w:jc w:val="left"/>
      </w:pPr>
      <w:r>
        <w:rPr>
          <w:rFonts w:ascii="Arial" w:hAnsi="Arial" w:cs="Arial" w:eastAsia="Arial" w:hint="default"/>
        </w:rPr>
        <w:t>1</w:t>
      </w:r>
      <w:r>
        <w:rPr/>
        <w:t>、</w:t>
      </w:r>
      <w:r>
        <w:rPr>
          <w:rFonts w:ascii="Arial" w:hAnsi="Arial" w:cs="Arial" w:eastAsia="Arial" w:hint="default"/>
        </w:rPr>
        <w:t>LTE FDD</w:t>
      </w:r>
      <w:r>
        <w:rPr>
          <w:rFonts w:ascii="Arial" w:hAnsi="Arial" w:cs="Arial" w:eastAsia="Arial" w:hint="default"/>
          <w:spacing w:val="-8"/>
        </w:rPr>
        <w:t> </w:t>
      </w:r>
      <w:r>
        <w:rPr/>
        <w:t>牌照发放</w:t>
      </w:r>
    </w:p>
    <w:p>
      <w:pPr>
        <w:spacing w:line="240" w:lineRule="auto" w:before="1"/>
        <w:rPr>
          <w:rFonts w:ascii="宋体" w:hAnsi="宋体" w:cs="宋体" w:eastAsia="宋体" w:hint="default"/>
          <w:sz w:val="19"/>
          <w:szCs w:val="19"/>
        </w:rPr>
      </w:pPr>
    </w:p>
    <w:p>
      <w:pPr>
        <w:pStyle w:val="BodyText"/>
        <w:spacing w:line="225" w:lineRule="auto"/>
        <w:ind w:left="577" w:right="114"/>
        <w:jc w:val="both"/>
      </w:pPr>
      <w:r>
        <w:rPr>
          <w:w w:val="100"/>
        </w:rPr>
        <w:t>于</w:t>
      </w:r>
      <w:r>
        <w:rPr>
          <w:spacing w:val="-74"/>
          <w:w w:val="100"/>
        </w:rPr>
        <w:t> </w:t>
      </w:r>
      <w:r>
        <w:rPr>
          <w:rFonts w:ascii="Arial" w:hAnsi="Arial" w:cs="Arial" w:eastAsia="Arial" w:hint="default"/>
          <w:spacing w:val="-1"/>
          <w:w w:val="100"/>
        </w:rPr>
        <w:t>2015</w:t>
      </w:r>
      <w:r>
        <w:rPr>
          <w:rFonts w:ascii="Arial" w:hAnsi="Arial" w:cs="Arial" w:eastAsia="Arial" w:hint="default"/>
          <w:spacing w:val="-25"/>
          <w:w w:val="100"/>
        </w:rPr>
        <w:t> </w:t>
      </w:r>
      <w:r>
        <w:rPr>
          <w:w w:val="100"/>
        </w:rPr>
        <w:t>年</w:t>
      </w:r>
      <w:r>
        <w:rPr>
          <w:spacing w:val="-73"/>
          <w:w w:val="100"/>
        </w:rPr>
        <w:t> </w:t>
      </w:r>
      <w:r>
        <w:rPr>
          <w:rFonts w:ascii="Arial" w:hAnsi="Arial" w:cs="Arial" w:eastAsia="Arial" w:hint="default"/>
          <w:w w:val="100"/>
        </w:rPr>
        <w:t>2</w:t>
      </w:r>
      <w:r>
        <w:rPr>
          <w:rFonts w:ascii="Arial" w:hAnsi="Arial" w:cs="Arial" w:eastAsia="Arial" w:hint="default"/>
          <w:spacing w:val="-27"/>
          <w:w w:val="100"/>
        </w:rPr>
        <w:t> </w:t>
      </w:r>
      <w:r>
        <w:rPr>
          <w:w w:val="100"/>
        </w:rPr>
        <w:t>月</w:t>
      </w:r>
      <w:r>
        <w:rPr>
          <w:spacing w:val="-73"/>
          <w:w w:val="100"/>
        </w:rPr>
        <w:t> </w:t>
      </w:r>
      <w:r>
        <w:rPr>
          <w:rFonts w:ascii="Arial" w:hAnsi="Arial" w:cs="Arial" w:eastAsia="Arial" w:hint="default"/>
          <w:spacing w:val="-1"/>
          <w:w w:val="100"/>
        </w:rPr>
        <w:t>27</w:t>
      </w:r>
      <w:r>
        <w:rPr>
          <w:rFonts w:ascii="Arial" w:hAnsi="Arial" w:cs="Arial" w:eastAsia="Arial" w:hint="default"/>
          <w:spacing w:val="-25"/>
          <w:w w:val="100"/>
        </w:rPr>
        <w:t> </w:t>
      </w:r>
      <w:r>
        <w:rPr>
          <w:spacing w:val="-7"/>
          <w:w w:val="100"/>
        </w:rPr>
        <w:t>日，联通集团获得由工信部发放的的“</w:t>
      </w:r>
      <w:r>
        <w:rPr>
          <w:rFonts w:ascii="Arial" w:hAnsi="Arial" w:cs="Arial" w:eastAsia="Arial" w:hint="default"/>
          <w:spacing w:val="-7"/>
          <w:w w:val="100"/>
        </w:rPr>
        <w:t>LTE/</w:t>
      </w:r>
      <w:r>
        <w:rPr>
          <w:spacing w:val="-7"/>
          <w:w w:val="100"/>
        </w:rPr>
        <w:t>第四代数字蜂窝移动通信业务</w:t>
      </w:r>
      <w:r>
        <w:rPr>
          <w:rFonts w:ascii="Arial" w:hAnsi="Arial" w:cs="Arial" w:eastAsia="Arial" w:hint="default"/>
          <w:spacing w:val="-7"/>
          <w:w w:val="100"/>
        </w:rPr>
        <w:t>(LTE</w:t>
      </w:r>
      <w:r>
        <w:rPr>
          <w:rFonts w:ascii="Arial" w:hAnsi="Arial" w:cs="Arial" w:eastAsia="Arial" w:hint="default"/>
          <w:w w:val="100"/>
        </w:rPr>
        <w:t> </w:t>
      </w:r>
      <w:r>
        <w:rPr>
          <w:rFonts w:ascii="Arial" w:hAnsi="Arial" w:cs="Arial" w:eastAsia="Arial" w:hint="default"/>
          <w:spacing w:val="-3"/>
        </w:rPr>
        <w:t>FDD)</w:t>
      </w:r>
      <w:r>
        <w:rPr>
          <w:spacing w:val="-3"/>
        </w:rPr>
        <w:t>”经营许可。工信部同时批准联通集团授权本公司间接控股的子公司中国联合网络通信有</w:t>
      </w:r>
      <w:r>
        <w:rPr>
          <w:spacing w:val="-44"/>
        </w:rPr>
        <w:t> </w:t>
      </w:r>
      <w:r>
        <w:rPr>
          <w:spacing w:val="-44"/>
        </w:rPr>
      </w:r>
      <w:r>
        <w:rPr/>
        <w:t>限公司在全国范围内经营</w:t>
      </w:r>
      <w:r>
        <w:rPr>
          <w:spacing w:val="-58"/>
        </w:rPr>
        <w:t> </w:t>
      </w:r>
      <w:r>
        <w:rPr>
          <w:rFonts w:ascii="Arial" w:hAnsi="Arial" w:cs="Arial" w:eastAsia="Arial" w:hint="default"/>
        </w:rPr>
        <w:t>LTE/</w:t>
      </w:r>
      <w:r>
        <w:rPr/>
        <w:t>第四代数字蜂窝移动通信业务</w:t>
      </w:r>
      <w:r>
        <w:rPr>
          <w:rFonts w:ascii="Arial" w:hAnsi="Arial" w:cs="Arial" w:eastAsia="Arial" w:hint="default"/>
        </w:rPr>
        <w:t>(LTE</w:t>
      </w:r>
      <w:r>
        <w:rPr>
          <w:rFonts w:ascii="Arial" w:hAnsi="Arial" w:cs="Arial" w:eastAsia="Arial" w:hint="default"/>
          <w:spacing w:val="-6"/>
        </w:rPr>
        <w:t> </w:t>
      </w:r>
      <w:r>
        <w:rPr>
          <w:rFonts w:ascii="Arial" w:hAnsi="Arial" w:cs="Arial" w:eastAsia="Arial" w:hint="default"/>
        </w:rPr>
        <w:t>FDD)</w:t>
      </w:r>
      <w:r>
        <w:rPr/>
        <w:t>。</w:t>
      </w:r>
    </w:p>
    <w:p>
      <w:pPr>
        <w:spacing w:line="240" w:lineRule="auto" w:before="1"/>
        <w:rPr>
          <w:rFonts w:ascii="宋体" w:hAnsi="宋体" w:cs="宋体" w:eastAsia="宋体" w:hint="default"/>
          <w:sz w:val="18"/>
          <w:szCs w:val="18"/>
        </w:rPr>
      </w:pPr>
    </w:p>
    <w:p>
      <w:pPr>
        <w:pStyle w:val="BodyText"/>
        <w:spacing w:line="240" w:lineRule="auto"/>
        <w:ind w:left="114" w:right="0"/>
        <w:jc w:val="left"/>
      </w:pPr>
      <w:r>
        <w:rPr>
          <w:rFonts w:ascii="Arial" w:hAnsi="Arial" w:cs="Arial" w:eastAsia="Arial" w:hint="default"/>
        </w:rPr>
        <w:t>2</w:t>
      </w:r>
      <w:r>
        <w:rPr/>
        <w:t>、资产负债表日后利润分配情况</w:t>
      </w:r>
    </w:p>
    <w:p>
      <w:pPr>
        <w:spacing w:line="240" w:lineRule="auto" w:before="12"/>
        <w:rPr>
          <w:rFonts w:ascii="宋体" w:hAnsi="宋体" w:cs="宋体" w:eastAsia="宋体" w:hint="default"/>
          <w:sz w:val="17"/>
          <w:szCs w:val="17"/>
        </w:rPr>
      </w:pPr>
    </w:p>
    <w:p>
      <w:pPr>
        <w:pStyle w:val="BodyText"/>
        <w:spacing w:line="295" w:lineRule="exact"/>
        <w:ind w:left="577" w:right="0"/>
        <w:jc w:val="both"/>
      </w:pPr>
      <w:r>
        <w:rPr/>
        <w:t>根据</w:t>
      </w:r>
      <w:r>
        <w:rPr>
          <w:spacing w:val="-49"/>
        </w:rPr>
        <w:t> </w:t>
      </w:r>
      <w:r>
        <w:rPr>
          <w:rFonts w:ascii="Arial" w:hAnsi="Arial" w:cs="Arial" w:eastAsia="Arial" w:hint="default"/>
        </w:rPr>
        <w:t>2015</w:t>
      </w:r>
      <w:r>
        <w:rPr>
          <w:rFonts w:ascii="Arial" w:hAnsi="Arial" w:cs="Arial" w:eastAsia="Arial" w:hint="default"/>
          <w:spacing w:val="-3"/>
        </w:rPr>
        <w:t> </w:t>
      </w:r>
      <w:r>
        <w:rPr/>
        <w:t>年</w:t>
      </w:r>
      <w:r>
        <w:rPr>
          <w:spacing w:val="-49"/>
        </w:rPr>
        <w:t> </w:t>
      </w:r>
      <w:r>
        <w:rPr>
          <w:rFonts w:ascii="Arial" w:hAnsi="Arial" w:cs="Arial" w:eastAsia="Arial" w:hint="default"/>
        </w:rPr>
        <w:t>3</w:t>
      </w:r>
      <w:r>
        <w:rPr>
          <w:rFonts w:ascii="Arial" w:hAnsi="Arial" w:cs="Arial" w:eastAsia="Arial" w:hint="default"/>
          <w:spacing w:val="-3"/>
        </w:rPr>
        <w:t> </w:t>
      </w:r>
      <w:r>
        <w:rPr/>
        <w:t>月</w:t>
      </w:r>
      <w:r>
        <w:rPr>
          <w:spacing w:val="-49"/>
        </w:rPr>
        <w:t> </w:t>
      </w:r>
      <w:r>
        <w:rPr>
          <w:rFonts w:ascii="Arial" w:hAnsi="Arial" w:cs="Arial" w:eastAsia="Arial" w:hint="default"/>
        </w:rPr>
        <w:t>3</w:t>
      </w:r>
      <w:r>
        <w:rPr>
          <w:rFonts w:ascii="Arial" w:hAnsi="Arial" w:cs="Arial" w:eastAsia="Arial" w:hint="default"/>
          <w:spacing w:val="-3"/>
        </w:rPr>
        <w:t> </w:t>
      </w:r>
      <w:r>
        <w:rPr/>
        <w:t>日董事会决议，董事会提议本公司以</w:t>
      </w:r>
      <w:r>
        <w:rPr>
          <w:spacing w:val="-48"/>
        </w:rPr>
        <w:t> </w:t>
      </w:r>
      <w:r>
        <w:rPr>
          <w:rFonts w:ascii="Arial" w:hAnsi="Arial" w:cs="Arial" w:eastAsia="Arial" w:hint="default"/>
        </w:rPr>
        <w:t>2014</w:t>
      </w:r>
      <w:r>
        <w:rPr>
          <w:rFonts w:ascii="Arial" w:hAnsi="Arial" w:cs="Arial" w:eastAsia="Arial" w:hint="default"/>
          <w:spacing w:val="-1"/>
        </w:rPr>
        <w:t> </w:t>
      </w:r>
      <w:r>
        <w:rPr/>
        <w:t>年</w:t>
      </w:r>
      <w:r>
        <w:rPr>
          <w:spacing w:val="-49"/>
        </w:rPr>
        <w:t> </w:t>
      </w:r>
      <w:r>
        <w:rPr>
          <w:rFonts w:ascii="Arial" w:hAnsi="Arial" w:cs="Arial" w:eastAsia="Arial" w:hint="default"/>
        </w:rPr>
        <w:t>12</w:t>
      </w:r>
      <w:r>
        <w:rPr>
          <w:rFonts w:ascii="Arial" w:hAnsi="Arial" w:cs="Arial" w:eastAsia="Arial" w:hint="default"/>
          <w:spacing w:val="-1"/>
        </w:rPr>
        <w:t> </w:t>
      </w:r>
      <w:r>
        <w:rPr/>
        <w:t>月</w:t>
      </w:r>
      <w:r>
        <w:rPr>
          <w:spacing w:val="-49"/>
        </w:rPr>
        <w:t> </w:t>
      </w:r>
      <w:r>
        <w:rPr>
          <w:rFonts w:ascii="Arial" w:hAnsi="Arial" w:cs="Arial" w:eastAsia="Arial" w:hint="default"/>
        </w:rPr>
        <w:t>31</w:t>
      </w:r>
      <w:r>
        <w:rPr>
          <w:rFonts w:ascii="Arial" w:hAnsi="Arial" w:cs="Arial" w:eastAsia="Arial" w:hint="default"/>
          <w:spacing w:val="-3"/>
        </w:rPr>
        <w:t> </w:t>
      </w:r>
      <w:r>
        <w:rPr/>
        <w:t>日的股本为基准向</w:t>
      </w:r>
    </w:p>
    <w:p>
      <w:pPr>
        <w:pStyle w:val="BodyText"/>
        <w:spacing w:line="286" w:lineRule="exact" w:before="19"/>
        <w:ind w:left="577" w:right="110"/>
        <w:jc w:val="left"/>
      </w:pPr>
      <w:r>
        <w:rPr/>
        <w:t>全体股东分配每</w:t>
      </w:r>
      <w:r>
        <w:rPr>
          <w:spacing w:val="-51"/>
        </w:rPr>
        <w:t> </w:t>
      </w:r>
      <w:r>
        <w:rPr>
          <w:rFonts w:ascii="Arial" w:hAnsi="Arial" w:cs="Arial" w:eastAsia="Arial" w:hint="default"/>
        </w:rPr>
        <w:t>10</w:t>
      </w:r>
      <w:r>
        <w:rPr>
          <w:rFonts w:ascii="Arial" w:hAnsi="Arial" w:cs="Arial" w:eastAsia="Arial" w:hint="default"/>
          <w:spacing w:val="-5"/>
        </w:rPr>
        <w:t> </w:t>
      </w:r>
      <w:r>
        <w:rPr/>
        <w:t>股股利人民币</w:t>
      </w:r>
      <w:r>
        <w:rPr>
          <w:spacing w:val="-51"/>
        </w:rPr>
        <w:t> </w:t>
      </w:r>
      <w:r>
        <w:rPr>
          <w:rFonts w:ascii="Arial" w:hAnsi="Arial" w:cs="Arial" w:eastAsia="Arial" w:hint="default"/>
        </w:rPr>
        <w:t>0.673</w:t>
      </w:r>
      <w:r>
        <w:rPr>
          <w:rFonts w:ascii="Arial" w:hAnsi="Arial" w:cs="Arial" w:eastAsia="Arial" w:hint="default"/>
          <w:spacing w:val="-3"/>
        </w:rPr>
        <w:t> </w:t>
      </w:r>
      <w:r>
        <w:rPr>
          <w:spacing w:val="-8"/>
        </w:rPr>
        <w:t>元（含税），合计约人民币</w:t>
      </w:r>
      <w:r>
        <w:rPr>
          <w:spacing w:val="-51"/>
        </w:rPr>
        <w:t> </w:t>
      </w:r>
      <w:r>
        <w:rPr>
          <w:rFonts w:ascii="Arial" w:hAnsi="Arial" w:cs="Arial" w:eastAsia="Arial" w:hint="default"/>
        </w:rPr>
        <w:t>14.27</w:t>
      </w:r>
      <w:r>
        <w:rPr>
          <w:rFonts w:ascii="Arial" w:hAnsi="Arial" w:cs="Arial" w:eastAsia="Arial" w:hint="default"/>
          <w:spacing w:val="-5"/>
        </w:rPr>
        <w:t> </w:t>
      </w:r>
      <w:r>
        <w:rPr>
          <w:spacing w:val="-4"/>
        </w:rPr>
        <w:t>亿元。该股利分配预</w:t>
      </w:r>
      <w:r>
        <w:rPr>
          <w:w w:val="100"/>
        </w:rPr>
        <w:t> </w:t>
      </w:r>
      <w:r>
        <w:rPr/>
        <w:t>案尚未经本公司股东大会批准，故未在本财务报表中确认为负债。</w:t>
      </w:r>
    </w:p>
    <w:p>
      <w:pPr>
        <w:spacing w:line="240" w:lineRule="auto" w:before="1"/>
        <w:rPr>
          <w:rFonts w:ascii="宋体" w:hAnsi="宋体" w:cs="宋体" w:eastAsia="宋体" w:hint="default"/>
          <w:sz w:val="17"/>
          <w:szCs w:val="17"/>
        </w:rPr>
      </w:pPr>
    </w:p>
    <w:p>
      <w:pPr>
        <w:pStyle w:val="BodyText"/>
        <w:spacing w:line="240" w:lineRule="auto"/>
        <w:ind w:left="142" w:right="0"/>
        <w:jc w:val="left"/>
        <w:rPr>
          <w:rFonts w:ascii="黑体" w:hAnsi="黑体" w:cs="黑体" w:eastAsia="黑体" w:hint="default"/>
        </w:rPr>
      </w:pPr>
      <w:r>
        <w:rPr>
          <w:rFonts w:ascii="黑体" w:hAnsi="黑体" w:cs="黑体" w:eastAsia="黑体" w:hint="default"/>
        </w:rPr>
        <w:t>十三</w:t>
      </w:r>
      <w:r>
        <w:rPr>
          <w:rFonts w:ascii="黑体" w:hAnsi="黑体" w:cs="黑体" w:eastAsia="黑体" w:hint="default"/>
          <w:spacing w:val="73"/>
        </w:rPr>
        <w:t> </w:t>
      </w:r>
      <w:r>
        <w:rPr>
          <w:rFonts w:ascii="黑体" w:hAnsi="黑体" w:cs="黑体" w:eastAsia="黑体" w:hint="default"/>
        </w:rPr>
        <w:t>分部信息</w:t>
      </w:r>
    </w:p>
    <w:p>
      <w:pPr>
        <w:spacing w:line="240" w:lineRule="auto" w:before="7"/>
        <w:rPr>
          <w:rFonts w:ascii="黑体" w:hAnsi="黑体" w:cs="黑体" w:eastAsia="黑体" w:hint="default"/>
          <w:sz w:val="21"/>
          <w:szCs w:val="21"/>
        </w:rPr>
      </w:pPr>
    </w:p>
    <w:p>
      <w:pPr>
        <w:pStyle w:val="BodyText"/>
        <w:spacing w:line="284" w:lineRule="exact"/>
        <w:ind w:left="574" w:right="0"/>
        <w:jc w:val="left"/>
      </w:pPr>
      <w:r>
        <w:rPr>
          <w:spacing w:val="-3"/>
        </w:rPr>
        <w:t>本公司的执行董事已被认定为主要经营决策者。经营分部以主要经营决策者定期审阅用以分配</w:t>
      </w:r>
      <w:r>
        <w:rPr>
          <w:spacing w:val="-66"/>
        </w:rPr>
        <w:t> </w:t>
      </w:r>
      <w:r>
        <w:rPr>
          <w:spacing w:val="-66"/>
        </w:rPr>
      </w:r>
      <w:r>
        <w:rPr/>
        <w:t>资源及评估分部表现的内部财务报告为基础进行辨别。</w:t>
      </w:r>
    </w:p>
    <w:p>
      <w:pPr>
        <w:spacing w:line="240" w:lineRule="auto" w:before="6"/>
        <w:rPr>
          <w:rFonts w:ascii="宋体" w:hAnsi="宋体" w:cs="宋体" w:eastAsia="宋体" w:hint="default"/>
          <w:sz w:val="19"/>
          <w:szCs w:val="19"/>
        </w:rPr>
      </w:pPr>
    </w:p>
    <w:p>
      <w:pPr>
        <w:pStyle w:val="BodyText"/>
        <w:spacing w:line="286" w:lineRule="exact"/>
        <w:ind w:left="574" w:right="0"/>
        <w:jc w:val="left"/>
      </w:pPr>
      <w:r>
        <w:rPr>
          <w:spacing w:val="-3"/>
        </w:rPr>
        <w:t>主要经营决策者根据内部管理职能分配资源，将本集团视为一个整体而非以业务之种类或地区</w:t>
      </w:r>
      <w:r>
        <w:rPr>
          <w:spacing w:val="-67"/>
        </w:rPr>
        <w:t> </w:t>
      </w:r>
      <w:r>
        <w:rPr>
          <w:spacing w:val="-67"/>
        </w:rPr>
      </w:r>
      <w:r>
        <w:rPr/>
        <w:t>角度进行业绩评估。因此，本集团只有一个经营分部，且无需列示分部资料。</w:t>
      </w:r>
    </w:p>
    <w:p>
      <w:pPr>
        <w:spacing w:line="240" w:lineRule="auto" w:before="3"/>
        <w:rPr>
          <w:rFonts w:ascii="宋体" w:hAnsi="宋体" w:cs="宋体" w:eastAsia="宋体" w:hint="default"/>
          <w:sz w:val="19"/>
          <w:szCs w:val="19"/>
        </w:rPr>
      </w:pPr>
    </w:p>
    <w:p>
      <w:pPr>
        <w:pStyle w:val="BodyText"/>
        <w:spacing w:line="286" w:lineRule="exact"/>
        <w:ind w:left="574" w:right="0"/>
        <w:jc w:val="left"/>
      </w:pPr>
      <w:r>
        <w:rPr>
          <w:spacing w:val="-3"/>
        </w:rPr>
        <w:t>本集团主要在中国大陆经营，所以没有列示地区资料。在所有列报期间，本集团均没有从单一</w:t>
      </w:r>
      <w:r>
        <w:rPr>
          <w:spacing w:val="-66"/>
        </w:rPr>
        <w:t> </w:t>
      </w:r>
      <w:r>
        <w:rPr>
          <w:spacing w:val="-66"/>
        </w:rPr>
      </w:r>
      <w:r>
        <w:rPr/>
        <w:t>外部客户取得占本集团收入总额的</w:t>
      </w:r>
      <w:r>
        <w:rPr>
          <w:spacing w:val="-58"/>
        </w:rPr>
        <w:t> </w:t>
      </w:r>
      <w:r>
        <w:rPr>
          <w:rFonts w:ascii="Arial" w:hAnsi="Arial" w:cs="Arial" w:eastAsia="Arial" w:hint="default"/>
        </w:rPr>
        <w:t>10%</w:t>
      </w:r>
      <w:r>
        <w:rPr/>
        <w:t>或以上的收入。</w:t>
      </w:r>
    </w:p>
    <w:p>
      <w:pPr>
        <w:spacing w:after="0" w:line="286" w:lineRule="exact"/>
        <w:jc w:val="left"/>
        <w:sectPr>
          <w:headerReference w:type="default" r:id="rId148"/>
          <w:pgSz w:w="11910" w:h="16840"/>
          <w:pgMar w:header="1181" w:footer="923" w:top="2500" w:bottom="1120" w:left="1240" w:right="920"/>
        </w:sectPr>
      </w:pPr>
    </w:p>
    <w:p>
      <w:pPr>
        <w:spacing w:line="240" w:lineRule="auto" w:before="7"/>
        <w:rPr>
          <w:rFonts w:ascii="宋体" w:hAnsi="宋体" w:cs="宋体" w:eastAsia="宋体" w:hint="default"/>
          <w:sz w:val="16"/>
          <w:szCs w:val="16"/>
        </w:rPr>
      </w:pPr>
    </w:p>
    <w:p>
      <w:pPr>
        <w:pStyle w:val="BodyText"/>
        <w:spacing w:line="240" w:lineRule="auto" w:before="32"/>
        <w:ind w:left="102" w:right="1639"/>
        <w:jc w:val="left"/>
        <w:rPr>
          <w:rFonts w:ascii="黑体" w:hAnsi="黑体" w:cs="黑体" w:eastAsia="黑体" w:hint="default"/>
        </w:rPr>
      </w:pPr>
      <w:r>
        <w:rPr>
          <w:rFonts w:ascii="黑体" w:hAnsi="黑体" w:cs="黑体" w:eastAsia="黑体" w:hint="default"/>
        </w:rPr>
        <w:t>十四</w:t>
      </w:r>
      <w:r>
        <w:rPr>
          <w:rFonts w:ascii="黑体" w:hAnsi="黑体" w:cs="黑体" w:eastAsia="黑体" w:hint="default"/>
          <w:spacing w:val="70"/>
        </w:rPr>
        <w:t> </w:t>
      </w:r>
      <w:r>
        <w:rPr>
          <w:rFonts w:ascii="黑体" w:hAnsi="黑体" w:cs="黑体" w:eastAsia="黑体" w:hint="default"/>
        </w:rPr>
        <w:t>本公司个别财务报表主要项目注释</w:t>
      </w:r>
    </w:p>
    <w:p>
      <w:pPr>
        <w:spacing w:line="240" w:lineRule="auto" w:before="3"/>
        <w:rPr>
          <w:rFonts w:ascii="黑体" w:hAnsi="黑体" w:cs="黑体" w:eastAsia="黑体" w:hint="default"/>
          <w:sz w:val="15"/>
          <w:szCs w:val="15"/>
        </w:rPr>
      </w:pPr>
    </w:p>
    <w:p>
      <w:pPr>
        <w:pStyle w:val="BodyText"/>
        <w:tabs>
          <w:tab w:pos="724" w:val="left" w:leader="none"/>
        </w:tabs>
        <w:spacing w:line="240" w:lineRule="auto"/>
        <w:ind w:left="155" w:right="1639"/>
        <w:jc w:val="left"/>
      </w:pPr>
      <w:r>
        <w:rPr>
          <w:rFonts w:ascii="Arial" w:hAnsi="Arial" w:cs="Arial" w:eastAsia="Arial" w:hint="default"/>
          <w:spacing w:val="-1"/>
        </w:rPr>
        <w:t>1</w:t>
      </w:r>
      <w:r>
        <w:rPr>
          <w:spacing w:val="-1"/>
        </w:rPr>
        <w:t>、</w:t>
        <w:tab/>
      </w:r>
      <w:r>
        <w:rPr/>
        <w:t>货币资金</w:t>
      </w:r>
    </w:p>
    <w:p>
      <w:pPr>
        <w:spacing w:line="240" w:lineRule="auto" w:before="0"/>
        <w:rPr>
          <w:rFonts w:ascii="宋体" w:hAnsi="宋体" w:cs="宋体" w:eastAsia="宋体" w:hint="default"/>
          <w:sz w:val="23"/>
          <w:szCs w:val="23"/>
        </w:rPr>
      </w:pPr>
    </w:p>
    <w:tbl>
      <w:tblPr>
        <w:tblW w:w="0" w:type="auto"/>
        <w:jc w:val="left"/>
        <w:tblInd w:w="562" w:type="dxa"/>
        <w:tblLayout w:type="fixed"/>
        <w:tblCellMar>
          <w:top w:w="0" w:type="dxa"/>
          <w:left w:w="0" w:type="dxa"/>
          <w:bottom w:w="0" w:type="dxa"/>
          <w:right w:w="0" w:type="dxa"/>
        </w:tblCellMar>
        <w:tblLook w:val="01E0"/>
      </w:tblPr>
      <w:tblGrid>
        <w:gridCol w:w="4384"/>
        <w:gridCol w:w="2312"/>
        <w:gridCol w:w="124"/>
        <w:gridCol w:w="2316"/>
      </w:tblGrid>
      <w:tr>
        <w:trPr>
          <w:trHeight w:val="264" w:hRule="exact"/>
        </w:trPr>
        <w:tc>
          <w:tcPr>
            <w:tcW w:w="4384" w:type="dxa"/>
            <w:tcBorders>
              <w:top w:val="nil" w:sz="6" w:space="0" w:color="auto"/>
              <w:left w:val="nil" w:sz="6" w:space="0" w:color="auto"/>
              <w:bottom w:val="nil" w:sz="6" w:space="0" w:color="auto"/>
              <w:right w:val="nil" w:sz="6" w:space="0" w:color="auto"/>
            </w:tcBorders>
          </w:tcPr>
          <w:p>
            <w:pPr/>
          </w:p>
        </w:tc>
        <w:tc>
          <w:tcPr>
            <w:tcW w:w="2312" w:type="dxa"/>
            <w:tcBorders>
              <w:top w:val="nil" w:sz="6" w:space="0" w:color="auto"/>
              <w:left w:val="nil" w:sz="6" w:space="0" w:color="auto"/>
              <w:bottom w:val="single" w:sz="6" w:space="0" w:color="000000"/>
              <w:right w:val="nil" w:sz="6" w:space="0" w:color="auto"/>
            </w:tcBorders>
          </w:tcPr>
          <w:p>
            <w:pPr>
              <w:pStyle w:val="TableParagraph"/>
              <w:spacing w:line="236" w:lineRule="exact"/>
              <w:ind w:right="51"/>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24" w:type="dxa"/>
            <w:tcBorders>
              <w:top w:val="nil" w:sz="6" w:space="0" w:color="auto"/>
              <w:left w:val="nil" w:sz="6" w:space="0" w:color="auto"/>
              <w:bottom w:val="nil" w:sz="6" w:space="0" w:color="auto"/>
              <w:right w:val="nil" w:sz="6" w:space="0" w:color="auto"/>
            </w:tcBorders>
          </w:tcPr>
          <w:p>
            <w:pPr/>
          </w:p>
        </w:tc>
        <w:tc>
          <w:tcPr>
            <w:tcW w:w="2316" w:type="dxa"/>
            <w:tcBorders>
              <w:top w:val="nil" w:sz="6" w:space="0" w:color="auto"/>
              <w:left w:val="nil" w:sz="6" w:space="0" w:color="auto"/>
              <w:bottom w:val="single" w:sz="6" w:space="0" w:color="000000"/>
              <w:right w:val="nil" w:sz="6" w:space="0" w:color="auto"/>
            </w:tcBorders>
          </w:tcPr>
          <w:p>
            <w:pPr>
              <w:pStyle w:val="TableParagraph"/>
              <w:spacing w:line="236" w:lineRule="exact"/>
              <w:ind w:right="0"/>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68" w:hRule="exact"/>
        </w:trPr>
        <w:tc>
          <w:tcPr>
            <w:tcW w:w="43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库存现金</w:t>
            </w:r>
          </w:p>
        </w:tc>
        <w:tc>
          <w:tcPr>
            <w:tcW w:w="2312"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right"/>
              <w:rPr>
                <w:rFonts w:ascii="Arial" w:hAnsi="Arial" w:cs="Arial" w:eastAsia="Arial" w:hint="default"/>
                <w:sz w:val="22"/>
                <w:szCs w:val="22"/>
              </w:rPr>
            </w:pPr>
            <w:r>
              <w:rPr>
                <w:rFonts w:ascii="Arial"/>
                <w:spacing w:val="-1"/>
                <w:sz w:val="22"/>
              </w:rPr>
              <w:t>13,617</w:t>
            </w:r>
          </w:p>
        </w:tc>
        <w:tc>
          <w:tcPr>
            <w:tcW w:w="124" w:type="dxa"/>
            <w:tcBorders>
              <w:top w:val="nil" w:sz="6" w:space="0" w:color="auto"/>
              <w:left w:val="nil" w:sz="6" w:space="0" w:color="auto"/>
              <w:bottom w:val="nil" w:sz="6" w:space="0" w:color="auto"/>
              <w:right w:val="nil" w:sz="6" w:space="0" w:color="auto"/>
            </w:tcBorders>
          </w:tcPr>
          <w:p>
            <w:pPr/>
          </w:p>
        </w:tc>
        <w:tc>
          <w:tcPr>
            <w:tcW w:w="2316"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
              <w:jc w:val="right"/>
              <w:rPr>
                <w:rFonts w:ascii="Arial" w:hAnsi="Arial" w:cs="Arial" w:eastAsia="Arial" w:hint="default"/>
                <w:sz w:val="22"/>
                <w:szCs w:val="22"/>
              </w:rPr>
            </w:pPr>
            <w:r>
              <w:rPr>
                <w:rFonts w:ascii="Arial"/>
                <w:spacing w:val="-1"/>
                <w:sz w:val="22"/>
              </w:rPr>
              <w:t>22,749</w:t>
            </w:r>
          </w:p>
        </w:tc>
      </w:tr>
      <w:tr>
        <w:trPr>
          <w:trHeight w:val="400" w:hRule="exact"/>
        </w:trPr>
        <w:tc>
          <w:tcPr>
            <w:tcW w:w="4384"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银行存款</w:t>
            </w:r>
          </w:p>
        </w:tc>
        <w:tc>
          <w:tcPr>
            <w:tcW w:w="2312" w:type="dxa"/>
            <w:tcBorders>
              <w:top w:val="nil" w:sz="6" w:space="0" w:color="auto"/>
              <w:left w:val="nil" w:sz="6" w:space="0" w:color="auto"/>
              <w:bottom w:val="nil" w:sz="6" w:space="0" w:color="auto"/>
              <w:right w:val="nil" w:sz="6" w:space="0" w:color="auto"/>
            </w:tcBorders>
          </w:tcPr>
          <w:p>
            <w:pPr>
              <w:pStyle w:val="TableParagraph"/>
              <w:tabs>
                <w:tab w:pos="1207"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35,951,477</w:t>
            </w:r>
            <w:r>
              <w:rPr>
                <w:rFonts w:ascii="Arial"/>
                <w:spacing w:val="-1"/>
                <w:sz w:val="22"/>
              </w:rPr>
            </w:r>
          </w:p>
        </w:tc>
        <w:tc>
          <w:tcPr>
            <w:tcW w:w="124" w:type="dxa"/>
            <w:tcBorders>
              <w:top w:val="nil" w:sz="6" w:space="0" w:color="auto"/>
              <w:left w:val="nil" w:sz="6" w:space="0" w:color="auto"/>
              <w:bottom w:val="nil" w:sz="6" w:space="0" w:color="auto"/>
              <w:right w:val="nil" w:sz="6" w:space="0" w:color="auto"/>
            </w:tcBorders>
          </w:tcPr>
          <w:p>
            <w:pPr/>
          </w:p>
        </w:tc>
        <w:tc>
          <w:tcPr>
            <w:tcW w:w="2316" w:type="dxa"/>
            <w:tcBorders>
              <w:top w:val="nil" w:sz="6" w:space="0" w:color="auto"/>
              <w:left w:val="nil" w:sz="6" w:space="0" w:color="auto"/>
              <w:bottom w:val="nil" w:sz="6" w:space="0" w:color="auto"/>
              <w:right w:val="nil" w:sz="6" w:space="0" w:color="auto"/>
            </w:tcBorders>
          </w:tcPr>
          <w:p>
            <w:pPr>
              <w:pStyle w:val="TableParagraph"/>
              <w:tabs>
                <w:tab w:pos="1210" w:val="left" w:leader="none"/>
              </w:tabs>
              <w:spacing w:line="240" w:lineRule="auto" w:before="20"/>
              <w:ind w:right="1"/>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28,469,958</w:t>
            </w:r>
            <w:r>
              <w:rPr>
                <w:rFonts w:ascii="Arial"/>
                <w:spacing w:val="-1"/>
                <w:sz w:val="22"/>
              </w:rPr>
            </w:r>
          </w:p>
        </w:tc>
      </w:tr>
      <w:tr>
        <w:trPr>
          <w:trHeight w:val="410" w:hRule="exact"/>
        </w:trPr>
        <w:tc>
          <w:tcPr>
            <w:tcW w:w="438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12" w:type="dxa"/>
            <w:tcBorders>
              <w:top w:val="nil" w:sz="6" w:space="0" w:color="auto"/>
              <w:left w:val="nil" w:sz="6" w:space="0" w:color="auto"/>
              <w:bottom w:val="single" w:sz="17" w:space="0" w:color="000000"/>
              <w:right w:val="nil" w:sz="6" w:space="0" w:color="auto"/>
            </w:tcBorders>
          </w:tcPr>
          <w:p>
            <w:pPr>
              <w:pStyle w:val="TableParagraph"/>
              <w:spacing w:line="240" w:lineRule="auto" w:before="131"/>
              <w:ind w:right="0"/>
              <w:jc w:val="right"/>
              <w:rPr>
                <w:rFonts w:ascii="Arial" w:hAnsi="Arial" w:cs="Arial" w:eastAsia="Arial" w:hint="default"/>
                <w:sz w:val="22"/>
                <w:szCs w:val="22"/>
              </w:rPr>
            </w:pPr>
            <w:r>
              <w:rPr>
                <w:rFonts w:ascii="Arial"/>
                <w:spacing w:val="-1"/>
                <w:sz w:val="22"/>
              </w:rPr>
              <w:t>35,965,094</w:t>
            </w:r>
          </w:p>
        </w:tc>
        <w:tc>
          <w:tcPr>
            <w:tcW w:w="124" w:type="dxa"/>
            <w:tcBorders>
              <w:top w:val="nil" w:sz="6" w:space="0" w:color="auto"/>
              <w:left w:val="nil" w:sz="6" w:space="0" w:color="auto"/>
              <w:bottom w:val="nil" w:sz="6" w:space="0" w:color="auto"/>
              <w:right w:val="nil" w:sz="6" w:space="0" w:color="auto"/>
            </w:tcBorders>
          </w:tcPr>
          <w:p>
            <w:pPr/>
          </w:p>
        </w:tc>
        <w:tc>
          <w:tcPr>
            <w:tcW w:w="2316" w:type="dxa"/>
            <w:tcBorders>
              <w:top w:val="nil" w:sz="6" w:space="0" w:color="auto"/>
              <w:left w:val="nil" w:sz="6" w:space="0" w:color="auto"/>
              <w:bottom w:val="single" w:sz="17" w:space="0" w:color="000000"/>
              <w:right w:val="nil" w:sz="6" w:space="0" w:color="auto"/>
            </w:tcBorders>
          </w:tcPr>
          <w:p>
            <w:pPr>
              <w:pStyle w:val="TableParagraph"/>
              <w:spacing w:line="240" w:lineRule="auto" w:before="131"/>
              <w:ind w:right="1"/>
              <w:jc w:val="right"/>
              <w:rPr>
                <w:rFonts w:ascii="Arial" w:hAnsi="Arial" w:cs="Arial" w:eastAsia="Arial" w:hint="default"/>
                <w:sz w:val="22"/>
                <w:szCs w:val="22"/>
              </w:rPr>
            </w:pPr>
            <w:r>
              <w:rPr>
                <w:rFonts w:ascii="Arial"/>
                <w:spacing w:val="-1"/>
                <w:sz w:val="22"/>
              </w:rPr>
              <w:t>28,492,707</w:t>
            </w:r>
          </w:p>
        </w:tc>
      </w:tr>
    </w:tbl>
    <w:p>
      <w:pPr>
        <w:spacing w:line="240" w:lineRule="auto" w:before="12"/>
        <w:rPr>
          <w:rFonts w:ascii="宋体" w:hAnsi="宋体" w:cs="宋体" w:eastAsia="宋体" w:hint="default"/>
          <w:sz w:val="9"/>
          <w:szCs w:val="9"/>
        </w:rPr>
      </w:pPr>
    </w:p>
    <w:p>
      <w:pPr>
        <w:pStyle w:val="BodyText"/>
        <w:tabs>
          <w:tab w:pos="760" w:val="left" w:leader="none"/>
        </w:tabs>
        <w:spacing w:line="240" w:lineRule="auto" w:before="32"/>
        <w:ind w:left="114" w:right="1639"/>
        <w:jc w:val="left"/>
      </w:pPr>
      <w:r>
        <w:rPr>
          <w:rFonts w:ascii="Arial" w:hAnsi="Arial" w:cs="Arial" w:eastAsia="Arial" w:hint="default"/>
          <w:spacing w:val="-1"/>
        </w:rPr>
        <w:t>2</w:t>
      </w:r>
      <w:r>
        <w:rPr>
          <w:spacing w:val="-1"/>
        </w:rPr>
        <w:t>、</w:t>
        <w:tab/>
      </w:r>
      <w:r>
        <w:rPr/>
        <w:t>应收股利</w:t>
      </w:r>
    </w:p>
    <w:p>
      <w:pPr>
        <w:spacing w:line="240" w:lineRule="auto" w:before="9"/>
        <w:rPr>
          <w:rFonts w:ascii="宋体" w:hAnsi="宋体" w:cs="宋体" w:eastAsia="宋体" w:hint="default"/>
          <w:sz w:val="17"/>
          <w:szCs w:val="17"/>
        </w:rPr>
      </w:pPr>
    </w:p>
    <w:tbl>
      <w:tblPr>
        <w:tblW w:w="0" w:type="auto"/>
        <w:jc w:val="left"/>
        <w:tblInd w:w="548" w:type="dxa"/>
        <w:tblLayout w:type="fixed"/>
        <w:tblCellMar>
          <w:top w:w="0" w:type="dxa"/>
          <w:left w:w="0" w:type="dxa"/>
          <w:bottom w:w="0" w:type="dxa"/>
          <w:right w:w="0" w:type="dxa"/>
        </w:tblCellMar>
        <w:tblLook w:val="01E0"/>
      </w:tblPr>
      <w:tblGrid>
        <w:gridCol w:w="4365"/>
        <w:gridCol w:w="2290"/>
        <w:gridCol w:w="118"/>
        <w:gridCol w:w="2259"/>
      </w:tblGrid>
      <w:tr>
        <w:trPr>
          <w:trHeight w:val="264" w:hRule="exact"/>
        </w:trPr>
        <w:tc>
          <w:tcPr>
            <w:tcW w:w="4365"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single" w:sz="6" w:space="0" w:color="000000"/>
              <w:right w:val="nil" w:sz="6" w:space="0" w:color="auto"/>
            </w:tcBorders>
          </w:tcPr>
          <w:p>
            <w:pPr>
              <w:pStyle w:val="TableParagraph"/>
              <w:spacing w:line="236" w:lineRule="exact"/>
              <w:ind w:right="36"/>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18" w:type="dxa"/>
            <w:tcBorders>
              <w:top w:val="nil" w:sz="6" w:space="0" w:color="auto"/>
              <w:left w:val="nil" w:sz="6" w:space="0" w:color="auto"/>
              <w:bottom w:val="nil" w:sz="6" w:space="0" w:color="auto"/>
              <w:right w:val="nil" w:sz="6" w:space="0" w:color="auto"/>
            </w:tcBorders>
          </w:tcPr>
          <w:p>
            <w:pPr/>
          </w:p>
        </w:tc>
        <w:tc>
          <w:tcPr>
            <w:tcW w:w="2259" w:type="dxa"/>
            <w:tcBorders>
              <w:top w:val="nil" w:sz="6" w:space="0" w:color="auto"/>
              <w:left w:val="nil" w:sz="6" w:space="0" w:color="auto"/>
              <w:bottom w:val="single" w:sz="6" w:space="0" w:color="000000"/>
              <w:right w:val="nil" w:sz="6" w:space="0" w:color="auto"/>
            </w:tcBorders>
          </w:tcPr>
          <w:p>
            <w:pPr>
              <w:pStyle w:val="TableParagraph"/>
              <w:spacing w:line="236" w:lineRule="exact"/>
              <w:ind w:right="0"/>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95" w:hRule="exact"/>
        </w:trPr>
        <w:tc>
          <w:tcPr>
            <w:tcW w:w="436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应收股利</w:t>
            </w:r>
          </w:p>
        </w:tc>
        <w:tc>
          <w:tcPr>
            <w:tcW w:w="2290" w:type="dxa"/>
            <w:tcBorders>
              <w:top w:val="single" w:sz="6"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71"/>
              <w:jc w:val="right"/>
              <w:rPr>
                <w:rFonts w:ascii="Arial" w:hAnsi="Arial" w:cs="Arial" w:eastAsia="Arial" w:hint="default"/>
                <w:sz w:val="22"/>
                <w:szCs w:val="22"/>
              </w:rPr>
            </w:pPr>
            <w:r>
              <w:rPr>
                <w:rFonts w:ascii="Arial"/>
                <w:spacing w:val="-1"/>
                <w:sz w:val="22"/>
              </w:rPr>
              <w:t>770,946,023</w:t>
            </w:r>
          </w:p>
        </w:tc>
        <w:tc>
          <w:tcPr>
            <w:tcW w:w="118" w:type="dxa"/>
            <w:tcBorders>
              <w:top w:val="nil" w:sz="6" w:space="0" w:color="auto"/>
              <w:left w:val="nil" w:sz="6" w:space="0" w:color="auto"/>
              <w:bottom w:val="nil" w:sz="6" w:space="0" w:color="auto"/>
              <w:right w:val="nil" w:sz="6" w:space="0" w:color="auto"/>
            </w:tcBorders>
          </w:tcPr>
          <w:p>
            <w:pPr/>
          </w:p>
        </w:tc>
        <w:tc>
          <w:tcPr>
            <w:tcW w:w="2259" w:type="dxa"/>
            <w:tcBorders>
              <w:top w:val="single" w:sz="6"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3"/>
              <w:jc w:val="right"/>
              <w:rPr>
                <w:rFonts w:ascii="Arial" w:hAnsi="Arial" w:cs="Arial" w:eastAsia="Arial" w:hint="default"/>
                <w:sz w:val="22"/>
                <w:szCs w:val="22"/>
              </w:rPr>
            </w:pPr>
            <w:r>
              <w:rPr>
                <w:rFonts w:ascii="Arial"/>
                <w:spacing w:val="-1"/>
                <w:sz w:val="22"/>
              </w:rPr>
              <w:t>651,379,217</w:t>
            </w:r>
          </w:p>
        </w:tc>
      </w:tr>
    </w:tbl>
    <w:p>
      <w:pPr>
        <w:spacing w:line="240" w:lineRule="auto" w:before="13"/>
        <w:rPr>
          <w:rFonts w:ascii="宋体" w:hAnsi="宋体" w:cs="宋体" w:eastAsia="宋体" w:hint="default"/>
          <w:sz w:val="13"/>
          <w:szCs w:val="13"/>
        </w:rPr>
      </w:pPr>
    </w:p>
    <w:p>
      <w:pPr>
        <w:pStyle w:val="BodyText"/>
        <w:spacing w:line="225" w:lineRule="auto" w:before="48"/>
        <w:ind w:left="774" w:right="213"/>
        <w:jc w:val="both"/>
      </w:pPr>
      <w:r>
        <w:rPr>
          <w:w w:val="100"/>
        </w:rPr>
        <w:t>于</w:t>
      </w:r>
      <w:r>
        <w:rPr>
          <w:spacing w:val="-55"/>
          <w:w w:val="100"/>
        </w:rPr>
        <w:t> </w:t>
      </w:r>
      <w:r>
        <w:rPr>
          <w:rFonts w:ascii="Arial" w:hAnsi="Arial" w:cs="Arial" w:eastAsia="Arial" w:hint="default"/>
          <w:spacing w:val="-1"/>
          <w:w w:val="100"/>
        </w:rPr>
        <w:t>2014</w:t>
      </w:r>
      <w:r>
        <w:rPr>
          <w:rFonts w:ascii="Arial" w:hAnsi="Arial" w:cs="Arial" w:eastAsia="Arial" w:hint="default"/>
          <w:spacing w:val="-7"/>
          <w:w w:val="100"/>
        </w:rPr>
        <w:t> </w:t>
      </w:r>
      <w:r>
        <w:rPr>
          <w:w w:val="100"/>
        </w:rPr>
        <w:t>年</w:t>
      </w:r>
      <w:r>
        <w:rPr>
          <w:spacing w:val="-55"/>
          <w:w w:val="100"/>
        </w:rPr>
        <w:t> </w:t>
      </w:r>
      <w:r>
        <w:rPr>
          <w:rFonts w:ascii="Arial" w:hAnsi="Arial" w:cs="Arial" w:eastAsia="Arial" w:hint="default"/>
          <w:spacing w:val="-1"/>
          <w:w w:val="100"/>
        </w:rPr>
        <w:t>12</w:t>
      </w:r>
      <w:r>
        <w:rPr>
          <w:rFonts w:ascii="Arial" w:hAnsi="Arial" w:cs="Arial" w:eastAsia="Arial" w:hint="default"/>
          <w:spacing w:val="-7"/>
          <w:w w:val="100"/>
        </w:rPr>
        <w:t> </w:t>
      </w:r>
      <w:r>
        <w:rPr>
          <w:w w:val="100"/>
        </w:rPr>
        <w:t>月</w:t>
      </w:r>
      <w:r>
        <w:rPr>
          <w:spacing w:val="-55"/>
          <w:w w:val="100"/>
        </w:rPr>
        <w:t> </w:t>
      </w:r>
      <w:r>
        <w:rPr>
          <w:rFonts w:ascii="Arial" w:hAnsi="Arial" w:cs="Arial" w:eastAsia="Arial" w:hint="default"/>
          <w:spacing w:val="-2"/>
          <w:w w:val="100"/>
        </w:rPr>
        <w:t>31</w:t>
      </w:r>
      <w:r>
        <w:rPr>
          <w:rFonts w:ascii="Arial" w:hAnsi="Arial" w:cs="Arial" w:eastAsia="Arial" w:hint="default"/>
          <w:spacing w:val="-6"/>
          <w:w w:val="100"/>
        </w:rPr>
        <w:t> </w:t>
      </w:r>
      <w:r>
        <w:rPr>
          <w:spacing w:val="-1"/>
          <w:w w:val="100"/>
        </w:rPr>
        <w:t>日的应收股利余额中有人民币</w:t>
      </w:r>
      <w:r>
        <w:rPr>
          <w:spacing w:val="-55"/>
          <w:w w:val="100"/>
        </w:rPr>
        <w:t> </w:t>
      </w:r>
      <w:r>
        <w:rPr>
          <w:rFonts w:ascii="Arial" w:hAnsi="Arial" w:cs="Arial" w:eastAsia="Arial" w:hint="default"/>
          <w:w w:val="100"/>
        </w:rPr>
        <w:t>6.51</w:t>
      </w:r>
      <w:r>
        <w:rPr>
          <w:rFonts w:ascii="Arial" w:hAnsi="Arial" w:cs="Arial" w:eastAsia="Arial" w:hint="default"/>
          <w:spacing w:val="-6"/>
          <w:w w:val="100"/>
        </w:rPr>
        <w:t> </w:t>
      </w:r>
      <w:r>
        <w:rPr>
          <w:spacing w:val="-1"/>
          <w:w w:val="100"/>
        </w:rPr>
        <w:t>亿元为</w:t>
      </w:r>
      <w:r>
        <w:rPr>
          <w:spacing w:val="-55"/>
          <w:w w:val="100"/>
        </w:rPr>
        <w:t> </w:t>
      </w:r>
      <w:r>
        <w:rPr>
          <w:rFonts w:ascii="Arial" w:hAnsi="Arial" w:cs="Arial" w:eastAsia="Arial" w:hint="default"/>
          <w:w w:val="100"/>
        </w:rPr>
        <w:t>1</w:t>
      </w:r>
      <w:r>
        <w:rPr>
          <w:rFonts w:ascii="Arial" w:hAnsi="Arial" w:cs="Arial" w:eastAsia="Arial" w:hint="default"/>
          <w:spacing w:val="-9"/>
          <w:w w:val="100"/>
        </w:rPr>
        <w:t> </w:t>
      </w:r>
      <w:r>
        <w:rPr>
          <w:spacing w:val="-8"/>
          <w:w w:val="100"/>
        </w:rPr>
        <w:t>年以上应收股利，为本公司</w:t>
      </w:r>
      <w:r>
        <w:rPr>
          <w:w w:val="100"/>
        </w:rPr>
        <w:t> </w:t>
      </w:r>
      <w:r>
        <w:rPr/>
        <w:t>的子公司联通</w:t>
      </w:r>
      <w:r>
        <w:rPr>
          <w:spacing w:val="-45"/>
        </w:rPr>
        <w:t> </w:t>
      </w:r>
      <w:r>
        <w:rPr>
          <w:rFonts w:ascii="Arial" w:hAnsi="Arial" w:cs="Arial" w:eastAsia="Arial" w:hint="default"/>
        </w:rPr>
        <w:t>BVI</w:t>
      </w:r>
      <w:r>
        <w:rPr>
          <w:rFonts w:ascii="Arial" w:hAnsi="Arial" w:cs="Arial" w:eastAsia="Arial" w:hint="default"/>
          <w:spacing w:val="5"/>
        </w:rPr>
        <w:t> </w:t>
      </w:r>
      <w:r>
        <w:rPr/>
        <w:t>公司未支付的</w:t>
      </w:r>
      <w:r>
        <w:rPr>
          <w:spacing w:val="-45"/>
        </w:rPr>
        <w:t> </w:t>
      </w:r>
      <w:r>
        <w:rPr>
          <w:rFonts w:ascii="Arial" w:hAnsi="Arial" w:cs="Arial" w:eastAsia="Arial" w:hint="default"/>
        </w:rPr>
        <w:t>2012</w:t>
      </w:r>
      <w:r>
        <w:rPr>
          <w:rFonts w:ascii="Arial" w:hAnsi="Arial" w:cs="Arial" w:eastAsia="Arial" w:hint="default"/>
          <w:spacing w:val="3"/>
        </w:rPr>
        <w:t> </w:t>
      </w:r>
      <w:r>
        <w:rPr/>
        <w:t>年度及以前年度现金股利。本公司认为该等应收股利</w:t>
      </w:r>
      <w:r>
        <w:rPr>
          <w:w w:val="100"/>
        </w:rPr>
        <w:t> </w:t>
      </w:r>
      <w:r>
        <w:rPr/>
        <w:t>并无回收风险。</w:t>
      </w:r>
    </w:p>
    <w:p>
      <w:pPr>
        <w:spacing w:line="240" w:lineRule="auto" w:before="5"/>
        <w:rPr>
          <w:rFonts w:ascii="宋体" w:hAnsi="宋体" w:cs="宋体" w:eastAsia="宋体" w:hint="default"/>
          <w:sz w:val="19"/>
          <w:szCs w:val="19"/>
        </w:rPr>
      </w:pPr>
    </w:p>
    <w:p>
      <w:pPr>
        <w:pStyle w:val="BodyText"/>
        <w:tabs>
          <w:tab w:pos="724" w:val="left" w:leader="none"/>
        </w:tabs>
        <w:spacing w:line="240" w:lineRule="auto"/>
        <w:ind w:left="119" w:right="1639"/>
        <w:jc w:val="left"/>
      </w:pPr>
      <w:r>
        <w:rPr>
          <w:rFonts w:ascii="Arial" w:hAnsi="Arial" w:cs="Arial" w:eastAsia="Arial" w:hint="default"/>
          <w:spacing w:val="-1"/>
        </w:rPr>
        <w:t>3</w:t>
      </w:r>
      <w:r>
        <w:rPr>
          <w:spacing w:val="-1"/>
        </w:rPr>
        <w:t>、</w:t>
        <w:tab/>
        <w:t>长期股权投资</w:t>
      </w:r>
    </w:p>
    <w:p>
      <w:pPr>
        <w:spacing w:line="240" w:lineRule="auto" w:before="0"/>
        <w:rPr>
          <w:rFonts w:ascii="宋体" w:hAnsi="宋体" w:cs="宋体" w:eastAsia="宋体" w:hint="default"/>
          <w:sz w:val="20"/>
          <w:szCs w:val="20"/>
        </w:rPr>
      </w:pPr>
    </w:p>
    <w:p>
      <w:pPr>
        <w:pStyle w:val="BodyText"/>
        <w:spacing w:line="286" w:lineRule="exact"/>
        <w:ind w:left="724" w:right="212"/>
        <w:jc w:val="both"/>
      </w:pPr>
      <w:r>
        <w:rPr/>
        <w:t>本公司的长期股权投资为持有联通</w:t>
      </w:r>
      <w:r>
        <w:rPr>
          <w:spacing w:val="-52"/>
        </w:rPr>
        <w:t> </w:t>
      </w:r>
      <w:r>
        <w:rPr>
          <w:rFonts w:ascii="Arial" w:hAnsi="Arial" w:cs="Arial" w:eastAsia="Arial" w:hint="default"/>
        </w:rPr>
        <w:t>BVI</w:t>
      </w:r>
      <w:r>
        <w:rPr>
          <w:rFonts w:ascii="Arial" w:hAnsi="Arial" w:cs="Arial" w:eastAsia="Arial" w:hint="default"/>
          <w:spacing w:val="-5"/>
        </w:rPr>
        <w:t> </w:t>
      </w:r>
      <w:r>
        <w:rPr/>
        <w:t>公司的股权投资，本公司再通过联通</w:t>
      </w:r>
      <w:r>
        <w:rPr>
          <w:spacing w:val="-51"/>
        </w:rPr>
        <w:t> </w:t>
      </w:r>
      <w:r>
        <w:rPr>
          <w:rFonts w:ascii="Arial" w:hAnsi="Arial" w:cs="Arial" w:eastAsia="Arial" w:hint="default"/>
        </w:rPr>
        <w:t>BVI</w:t>
      </w:r>
      <w:r>
        <w:rPr>
          <w:rFonts w:ascii="Arial" w:hAnsi="Arial" w:cs="Arial" w:eastAsia="Arial" w:hint="default"/>
          <w:spacing w:val="-5"/>
        </w:rPr>
        <w:t> </w:t>
      </w:r>
      <w:r>
        <w:rPr/>
        <w:t>公司间接拥</w:t>
      </w:r>
      <w:r>
        <w:rPr>
          <w:w w:val="100"/>
        </w:rPr>
        <w:t> </w:t>
      </w:r>
      <w:r>
        <w:rPr/>
        <w:t>有对联通红筹公司及其子公司的投资。于</w:t>
      </w:r>
      <w:r>
        <w:rPr>
          <w:spacing w:val="-49"/>
        </w:rPr>
        <w:t> </w:t>
      </w:r>
      <w:r>
        <w:rPr>
          <w:rFonts w:ascii="Arial" w:hAnsi="Arial" w:cs="Arial" w:eastAsia="Arial" w:hint="default"/>
        </w:rPr>
        <w:t>2014</w:t>
      </w:r>
      <w:r>
        <w:rPr>
          <w:rFonts w:ascii="Arial" w:hAnsi="Arial" w:cs="Arial" w:eastAsia="Arial" w:hint="default"/>
          <w:spacing w:val="-3"/>
        </w:rPr>
        <w:t> </w:t>
      </w:r>
      <w:r>
        <w:rPr/>
        <w:t>年</w:t>
      </w:r>
      <w:r>
        <w:rPr>
          <w:spacing w:val="-51"/>
        </w:rPr>
        <w:t> </w:t>
      </w:r>
      <w:r>
        <w:rPr>
          <w:rFonts w:ascii="Arial" w:hAnsi="Arial" w:cs="Arial" w:eastAsia="Arial" w:hint="default"/>
        </w:rPr>
        <w:t>12</w:t>
      </w:r>
      <w:r>
        <w:rPr>
          <w:rFonts w:ascii="Arial" w:hAnsi="Arial" w:cs="Arial" w:eastAsia="Arial" w:hint="default"/>
          <w:spacing w:val="-2"/>
        </w:rPr>
        <w:t> </w:t>
      </w:r>
      <w:r>
        <w:rPr/>
        <w:t>月</w:t>
      </w:r>
      <w:r>
        <w:rPr>
          <w:spacing w:val="-50"/>
        </w:rPr>
        <w:t> </w:t>
      </w:r>
      <w:r>
        <w:rPr>
          <w:rFonts w:ascii="Arial" w:hAnsi="Arial" w:cs="Arial" w:eastAsia="Arial" w:hint="default"/>
        </w:rPr>
        <w:t>31</w:t>
      </w:r>
      <w:r>
        <w:rPr>
          <w:rFonts w:ascii="Arial" w:hAnsi="Arial" w:cs="Arial" w:eastAsia="Arial" w:hint="default"/>
          <w:spacing w:val="-2"/>
        </w:rPr>
        <w:t> </w:t>
      </w:r>
      <w:r>
        <w:rPr/>
        <w:t>日，本公司对联通</w:t>
      </w:r>
      <w:r>
        <w:rPr>
          <w:spacing w:val="-49"/>
        </w:rPr>
        <w:t> </w:t>
      </w:r>
      <w:r>
        <w:rPr>
          <w:rFonts w:ascii="Arial" w:hAnsi="Arial" w:cs="Arial" w:eastAsia="Arial" w:hint="default"/>
        </w:rPr>
        <w:t>BVI</w:t>
      </w:r>
      <w:r>
        <w:rPr>
          <w:rFonts w:ascii="Arial" w:hAnsi="Arial" w:cs="Arial" w:eastAsia="Arial" w:hint="default"/>
          <w:spacing w:val="-2"/>
        </w:rPr>
        <w:t> </w:t>
      </w:r>
      <w:r>
        <w:rPr/>
        <w:t>公司的长</w:t>
      </w:r>
      <w:r>
        <w:rPr>
          <w:w w:val="100"/>
        </w:rPr>
        <w:t> </w:t>
      </w:r>
      <w:r>
        <w:rPr/>
        <w:t>期股权投资明细如下：</w:t>
      </w:r>
    </w:p>
    <w:p>
      <w:pPr>
        <w:spacing w:line="240" w:lineRule="auto" w:before="3"/>
        <w:rPr>
          <w:rFonts w:ascii="宋体" w:hAnsi="宋体" w:cs="宋体" w:eastAsia="宋体" w:hint="default"/>
          <w:sz w:val="22"/>
          <w:szCs w:val="22"/>
        </w:rPr>
      </w:pPr>
    </w:p>
    <w:tbl>
      <w:tblPr>
        <w:tblW w:w="0" w:type="auto"/>
        <w:jc w:val="left"/>
        <w:tblInd w:w="577" w:type="dxa"/>
        <w:tblLayout w:type="fixed"/>
        <w:tblCellMar>
          <w:top w:w="0" w:type="dxa"/>
          <w:left w:w="0" w:type="dxa"/>
          <w:bottom w:w="0" w:type="dxa"/>
          <w:right w:w="0" w:type="dxa"/>
        </w:tblCellMar>
        <w:tblLook w:val="01E0"/>
      </w:tblPr>
      <w:tblGrid>
        <w:gridCol w:w="1695"/>
        <w:gridCol w:w="1750"/>
        <w:gridCol w:w="2067"/>
        <w:gridCol w:w="1517"/>
        <w:gridCol w:w="1973"/>
      </w:tblGrid>
      <w:tr>
        <w:trPr>
          <w:trHeight w:val="264" w:hRule="exact"/>
        </w:trPr>
        <w:tc>
          <w:tcPr>
            <w:tcW w:w="1695"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single" w:sz="6" w:space="0" w:color="000000"/>
              <w:right w:val="nil" w:sz="6" w:space="0" w:color="auto"/>
            </w:tcBorders>
          </w:tcPr>
          <w:p>
            <w:pPr>
              <w:pStyle w:val="TableParagraph"/>
              <w:spacing w:line="221" w:lineRule="exact"/>
              <w:ind w:left="4" w:right="0"/>
              <w:jc w:val="center"/>
              <w:rPr>
                <w:rFonts w:ascii="宋体" w:hAnsi="宋体" w:cs="宋体" w:eastAsia="宋体" w:hint="default"/>
                <w:sz w:val="22"/>
                <w:szCs w:val="22"/>
              </w:rPr>
            </w:pPr>
            <w:r>
              <w:rPr>
                <w:rFonts w:ascii="宋体" w:hAnsi="宋体" w:cs="宋体" w:eastAsia="宋体" w:hint="default"/>
                <w:sz w:val="22"/>
                <w:szCs w:val="22"/>
              </w:rPr>
              <w:t>初始投资成本</w:t>
            </w:r>
          </w:p>
        </w:tc>
        <w:tc>
          <w:tcPr>
            <w:tcW w:w="2067" w:type="dxa"/>
            <w:tcBorders>
              <w:top w:val="nil" w:sz="6" w:space="0" w:color="auto"/>
              <w:left w:val="nil" w:sz="6" w:space="0" w:color="auto"/>
              <w:bottom w:val="single" w:sz="6" w:space="0" w:color="000000"/>
              <w:right w:val="nil" w:sz="6" w:space="0" w:color="auto"/>
            </w:tcBorders>
          </w:tcPr>
          <w:p>
            <w:pPr>
              <w:pStyle w:val="TableParagraph"/>
              <w:spacing w:line="236" w:lineRule="exact"/>
              <w:ind w:right="38"/>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19"/>
                <w:sz w:val="22"/>
                <w:szCs w:val="22"/>
              </w:rPr>
              <w:t> </w:t>
            </w:r>
            <w:r>
              <w:rPr>
                <w:rFonts w:ascii="宋体" w:hAnsi="宋体" w:cs="宋体" w:eastAsia="宋体" w:hint="default"/>
                <w:sz w:val="22"/>
                <w:szCs w:val="22"/>
              </w:rPr>
              <w:t>年</w:t>
            </w:r>
            <w:r>
              <w:rPr>
                <w:rFonts w:ascii="宋体" w:hAnsi="宋体" w:cs="宋体" w:eastAsia="宋体" w:hint="default"/>
                <w:spacing w:val="-67"/>
                <w:sz w:val="22"/>
                <w:szCs w:val="22"/>
              </w:rPr>
              <w:t> </w:t>
            </w:r>
            <w:r>
              <w:rPr>
                <w:rFonts w:ascii="Arial" w:hAnsi="Arial" w:cs="Arial" w:eastAsia="Arial" w:hint="default"/>
                <w:sz w:val="22"/>
                <w:szCs w:val="22"/>
              </w:rPr>
              <w:t>12</w:t>
            </w:r>
            <w:r>
              <w:rPr>
                <w:rFonts w:ascii="Arial" w:hAnsi="Arial" w:cs="Arial" w:eastAsia="Arial" w:hint="default"/>
                <w:spacing w:val="-19"/>
                <w:sz w:val="22"/>
                <w:szCs w:val="22"/>
              </w:rPr>
              <w:t> </w:t>
            </w:r>
            <w:r>
              <w:rPr>
                <w:rFonts w:ascii="宋体" w:hAnsi="宋体" w:cs="宋体" w:eastAsia="宋体" w:hint="default"/>
                <w:sz w:val="22"/>
                <w:szCs w:val="22"/>
              </w:rPr>
              <w:t>月</w:t>
            </w:r>
            <w:r>
              <w:rPr>
                <w:rFonts w:ascii="宋体" w:hAnsi="宋体" w:cs="宋体" w:eastAsia="宋体" w:hint="default"/>
                <w:spacing w:val="-67"/>
                <w:sz w:val="22"/>
                <w:szCs w:val="22"/>
              </w:rPr>
              <w:t> </w:t>
            </w:r>
            <w:r>
              <w:rPr>
                <w:rFonts w:ascii="Arial" w:hAnsi="Arial" w:cs="Arial" w:eastAsia="Arial" w:hint="default"/>
                <w:sz w:val="22"/>
                <w:szCs w:val="22"/>
              </w:rPr>
              <w:t>31</w:t>
            </w:r>
            <w:r>
              <w:rPr>
                <w:rFonts w:ascii="Arial" w:hAnsi="Arial" w:cs="Arial" w:eastAsia="Arial" w:hint="default"/>
                <w:spacing w:val="-19"/>
                <w:sz w:val="22"/>
                <w:szCs w:val="22"/>
              </w:rPr>
              <w:t> </w:t>
            </w:r>
            <w:r>
              <w:rPr>
                <w:rFonts w:ascii="宋体" w:hAnsi="宋体" w:cs="宋体" w:eastAsia="宋体" w:hint="default"/>
                <w:sz w:val="22"/>
                <w:szCs w:val="22"/>
              </w:rPr>
              <w:t>日</w:t>
            </w:r>
          </w:p>
        </w:tc>
        <w:tc>
          <w:tcPr>
            <w:tcW w:w="1517" w:type="dxa"/>
            <w:tcBorders>
              <w:top w:val="nil" w:sz="6" w:space="0" w:color="auto"/>
              <w:left w:val="nil" w:sz="6" w:space="0" w:color="auto"/>
              <w:bottom w:val="single" w:sz="6" w:space="0" w:color="000000"/>
              <w:right w:val="nil" w:sz="6" w:space="0" w:color="auto"/>
            </w:tcBorders>
          </w:tcPr>
          <w:p>
            <w:pPr>
              <w:pStyle w:val="TableParagraph"/>
              <w:spacing w:line="221" w:lineRule="exact"/>
              <w:ind w:right="48"/>
              <w:jc w:val="right"/>
              <w:rPr>
                <w:rFonts w:ascii="宋体" w:hAnsi="宋体" w:cs="宋体" w:eastAsia="宋体" w:hint="default"/>
                <w:sz w:val="22"/>
                <w:szCs w:val="22"/>
              </w:rPr>
            </w:pPr>
            <w:r>
              <w:rPr>
                <w:rFonts w:ascii="宋体" w:hAnsi="宋体" w:cs="宋体" w:eastAsia="宋体" w:hint="default"/>
                <w:spacing w:val="-1"/>
                <w:sz w:val="22"/>
                <w:szCs w:val="22"/>
              </w:rPr>
              <w:t>本年增减变动</w:t>
            </w:r>
          </w:p>
        </w:tc>
        <w:tc>
          <w:tcPr>
            <w:tcW w:w="1973" w:type="dxa"/>
            <w:tcBorders>
              <w:top w:val="nil" w:sz="6" w:space="0" w:color="auto"/>
              <w:left w:val="nil" w:sz="6" w:space="0" w:color="auto"/>
              <w:bottom w:val="single" w:sz="6" w:space="0" w:color="000000"/>
              <w:right w:val="nil" w:sz="6" w:space="0" w:color="auto"/>
            </w:tcBorders>
          </w:tcPr>
          <w:p>
            <w:pPr>
              <w:pStyle w:val="TableParagraph"/>
              <w:spacing w:line="236" w:lineRule="exact"/>
              <w:ind w:right="36"/>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21"/>
                <w:sz w:val="22"/>
                <w:szCs w:val="22"/>
              </w:rPr>
              <w:t> </w:t>
            </w:r>
            <w:r>
              <w:rPr>
                <w:rFonts w:ascii="宋体" w:hAnsi="宋体" w:cs="宋体" w:eastAsia="宋体" w:hint="default"/>
                <w:sz w:val="22"/>
                <w:szCs w:val="22"/>
              </w:rPr>
              <w:t>年</w:t>
            </w:r>
            <w:r>
              <w:rPr>
                <w:rFonts w:ascii="宋体" w:hAnsi="宋体" w:cs="宋体" w:eastAsia="宋体" w:hint="default"/>
                <w:spacing w:val="-70"/>
                <w:sz w:val="22"/>
                <w:szCs w:val="22"/>
              </w:rPr>
              <w:t> </w:t>
            </w:r>
            <w:r>
              <w:rPr>
                <w:rFonts w:ascii="Arial" w:hAnsi="Arial" w:cs="Arial" w:eastAsia="Arial" w:hint="default"/>
                <w:sz w:val="22"/>
                <w:szCs w:val="22"/>
              </w:rPr>
              <w:t>12</w:t>
            </w:r>
            <w:r>
              <w:rPr>
                <w:rFonts w:ascii="Arial" w:hAnsi="Arial" w:cs="Arial" w:eastAsia="Arial" w:hint="default"/>
                <w:spacing w:val="-21"/>
                <w:sz w:val="22"/>
                <w:szCs w:val="22"/>
              </w:rPr>
              <w:t> </w:t>
            </w:r>
            <w:r>
              <w:rPr>
                <w:rFonts w:ascii="宋体" w:hAnsi="宋体" w:cs="宋体" w:eastAsia="宋体" w:hint="default"/>
                <w:sz w:val="22"/>
                <w:szCs w:val="22"/>
              </w:rPr>
              <w:t>月</w:t>
            </w:r>
            <w:r>
              <w:rPr>
                <w:rFonts w:ascii="宋体" w:hAnsi="宋体" w:cs="宋体" w:eastAsia="宋体" w:hint="default"/>
                <w:spacing w:val="-70"/>
                <w:sz w:val="22"/>
                <w:szCs w:val="22"/>
              </w:rPr>
              <w:t> </w:t>
            </w:r>
            <w:r>
              <w:rPr>
                <w:rFonts w:ascii="Arial" w:hAnsi="Arial" w:cs="Arial" w:eastAsia="Arial" w:hint="default"/>
                <w:sz w:val="22"/>
                <w:szCs w:val="22"/>
              </w:rPr>
              <w:t>31</w:t>
            </w:r>
            <w:r>
              <w:rPr>
                <w:rFonts w:ascii="Arial" w:hAnsi="Arial" w:cs="Arial" w:eastAsia="Arial" w:hint="default"/>
                <w:spacing w:val="-21"/>
                <w:sz w:val="22"/>
                <w:szCs w:val="22"/>
              </w:rPr>
              <w:t> </w:t>
            </w:r>
            <w:r>
              <w:rPr>
                <w:rFonts w:ascii="宋体" w:hAnsi="宋体" w:cs="宋体" w:eastAsia="宋体" w:hint="default"/>
                <w:sz w:val="22"/>
                <w:szCs w:val="22"/>
              </w:rPr>
              <w:t>日</w:t>
            </w:r>
          </w:p>
        </w:tc>
      </w:tr>
      <w:tr>
        <w:trPr>
          <w:trHeight w:val="569" w:hRule="exact"/>
        </w:trPr>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联通</w:t>
            </w:r>
            <w:r>
              <w:rPr>
                <w:rFonts w:ascii="宋体" w:hAnsi="宋体" w:cs="宋体" w:eastAsia="宋体" w:hint="default"/>
                <w:spacing w:val="-54"/>
                <w:sz w:val="22"/>
                <w:szCs w:val="22"/>
              </w:rPr>
              <w:t> </w:t>
            </w:r>
            <w:r>
              <w:rPr>
                <w:rFonts w:ascii="Arial" w:hAnsi="Arial" w:cs="Arial" w:eastAsia="Arial" w:hint="default"/>
                <w:sz w:val="22"/>
                <w:szCs w:val="22"/>
              </w:rPr>
              <w:t>BVI</w:t>
            </w:r>
            <w:r>
              <w:rPr>
                <w:rFonts w:ascii="Arial" w:hAnsi="Arial" w:cs="Arial" w:eastAsia="Arial" w:hint="default"/>
                <w:spacing w:val="-4"/>
                <w:sz w:val="22"/>
                <w:szCs w:val="22"/>
              </w:rPr>
              <w:t> </w:t>
            </w:r>
            <w:r>
              <w:rPr>
                <w:rFonts w:ascii="宋体" w:hAnsi="宋体" w:cs="宋体" w:eastAsia="宋体" w:hint="default"/>
                <w:spacing w:val="-3"/>
                <w:sz w:val="22"/>
                <w:szCs w:val="22"/>
              </w:rPr>
              <w:t>公司</w:t>
            </w:r>
            <w:r>
              <w:rPr>
                <w:rFonts w:ascii="宋体" w:hAnsi="宋体" w:cs="宋体" w:eastAsia="宋体" w:hint="default"/>
                <w:sz w:val="22"/>
                <w:szCs w:val="22"/>
              </w:rPr>
            </w:r>
          </w:p>
        </w:tc>
        <w:tc>
          <w:tcPr>
            <w:tcW w:w="1750" w:type="dxa"/>
            <w:tcBorders>
              <w:top w:val="single" w:sz="6"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4"/>
              <w:jc w:val="center"/>
              <w:rPr>
                <w:rFonts w:ascii="Arial" w:hAnsi="Arial" w:cs="Arial" w:eastAsia="Arial" w:hint="default"/>
                <w:sz w:val="22"/>
                <w:szCs w:val="22"/>
              </w:rPr>
            </w:pPr>
            <w:r>
              <w:rPr>
                <w:rFonts w:ascii="Arial"/>
                <w:sz w:val="22"/>
              </w:rPr>
              <w:t>38,538,133,791</w:t>
            </w:r>
          </w:p>
        </w:tc>
        <w:tc>
          <w:tcPr>
            <w:tcW w:w="2067" w:type="dxa"/>
            <w:tcBorders>
              <w:top w:val="single" w:sz="6"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6"/>
              <w:jc w:val="right"/>
              <w:rPr>
                <w:rFonts w:ascii="Arial" w:hAnsi="Arial" w:cs="Arial" w:eastAsia="Arial" w:hint="default"/>
                <w:sz w:val="22"/>
                <w:szCs w:val="22"/>
              </w:rPr>
            </w:pPr>
            <w:r>
              <w:rPr>
                <w:rFonts w:ascii="Arial"/>
                <w:spacing w:val="-1"/>
                <w:sz w:val="22"/>
              </w:rPr>
              <w:t>38,538,133,791</w:t>
            </w:r>
          </w:p>
        </w:tc>
        <w:tc>
          <w:tcPr>
            <w:tcW w:w="1517" w:type="dxa"/>
            <w:tcBorders>
              <w:top w:val="single" w:sz="6"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42"/>
              <w:jc w:val="right"/>
              <w:rPr>
                <w:rFonts w:ascii="Arial" w:hAnsi="Arial" w:cs="Arial" w:eastAsia="Arial" w:hint="default"/>
                <w:sz w:val="22"/>
                <w:szCs w:val="22"/>
              </w:rPr>
            </w:pPr>
            <w:r>
              <w:rPr>
                <w:rFonts w:ascii="Arial"/>
                <w:w w:val="100"/>
                <w:sz w:val="22"/>
              </w:rPr>
              <w:t>-</w:t>
            </w:r>
          </w:p>
        </w:tc>
        <w:tc>
          <w:tcPr>
            <w:tcW w:w="1973" w:type="dxa"/>
            <w:tcBorders>
              <w:top w:val="single" w:sz="6"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5"/>
              <w:jc w:val="right"/>
              <w:rPr>
                <w:rFonts w:ascii="Arial" w:hAnsi="Arial" w:cs="Arial" w:eastAsia="Arial" w:hint="default"/>
                <w:sz w:val="22"/>
                <w:szCs w:val="22"/>
              </w:rPr>
            </w:pPr>
            <w:r>
              <w:rPr>
                <w:rFonts w:ascii="Arial"/>
                <w:spacing w:val="-1"/>
                <w:sz w:val="22"/>
              </w:rPr>
              <w:t>38,538,133,791</w:t>
            </w:r>
          </w:p>
        </w:tc>
      </w:tr>
    </w:tbl>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149"/>
          <w:pgSz w:w="11910" w:h="16840"/>
          <w:pgMar w:header="1181" w:footer="923" w:top="2500" w:bottom="1120" w:left="1280" w:right="820"/>
        </w:sect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0"/>
          <w:szCs w:val="20"/>
        </w:rPr>
      </w:pPr>
    </w:p>
    <w:p>
      <w:pPr>
        <w:spacing w:line="290" w:lineRule="exact" w:before="0"/>
        <w:ind w:left="2217" w:right="0" w:firstLine="0"/>
        <w:jc w:val="center"/>
        <w:rPr>
          <w:rFonts w:ascii="宋体" w:hAnsi="宋体" w:cs="宋体" w:eastAsia="宋体" w:hint="default"/>
          <w:sz w:val="21"/>
          <w:szCs w:val="21"/>
        </w:rPr>
      </w:pPr>
      <w:r>
        <w:rPr>
          <w:rFonts w:ascii="宋体" w:hAnsi="宋体" w:cs="宋体" w:eastAsia="宋体" w:hint="default"/>
          <w:position w:val="3"/>
          <w:sz w:val="21"/>
          <w:szCs w:val="21"/>
        </w:rPr>
        <w:t>核算 </w:t>
      </w:r>
      <w:r>
        <w:rPr>
          <w:rFonts w:ascii="宋体" w:hAnsi="宋体" w:cs="宋体" w:eastAsia="宋体" w:hint="default"/>
          <w:sz w:val="21"/>
          <w:szCs w:val="21"/>
        </w:rPr>
        <w:t>持股比例</w:t>
      </w:r>
      <w:r>
        <w:rPr>
          <w:rFonts w:ascii="宋体" w:hAnsi="宋体" w:cs="宋体" w:eastAsia="宋体" w:hint="default"/>
          <w:spacing w:val="-28"/>
          <w:sz w:val="21"/>
          <w:szCs w:val="21"/>
        </w:rPr>
        <w:t> </w:t>
      </w:r>
      <w:r>
        <w:rPr>
          <w:rFonts w:ascii="宋体" w:hAnsi="宋体" w:cs="宋体" w:eastAsia="宋体" w:hint="default"/>
          <w:sz w:val="21"/>
          <w:szCs w:val="21"/>
        </w:rPr>
        <w:t>表决权比例</w:t>
      </w:r>
    </w:p>
    <w:p>
      <w:pPr>
        <w:tabs>
          <w:tab w:pos="3263" w:val="left" w:leader="none"/>
          <w:tab w:pos="4379" w:val="left" w:leader="none"/>
        </w:tabs>
        <w:spacing w:line="285" w:lineRule="exact" w:before="0"/>
        <w:ind w:left="2017" w:right="0" w:firstLine="0"/>
        <w:jc w:val="center"/>
        <w:rPr>
          <w:rFonts w:ascii="Arial" w:hAnsi="Arial" w:cs="Arial" w:eastAsia="Arial" w:hint="default"/>
          <w:sz w:val="21"/>
          <w:szCs w:val="21"/>
        </w:rPr>
      </w:pPr>
      <w:r>
        <w:rPr>
          <w:rFonts w:ascii="Times New Roman" w:hAnsi="Times New Roman" w:cs="Times New Roman" w:eastAsia="Times New Roman" w:hint="default"/>
          <w:w w:val="100"/>
          <w:position w:val="1"/>
          <w:sz w:val="21"/>
          <w:szCs w:val="21"/>
        </w:rPr>
      </w:r>
      <w:r>
        <w:rPr>
          <w:rFonts w:ascii="Times New Roman" w:hAnsi="Times New Roman" w:cs="Times New Roman" w:eastAsia="Times New Roman" w:hint="default"/>
          <w:w w:val="100"/>
          <w:position w:val="1"/>
          <w:sz w:val="21"/>
          <w:szCs w:val="21"/>
          <w:u w:val="single" w:color="000000"/>
        </w:rPr>
        <w:t> </w:t>
      </w:r>
      <w:r>
        <w:rPr>
          <w:rFonts w:ascii="Times New Roman" w:hAnsi="Times New Roman" w:cs="Times New Roman" w:eastAsia="Times New Roman" w:hint="default"/>
          <w:position w:val="1"/>
          <w:sz w:val="21"/>
          <w:szCs w:val="21"/>
          <w:u w:val="single" w:color="000000"/>
        </w:rPr>
        <w:t>  </w:t>
      </w:r>
      <w:r>
        <w:rPr>
          <w:rFonts w:ascii="Times New Roman" w:hAnsi="Times New Roman" w:cs="Times New Roman" w:eastAsia="Times New Roman" w:hint="default"/>
          <w:spacing w:val="-14"/>
          <w:position w:val="1"/>
          <w:sz w:val="21"/>
          <w:szCs w:val="21"/>
          <w:u w:val="single" w:color="000000"/>
        </w:rPr>
        <w:t> </w:t>
      </w:r>
      <w:r>
        <w:rPr>
          <w:rFonts w:ascii="宋体" w:hAnsi="宋体" w:cs="宋体" w:eastAsia="宋体" w:hint="default"/>
          <w:position w:val="1"/>
          <w:sz w:val="21"/>
          <w:szCs w:val="21"/>
          <w:u w:val="single" w:color="000000"/>
        </w:rPr>
        <w:t>方法</w:t>
        <w:tab/>
      </w:r>
      <w:r>
        <w:rPr>
          <w:rFonts w:ascii="Arial" w:hAnsi="Arial" w:cs="Arial" w:eastAsia="Arial" w:hint="default"/>
          <w:spacing w:val="-1"/>
          <w:sz w:val="21"/>
          <w:szCs w:val="21"/>
          <w:u w:val="single" w:color="000000"/>
        </w:rPr>
        <w:t>(%)</w:t>
        <w:tab/>
        <w:t>(%)</w:t>
      </w:r>
      <w:r>
        <w:rPr>
          <w:rFonts w:ascii="Arial" w:hAnsi="Arial" w:cs="Arial" w:eastAsia="Arial" w:hint="default"/>
          <w:spacing w:val="-1"/>
          <w:sz w:val="21"/>
          <w:szCs w:val="21"/>
        </w:rPr>
      </w:r>
      <w:r>
        <w:rPr>
          <w:rFonts w:ascii="Arial" w:hAnsi="Arial" w:cs="Arial" w:eastAsia="Arial" w:hint="default"/>
          <w:sz w:val="21"/>
          <w:szCs w:val="21"/>
        </w:rPr>
      </w:r>
    </w:p>
    <w:p>
      <w:pPr>
        <w:spacing w:line="237" w:lineRule="auto" w:before="38"/>
        <w:ind w:left="247" w:right="0" w:firstLine="0"/>
        <w:jc w:val="both"/>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持股比例与</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表决权比例</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不一致的说</w:t>
      </w:r>
    </w:p>
    <w:p>
      <w:pPr>
        <w:spacing w:line="271" w:lineRule="exact" w:before="0"/>
        <w:ind w:left="0" w:right="0" w:firstLine="0"/>
        <w:jc w:val="right"/>
        <w:rPr>
          <w:rFonts w:ascii="宋体" w:hAnsi="宋体" w:cs="宋体" w:eastAsia="宋体" w:hint="default"/>
          <w:sz w:val="21"/>
          <w:szCs w:val="21"/>
        </w:rPr>
      </w:pPr>
      <w:r>
        <w:rPr>
          <w:rFonts w:ascii="宋体" w:hAnsi="宋体" w:cs="宋体" w:eastAsia="宋体" w:hint="default"/>
          <w:w w:val="100"/>
          <w:sz w:val="21"/>
          <w:szCs w:val="21"/>
        </w:rPr>
        <w:t>明</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spacing w:line="273" w:lineRule="exact" w:before="0"/>
        <w:ind w:left="0" w:right="0" w:firstLine="0"/>
        <w:jc w:val="right"/>
        <w:rPr>
          <w:rFonts w:ascii="宋体" w:hAnsi="宋体" w:cs="宋体" w:eastAsia="宋体" w:hint="default"/>
          <w:sz w:val="21"/>
          <w:szCs w:val="21"/>
        </w:rPr>
      </w:pPr>
      <w:r>
        <w:rPr>
          <w:rFonts w:ascii="宋体" w:hAnsi="宋体" w:cs="宋体" w:eastAsia="宋体" w:hint="default"/>
          <w:sz w:val="21"/>
          <w:szCs w:val="21"/>
        </w:rPr>
        <w:t>减值准</w:t>
      </w:r>
    </w:p>
    <w:p>
      <w:pPr>
        <w:spacing w:line="273" w:lineRule="exact" w:before="0"/>
        <w:ind w:left="0" w:right="0" w:firstLine="0"/>
        <w:jc w:val="right"/>
        <w:rPr>
          <w:rFonts w:ascii="宋体" w:hAnsi="宋体" w:cs="宋体" w:eastAsia="宋体" w:hint="default"/>
          <w:sz w:val="21"/>
          <w:szCs w:val="21"/>
        </w:rPr>
      </w:pPr>
      <w:r>
        <w:rPr>
          <w:rFonts w:ascii="宋体" w:hAnsi="宋体" w:cs="宋体" w:eastAsia="宋体" w:hint="default"/>
          <w:w w:val="100"/>
          <w:sz w:val="21"/>
          <w:szCs w:val="21"/>
        </w:rPr>
        <w:t>备</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26"/>
          <w:szCs w:val="26"/>
        </w:rPr>
      </w:pPr>
    </w:p>
    <w:p>
      <w:pPr>
        <w:spacing w:line="272" w:lineRule="exact" w:before="0"/>
        <w:ind w:left="209" w:right="-13" w:firstLine="0"/>
        <w:jc w:val="left"/>
        <w:rPr>
          <w:rFonts w:ascii="宋体" w:hAnsi="宋体" w:cs="宋体" w:eastAsia="宋体" w:hint="default"/>
          <w:sz w:val="21"/>
          <w:szCs w:val="21"/>
        </w:rPr>
      </w:pPr>
      <w:r>
        <w:rPr>
          <w:rFonts w:ascii="宋体" w:hAnsi="宋体" w:cs="宋体" w:eastAsia="宋体" w:hint="default"/>
          <w:spacing w:val="-1"/>
          <w:sz w:val="21"/>
          <w:szCs w:val="21"/>
        </w:rPr>
        <w:t>本年计提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减值准备</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26"/>
          <w:szCs w:val="26"/>
        </w:rPr>
      </w:pPr>
    </w:p>
    <w:p>
      <w:pPr>
        <w:spacing w:line="272" w:lineRule="exact" w:before="0"/>
        <w:ind w:left="433" w:right="237" w:hanging="209"/>
        <w:jc w:val="left"/>
        <w:rPr>
          <w:rFonts w:ascii="宋体" w:hAnsi="宋体" w:cs="宋体" w:eastAsia="宋体" w:hint="default"/>
          <w:sz w:val="21"/>
          <w:szCs w:val="21"/>
        </w:rPr>
      </w:pPr>
      <w:r>
        <w:rPr>
          <w:rFonts w:ascii="宋体" w:hAnsi="宋体" w:cs="宋体" w:eastAsia="宋体" w:hint="default"/>
          <w:spacing w:val="-1"/>
          <w:sz w:val="21"/>
          <w:szCs w:val="21"/>
        </w:rPr>
        <w:t>本年宣告分派</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sz w:val="21"/>
          <w:szCs w:val="21"/>
        </w:rPr>
        <w:t>的现金股利</w:t>
      </w:r>
    </w:p>
    <w:p>
      <w:pPr>
        <w:spacing w:after="0" w:line="272" w:lineRule="exact"/>
        <w:jc w:val="left"/>
        <w:rPr>
          <w:rFonts w:ascii="宋体" w:hAnsi="宋体" w:cs="宋体" w:eastAsia="宋体" w:hint="default"/>
          <w:sz w:val="21"/>
          <w:szCs w:val="21"/>
        </w:rPr>
        <w:sectPr>
          <w:type w:val="continuous"/>
          <w:pgSz w:w="11910" w:h="16840"/>
          <w:pgMar w:top="1580" w:bottom="280" w:left="1280" w:right="820"/>
          <w:cols w:num="5" w:equalWidth="0">
            <w:col w:w="4712" w:space="40"/>
            <w:col w:w="1302" w:space="40"/>
            <w:col w:w="849" w:space="40"/>
            <w:col w:w="1053" w:space="40"/>
            <w:col w:w="1734"/>
          </w:cols>
        </w:sectPr>
      </w:pPr>
    </w:p>
    <w:p>
      <w:pPr>
        <w:spacing w:line="20" w:lineRule="exact"/>
        <w:ind w:left="4776" w:right="0" w:firstLine="0"/>
        <w:rPr>
          <w:rFonts w:ascii="宋体" w:hAnsi="宋体" w:cs="宋体" w:eastAsia="宋体" w:hint="default"/>
          <w:sz w:val="2"/>
          <w:szCs w:val="2"/>
        </w:rPr>
      </w:pPr>
      <w:r>
        <w:rPr>
          <w:rFonts w:ascii="宋体" w:hAnsi="宋体" w:cs="宋体" w:eastAsia="宋体" w:hint="default"/>
          <w:sz w:val="2"/>
          <w:szCs w:val="2"/>
        </w:rPr>
        <w:pict>
          <v:group style="width:239.95pt;height:.75pt;mso-position-horizontal-relative:char;mso-position-vertical-relative:line" coordorigin="0,0" coordsize="4799,15">
            <v:group style="position:absolute;left:7;top:7;width:1280;height:2" coordorigin="7,7" coordsize="1280,2">
              <v:shape style="position:absolute;left:7;top:7;width:1280;height:2" coordorigin="7,7" coordsize="1280,0" path="m7,7l1287,7e" filled="false" stroked="true" strokeweight=".71997pt" strokecolor="#000000">
                <v:path arrowok="t"/>
              </v:shape>
            </v:group>
            <v:group style="position:absolute;left:1340;top:7;width:833;height:2" coordorigin="1340,7" coordsize="833,2">
              <v:shape style="position:absolute;left:1340;top:7;width:833;height:2" coordorigin="1340,7" coordsize="833,0" path="m1340,7l2172,7e" filled="false" stroked="true" strokeweight=".71997pt" strokecolor="#000000">
                <v:path arrowok="t"/>
              </v:shape>
            </v:group>
            <v:group style="position:absolute;left:2230;top:7;width:1035;height:2" coordorigin="2230,7" coordsize="1035,2">
              <v:shape style="position:absolute;left:2230;top:7;width:1035;height:2" coordorigin="2230,7" coordsize="1035,0" path="m2230,7l3264,7e" filled="false" stroked="true" strokeweight=".71997pt" strokecolor="#000000">
                <v:path arrowok="t"/>
              </v:shape>
            </v:group>
            <v:group style="position:absolute;left:3320;top:7;width:1472;height:2" coordorigin="3320,7" coordsize="1472,2">
              <v:shape style="position:absolute;left:3320;top:7;width:1472;height:2" coordorigin="3320,7" coordsize="1472,0" path="m3320,7l4791,7e" filled="false" stroked="true" strokeweight=".71997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2"/>
          <w:szCs w:val="12"/>
        </w:rPr>
      </w:pPr>
    </w:p>
    <w:p>
      <w:pPr>
        <w:tabs>
          <w:tab w:pos="3067" w:val="left" w:leader="none"/>
          <w:tab w:pos="4183" w:val="left" w:leader="none"/>
          <w:tab w:pos="5419" w:val="left" w:leader="none"/>
          <w:tab w:pos="6833" w:val="left" w:leader="none"/>
          <w:tab w:pos="7930" w:val="left" w:leader="none"/>
        </w:tabs>
        <w:spacing w:before="38"/>
        <w:ind w:left="743" w:right="110" w:firstLine="0"/>
        <w:jc w:val="left"/>
        <w:rPr>
          <w:rFonts w:ascii="Arial" w:hAnsi="Arial" w:cs="Arial" w:eastAsia="Arial" w:hint="default"/>
          <w:sz w:val="21"/>
          <w:szCs w:val="21"/>
        </w:rPr>
      </w:pPr>
      <w:r>
        <w:rPr>
          <w:rFonts w:ascii="宋体" w:hAnsi="宋体" w:cs="宋体" w:eastAsia="宋体" w:hint="default"/>
          <w:position w:val="1"/>
          <w:sz w:val="21"/>
          <w:szCs w:val="21"/>
        </w:rPr>
        <w:t>联通</w:t>
      </w:r>
      <w:r>
        <w:rPr>
          <w:rFonts w:ascii="宋体" w:hAnsi="宋体" w:cs="宋体" w:eastAsia="宋体" w:hint="default"/>
          <w:spacing w:val="-56"/>
          <w:position w:val="1"/>
          <w:sz w:val="21"/>
          <w:szCs w:val="21"/>
        </w:rPr>
        <w:t> </w:t>
      </w:r>
      <w:r>
        <w:rPr>
          <w:rFonts w:ascii="Arial" w:hAnsi="Arial" w:cs="Arial" w:eastAsia="Arial" w:hint="default"/>
          <w:spacing w:val="-1"/>
          <w:position w:val="1"/>
          <w:sz w:val="21"/>
          <w:szCs w:val="21"/>
        </w:rPr>
        <w:t>BVI</w:t>
      </w:r>
      <w:r>
        <w:rPr>
          <w:rFonts w:ascii="Arial" w:hAnsi="Arial" w:cs="Arial" w:eastAsia="Arial" w:hint="default"/>
          <w:spacing w:val="-10"/>
          <w:position w:val="1"/>
          <w:sz w:val="21"/>
          <w:szCs w:val="21"/>
        </w:rPr>
        <w:t> </w:t>
      </w:r>
      <w:r>
        <w:rPr>
          <w:rFonts w:ascii="宋体" w:hAnsi="宋体" w:cs="宋体" w:eastAsia="宋体" w:hint="default"/>
          <w:spacing w:val="-2"/>
          <w:position w:val="1"/>
          <w:sz w:val="21"/>
          <w:szCs w:val="21"/>
        </w:rPr>
        <w:t>公司成本法</w:t>
        <w:tab/>
      </w:r>
      <w:r>
        <w:rPr>
          <w:rFonts w:ascii="Arial" w:hAnsi="Arial" w:cs="Arial" w:eastAsia="Arial" w:hint="default"/>
          <w:spacing w:val="-1"/>
          <w:sz w:val="21"/>
          <w:szCs w:val="21"/>
        </w:rPr>
        <w:t>82.10</w:t>
        <w:tab/>
        <w:t>82.10</w:t>
        <w:tab/>
      </w:r>
      <w:r>
        <w:rPr>
          <w:rFonts w:ascii="宋体" w:hAnsi="宋体" w:cs="宋体" w:eastAsia="宋体" w:hint="default"/>
          <w:position w:val="1"/>
          <w:sz w:val="21"/>
          <w:szCs w:val="21"/>
        </w:rPr>
        <w:t>不适用</w:t>
        <w:tab/>
      </w:r>
      <w:r>
        <w:rPr>
          <w:rFonts w:ascii="Arial" w:hAnsi="Arial" w:cs="Arial" w:eastAsia="Arial" w:hint="default"/>
          <w:sz w:val="21"/>
          <w:szCs w:val="21"/>
        </w:rPr>
        <w:t>-</w:t>
        <w:tab/>
        <w:t>-  </w:t>
      </w:r>
      <w:r>
        <w:rPr>
          <w:rFonts w:ascii="Arial" w:hAnsi="Arial" w:cs="Arial" w:eastAsia="Arial" w:hint="default"/>
          <w:spacing w:val="7"/>
          <w:sz w:val="21"/>
          <w:szCs w:val="21"/>
        </w:rPr>
        <w:t> </w:t>
      </w:r>
      <w:r>
        <w:rPr>
          <w:rFonts w:ascii="Arial" w:hAnsi="Arial" w:cs="Arial" w:eastAsia="Arial" w:hint="default"/>
          <w:spacing w:val="-1"/>
          <w:sz w:val="21"/>
          <w:szCs w:val="21"/>
        </w:rPr>
        <w:t>1,546,366,390</w:t>
      </w:r>
    </w:p>
    <w:p>
      <w:pPr>
        <w:spacing w:line="43" w:lineRule="exact"/>
        <w:ind w:left="6094" w:right="0" w:firstLine="0"/>
        <w:rPr>
          <w:rFonts w:ascii="Arial" w:hAnsi="Arial" w:cs="Arial" w:eastAsia="Arial" w:hint="default"/>
          <w:sz w:val="4"/>
          <w:szCs w:val="4"/>
        </w:rPr>
      </w:pPr>
      <w:r>
        <w:rPr>
          <w:rFonts w:ascii="Arial" w:hAnsi="Arial" w:cs="Arial" w:eastAsia="Arial" w:hint="default"/>
          <w:position w:val="0"/>
          <w:sz w:val="4"/>
          <w:szCs w:val="4"/>
        </w:rPr>
        <w:pict>
          <v:group style="width:174.05pt;height:2.2pt;mso-position-horizontal-relative:char;mso-position-vertical-relative:line" coordorigin="0,0" coordsize="3481,44">
            <v:group style="position:absolute;left:7;top:36;width:848;height:2" coordorigin="7,36" coordsize="848,2">
              <v:shape style="position:absolute;left:7;top:36;width:848;height:2" coordorigin="7,36" coordsize="848,0" path="m7,36l854,36e" filled="false" stroked="true" strokeweight=".71997pt" strokecolor="#000000">
                <v:path arrowok="t"/>
              </v:shape>
            </v:group>
            <v:group style="position:absolute;left:7;top:7;width:848;height:2" coordorigin="7,7" coordsize="848,2">
              <v:shape style="position:absolute;left:7;top:7;width:848;height:2" coordorigin="7,7" coordsize="848,0" path="m7,7l854,7e" filled="false" stroked="true" strokeweight=".71997pt" strokecolor="#000000">
                <v:path arrowok="t"/>
              </v:shape>
            </v:group>
            <v:group style="position:absolute;left:898;top:36;width:1049;height:2" coordorigin="898,36" coordsize="1049,2">
              <v:shape style="position:absolute;left:898;top:36;width:1049;height:2" coordorigin="898,36" coordsize="1049,0" path="m898,36l1946,36e" filled="false" stroked="true" strokeweight=".71997pt" strokecolor="#000000">
                <v:path arrowok="t"/>
              </v:shape>
            </v:group>
            <v:group style="position:absolute;left:898;top:7;width:1049;height:2" coordorigin="898,7" coordsize="1049,2">
              <v:shape style="position:absolute;left:898;top:7;width:1049;height:2" coordorigin="898,7" coordsize="1049,0" path="m898,7l1946,7e" filled="false" stroked="true" strokeweight=".71997pt" strokecolor="#000000">
                <v:path arrowok="t"/>
              </v:shape>
            </v:group>
            <v:group style="position:absolute;left:1988;top:36;width:1486;height:2" coordorigin="1988,36" coordsize="1486,2">
              <v:shape style="position:absolute;left:1988;top:36;width:1486;height:2" coordorigin="1988,36" coordsize="1486,0" path="m1988,36l3473,36e" filled="false" stroked="true" strokeweight=".71997pt" strokecolor="#000000">
                <v:path arrowok="t"/>
              </v:shape>
            </v:group>
            <v:group style="position:absolute;left:1988;top:7;width:1486;height:2" coordorigin="1988,7" coordsize="1486,2">
              <v:shape style="position:absolute;left:1988;top:7;width:1486;height:2" coordorigin="1988,7" coordsize="1486,0" path="m1988,7l3473,7e" filled="false" stroked="true" strokeweight=".71997pt" strokecolor="#000000">
                <v:path arrowok="t"/>
              </v:shape>
            </v:group>
          </v:group>
        </w:pict>
      </w:r>
      <w:r>
        <w:rPr>
          <w:rFonts w:ascii="Arial" w:hAnsi="Arial" w:cs="Arial" w:eastAsia="Arial" w:hint="default"/>
          <w:position w:val="0"/>
          <w:sz w:val="4"/>
          <w:szCs w:val="4"/>
        </w:rPr>
      </w:r>
    </w:p>
    <w:p>
      <w:pPr>
        <w:spacing w:line="240" w:lineRule="auto" w:before="5"/>
        <w:rPr>
          <w:rFonts w:ascii="Arial" w:hAnsi="Arial" w:cs="Arial" w:eastAsia="Arial" w:hint="default"/>
          <w:sz w:val="16"/>
          <w:szCs w:val="16"/>
        </w:rPr>
      </w:pPr>
    </w:p>
    <w:p>
      <w:pPr>
        <w:pStyle w:val="BodyText"/>
        <w:tabs>
          <w:tab w:pos="760" w:val="left" w:leader="none"/>
        </w:tabs>
        <w:spacing w:line="240" w:lineRule="auto" w:before="32"/>
        <w:ind w:left="114" w:right="1639"/>
        <w:jc w:val="left"/>
      </w:pPr>
      <w:r>
        <w:rPr>
          <w:rFonts w:ascii="Arial" w:hAnsi="Arial" w:cs="Arial" w:eastAsia="Arial" w:hint="default"/>
          <w:spacing w:val="-1"/>
        </w:rPr>
        <w:t>4</w:t>
      </w:r>
      <w:r>
        <w:rPr>
          <w:spacing w:val="-1"/>
        </w:rPr>
        <w:t>、</w:t>
        <w:tab/>
      </w:r>
      <w:r>
        <w:rPr/>
        <w:t>盈余公积</w:t>
      </w:r>
    </w:p>
    <w:p>
      <w:pPr>
        <w:pStyle w:val="BodyText"/>
        <w:spacing w:line="240" w:lineRule="auto" w:before="162"/>
        <w:ind w:left="760" w:right="1639"/>
        <w:jc w:val="left"/>
      </w:pPr>
      <w:r>
        <w:rPr/>
        <w:t>本公司盈余公积参见附注五</w:t>
      </w:r>
      <w:r>
        <w:rPr>
          <w:rFonts w:ascii="Arial" w:hAnsi="Arial" w:cs="Arial" w:eastAsia="Arial" w:hint="default"/>
        </w:rPr>
        <w:t>(34)</w:t>
      </w:r>
      <w:r>
        <w:rPr/>
        <w:t>。</w:t>
      </w:r>
    </w:p>
    <w:p>
      <w:pPr>
        <w:pStyle w:val="BodyText"/>
        <w:tabs>
          <w:tab w:pos="760" w:val="left" w:leader="none"/>
        </w:tabs>
        <w:spacing w:line="240" w:lineRule="auto" w:before="189"/>
        <w:ind w:left="114" w:right="1639"/>
        <w:jc w:val="left"/>
      </w:pPr>
      <w:r>
        <w:rPr>
          <w:rFonts w:ascii="Arial" w:hAnsi="Arial" w:cs="Arial" w:eastAsia="Arial" w:hint="default"/>
          <w:spacing w:val="-1"/>
        </w:rPr>
        <w:t>5</w:t>
      </w:r>
      <w:r>
        <w:rPr>
          <w:spacing w:val="-1"/>
        </w:rPr>
        <w:t>、</w:t>
        <w:tab/>
      </w:r>
      <w:r>
        <w:rPr/>
        <w:t>管理费用</w:t>
      </w:r>
    </w:p>
    <w:p>
      <w:pPr>
        <w:spacing w:line="240" w:lineRule="auto" w:before="12"/>
        <w:rPr>
          <w:rFonts w:ascii="宋体" w:hAnsi="宋体" w:cs="宋体" w:eastAsia="宋体" w:hint="default"/>
          <w:sz w:val="17"/>
          <w:szCs w:val="17"/>
        </w:rPr>
      </w:pPr>
    </w:p>
    <w:p>
      <w:pPr>
        <w:pStyle w:val="BodyText"/>
        <w:spacing w:line="240" w:lineRule="auto"/>
        <w:ind w:left="760" w:right="1639"/>
        <w:jc w:val="left"/>
      </w:pPr>
      <w:r>
        <w:rPr/>
        <w:t>管理费用主要包括本公司本部日常经费支出、工资、福利费等。</w:t>
      </w:r>
    </w:p>
    <w:p>
      <w:pPr>
        <w:spacing w:after="0" w:line="240" w:lineRule="auto"/>
        <w:jc w:val="left"/>
        <w:sectPr>
          <w:type w:val="continuous"/>
          <w:pgSz w:w="11910" w:h="16840"/>
          <w:pgMar w:top="1580" w:bottom="280" w:left="1280" w:right="820"/>
        </w:sectPr>
      </w:pPr>
    </w:p>
    <w:p>
      <w:pPr>
        <w:spacing w:line="240" w:lineRule="auto" w:before="7"/>
        <w:rPr>
          <w:rFonts w:ascii="宋体" w:hAnsi="宋体" w:cs="宋体" w:eastAsia="宋体" w:hint="default"/>
          <w:sz w:val="16"/>
          <w:szCs w:val="16"/>
        </w:rPr>
      </w:pPr>
      <w:r>
        <w:rPr/>
        <w:pict>
          <v:group style="position:absolute;margin-left:427.869995pt;margin-top:450.309998pt;width:.1pt;height:31.45pt;mso-position-horizontal-relative:page;mso-position-vertical-relative:page;z-index:-735376" coordorigin="8557,9006" coordsize="2,629">
            <v:shape style="position:absolute;left:8557;top:9006;width:2;height:629" coordorigin="8557,9006" coordsize="0,629" path="m8557,9006l8557,9635e" filled="false" stroked="true" strokeweight=".72pt" strokecolor="#000000">
              <v:path arrowok="t"/>
            </v:shape>
            <w10:wrap type="none"/>
          </v:group>
        </w:pict>
      </w:r>
    </w:p>
    <w:p>
      <w:pPr>
        <w:pStyle w:val="BodyText"/>
        <w:spacing w:line="240" w:lineRule="auto" w:before="32"/>
        <w:ind w:left="102" w:right="0"/>
        <w:jc w:val="left"/>
        <w:rPr>
          <w:rFonts w:ascii="黑体" w:hAnsi="黑体" w:cs="黑体" w:eastAsia="黑体" w:hint="default"/>
        </w:rPr>
      </w:pPr>
      <w:r>
        <w:rPr>
          <w:rFonts w:ascii="黑体" w:hAnsi="黑体" w:cs="黑体" w:eastAsia="黑体" w:hint="default"/>
        </w:rPr>
        <w:t>十四</w:t>
      </w:r>
      <w:r>
        <w:rPr>
          <w:rFonts w:ascii="黑体" w:hAnsi="黑体" w:cs="黑体" w:eastAsia="黑体" w:hint="default"/>
          <w:spacing w:val="70"/>
        </w:rPr>
        <w:t> </w:t>
      </w:r>
      <w:r>
        <w:rPr>
          <w:rFonts w:ascii="黑体" w:hAnsi="黑体" w:cs="黑体" w:eastAsia="黑体" w:hint="default"/>
        </w:rPr>
        <w:t>本公司个别财务报表主要项目注释（续）</w:t>
      </w:r>
    </w:p>
    <w:p>
      <w:pPr>
        <w:spacing w:line="240" w:lineRule="auto" w:before="3"/>
        <w:rPr>
          <w:rFonts w:ascii="黑体" w:hAnsi="黑体" w:cs="黑体" w:eastAsia="黑体" w:hint="default"/>
          <w:sz w:val="19"/>
          <w:szCs w:val="19"/>
        </w:rPr>
      </w:pPr>
    </w:p>
    <w:p>
      <w:pPr>
        <w:pStyle w:val="BodyText"/>
        <w:tabs>
          <w:tab w:pos="760" w:val="left" w:leader="none"/>
        </w:tabs>
        <w:spacing w:line="240" w:lineRule="auto"/>
        <w:ind w:left="114" w:right="0"/>
        <w:jc w:val="left"/>
      </w:pPr>
      <w:r>
        <w:rPr>
          <w:rFonts w:ascii="Arial" w:hAnsi="Arial" w:cs="Arial" w:eastAsia="Arial" w:hint="default"/>
          <w:spacing w:val="-1"/>
        </w:rPr>
        <w:t>6</w:t>
      </w:r>
      <w:r>
        <w:rPr>
          <w:spacing w:val="-1"/>
        </w:rPr>
        <w:t>、</w:t>
        <w:tab/>
      </w:r>
      <w:r>
        <w:rPr/>
        <w:t>投资收益</w:t>
      </w:r>
    </w:p>
    <w:p>
      <w:pPr>
        <w:spacing w:line="240" w:lineRule="auto" w:before="0"/>
        <w:rPr>
          <w:rFonts w:ascii="宋体" w:hAnsi="宋体" w:cs="宋体" w:eastAsia="宋体" w:hint="default"/>
          <w:sz w:val="23"/>
          <w:szCs w:val="23"/>
        </w:rPr>
      </w:pPr>
    </w:p>
    <w:tbl>
      <w:tblPr>
        <w:tblW w:w="0" w:type="auto"/>
        <w:jc w:val="left"/>
        <w:tblInd w:w="548" w:type="dxa"/>
        <w:tblLayout w:type="fixed"/>
        <w:tblCellMar>
          <w:top w:w="0" w:type="dxa"/>
          <w:left w:w="0" w:type="dxa"/>
          <w:bottom w:w="0" w:type="dxa"/>
          <w:right w:w="0" w:type="dxa"/>
        </w:tblCellMar>
        <w:tblLook w:val="01E0"/>
      </w:tblPr>
      <w:tblGrid>
        <w:gridCol w:w="4379"/>
        <w:gridCol w:w="2297"/>
        <w:gridCol w:w="2355"/>
      </w:tblGrid>
      <w:tr>
        <w:trPr>
          <w:trHeight w:val="264" w:hRule="exact"/>
        </w:trPr>
        <w:tc>
          <w:tcPr>
            <w:tcW w:w="4379" w:type="dxa"/>
            <w:tcBorders>
              <w:top w:val="nil" w:sz="6" w:space="0" w:color="auto"/>
              <w:left w:val="nil" w:sz="6" w:space="0" w:color="auto"/>
              <w:bottom w:val="nil" w:sz="6" w:space="0" w:color="auto"/>
              <w:right w:val="nil" w:sz="6" w:space="0" w:color="auto"/>
            </w:tcBorders>
          </w:tcPr>
          <w:p>
            <w:pPr/>
          </w:p>
        </w:tc>
        <w:tc>
          <w:tcPr>
            <w:tcW w:w="2297" w:type="dxa"/>
            <w:tcBorders>
              <w:top w:val="nil" w:sz="6" w:space="0" w:color="auto"/>
              <w:left w:val="nil" w:sz="6" w:space="0" w:color="auto"/>
              <w:bottom w:val="single" w:sz="6" w:space="0" w:color="000000"/>
              <w:right w:val="nil" w:sz="6" w:space="0" w:color="auto"/>
            </w:tcBorders>
          </w:tcPr>
          <w:p>
            <w:pPr>
              <w:pStyle w:val="TableParagraph"/>
              <w:spacing w:line="236" w:lineRule="exact"/>
              <w:ind w:right="31"/>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355" w:type="dxa"/>
            <w:tcBorders>
              <w:top w:val="nil" w:sz="6" w:space="0" w:color="auto"/>
              <w:left w:val="nil" w:sz="6" w:space="0" w:color="auto"/>
              <w:bottom w:val="single" w:sz="6" w:space="0" w:color="000000"/>
              <w:right w:val="nil" w:sz="6" w:space="0" w:color="auto"/>
            </w:tcBorders>
          </w:tcPr>
          <w:p>
            <w:pPr>
              <w:pStyle w:val="TableParagraph"/>
              <w:spacing w:line="236" w:lineRule="exact"/>
              <w:ind w:right="24"/>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65" w:hRule="exact"/>
        </w:trPr>
        <w:tc>
          <w:tcPr>
            <w:tcW w:w="43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投资收益</w:t>
            </w:r>
          </w:p>
        </w:tc>
        <w:tc>
          <w:tcPr>
            <w:tcW w:w="2297" w:type="dxa"/>
            <w:tcBorders>
              <w:top w:val="single" w:sz="6" w:space="0" w:color="000000"/>
              <w:left w:val="nil" w:sz="6" w:space="0" w:color="auto"/>
              <w:bottom w:val="single" w:sz="17"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60"/>
              <w:jc w:val="right"/>
              <w:rPr>
                <w:rFonts w:ascii="Arial" w:hAnsi="Arial" w:cs="Arial" w:eastAsia="Arial" w:hint="default"/>
                <w:sz w:val="22"/>
                <w:szCs w:val="22"/>
              </w:rPr>
            </w:pPr>
            <w:r>
              <w:rPr>
                <w:rFonts w:ascii="Arial"/>
                <w:spacing w:val="-1"/>
                <w:sz w:val="22"/>
              </w:rPr>
              <w:t>1,269,504,951</w:t>
            </w:r>
          </w:p>
        </w:tc>
        <w:tc>
          <w:tcPr>
            <w:tcW w:w="2355" w:type="dxa"/>
            <w:tcBorders>
              <w:top w:val="single" w:sz="6" w:space="0" w:color="000000"/>
              <w:left w:val="nil" w:sz="6" w:space="0" w:color="auto"/>
              <w:bottom w:val="single" w:sz="17"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64"/>
              <w:jc w:val="right"/>
              <w:rPr>
                <w:rFonts w:ascii="Arial" w:hAnsi="Arial" w:cs="Arial" w:eastAsia="Arial" w:hint="default"/>
                <w:sz w:val="22"/>
                <w:szCs w:val="22"/>
              </w:rPr>
            </w:pPr>
            <w:r>
              <w:rPr>
                <w:rFonts w:ascii="Arial"/>
                <w:spacing w:val="-1"/>
                <w:sz w:val="22"/>
              </w:rPr>
              <w:t>958,060,322</w:t>
            </w:r>
          </w:p>
        </w:tc>
      </w:tr>
    </w:tbl>
    <w:p>
      <w:pPr>
        <w:spacing w:line="240" w:lineRule="auto" w:before="11"/>
        <w:rPr>
          <w:rFonts w:ascii="宋体" w:hAnsi="宋体" w:cs="宋体" w:eastAsia="宋体" w:hint="default"/>
          <w:sz w:val="13"/>
          <w:szCs w:val="13"/>
        </w:rPr>
      </w:pPr>
    </w:p>
    <w:p>
      <w:pPr>
        <w:pStyle w:val="BodyText"/>
        <w:spacing w:line="286" w:lineRule="exact" w:before="61"/>
        <w:ind w:left="738" w:right="0"/>
        <w:jc w:val="left"/>
      </w:pPr>
      <w:r>
        <w:rPr/>
        <w:t>于</w:t>
      </w:r>
      <w:r>
        <w:rPr>
          <w:spacing w:val="-55"/>
        </w:rPr>
        <w:t> </w:t>
      </w:r>
      <w:r>
        <w:rPr>
          <w:rFonts w:ascii="Arial" w:hAnsi="Arial" w:cs="Arial" w:eastAsia="Arial" w:hint="default"/>
        </w:rPr>
        <w:t>2014</w:t>
      </w:r>
      <w:r>
        <w:rPr>
          <w:rFonts w:ascii="Arial" w:hAnsi="Arial" w:cs="Arial" w:eastAsia="Arial" w:hint="default"/>
          <w:spacing w:val="-7"/>
        </w:rPr>
        <w:t> </w:t>
      </w:r>
      <w:r>
        <w:rPr>
          <w:spacing w:val="-8"/>
        </w:rPr>
        <w:t>年度，本公司子公司联通</w:t>
      </w:r>
      <w:r>
        <w:rPr>
          <w:spacing w:val="-55"/>
        </w:rPr>
        <w:t> </w:t>
      </w:r>
      <w:r>
        <w:rPr>
          <w:rFonts w:ascii="Arial" w:hAnsi="Arial" w:cs="Arial" w:eastAsia="Arial" w:hint="default"/>
        </w:rPr>
        <w:t>BVI</w:t>
      </w:r>
      <w:r>
        <w:rPr>
          <w:rFonts w:ascii="Arial" w:hAnsi="Arial" w:cs="Arial" w:eastAsia="Arial" w:hint="default"/>
          <w:spacing w:val="-5"/>
        </w:rPr>
        <w:t> </w:t>
      </w:r>
      <w:r>
        <w:rPr/>
        <w:t>公司宣布派发的</w:t>
      </w:r>
      <w:r>
        <w:rPr>
          <w:spacing w:val="-55"/>
        </w:rPr>
        <w:t> </w:t>
      </w:r>
      <w:r>
        <w:rPr>
          <w:rFonts w:ascii="Arial" w:hAnsi="Arial" w:cs="Arial" w:eastAsia="Arial" w:hint="default"/>
        </w:rPr>
        <w:t>2013</w:t>
      </w:r>
      <w:r>
        <w:rPr>
          <w:rFonts w:ascii="Arial" w:hAnsi="Arial" w:cs="Arial" w:eastAsia="Arial" w:hint="default"/>
          <w:spacing w:val="-7"/>
        </w:rPr>
        <w:t> </w:t>
      </w:r>
      <w:r>
        <w:rPr/>
        <w:t>年度现金股利中归属于本公司的</w:t>
      </w:r>
      <w:r>
        <w:rPr>
          <w:w w:val="100"/>
        </w:rPr>
        <w:t> </w:t>
      </w:r>
      <w:r>
        <w:rPr/>
        <w:t>约人民币</w:t>
      </w:r>
      <w:r>
        <w:rPr>
          <w:spacing w:val="-56"/>
        </w:rPr>
        <w:t> </w:t>
      </w:r>
      <w:r>
        <w:rPr>
          <w:rFonts w:ascii="Arial" w:hAnsi="Arial" w:cs="Arial" w:eastAsia="Arial" w:hint="default"/>
        </w:rPr>
        <w:t>12.70</w:t>
      </w:r>
      <w:r>
        <w:rPr>
          <w:rFonts w:ascii="Arial" w:hAnsi="Arial" w:cs="Arial" w:eastAsia="Arial" w:hint="default"/>
          <w:spacing w:val="-8"/>
        </w:rPr>
        <w:t> </w:t>
      </w:r>
      <w:r>
        <w:rPr/>
        <w:t>亿元（</w:t>
      </w:r>
      <w:r>
        <w:rPr>
          <w:rFonts w:ascii="Arial" w:hAnsi="Arial" w:cs="Arial" w:eastAsia="Arial" w:hint="default"/>
        </w:rPr>
        <w:t>2013</w:t>
      </w:r>
      <w:r>
        <w:rPr>
          <w:rFonts w:ascii="Arial" w:hAnsi="Arial" w:cs="Arial" w:eastAsia="Arial" w:hint="default"/>
          <w:spacing w:val="-8"/>
        </w:rPr>
        <w:t> </w:t>
      </w:r>
      <w:r>
        <w:rPr/>
        <w:t>年：约人民币</w:t>
      </w:r>
      <w:r>
        <w:rPr>
          <w:spacing w:val="-56"/>
        </w:rPr>
        <w:t> </w:t>
      </w:r>
      <w:r>
        <w:rPr>
          <w:rFonts w:ascii="Arial" w:hAnsi="Arial" w:cs="Arial" w:eastAsia="Arial" w:hint="default"/>
        </w:rPr>
        <w:t>9.58</w:t>
      </w:r>
      <w:r>
        <w:rPr>
          <w:rFonts w:ascii="Arial" w:hAnsi="Arial" w:cs="Arial" w:eastAsia="Arial" w:hint="default"/>
          <w:spacing w:val="-8"/>
        </w:rPr>
        <w:t> </w:t>
      </w:r>
      <w:r>
        <w:rPr/>
        <w:t>亿元）。</w:t>
      </w:r>
    </w:p>
    <w:p>
      <w:pPr>
        <w:pStyle w:val="BodyText"/>
        <w:spacing w:line="240" w:lineRule="auto" w:before="178"/>
        <w:ind w:left="738" w:right="0"/>
        <w:jc w:val="left"/>
      </w:pPr>
      <w:r>
        <w:rPr/>
        <w:t>本公司不存在投资收益汇回的重大限制。</w:t>
      </w:r>
    </w:p>
    <w:p>
      <w:pPr>
        <w:spacing w:line="240" w:lineRule="auto" w:before="1"/>
        <w:rPr>
          <w:rFonts w:ascii="宋体" w:hAnsi="宋体" w:cs="宋体" w:eastAsia="宋体" w:hint="default"/>
          <w:sz w:val="19"/>
          <w:szCs w:val="19"/>
        </w:rPr>
      </w:pPr>
    </w:p>
    <w:p>
      <w:pPr>
        <w:pStyle w:val="BodyText"/>
        <w:spacing w:line="240" w:lineRule="auto"/>
        <w:ind w:left="146" w:right="0"/>
        <w:jc w:val="left"/>
        <w:rPr>
          <w:rFonts w:ascii="黑体" w:hAnsi="黑体" w:cs="黑体" w:eastAsia="黑体" w:hint="default"/>
        </w:rPr>
      </w:pPr>
      <w:r>
        <w:rPr/>
        <w:pict>
          <v:group style="position:absolute;margin-left:427.869995pt;margin-top:72.387665pt;width:.1pt;height:48.75pt;mso-position-horizontal-relative:page;mso-position-vertical-relative:paragraph;z-index:-735400" coordorigin="8557,1448" coordsize="2,975">
            <v:shape style="position:absolute;left:8557;top:1448;width:2;height:975" coordorigin="8557,1448" coordsize="0,975" path="m8557,1448l8557,2422e" filled="false" stroked="true" strokeweight=".72pt" strokecolor="#000000">
              <v:path arrowok="t"/>
            </v:shape>
            <w10:wrap type="none"/>
          </v:group>
        </w:pict>
      </w:r>
      <w:r>
        <w:rPr>
          <w:rFonts w:ascii="黑体" w:hAnsi="黑体" w:cs="黑体" w:eastAsia="黑体" w:hint="default"/>
        </w:rPr>
        <w:t>十五</w:t>
      </w:r>
      <w:r>
        <w:rPr>
          <w:rFonts w:ascii="黑体" w:hAnsi="黑体" w:cs="黑体" w:eastAsia="黑体" w:hint="default"/>
          <w:spacing w:val="19"/>
        </w:rPr>
        <w:t> </w:t>
      </w:r>
      <w:r>
        <w:rPr>
          <w:rFonts w:ascii="黑体" w:hAnsi="黑体" w:cs="黑体" w:eastAsia="黑体" w:hint="default"/>
        </w:rPr>
        <w:t>非经常性损益明细表</w:t>
      </w:r>
    </w:p>
    <w:p>
      <w:pPr>
        <w:spacing w:line="240" w:lineRule="auto" w:before="0"/>
        <w:rPr>
          <w:rFonts w:ascii="黑体" w:hAnsi="黑体" w:cs="黑体" w:eastAsia="黑体" w:hint="default"/>
          <w:sz w:val="22"/>
          <w:szCs w:val="22"/>
        </w:rPr>
      </w:pPr>
    </w:p>
    <w:tbl>
      <w:tblPr>
        <w:tblW w:w="0" w:type="auto"/>
        <w:jc w:val="left"/>
        <w:tblInd w:w="361" w:type="dxa"/>
        <w:tblLayout w:type="fixed"/>
        <w:tblCellMar>
          <w:top w:w="0" w:type="dxa"/>
          <w:left w:w="0" w:type="dxa"/>
          <w:bottom w:w="0" w:type="dxa"/>
          <w:right w:w="0" w:type="dxa"/>
        </w:tblCellMar>
        <w:tblLook w:val="01E0"/>
      </w:tblPr>
      <w:tblGrid>
        <w:gridCol w:w="4989"/>
        <w:gridCol w:w="1930"/>
        <w:gridCol w:w="2050"/>
      </w:tblGrid>
      <w:tr>
        <w:trPr>
          <w:trHeight w:val="262"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22"/>
                <w:szCs w:val="22"/>
              </w:rPr>
            </w:pPr>
            <w:r>
              <w:rPr>
                <w:rFonts w:ascii="宋体" w:hAnsi="宋体" w:cs="宋体" w:eastAsia="宋体" w:hint="default"/>
                <w:sz w:val="22"/>
                <w:szCs w:val="22"/>
              </w:rPr>
              <w:t>（单位：人民币百万元）</w:t>
            </w:r>
          </w:p>
        </w:tc>
        <w:tc>
          <w:tcPr>
            <w:tcW w:w="1930" w:type="dxa"/>
            <w:tcBorders>
              <w:top w:val="nil" w:sz="6" w:space="0" w:color="auto"/>
              <w:left w:val="nil" w:sz="6" w:space="0" w:color="auto"/>
              <w:bottom w:val="single" w:sz="6" w:space="0" w:color="000000"/>
              <w:right w:val="nil" w:sz="6" w:space="0" w:color="auto"/>
            </w:tcBorders>
          </w:tcPr>
          <w:p>
            <w:pPr>
              <w:pStyle w:val="TableParagraph"/>
              <w:spacing w:line="236" w:lineRule="exact"/>
              <w:ind w:right="0"/>
              <w:jc w:val="righ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050" w:type="dxa"/>
            <w:tcBorders>
              <w:top w:val="nil" w:sz="6" w:space="0" w:color="auto"/>
              <w:left w:val="nil" w:sz="6" w:space="0" w:color="auto"/>
              <w:bottom w:val="single" w:sz="6" w:space="0" w:color="000000"/>
              <w:right w:val="nil" w:sz="6" w:space="0" w:color="auto"/>
            </w:tcBorders>
          </w:tcPr>
          <w:p>
            <w:pPr>
              <w:pStyle w:val="TableParagraph"/>
              <w:spacing w:line="236" w:lineRule="exact"/>
              <w:ind w:right="53"/>
              <w:jc w:val="righ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617"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21"/>
                <w:szCs w:val="21"/>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－营业外收入</w:t>
            </w:r>
          </w:p>
        </w:tc>
        <w:tc>
          <w:tcPr>
            <w:tcW w:w="1930" w:type="dxa"/>
            <w:tcBorders>
              <w:top w:val="single" w:sz="6" w:space="0" w:color="000000"/>
              <w:left w:val="nil" w:sz="6" w:space="0" w:color="auto"/>
              <w:bottom w:val="single" w:sz="6" w:space="0" w:color="000000"/>
              <w:right w:val="nil" w:sz="6" w:space="0" w:color="auto"/>
            </w:tcBorders>
          </w:tcPr>
          <w:p>
            <w:pPr>
              <w:pStyle w:val="TableParagraph"/>
              <w:spacing w:line="240" w:lineRule="auto" w:before="5"/>
              <w:ind w:right="0"/>
              <w:jc w:val="left"/>
              <w:rPr>
                <w:rFonts w:ascii="黑体" w:hAnsi="黑体" w:cs="黑体" w:eastAsia="黑体" w:hint="default"/>
                <w:sz w:val="26"/>
                <w:szCs w:val="26"/>
              </w:rPr>
            </w:pPr>
          </w:p>
          <w:p>
            <w:pPr>
              <w:pStyle w:val="TableParagraph"/>
              <w:spacing w:line="240" w:lineRule="auto"/>
              <w:ind w:right="71"/>
              <w:jc w:val="right"/>
              <w:rPr>
                <w:rFonts w:ascii="Arial" w:hAnsi="Arial" w:cs="Arial" w:eastAsia="Arial" w:hint="default"/>
                <w:sz w:val="22"/>
                <w:szCs w:val="22"/>
              </w:rPr>
            </w:pPr>
            <w:r>
              <w:rPr>
                <w:rFonts w:ascii="Arial"/>
                <w:sz w:val="22"/>
              </w:rPr>
              <w:t>1,529</w:t>
            </w:r>
          </w:p>
        </w:tc>
        <w:tc>
          <w:tcPr>
            <w:tcW w:w="2050" w:type="dxa"/>
            <w:tcBorders>
              <w:top w:val="single" w:sz="6" w:space="0" w:color="000000"/>
              <w:left w:val="nil" w:sz="6" w:space="0" w:color="auto"/>
              <w:bottom w:val="single" w:sz="6" w:space="0" w:color="000000"/>
              <w:right w:val="nil" w:sz="6" w:space="0" w:color="auto"/>
            </w:tcBorders>
          </w:tcPr>
          <w:p>
            <w:pPr>
              <w:pStyle w:val="TableParagraph"/>
              <w:spacing w:line="240" w:lineRule="auto" w:before="5"/>
              <w:ind w:right="0"/>
              <w:jc w:val="left"/>
              <w:rPr>
                <w:rFonts w:ascii="黑体" w:hAnsi="黑体" w:cs="黑体" w:eastAsia="黑体" w:hint="default"/>
                <w:sz w:val="26"/>
                <w:szCs w:val="26"/>
              </w:rPr>
            </w:pPr>
          </w:p>
          <w:p>
            <w:pPr>
              <w:pStyle w:val="TableParagraph"/>
              <w:spacing w:line="240" w:lineRule="auto"/>
              <w:ind w:right="64"/>
              <w:jc w:val="right"/>
              <w:rPr>
                <w:rFonts w:ascii="Arial" w:hAnsi="Arial" w:cs="Arial" w:eastAsia="Arial" w:hint="default"/>
                <w:sz w:val="22"/>
                <w:szCs w:val="22"/>
              </w:rPr>
            </w:pPr>
            <w:r>
              <w:rPr>
                <w:rFonts w:ascii="Arial"/>
                <w:sz w:val="22"/>
              </w:rPr>
              <w:t>1,439</w:t>
            </w:r>
          </w:p>
        </w:tc>
      </w:tr>
      <w:tr>
        <w:trPr>
          <w:trHeight w:val="326" w:hRule="exact"/>
        </w:trPr>
        <w:tc>
          <w:tcPr>
            <w:tcW w:w="4989" w:type="dxa"/>
            <w:tcBorders>
              <w:top w:val="nil" w:sz="6" w:space="0" w:color="auto"/>
              <w:left w:val="nil" w:sz="6" w:space="0" w:color="auto"/>
              <w:bottom w:val="nil" w:sz="6" w:space="0" w:color="auto"/>
              <w:right w:val="single" w:sz="6" w:space="0" w:color="000000"/>
            </w:tcBorders>
          </w:tcPr>
          <w:p>
            <w:pPr>
              <w:pStyle w:val="TableParagraph"/>
              <w:spacing w:line="271" w:lineRule="exact"/>
              <w:ind w:left="420" w:right="0"/>
              <w:jc w:val="left"/>
              <w:rPr>
                <w:rFonts w:ascii="宋体" w:hAnsi="宋体" w:cs="宋体" w:eastAsia="宋体" w:hint="default"/>
                <w:sz w:val="22"/>
                <w:szCs w:val="22"/>
              </w:rPr>
            </w:pPr>
            <w:r>
              <w:rPr>
                <w:rFonts w:ascii="宋体" w:hAnsi="宋体" w:cs="宋体" w:eastAsia="宋体" w:hint="default"/>
                <w:sz w:val="22"/>
                <w:szCs w:val="22"/>
              </w:rPr>
              <w:t>其中：非流动资产处置收益</w:t>
            </w:r>
          </w:p>
        </w:tc>
        <w:tc>
          <w:tcPr>
            <w:tcW w:w="193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5"/>
              <w:ind w:right="77"/>
              <w:jc w:val="right"/>
              <w:rPr>
                <w:rFonts w:ascii="Arial" w:hAnsi="Arial" w:cs="Arial" w:eastAsia="Arial" w:hint="default"/>
                <w:sz w:val="22"/>
                <w:szCs w:val="22"/>
              </w:rPr>
            </w:pPr>
            <w:r>
              <w:rPr>
                <w:rFonts w:ascii="Arial"/>
                <w:spacing w:val="-1"/>
                <w:sz w:val="22"/>
              </w:rPr>
              <w:t>406</w:t>
            </w:r>
            <w:r>
              <w:rPr>
                <w:rFonts w:ascii="Arial"/>
                <w:sz w:val="22"/>
              </w:rPr>
            </w:r>
          </w:p>
        </w:tc>
        <w:tc>
          <w:tcPr>
            <w:tcW w:w="205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5"/>
              <w:ind w:right="167"/>
              <w:jc w:val="right"/>
              <w:rPr>
                <w:rFonts w:ascii="Arial" w:hAnsi="Arial" w:cs="Arial" w:eastAsia="Arial" w:hint="default"/>
                <w:sz w:val="22"/>
                <w:szCs w:val="22"/>
              </w:rPr>
            </w:pPr>
            <w:r>
              <w:rPr>
                <w:rFonts w:ascii="Arial"/>
                <w:spacing w:val="-1"/>
                <w:sz w:val="22"/>
              </w:rPr>
              <w:t>626</w:t>
            </w:r>
            <w:r>
              <w:rPr>
                <w:rFonts w:ascii="Arial"/>
                <w:sz w:val="22"/>
              </w:rPr>
            </w:r>
          </w:p>
        </w:tc>
      </w:tr>
      <w:tr>
        <w:trPr>
          <w:trHeight w:val="323" w:hRule="exact"/>
        </w:trPr>
        <w:tc>
          <w:tcPr>
            <w:tcW w:w="4989" w:type="dxa"/>
            <w:tcBorders>
              <w:top w:val="nil" w:sz="6" w:space="0" w:color="auto"/>
              <w:left w:val="nil" w:sz="6" w:space="0" w:color="auto"/>
              <w:bottom w:val="nil" w:sz="6" w:space="0" w:color="auto"/>
              <w:right w:val="single" w:sz="6" w:space="0" w:color="000000"/>
            </w:tcBorders>
          </w:tcPr>
          <w:p>
            <w:pPr>
              <w:pStyle w:val="TableParagraph"/>
              <w:spacing w:line="245" w:lineRule="exact"/>
              <w:ind w:left="1080" w:right="0"/>
              <w:jc w:val="left"/>
              <w:rPr>
                <w:rFonts w:ascii="宋体" w:hAnsi="宋体" w:cs="宋体" w:eastAsia="宋体" w:hint="default"/>
                <w:sz w:val="22"/>
                <w:szCs w:val="22"/>
              </w:rPr>
            </w:pPr>
            <w:r>
              <w:rPr>
                <w:rFonts w:ascii="宋体" w:hAnsi="宋体" w:cs="宋体" w:eastAsia="宋体" w:hint="default"/>
                <w:sz w:val="22"/>
                <w:szCs w:val="22"/>
              </w:rPr>
              <w:t>计入当期损益的政府补助</w:t>
            </w:r>
          </w:p>
        </w:tc>
        <w:tc>
          <w:tcPr>
            <w:tcW w:w="1930"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right="77"/>
              <w:jc w:val="right"/>
              <w:rPr>
                <w:rFonts w:ascii="Arial" w:hAnsi="Arial" w:cs="Arial" w:eastAsia="Arial" w:hint="default"/>
                <w:sz w:val="22"/>
                <w:szCs w:val="22"/>
              </w:rPr>
            </w:pPr>
            <w:r>
              <w:rPr>
                <w:rFonts w:ascii="Arial"/>
                <w:spacing w:val="-1"/>
                <w:sz w:val="22"/>
              </w:rPr>
              <w:t>271</w:t>
            </w:r>
            <w:r>
              <w:rPr>
                <w:rFonts w:ascii="Arial"/>
                <w:sz w:val="22"/>
              </w:rPr>
            </w:r>
          </w:p>
        </w:tc>
        <w:tc>
          <w:tcPr>
            <w:tcW w:w="2050"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right="167"/>
              <w:jc w:val="right"/>
              <w:rPr>
                <w:rFonts w:ascii="Arial" w:hAnsi="Arial" w:cs="Arial" w:eastAsia="Arial" w:hint="default"/>
                <w:sz w:val="22"/>
                <w:szCs w:val="22"/>
              </w:rPr>
            </w:pPr>
            <w:r>
              <w:rPr>
                <w:rFonts w:ascii="Arial"/>
                <w:spacing w:val="-1"/>
                <w:sz w:val="22"/>
              </w:rPr>
              <w:t>239</w:t>
            </w:r>
            <w:r>
              <w:rPr>
                <w:rFonts w:ascii="Arial"/>
                <w:sz w:val="22"/>
              </w:rPr>
            </w:r>
          </w:p>
        </w:tc>
      </w:tr>
      <w:tr>
        <w:trPr>
          <w:trHeight w:val="312" w:hRule="exact"/>
        </w:trPr>
        <w:tc>
          <w:tcPr>
            <w:tcW w:w="4989" w:type="dxa"/>
            <w:tcBorders>
              <w:top w:val="nil" w:sz="6" w:space="0" w:color="auto"/>
              <w:left w:val="nil" w:sz="6" w:space="0" w:color="auto"/>
              <w:bottom w:val="nil" w:sz="6" w:space="0" w:color="auto"/>
              <w:right w:val="single" w:sz="6" w:space="0" w:color="000000"/>
            </w:tcBorders>
          </w:tcPr>
          <w:p>
            <w:pPr>
              <w:pStyle w:val="TableParagraph"/>
              <w:spacing w:line="268" w:lineRule="exact"/>
              <w:ind w:left="1080" w:right="0"/>
              <w:jc w:val="left"/>
              <w:rPr>
                <w:rFonts w:ascii="宋体" w:hAnsi="宋体" w:cs="宋体" w:eastAsia="宋体" w:hint="default"/>
                <w:sz w:val="22"/>
                <w:szCs w:val="22"/>
              </w:rPr>
            </w:pPr>
            <w:r>
              <w:rPr>
                <w:rFonts w:ascii="宋体" w:hAnsi="宋体" w:cs="宋体" w:eastAsia="宋体" w:hint="default"/>
                <w:sz w:val="22"/>
                <w:szCs w:val="22"/>
              </w:rPr>
              <w:t>其他营业外收入</w:t>
            </w:r>
          </w:p>
        </w:tc>
        <w:tc>
          <w:tcPr>
            <w:tcW w:w="193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7"/>
              <w:ind w:right="77"/>
              <w:jc w:val="right"/>
              <w:rPr>
                <w:rFonts w:ascii="Arial" w:hAnsi="Arial" w:cs="Arial" w:eastAsia="Arial" w:hint="default"/>
                <w:sz w:val="22"/>
                <w:szCs w:val="22"/>
              </w:rPr>
            </w:pPr>
            <w:r>
              <w:rPr>
                <w:rFonts w:ascii="Arial"/>
                <w:spacing w:val="-1"/>
                <w:sz w:val="22"/>
              </w:rPr>
              <w:t>852</w:t>
            </w:r>
            <w:r>
              <w:rPr>
                <w:rFonts w:ascii="Arial"/>
                <w:sz w:val="22"/>
              </w:rPr>
            </w:r>
          </w:p>
        </w:tc>
        <w:tc>
          <w:tcPr>
            <w:tcW w:w="205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7"/>
              <w:ind w:right="167"/>
              <w:jc w:val="right"/>
              <w:rPr>
                <w:rFonts w:ascii="Arial" w:hAnsi="Arial" w:cs="Arial" w:eastAsia="Arial" w:hint="default"/>
                <w:sz w:val="22"/>
                <w:szCs w:val="22"/>
              </w:rPr>
            </w:pPr>
            <w:r>
              <w:rPr>
                <w:rFonts w:ascii="Arial"/>
                <w:spacing w:val="-1"/>
                <w:sz w:val="22"/>
              </w:rPr>
              <w:t>574</w:t>
            </w:r>
            <w:r>
              <w:rPr>
                <w:rFonts w:ascii="Arial"/>
                <w:sz w:val="22"/>
              </w:rPr>
            </w:r>
          </w:p>
        </w:tc>
      </w:tr>
      <w:tr>
        <w:trPr>
          <w:trHeight w:val="314"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71" w:lineRule="exact"/>
              <w:ind w:left="200" w:right="0"/>
              <w:jc w:val="left"/>
              <w:rPr>
                <w:rFonts w:ascii="宋体" w:hAnsi="宋体" w:cs="宋体" w:eastAsia="宋体" w:hint="default"/>
                <w:sz w:val="22"/>
                <w:szCs w:val="22"/>
              </w:rPr>
            </w:pPr>
            <w:r>
              <w:rPr>
                <w:rFonts w:ascii="宋体" w:hAnsi="宋体" w:cs="宋体" w:eastAsia="宋体" w:hint="default"/>
                <w:sz w:val="22"/>
                <w:szCs w:val="22"/>
              </w:rPr>
              <w:t>－营业外支出</w:t>
            </w:r>
          </w:p>
        </w:tc>
        <w:tc>
          <w:tcPr>
            <w:tcW w:w="1930"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right="15"/>
              <w:jc w:val="right"/>
              <w:rPr>
                <w:rFonts w:ascii="Arial" w:hAnsi="Arial" w:cs="Arial" w:eastAsia="Arial" w:hint="default"/>
                <w:sz w:val="22"/>
                <w:szCs w:val="22"/>
              </w:rPr>
            </w:pPr>
            <w:r>
              <w:rPr>
                <w:rFonts w:ascii="Arial"/>
                <w:spacing w:val="-1"/>
                <w:sz w:val="22"/>
              </w:rPr>
              <w:t>(1,586)</w:t>
            </w:r>
          </w:p>
        </w:tc>
        <w:tc>
          <w:tcPr>
            <w:tcW w:w="2050"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right="15"/>
              <w:jc w:val="right"/>
              <w:rPr>
                <w:rFonts w:ascii="Arial" w:hAnsi="Arial" w:cs="Arial" w:eastAsia="Arial" w:hint="default"/>
                <w:sz w:val="22"/>
                <w:szCs w:val="22"/>
              </w:rPr>
            </w:pPr>
            <w:r>
              <w:rPr>
                <w:rFonts w:ascii="Arial"/>
                <w:spacing w:val="-1"/>
                <w:sz w:val="22"/>
              </w:rPr>
              <w:t>(680)</w:t>
            </w:r>
          </w:p>
        </w:tc>
      </w:tr>
      <w:tr>
        <w:trPr>
          <w:trHeight w:val="326" w:hRule="exact"/>
        </w:trPr>
        <w:tc>
          <w:tcPr>
            <w:tcW w:w="4989" w:type="dxa"/>
            <w:tcBorders>
              <w:top w:val="nil" w:sz="6" w:space="0" w:color="auto"/>
              <w:left w:val="nil" w:sz="6" w:space="0" w:color="auto"/>
              <w:bottom w:val="nil" w:sz="6" w:space="0" w:color="auto"/>
              <w:right w:val="single" w:sz="6" w:space="0" w:color="000000"/>
            </w:tcBorders>
          </w:tcPr>
          <w:p>
            <w:pPr>
              <w:pStyle w:val="TableParagraph"/>
              <w:spacing w:line="271" w:lineRule="exact"/>
              <w:ind w:left="420" w:right="0"/>
              <w:jc w:val="left"/>
              <w:rPr>
                <w:rFonts w:ascii="宋体" w:hAnsi="宋体" w:cs="宋体" w:eastAsia="宋体" w:hint="default"/>
                <w:sz w:val="22"/>
                <w:szCs w:val="22"/>
              </w:rPr>
            </w:pPr>
            <w:r>
              <w:rPr>
                <w:rFonts w:ascii="宋体" w:hAnsi="宋体" w:cs="宋体" w:eastAsia="宋体" w:hint="default"/>
                <w:sz w:val="22"/>
                <w:szCs w:val="22"/>
              </w:rPr>
              <w:t>其中：非流动资产处置损失</w:t>
            </w:r>
          </w:p>
        </w:tc>
        <w:tc>
          <w:tcPr>
            <w:tcW w:w="193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5"/>
              <w:ind w:right="18"/>
              <w:jc w:val="right"/>
              <w:rPr>
                <w:rFonts w:ascii="Arial" w:hAnsi="Arial" w:cs="Arial" w:eastAsia="Arial" w:hint="default"/>
                <w:sz w:val="22"/>
                <w:szCs w:val="22"/>
              </w:rPr>
            </w:pPr>
            <w:r>
              <w:rPr>
                <w:rFonts w:ascii="Arial"/>
                <w:spacing w:val="-1"/>
                <w:sz w:val="22"/>
              </w:rPr>
              <w:t>(1,454)</w:t>
            </w:r>
          </w:p>
        </w:tc>
        <w:tc>
          <w:tcPr>
            <w:tcW w:w="205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5"/>
              <w:ind w:right="111"/>
              <w:jc w:val="right"/>
              <w:rPr>
                <w:rFonts w:ascii="Arial" w:hAnsi="Arial" w:cs="Arial" w:eastAsia="Arial" w:hint="default"/>
                <w:sz w:val="22"/>
                <w:szCs w:val="22"/>
              </w:rPr>
            </w:pPr>
            <w:r>
              <w:rPr>
                <w:rFonts w:ascii="Arial"/>
                <w:spacing w:val="-1"/>
                <w:sz w:val="22"/>
              </w:rPr>
              <w:t>(551)</w:t>
            </w:r>
          </w:p>
        </w:tc>
      </w:tr>
      <w:tr>
        <w:trPr>
          <w:trHeight w:val="289" w:hRule="exact"/>
        </w:trPr>
        <w:tc>
          <w:tcPr>
            <w:tcW w:w="4989" w:type="dxa"/>
            <w:tcBorders>
              <w:top w:val="nil" w:sz="6" w:space="0" w:color="auto"/>
              <w:left w:val="nil" w:sz="6" w:space="0" w:color="auto"/>
              <w:bottom w:val="nil" w:sz="6" w:space="0" w:color="auto"/>
              <w:right w:val="single" w:sz="6" w:space="0" w:color="000000"/>
            </w:tcBorders>
          </w:tcPr>
          <w:p>
            <w:pPr>
              <w:pStyle w:val="TableParagraph"/>
              <w:spacing w:line="245" w:lineRule="exact"/>
              <w:ind w:left="1116" w:right="0"/>
              <w:jc w:val="left"/>
              <w:rPr>
                <w:rFonts w:ascii="宋体" w:hAnsi="宋体" w:cs="宋体" w:eastAsia="宋体" w:hint="default"/>
                <w:sz w:val="22"/>
                <w:szCs w:val="22"/>
              </w:rPr>
            </w:pPr>
            <w:r>
              <w:rPr>
                <w:rFonts w:ascii="宋体" w:hAnsi="宋体" w:cs="宋体" w:eastAsia="宋体" w:hint="default"/>
                <w:sz w:val="22"/>
                <w:szCs w:val="22"/>
              </w:rPr>
              <w:t>其他营业外支出</w:t>
            </w:r>
          </w:p>
        </w:tc>
        <w:tc>
          <w:tcPr>
            <w:tcW w:w="193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7"/>
              <w:ind w:right="17"/>
              <w:jc w:val="right"/>
              <w:rPr>
                <w:rFonts w:ascii="Arial" w:hAnsi="Arial" w:cs="Arial" w:eastAsia="Arial" w:hint="default"/>
                <w:sz w:val="22"/>
                <w:szCs w:val="22"/>
              </w:rPr>
            </w:pPr>
            <w:r>
              <w:rPr>
                <w:rFonts w:ascii="Arial"/>
                <w:spacing w:val="-1"/>
                <w:sz w:val="22"/>
              </w:rPr>
              <w:t>(132)</w:t>
            </w:r>
          </w:p>
        </w:tc>
        <w:tc>
          <w:tcPr>
            <w:tcW w:w="205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7"/>
              <w:ind w:right="111"/>
              <w:jc w:val="right"/>
              <w:rPr>
                <w:rFonts w:ascii="Arial" w:hAnsi="Arial" w:cs="Arial" w:eastAsia="Arial" w:hint="default"/>
                <w:sz w:val="22"/>
                <w:szCs w:val="22"/>
              </w:rPr>
            </w:pPr>
            <w:r>
              <w:rPr>
                <w:rFonts w:ascii="Arial"/>
                <w:spacing w:val="-1"/>
                <w:sz w:val="22"/>
              </w:rPr>
              <w:t>(129)</w:t>
            </w:r>
          </w:p>
        </w:tc>
      </w:tr>
      <w:tr>
        <w:trPr>
          <w:trHeight w:val="477"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73"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930" w:type="dxa"/>
            <w:tcBorders>
              <w:top w:val="single" w:sz="6" w:space="0" w:color="000000"/>
              <w:left w:val="nil" w:sz="6" w:space="0" w:color="auto"/>
              <w:bottom w:val="nil" w:sz="6" w:space="0" w:color="auto"/>
              <w:right w:val="nil" w:sz="6" w:space="0" w:color="auto"/>
            </w:tcBorders>
          </w:tcPr>
          <w:p>
            <w:pPr>
              <w:pStyle w:val="TableParagraph"/>
              <w:spacing w:line="240" w:lineRule="auto" w:before="45"/>
              <w:ind w:right="32"/>
              <w:jc w:val="right"/>
              <w:rPr>
                <w:rFonts w:ascii="Arial" w:hAnsi="Arial" w:cs="Arial" w:eastAsia="Arial" w:hint="default"/>
                <w:sz w:val="22"/>
                <w:szCs w:val="22"/>
              </w:rPr>
            </w:pPr>
            <w:r>
              <w:rPr>
                <w:rFonts w:ascii="Arial"/>
                <w:spacing w:val="-1"/>
                <w:sz w:val="22"/>
              </w:rPr>
              <w:t>(57)</w:t>
            </w:r>
          </w:p>
        </w:tc>
        <w:tc>
          <w:tcPr>
            <w:tcW w:w="2050" w:type="dxa"/>
            <w:tcBorders>
              <w:top w:val="single" w:sz="6" w:space="0" w:color="000000"/>
              <w:left w:val="nil" w:sz="6" w:space="0" w:color="auto"/>
              <w:bottom w:val="nil" w:sz="6" w:space="0" w:color="auto"/>
              <w:right w:val="nil" w:sz="6" w:space="0" w:color="auto"/>
            </w:tcBorders>
          </w:tcPr>
          <w:p>
            <w:pPr>
              <w:pStyle w:val="TableParagraph"/>
              <w:spacing w:line="240" w:lineRule="auto" w:before="45"/>
              <w:ind w:right="83"/>
              <w:jc w:val="right"/>
              <w:rPr>
                <w:rFonts w:ascii="Arial" w:hAnsi="Arial" w:cs="Arial" w:eastAsia="Arial" w:hint="default"/>
                <w:sz w:val="22"/>
                <w:szCs w:val="22"/>
              </w:rPr>
            </w:pPr>
            <w:r>
              <w:rPr>
                <w:rFonts w:ascii="Arial"/>
                <w:spacing w:val="-1"/>
                <w:sz w:val="22"/>
              </w:rPr>
              <w:t>759</w:t>
            </w:r>
            <w:r>
              <w:rPr>
                <w:rFonts w:ascii="Arial"/>
                <w:sz w:val="22"/>
              </w:rPr>
            </w:r>
          </w:p>
        </w:tc>
      </w:tr>
      <w:tr>
        <w:trPr>
          <w:trHeight w:val="457"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00" w:right="0"/>
              <w:jc w:val="left"/>
              <w:rPr>
                <w:rFonts w:ascii="宋体" w:hAnsi="宋体" w:cs="宋体" w:eastAsia="宋体" w:hint="default"/>
                <w:sz w:val="22"/>
                <w:szCs w:val="22"/>
              </w:rPr>
            </w:pPr>
            <w:r>
              <w:rPr>
                <w:rFonts w:ascii="宋体" w:hAnsi="宋体" w:cs="宋体" w:eastAsia="宋体" w:hint="default"/>
                <w:sz w:val="22"/>
                <w:szCs w:val="22"/>
              </w:rPr>
              <w:t>－所得税影响数</w:t>
            </w:r>
          </w:p>
        </w:tc>
        <w:tc>
          <w:tcPr>
            <w:tcW w:w="1930" w:type="dxa"/>
            <w:tcBorders>
              <w:top w:val="nil" w:sz="6" w:space="0" w:color="auto"/>
              <w:left w:val="nil" w:sz="6" w:space="0" w:color="auto"/>
              <w:bottom w:val="nil" w:sz="6" w:space="0" w:color="auto"/>
              <w:right w:val="nil" w:sz="6" w:space="0" w:color="auto"/>
            </w:tcBorders>
          </w:tcPr>
          <w:p>
            <w:pPr>
              <w:pStyle w:val="TableParagraph"/>
              <w:tabs>
                <w:tab w:pos="1730" w:val="left" w:leader="none"/>
                <w:tab w:pos="1927" w:val="left" w:leader="none"/>
              </w:tabs>
              <w:spacing w:line="240" w:lineRule="auto" w:before="176"/>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7</w:t>
              <w:tab/>
            </w:r>
            <w:r>
              <w:rPr>
                <w:rFonts w:ascii="Arial"/>
                <w:sz w:val="22"/>
              </w:rPr>
            </w:r>
          </w:p>
        </w:tc>
        <w:tc>
          <w:tcPr>
            <w:tcW w:w="2050" w:type="dxa"/>
            <w:tcBorders>
              <w:top w:val="nil" w:sz="6" w:space="0" w:color="auto"/>
              <w:left w:val="nil" w:sz="6" w:space="0" w:color="auto"/>
              <w:bottom w:val="nil" w:sz="6" w:space="0" w:color="auto"/>
              <w:right w:val="nil" w:sz="6" w:space="0" w:color="auto"/>
            </w:tcBorders>
          </w:tcPr>
          <w:p>
            <w:pPr>
              <w:pStyle w:val="TableParagraph"/>
              <w:tabs>
                <w:tab w:pos="1421" w:val="left" w:leader="none"/>
              </w:tabs>
              <w:spacing w:line="240" w:lineRule="auto" w:before="176"/>
              <w:ind w:right="15"/>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(197)</w:t>
            </w:r>
            <w:r>
              <w:rPr>
                <w:rFonts w:ascii="Arial"/>
                <w:spacing w:val="-1"/>
                <w:sz w:val="22"/>
              </w:rPr>
            </w:r>
          </w:p>
        </w:tc>
      </w:tr>
      <w:tr>
        <w:trPr>
          <w:trHeight w:val="457"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2"/>
              <w:jc w:val="right"/>
              <w:rPr>
                <w:rFonts w:ascii="Arial" w:hAnsi="Arial" w:cs="Arial" w:eastAsia="Arial" w:hint="default"/>
                <w:sz w:val="22"/>
                <w:szCs w:val="22"/>
              </w:rPr>
            </w:pPr>
            <w:r>
              <w:rPr>
                <w:rFonts w:ascii="Arial"/>
                <w:spacing w:val="-1"/>
                <w:sz w:val="22"/>
              </w:rPr>
              <w:t>(50)</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3"/>
              <w:jc w:val="right"/>
              <w:rPr>
                <w:rFonts w:ascii="Arial" w:hAnsi="Arial" w:cs="Arial" w:eastAsia="Arial" w:hint="default"/>
                <w:sz w:val="22"/>
                <w:szCs w:val="22"/>
              </w:rPr>
            </w:pPr>
            <w:r>
              <w:rPr>
                <w:rFonts w:ascii="Arial"/>
                <w:spacing w:val="-1"/>
                <w:sz w:val="22"/>
              </w:rPr>
              <w:t>562</w:t>
            </w:r>
            <w:r>
              <w:rPr>
                <w:rFonts w:ascii="Arial"/>
                <w:sz w:val="22"/>
              </w:rPr>
            </w:r>
          </w:p>
        </w:tc>
      </w:tr>
      <w:tr>
        <w:trPr>
          <w:trHeight w:val="608"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00" w:right="0"/>
              <w:jc w:val="left"/>
              <w:rPr>
                <w:rFonts w:ascii="宋体" w:hAnsi="宋体" w:cs="宋体" w:eastAsia="宋体" w:hint="default"/>
                <w:sz w:val="22"/>
                <w:szCs w:val="22"/>
              </w:rPr>
            </w:pPr>
            <w:r>
              <w:rPr>
                <w:rFonts w:ascii="宋体" w:hAnsi="宋体" w:cs="宋体" w:eastAsia="宋体" w:hint="default"/>
                <w:sz w:val="22"/>
                <w:szCs w:val="22"/>
              </w:rPr>
              <w:t>－少数股东损益的影响</w:t>
            </w:r>
          </w:p>
        </w:tc>
        <w:tc>
          <w:tcPr>
            <w:tcW w:w="1930" w:type="dxa"/>
            <w:tcBorders>
              <w:top w:val="nil" w:sz="6" w:space="0" w:color="auto"/>
              <w:left w:val="nil" w:sz="6" w:space="0" w:color="auto"/>
              <w:bottom w:val="nil" w:sz="6" w:space="0" w:color="auto"/>
              <w:right w:val="nil" w:sz="6" w:space="0" w:color="auto"/>
            </w:tcBorders>
          </w:tcPr>
          <w:p>
            <w:pPr>
              <w:pStyle w:val="TableParagraph"/>
              <w:tabs>
                <w:tab w:pos="1608" w:val="left" w:leader="none"/>
                <w:tab w:pos="1927" w:val="left" w:leader="none"/>
              </w:tabs>
              <w:spacing w:line="240" w:lineRule="auto" w:before="176"/>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33</w:t>
              <w:tab/>
            </w:r>
            <w:r>
              <w:rPr>
                <w:rFonts w:ascii="Arial"/>
                <w:spacing w:val="-1"/>
                <w:sz w:val="22"/>
              </w:rPr>
            </w:r>
          </w:p>
        </w:tc>
        <w:tc>
          <w:tcPr>
            <w:tcW w:w="2050" w:type="dxa"/>
            <w:tcBorders>
              <w:top w:val="nil" w:sz="6" w:space="0" w:color="auto"/>
              <w:left w:val="nil" w:sz="6" w:space="0" w:color="auto"/>
              <w:bottom w:val="nil" w:sz="6" w:space="0" w:color="auto"/>
              <w:right w:val="nil" w:sz="6" w:space="0" w:color="auto"/>
            </w:tcBorders>
          </w:tcPr>
          <w:p>
            <w:pPr>
              <w:pStyle w:val="TableParagraph"/>
              <w:tabs>
                <w:tab w:pos="1421" w:val="left" w:leader="none"/>
              </w:tabs>
              <w:spacing w:line="240" w:lineRule="auto" w:before="176"/>
              <w:ind w:right="15"/>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(373)</w:t>
            </w:r>
            <w:r>
              <w:rPr>
                <w:rFonts w:ascii="Arial"/>
                <w:spacing w:val="-1"/>
                <w:sz w:val="22"/>
              </w:rPr>
            </w:r>
          </w:p>
        </w:tc>
      </w:tr>
      <w:tr>
        <w:trPr>
          <w:trHeight w:val="464"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930" w:type="dxa"/>
            <w:tcBorders>
              <w:top w:val="nil" w:sz="6" w:space="0" w:color="auto"/>
              <w:left w:val="nil" w:sz="6" w:space="0" w:color="auto"/>
              <w:bottom w:val="single" w:sz="17" w:space="0" w:color="000000"/>
              <w:right w:val="nil" w:sz="6" w:space="0" w:color="auto"/>
            </w:tcBorders>
          </w:tcPr>
          <w:p>
            <w:pPr>
              <w:pStyle w:val="TableParagraph"/>
              <w:spacing w:line="240" w:lineRule="auto" w:before="185"/>
              <w:ind w:right="32"/>
              <w:jc w:val="right"/>
              <w:rPr>
                <w:rFonts w:ascii="Arial" w:hAnsi="Arial" w:cs="Arial" w:eastAsia="Arial" w:hint="default"/>
                <w:sz w:val="22"/>
                <w:szCs w:val="22"/>
              </w:rPr>
            </w:pPr>
            <w:r>
              <w:rPr>
                <w:rFonts w:ascii="Arial"/>
                <w:spacing w:val="-1"/>
                <w:sz w:val="22"/>
              </w:rPr>
              <w:t>(17)</w:t>
            </w:r>
          </w:p>
        </w:tc>
        <w:tc>
          <w:tcPr>
            <w:tcW w:w="2050" w:type="dxa"/>
            <w:tcBorders>
              <w:top w:val="nil" w:sz="6" w:space="0" w:color="auto"/>
              <w:left w:val="nil" w:sz="6" w:space="0" w:color="auto"/>
              <w:bottom w:val="single" w:sz="17" w:space="0" w:color="000000"/>
              <w:right w:val="nil" w:sz="6" w:space="0" w:color="auto"/>
            </w:tcBorders>
          </w:tcPr>
          <w:p>
            <w:pPr>
              <w:pStyle w:val="TableParagraph"/>
              <w:spacing w:line="240" w:lineRule="auto" w:before="185"/>
              <w:ind w:right="67"/>
              <w:jc w:val="right"/>
              <w:rPr>
                <w:rFonts w:ascii="Arial" w:hAnsi="Arial" w:cs="Arial" w:eastAsia="Arial" w:hint="default"/>
                <w:sz w:val="22"/>
                <w:szCs w:val="22"/>
              </w:rPr>
            </w:pPr>
            <w:r>
              <w:rPr>
                <w:rFonts w:ascii="Arial"/>
                <w:spacing w:val="-1"/>
                <w:sz w:val="22"/>
              </w:rPr>
              <w:t>189</w:t>
            </w:r>
            <w:r>
              <w:rPr>
                <w:rFonts w:ascii="Arial"/>
                <w:sz w:val="22"/>
              </w:rPr>
            </w:r>
          </w:p>
        </w:tc>
      </w:tr>
    </w:tbl>
    <w:p>
      <w:pPr>
        <w:spacing w:line="240" w:lineRule="auto" w:before="11"/>
        <w:rPr>
          <w:rFonts w:ascii="黑体" w:hAnsi="黑体" w:cs="黑体" w:eastAsia="黑体" w:hint="default"/>
          <w:sz w:val="13"/>
          <w:szCs w:val="13"/>
        </w:rPr>
      </w:pPr>
    </w:p>
    <w:p>
      <w:pPr>
        <w:pStyle w:val="BodyText"/>
        <w:spacing w:line="240" w:lineRule="auto" w:before="32"/>
        <w:ind w:left="522" w:right="0"/>
        <w:jc w:val="both"/>
      </w:pPr>
      <w:r>
        <w:rPr/>
        <w:t>非经常性损益明细表编制基础</w:t>
      </w:r>
    </w:p>
    <w:p>
      <w:pPr>
        <w:spacing w:line="240" w:lineRule="auto" w:before="6"/>
        <w:rPr>
          <w:rFonts w:ascii="宋体" w:hAnsi="宋体" w:cs="宋体" w:eastAsia="宋体" w:hint="default"/>
          <w:sz w:val="19"/>
          <w:szCs w:val="19"/>
        </w:rPr>
      </w:pPr>
    </w:p>
    <w:p>
      <w:pPr>
        <w:pStyle w:val="BodyText"/>
        <w:spacing w:line="235" w:lineRule="auto"/>
        <w:ind w:left="522" w:right="101"/>
        <w:jc w:val="both"/>
      </w:pPr>
      <w:r>
        <w:rPr/>
        <w:t>根据《公开发行证券的公司信息披露解释性公告第 </w:t>
      </w:r>
      <w:r>
        <w:rPr>
          <w:rFonts w:ascii="Arial" w:hAnsi="Arial" w:cs="Arial" w:eastAsia="Arial" w:hint="default"/>
        </w:rPr>
        <w:t>1</w:t>
      </w:r>
      <w:r>
        <w:rPr>
          <w:rFonts w:ascii="Arial" w:hAnsi="Arial" w:cs="Arial" w:eastAsia="Arial" w:hint="default"/>
          <w:spacing w:val="27"/>
        </w:rPr>
        <w:t> </w:t>
      </w:r>
      <w:r>
        <w:rPr/>
        <w:t>号</w:t>
      </w:r>
      <w:r>
        <w:rPr>
          <w:rFonts w:ascii="Arial" w:hAnsi="Arial" w:cs="Arial" w:eastAsia="Arial" w:hint="default"/>
        </w:rPr>
        <w:t>—</w:t>
      </w:r>
      <w:r>
        <w:rPr/>
        <w:t>非经常性损益</w:t>
      </w:r>
      <w:r>
        <w:rPr>
          <w:rFonts w:ascii="Arial" w:hAnsi="Arial" w:cs="Arial" w:eastAsia="Arial" w:hint="default"/>
        </w:rPr>
        <w:t>[2008]</w:t>
      </w:r>
      <w:r>
        <w:rPr/>
        <w:t>》的规定，非经</w:t>
      </w:r>
      <w:r>
        <w:rPr>
          <w:w w:val="100"/>
        </w:rPr>
        <w:t> </w:t>
      </w:r>
      <w:r>
        <w:rPr/>
        <w:t>常性损益是指与公司正常经营业务无直接关系，以及虽与正常经营业务相关，但由于其性质特</w:t>
      </w:r>
      <w:r>
        <w:rPr>
          <w:spacing w:val="-54"/>
        </w:rPr>
        <w:t> </w:t>
      </w:r>
      <w:r>
        <w:rPr>
          <w:spacing w:val="-54"/>
        </w:rPr>
      </w:r>
      <w:r>
        <w:rPr/>
        <w:t>殊和偶发性，影响报表使用人对公司经营业绩和盈利作出正确判断的各项交易和事项产生的损</w:t>
      </w:r>
      <w:r>
        <w:rPr>
          <w:spacing w:val="-54"/>
        </w:rPr>
        <w:t> </w:t>
      </w:r>
      <w:r>
        <w:rPr>
          <w:spacing w:val="-54"/>
        </w:rPr>
      </w:r>
      <w:r>
        <w:rPr/>
        <w:t>益。</w:t>
      </w:r>
    </w:p>
    <w:p>
      <w:pPr>
        <w:spacing w:after="0" w:line="235" w:lineRule="auto"/>
        <w:jc w:val="both"/>
        <w:sectPr>
          <w:headerReference w:type="default" r:id="rId150"/>
          <w:pgSz w:w="11910" w:h="16840"/>
          <w:pgMar w:header="1181" w:footer="923" w:top="2500" w:bottom="1120" w:left="1280" w:right="920"/>
        </w:sectPr>
      </w:pPr>
    </w:p>
    <w:p>
      <w:pPr>
        <w:spacing w:line="240" w:lineRule="auto" w:before="7"/>
        <w:rPr>
          <w:rFonts w:ascii="宋体" w:hAnsi="宋体" w:cs="宋体" w:eastAsia="宋体" w:hint="default"/>
          <w:sz w:val="16"/>
          <w:szCs w:val="16"/>
        </w:rPr>
      </w:pPr>
    </w:p>
    <w:p>
      <w:pPr>
        <w:pStyle w:val="BodyText"/>
        <w:spacing w:line="240" w:lineRule="auto" w:before="32"/>
        <w:ind w:left="122" w:right="0"/>
        <w:jc w:val="left"/>
        <w:rPr>
          <w:rFonts w:ascii="黑体" w:hAnsi="黑体" w:cs="黑体" w:eastAsia="黑体" w:hint="default"/>
        </w:rPr>
      </w:pPr>
      <w:r>
        <w:rPr>
          <w:rFonts w:ascii="黑体" w:hAnsi="黑体" w:cs="黑体" w:eastAsia="黑体" w:hint="default"/>
        </w:rPr>
        <w:t>十六</w:t>
      </w:r>
      <w:r>
        <w:rPr>
          <w:rFonts w:ascii="黑体" w:hAnsi="黑体" w:cs="黑体" w:eastAsia="黑体" w:hint="default"/>
          <w:spacing w:val="69"/>
        </w:rPr>
        <w:t> </w:t>
      </w:r>
      <w:r>
        <w:rPr>
          <w:rFonts w:ascii="黑体" w:hAnsi="黑体" w:cs="黑体" w:eastAsia="黑体" w:hint="default"/>
        </w:rPr>
        <w:t>计算净资产收益率及每股收益</w:t>
      </w:r>
    </w:p>
    <w:p>
      <w:pPr>
        <w:spacing w:line="240" w:lineRule="auto" w:before="2"/>
        <w:rPr>
          <w:rFonts w:ascii="黑体" w:hAnsi="黑体" w:cs="黑体" w:eastAsia="黑体" w:hint="default"/>
          <w:sz w:val="18"/>
          <w:szCs w:val="18"/>
        </w:rPr>
      </w:pPr>
    </w:p>
    <w:tbl>
      <w:tblPr>
        <w:tblW w:w="0" w:type="auto"/>
        <w:jc w:val="left"/>
        <w:tblInd w:w="566" w:type="dxa"/>
        <w:tblLayout w:type="fixed"/>
        <w:tblCellMar>
          <w:top w:w="0" w:type="dxa"/>
          <w:left w:w="0" w:type="dxa"/>
          <w:bottom w:w="0" w:type="dxa"/>
          <w:right w:w="0" w:type="dxa"/>
        </w:tblCellMar>
        <w:tblLook w:val="01E0"/>
      </w:tblPr>
      <w:tblGrid>
        <w:gridCol w:w="1985"/>
        <w:gridCol w:w="2264"/>
        <w:gridCol w:w="2249"/>
        <w:gridCol w:w="2360"/>
      </w:tblGrid>
      <w:tr>
        <w:trPr>
          <w:trHeight w:val="300" w:hRule="exact"/>
        </w:trPr>
        <w:tc>
          <w:tcPr>
            <w:tcW w:w="1985"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264" w:type="dxa"/>
            <w:vMerge w:val="restart"/>
            <w:tcBorders>
              <w:top w:val="single" w:sz="6" w:space="0" w:color="000000"/>
              <w:left w:val="single" w:sz="6" w:space="0" w:color="000000"/>
              <w:right w:val="single" w:sz="6" w:space="0" w:color="000000"/>
            </w:tcBorders>
          </w:tcPr>
          <w:p>
            <w:pPr>
              <w:pStyle w:val="TableParagraph"/>
              <w:spacing w:line="240" w:lineRule="auto" w:before="9"/>
              <w:ind w:left="6" w:right="0"/>
              <w:jc w:val="center"/>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40" w:lineRule="auto" w:before="25"/>
              <w:ind w:left="7" w:right="0"/>
              <w:jc w:val="center"/>
              <w:rPr>
                <w:rFonts w:ascii="Arial" w:hAnsi="Arial" w:cs="Arial" w:eastAsia="Arial" w:hint="default"/>
                <w:sz w:val="21"/>
                <w:szCs w:val="21"/>
              </w:rPr>
            </w:pPr>
            <w:r>
              <w:rPr>
                <w:rFonts w:ascii="Arial"/>
                <w:sz w:val="21"/>
              </w:rPr>
              <w:t>(%)</w:t>
            </w:r>
          </w:p>
        </w:tc>
        <w:tc>
          <w:tcPr>
            <w:tcW w:w="46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14" w:hRule="exact"/>
        </w:trPr>
        <w:tc>
          <w:tcPr>
            <w:tcW w:w="1985" w:type="dxa"/>
            <w:vMerge/>
            <w:tcBorders>
              <w:left w:val="single" w:sz="6" w:space="0" w:color="000000"/>
              <w:right w:val="single" w:sz="6" w:space="0" w:color="000000"/>
            </w:tcBorders>
          </w:tcPr>
          <w:p>
            <w:pPr/>
          </w:p>
        </w:tc>
        <w:tc>
          <w:tcPr>
            <w:tcW w:w="2264" w:type="dxa"/>
            <w:vMerge/>
            <w:tcBorders>
              <w:left w:val="single" w:sz="6" w:space="0" w:color="000000"/>
              <w:bottom w:val="single" w:sz="6" w:space="0" w:color="000000"/>
              <w:right w:val="single" w:sz="6" w:space="0" w:color="000000"/>
            </w:tcBorders>
          </w:tcPr>
          <w:p>
            <w:pP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487"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542"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314" w:hRule="exact"/>
        </w:trPr>
        <w:tc>
          <w:tcPr>
            <w:tcW w:w="1985" w:type="dxa"/>
            <w:vMerge/>
            <w:tcBorders>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746"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739"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23"/>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tc>
      </w:tr>
      <w:tr>
        <w:trPr>
          <w:trHeight w:val="56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25"/>
              <w:jc w:val="left"/>
              <w:rPr>
                <w:rFonts w:ascii="宋体" w:hAnsi="宋体" w:cs="宋体" w:eastAsia="宋体" w:hint="default"/>
                <w:sz w:val="21"/>
                <w:szCs w:val="21"/>
              </w:rPr>
            </w:pPr>
            <w:r>
              <w:rPr>
                <w:rFonts w:ascii="宋体" w:hAnsi="宋体" w:cs="宋体" w:eastAsia="宋体" w:hint="default"/>
                <w:sz w:val="21"/>
                <w:szCs w:val="21"/>
              </w:rPr>
              <w:t>归属于母公司普通股</w:t>
            </w:r>
          </w:p>
          <w:p>
            <w:pPr>
              <w:pStyle w:val="TableParagraph"/>
              <w:spacing w:line="275" w:lineRule="exact"/>
              <w:ind w:left="290" w:right="0"/>
              <w:jc w:val="left"/>
              <w:rPr>
                <w:rFonts w:ascii="宋体" w:hAnsi="宋体" w:cs="宋体" w:eastAsia="宋体" w:hint="default"/>
                <w:sz w:val="21"/>
                <w:szCs w:val="21"/>
              </w:rPr>
            </w:pPr>
            <w:r>
              <w:rPr>
                <w:rFonts w:ascii="宋体" w:hAnsi="宋体" w:cs="宋体" w:eastAsia="宋体" w:hint="default"/>
                <w:sz w:val="21"/>
                <w:szCs w:val="21"/>
              </w:rPr>
              <w:t>股东的净利润</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sz w:val="22"/>
                <w:szCs w:val="22"/>
              </w:rPr>
            </w:pPr>
          </w:p>
          <w:p>
            <w:pPr>
              <w:pStyle w:val="TableParagraph"/>
              <w:spacing w:line="240" w:lineRule="auto"/>
              <w:ind w:right="96"/>
              <w:jc w:val="right"/>
              <w:rPr>
                <w:rFonts w:ascii="Arial" w:hAnsi="Arial" w:cs="Arial" w:eastAsia="Arial" w:hint="default"/>
                <w:sz w:val="21"/>
                <w:szCs w:val="21"/>
              </w:rPr>
            </w:pPr>
            <w:r>
              <w:rPr>
                <w:rFonts w:ascii="Arial"/>
                <w:spacing w:val="-1"/>
                <w:sz w:val="21"/>
              </w:rPr>
              <w:t>5.20</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sz w:val="22"/>
                <w:szCs w:val="22"/>
              </w:rPr>
            </w:pPr>
          </w:p>
          <w:p>
            <w:pPr>
              <w:pStyle w:val="TableParagraph"/>
              <w:spacing w:line="240" w:lineRule="auto"/>
              <w:ind w:right="98"/>
              <w:jc w:val="right"/>
              <w:rPr>
                <w:rFonts w:ascii="Arial" w:hAnsi="Arial" w:cs="Arial" w:eastAsia="Arial" w:hint="default"/>
                <w:sz w:val="21"/>
                <w:szCs w:val="21"/>
              </w:rPr>
            </w:pPr>
            <w:r>
              <w:rPr>
                <w:rFonts w:ascii="Arial"/>
                <w:spacing w:val="-1"/>
                <w:sz w:val="21"/>
              </w:rPr>
              <w:t>0.1878</w:t>
            </w:r>
          </w:p>
        </w:tc>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sz w:val="22"/>
                <w:szCs w:val="22"/>
              </w:rPr>
            </w:pPr>
          </w:p>
          <w:p>
            <w:pPr>
              <w:pStyle w:val="TableParagraph"/>
              <w:spacing w:line="240" w:lineRule="auto"/>
              <w:ind w:right="98"/>
              <w:jc w:val="right"/>
              <w:rPr>
                <w:rFonts w:ascii="Arial" w:hAnsi="Arial" w:cs="Arial" w:eastAsia="Arial" w:hint="default"/>
                <w:sz w:val="21"/>
                <w:szCs w:val="21"/>
              </w:rPr>
            </w:pPr>
            <w:r>
              <w:rPr>
                <w:rFonts w:ascii="Arial"/>
                <w:spacing w:val="-1"/>
                <w:sz w:val="21"/>
              </w:rPr>
              <w:t>0.1839</w:t>
            </w:r>
          </w:p>
        </w:tc>
      </w:tr>
      <w:tr>
        <w:trPr>
          <w:trHeight w:val="833"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0" w:right="-25" w:hanging="190"/>
              <w:jc w:val="left"/>
              <w:rPr>
                <w:rFonts w:ascii="宋体" w:hAnsi="宋体" w:cs="宋体" w:eastAsia="宋体" w:hint="default"/>
                <w:sz w:val="21"/>
                <w:szCs w:val="21"/>
              </w:rPr>
            </w:pPr>
            <w:r>
              <w:rPr>
                <w:rFonts w:ascii="宋体" w:hAnsi="宋体" w:cs="宋体" w:eastAsia="宋体" w:hint="default"/>
                <w:sz w:val="21"/>
                <w:szCs w:val="21"/>
              </w:rPr>
              <w:t>扣除非经常性损益后</w:t>
            </w:r>
          </w:p>
          <w:p>
            <w:pPr>
              <w:pStyle w:val="TableParagraph"/>
              <w:spacing w:line="272" w:lineRule="exact" w:before="26"/>
              <w:ind w:left="290" w:right="-3"/>
              <w:jc w:val="left"/>
              <w:rPr>
                <w:rFonts w:ascii="宋体" w:hAnsi="宋体" w:cs="宋体" w:eastAsia="宋体" w:hint="default"/>
                <w:sz w:val="21"/>
                <w:szCs w:val="21"/>
              </w:rPr>
            </w:pPr>
            <w:r>
              <w:rPr>
                <w:rFonts w:ascii="宋体" w:hAnsi="宋体" w:cs="宋体" w:eastAsia="宋体" w:hint="default"/>
                <w:sz w:val="21"/>
                <w:szCs w:val="21"/>
              </w:rPr>
              <w:t>归属于母公司普通</w:t>
            </w:r>
            <w:r>
              <w:rPr>
                <w:rFonts w:ascii="宋体" w:hAnsi="宋体" w:cs="宋体" w:eastAsia="宋体" w:hint="default"/>
                <w:w w:val="100"/>
                <w:sz w:val="21"/>
                <w:szCs w:val="21"/>
              </w:rPr>
              <w:t> </w:t>
            </w:r>
            <w:r>
              <w:rPr>
                <w:rFonts w:ascii="宋体" w:hAnsi="宋体" w:cs="宋体" w:eastAsia="宋体" w:hint="default"/>
                <w:sz w:val="21"/>
                <w:szCs w:val="21"/>
              </w:rPr>
              <w:t>股股东的净利润</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8"/>
              <w:ind w:right="0"/>
              <w:jc w:val="left"/>
              <w:rPr>
                <w:rFonts w:ascii="黑体" w:hAnsi="黑体" w:cs="黑体" w:eastAsia="黑体" w:hint="default"/>
                <w:sz w:val="23"/>
                <w:szCs w:val="23"/>
              </w:rPr>
            </w:pPr>
          </w:p>
          <w:p>
            <w:pPr>
              <w:pStyle w:val="TableParagraph"/>
              <w:spacing w:line="240" w:lineRule="auto"/>
              <w:ind w:right="96"/>
              <w:jc w:val="right"/>
              <w:rPr>
                <w:rFonts w:ascii="Arial" w:hAnsi="Arial" w:cs="Arial" w:eastAsia="Arial" w:hint="default"/>
                <w:sz w:val="21"/>
                <w:szCs w:val="21"/>
              </w:rPr>
            </w:pPr>
            <w:r>
              <w:rPr>
                <w:rFonts w:ascii="Arial"/>
                <w:spacing w:val="-1"/>
                <w:sz w:val="21"/>
              </w:rPr>
              <w:t>5.22</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8"/>
              <w:ind w:right="0"/>
              <w:jc w:val="left"/>
              <w:rPr>
                <w:rFonts w:ascii="黑体" w:hAnsi="黑体" w:cs="黑体" w:eastAsia="黑体" w:hint="default"/>
                <w:sz w:val="23"/>
                <w:szCs w:val="23"/>
              </w:rPr>
            </w:pPr>
          </w:p>
          <w:p>
            <w:pPr>
              <w:pStyle w:val="TableParagraph"/>
              <w:spacing w:line="240" w:lineRule="auto"/>
              <w:ind w:right="98"/>
              <w:jc w:val="right"/>
              <w:rPr>
                <w:rFonts w:ascii="Arial" w:hAnsi="Arial" w:cs="Arial" w:eastAsia="Arial" w:hint="default"/>
                <w:sz w:val="21"/>
                <w:szCs w:val="21"/>
              </w:rPr>
            </w:pPr>
            <w:r>
              <w:rPr>
                <w:rFonts w:ascii="Arial"/>
                <w:spacing w:val="-1"/>
                <w:sz w:val="21"/>
              </w:rPr>
              <w:t>0.1886</w:t>
            </w:r>
          </w:p>
        </w:tc>
        <w:tc>
          <w:tcPr>
            <w:tcW w:w="2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8"/>
              <w:ind w:right="0"/>
              <w:jc w:val="left"/>
              <w:rPr>
                <w:rFonts w:ascii="黑体" w:hAnsi="黑体" w:cs="黑体" w:eastAsia="黑体" w:hint="default"/>
                <w:sz w:val="23"/>
                <w:szCs w:val="23"/>
              </w:rPr>
            </w:pPr>
          </w:p>
          <w:p>
            <w:pPr>
              <w:pStyle w:val="TableParagraph"/>
              <w:spacing w:line="240" w:lineRule="auto"/>
              <w:ind w:right="98"/>
              <w:jc w:val="right"/>
              <w:rPr>
                <w:rFonts w:ascii="Arial" w:hAnsi="Arial" w:cs="Arial" w:eastAsia="Arial" w:hint="default"/>
                <w:sz w:val="21"/>
                <w:szCs w:val="21"/>
              </w:rPr>
            </w:pPr>
            <w:r>
              <w:rPr>
                <w:rFonts w:ascii="Arial"/>
                <w:spacing w:val="-1"/>
                <w:sz w:val="21"/>
              </w:rPr>
              <w:t>0.1846</w:t>
            </w:r>
          </w:p>
        </w:tc>
      </w:tr>
    </w:tbl>
    <w:p>
      <w:pPr>
        <w:spacing w:line="240" w:lineRule="auto" w:before="10"/>
        <w:rPr>
          <w:rFonts w:ascii="黑体" w:hAnsi="黑体" w:cs="黑体" w:eastAsia="黑体" w:hint="default"/>
          <w:sz w:val="18"/>
          <w:szCs w:val="18"/>
        </w:rPr>
      </w:pPr>
    </w:p>
    <w:p>
      <w:pPr>
        <w:pStyle w:val="BodyText"/>
        <w:spacing w:line="240" w:lineRule="auto" w:before="32"/>
        <w:ind w:left="581" w:right="0"/>
        <w:jc w:val="both"/>
      </w:pPr>
      <w:r>
        <w:rPr/>
        <w:t>上述财务指标的计算方法：</w:t>
      </w:r>
    </w:p>
    <w:p>
      <w:pPr>
        <w:pStyle w:val="BodyText"/>
        <w:spacing w:line="240" w:lineRule="auto" w:before="197"/>
        <w:ind w:left="108" w:right="0"/>
        <w:jc w:val="left"/>
      </w:pPr>
      <w:r>
        <w:rPr>
          <w:rFonts w:ascii="Arial" w:hAnsi="Arial" w:cs="Arial" w:eastAsia="Arial" w:hint="default"/>
        </w:rPr>
        <w:t>(a) </w:t>
      </w:r>
      <w:r>
        <w:rPr>
          <w:rFonts w:ascii="Arial" w:hAnsi="Arial" w:cs="Arial" w:eastAsia="Arial" w:hint="default"/>
          <w:spacing w:val="59"/>
        </w:rPr>
        <w:t> </w:t>
      </w:r>
      <w:r>
        <w:rPr/>
        <w:t>加权平均净资产收益率</w:t>
      </w:r>
      <w:r>
        <w:rPr>
          <w:rFonts w:ascii="Arial" w:hAnsi="Arial" w:cs="Arial" w:eastAsia="Arial" w:hint="default"/>
        </w:rPr>
        <w:t>(ROE)</w:t>
      </w:r>
      <w:r>
        <w:rPr/>
        <w:t>的计算公式如下：</w:t>
      </w:r>
    </w:p>
    <w:p>
      <w:pPr>
        <w:spacing w:line="240" w:lineRule="auto" w:before="9"/>
        <w:rPr>
          <w:rFonts w:ascii="宋体" w:hAnsi="宋体" w:cs="宋体" w:eastAsia="宋体" w:hint="default"/>
          <w:sz w:val="20"/>
          <w:szCs w:val="20"/>
        </w:rPr>
      </w:pPr>
    </w:p>
    <w:p>
      <w:pPr>
        <w:pStyle w:val="BodyText"/>
        <w:spacing w:line="240" w:lineRule="auto"/>
        <w:ind w:left="482" w:right="2931" w:firstLine="2159"/>
        <w:jc w:val="left"/>
        <w:rPr>
          <w:rFonts w:ascii="Arial" w:hAnsi="Arial" w:cs="Arial" w:eastAsia="Arial" w:hint="default"/>
        </w:rPr>
      </w:pPr>
      <w:r>
        <w:rPr>
          <w:rFonts w:ascii="Arial" w:hAnsi="Arial" w:cs="Arial" w:eastAsia="Arial" w:hint="default"/>
        </w:rPr>
        <w:t>P</w:t>
      </w:r>
      <w:r>
        <w:rPr>
          <w:rFonts w:ascii="Arial" w:hAnsi="Arial" w:cs="Arial" w:eastAsia="Arial" w:hint="default"/>
          <w:w w:val="100"/>
        </w:rPr>
        <w:t> </w:t>
      </w:r>
      <w:r>
        <w:rPr>
          <w:rFonts w:ascii="Arial" w:hAnsi="Arial" w:cs="Arial" w:eastAsia="Arial" w:hint="default"/>
          <w:spacing w:val="-1"/>
        </w:rPr>
        <w:t>ROE=</w:t>
      </w:r>
      <w:r>
        <w:rPr>
          <w:rFonts w:ascii="Arial" w:hAnsi="Arial" w:cs="Arial" w:eastAsia="Arial" w:hint="default"/>
          <w:spacing w:val="-1"/>
        </w:rPr>
        <w:t>——————————————————————</w:t>
      </w:r>
    </w:p>
    <w:p>
      <w:pPr>
        <w:pStyle w:val="BodyText"/>
        <w:spacing w:line="240" w:lineRule="auto" w:before="1"/>
        <w:ind w:left="1382" w:right="0"/>
        <w:jc w:val="left"/>
        <w:rPr>
          <w:rFonts w:ascii="Arial" w:hAnsi="Arial" w:cs="Arial" w:eastAsia="Arial" w:hint="default"/>
        </w:rPr>
      </w:pPr>
      <w:r>
        <w:rPr>
          <w:rFonts w:ascii="Arial" w:hAnsi="Arial" w:cs="Arial" w:eastAsia="Arial" w:hint="default"/>
        </w:rPr>
        <w:t>E0+NP÷2+Ei×Mi÷M0-Ej×Mj÷M0±Ek×Mk÷M0</w:t>
      </w:r>
    </w:p>
    <w:p>
      <w:pPr>
        <w:spacing w:line="240" w:lineRule="auto" w:before="2"/>
        <w:rPr>
          <w:rFonts w:ascii="Arial" w:hAnsi="Arial" w:cs="Arial" w:eastAsia="Arial" w:hint="default"/>
          <w:sz w:val="21"/>
          <w:szCs w:val="21"/>
        </w:rPr>
      </w:pPr>
    </w:p>
    <w:p>
      <w:pPr>
        <w:pStyle w:val="BodyText"/>
        <w:spacing w:line="286" w:lineRule="exact"/>
        <w:ind w:left="492" w:right="110"/>
        <w:jc w:val="both"/>
      </w:pPr>
      <w:r>
        <w:rPr>
          <w:spacing w:val="-10"/>
        </w:rPr>
        <w:t>其中：</w:t>
      </w:r>
      <w:r>
        <w:rPr>
          <w:rFonts w:ascii="Arial" w:hAnsi="Arial" w:cs="Arial" w:eastAsia="Arial" w:hint="default"/>
          <w:spacing w:val="-10"/>
        </w:rPr>
        <w:t>P </w:t>
      </w:r>
      <w:r>
        <w:rPr>
          <w:spacing w:val="-3"/>
        </w:rPr>
        <w:t>分别对应于归属于母公司普通股股东的净利润、扣除非经常性损益后归属于母公司普通</w:t>
      </w:r>
      <w:r>
        <w:rPr>
          <w:spacing w:val="-88"/>
        </w:rPr>
        <w:t> </w:t>
      </w:r>
      <w:r>
        <w:rPr>
          <w:spacing w:val="-88"/>
        </w:rPr>
      </w:r>
      <w:r>
        <w:rPr/>
        <w:t>股股东的净利润；</w:t>
      </w:r>
      <w:r>
        <w:rPr>
          <w:rFonts w:ascii="Arial" w:hAnsi="Arial" w:cs="Arial" w:eastAsia="Arial" w:hint="default"/>
        </w:rPr>
        <w:t>NP </w:t>
      </w:r>
      <w:r>
        <w:rPr/>
        <w:t>为归属于母公司普通股股东的净利润；</w:t>
      </w:r>
      <w:r>
        <w:rPr>
          <w:rFonts w:ascii="Arial" w:hAnsi="Arial" w:cs="Arial" w:eastAsia="Arial" w:hint="default"/>
        </w:rPr>
        <w:t>E0</w:t>
      </w:r>
      <w:r>
        <w:rPr>
          <w:rFonts w:ascii="Arial" w:hAnsi="Arial" w:cs="Arial" w:eastAsia="Arial" w:hint="default"/>
          <w:spacing w:val="21"/>
        </w:rPr>
        <w:t> </w:t>
      </w:r>
      <w:r>
        <w:rPr/>
        <w:t>为归属于母公司普通股股东的</w:t>
      </w:r>
      <w:r>
        <w:rPr>
          <w:w w:val="100"/>
        </w:rPr>
        <w:t> </w:t>
      </w:r>
      <w:r>
        <w:rPr/>
        <w:t>期初净资产；</w:t>
      </w:r>
      <w:r>
        <w:rPr>
          <w:rFonts w:ascii="Arial" w:hAnsi="Arial" w:cs="Arial" w:eastAsia="Arial" w:hint="default"/>
        </w:rPr>
        <w:t>Ei</w:t>
      </w:r>
      <w:r>
        <w:rPr>
          <w:rFonts w:ascii="Arial" w:hAnsi="Arial" w:cs="Arial" w:eastAsia="Arial" w:hint="default"/>
          <w:spacing w:val="34"/>
        </w:rPr>
        <w:t> </w:t>
      </w:r>
      <w:r>
        <w:rPr/>
        <w:t>为报告期发行新股或债转股等新增的、归属于母公司普通股股东的净资产；</w:t>
      </w:r>
      <w:r>
        <w:rPr>
          <w:rFonts w:ascii="Arial" w:hAnsi="Arial" w:cs="Arial" w:eastAsia="Arial" w:hint="default"/>
        </w:rPr>
        <w:t>Ej</w:t>
      </w:r>
      <w:r>
        <w:rPr>
          <w:rFonts w:ascii="Arial" w:hAnsi="Arial" w:cs="Arial" w:eastAsia="Arial" w:hint="default"/>
          <w:spacing w:val="-49"/>
        </w:rPr>
        <w:t> </w:t>
      </w:r>
      <w:r>
        <w:rPr/>
        <w:t>为报告期回购或现金分红等减少的、归属于母公司普通股股东的净资产；</w:t>
      </w:r>
      <w:r>
        <w:rPr>
          <w:rFonts w:ascii="Arial" w:hAnsi="Arial" w:cs="Arial" w:eastAsia="Arial" w:hint="default"/>
        </w:rPr>
        <w:t>M0</w:t>
      </w:r>
      <w:r>
        <w:rPr>
          <w:rFonts w:ascii="Arial" w:hAnsi="Arial" w:cs="Arial" w:eastAsia="Arial" w:hint="default"/>
          <w:spacing w:val="-11"/>
        </w:rPr>
        <w:t> </w:t>
      </w:r>
      <w:r>
        <w:rPr/>
        <w:t>为报告期月份数；</w:t>
      </w:r>
      <w:r>
        <w:rPr>
          <w:w w:val="100"/>
        </w:rPr>
        <w:t> </w:t>
      </w:r>
      <w:r>
        <w:rPr>
          <w:rFonts w:ascii="Arial" w:hAnsi="Arial" w:cs="Arial" w:eastAsia="Arial" w:hint="default"/>
        </w:rPr>
        <w:t>Mi </w:t>
      </w:r>
      <w:r>
        <w:rPr/>
        <w:t>为新增净资产下一月份起至报告期期末的月份数；</w:t>
      </w:r>
      <w:r>
        <w:rPr>
          <w:rFonts w:ascii="Arial" w:hAnsi="Arial" w:cs="Arial" w:eastAsia="Arial" w:hint="default"/>
        </w:rPr>
        <w:t>Mj</w:t>
      </w:r>
      <w:r>
        <w:rPr>
          <w:rFonts w:ascii="Arial" w:hAnsi="Arial" w:cs="Arial" w:eastAsia="Arial" w:hint="default"/>
          <w:spacing w:val="-23"/>
        </w:rPr>
        <w:t> </w:t>
      </w:r>
      <w:r>
        <w:rPr/>
        <w:t>为减少净资产下一月份起至报告期期末</w:t>
      </w:r>
      <w:r>
        <w:rPr>
          <w:w w:val="100"/>
        </w:rPr>
        <w:t> </w:t>
      </w:r>
      <w:r>
        <w:rPr>
          <w:spacing w:val="-8"/>
        </w:rPr>
        <w:t>的月份数；</w:t>
      </w:r>
      <w:r>
        <w:rPr>
          <w:rFonts w:ascii="Arial" w:hAnsi="Arial" w:cs="Arial" w:eastAsia="Arial" w:hint="default"/>
          <w:spacing w:val="-8"/>
        </w:rPr>
        <w:t>Ek</w:t>
      </w:r>
      <w:r>
        <w:rPr>
          <w:rFonts w:ascii="Arial" w:hAnsi="Arial" w:cs="Arial" w:eastAsia="Arial" w:hint="default"/>
          <w:spacing w:val="11"/>
        </w:rPr>
        <w:t> </w:t>
      </w:r>
      <w:r>
        <w:rPr>
          <w:spacing w:val="-4"/>
        </w:rPr>
        <w:t>为因其他交易或事项引起的净资产增减变动；</w:t>
      </w:r>
      <w:r>
        <w:rPr>
          <w:rFonts w:ascii="Arial" w:hAnsi="Arial" w:cs="Arial" w:eastAsia="Arial" w:hint="default"/>
          <w:spacing w:val="-4"/>
        </w:rPr>
        <w:t>Mk</w:t>
      </w:r>
      <w:r>
        <w:rPr>
          <w:rFonts w:ascii="Arial" w:hAnsi="Arial" w:cs="Arial" w:eastAsia="Arial" w:hint="default"/>
          <w:spacing w:val="11"/>
        </w:rPr>
        <w:t> </w:t>
      </w:r>
      <w:r>
        <w:rPr/>
        <w:t>为发生其他净资产增减变动下一</w:t>
      </w:r>
      <w:r>
        <w:rPr>
          <w:spacing w:val="-102"/>
        </w:rPr>
        <w:t> </w:t>
      </w:r>
      <w:r>
        <w:rPr>
          <w:spacing w:val="-102"/>
        </w:rPr>
      </w:r>
      <w:r>
        <w:rPr/>
        <w:t>月份起至报告期期末的月份数。</w:t>
      </w:r>
    </w:p>
    <w:p>
      <w:pPr>
        <w:spacing w:line="240" w:lineRule="auto" w:before="1"/>
        <w:rPr>
          <w:rFonts w:ascii="宋体" w:hAnsi="宋体" w:cs="宋体" w:eastAsia="宋体" w:hint="default"/>
          <w:sz w:val="17"/>
          <w:szCs w:val="17"/>
        </w:rPr>
      </w:pPr>
    </w:p>
    <w:p>
      <w:pPr>
        <w:pStyle w:val="BodyText"/>
        <w:spacing w:line="240" w:lineRule="auto"/>
        <w:ind w:left="122" w:right="0"/>
        <w:jc w:val="left"/>
        <w:rPr>
          <w:rFonts w:ascii="Arial" w:hAnsi="Arial" w:cs="Arial" w:eastAsia="Arial" w:hint="default"/>
        </w:rPr>
      </w:pPr>
      <w:r>
        <w:rPr>
          <w:rFonts w:ascii="Arial" w:hAnsi="Arial" w:cs="Arial" w:eastAsia="Arial" w:hint="default"/>
        </w:rPr>
        <w:t>(b)</w:t>
      </w:r>
      <w:r>
        <w:rPr>
          <w:rFonts w:ascii="Arial" w:hAnsi="Arial" w:cs="Arial" w:eastAsia="Arial" w:hint="default"/>
          <w:spacing w:val="35"/>
        </w:rPr>
        <w:t> </w:t>
      </w:r>
      <w:r>
        <w:rPr/>
        <w:t>基本每股收益</w:t>
      </w:r>
      <w:r>
        <w:rPr>
          <w:rFonts w:ascii="Arial" w:hAnsi="Arial" w:cs="Arial" w:eastAsia="Arial" w:hint="default"/>
        </w:rPr>
        <w:t>(EPS)</w:t>
      </w:r>
      <w:r>
        <w:rPr/>
        <w:t>可参照如下公式计算</w:t>
      </w:r>
      <w:r>
        <w:rPr>
          <w:rFonts w:ascii="Arial" w:hAnsi="Arial" w:cs="Arial" w:eastAsia="Arial" w:hint="default"/>
        </w:rPr>
        <w:t>:</w:t>
      </w:r>
    </w:p>
    <w:p>
      <w:pPr>
        <w:spacing w:line="240" w:lineRule="auto" w:before="6"/>
        <w:rPr>
          <w:rFonts w:ascii="Arial" w:hAnsi="Arial" w:cs="Arial" w:eastAsia="Arial" w:hint="default"/>
          <w:sz w:val="23"/>
          <w:szCs w:val="23"/>
        </w:rPr>
      </w:pPr>
    </w:p>
    <w:p>
      <w:pPr>
        <w:pStyle w:val="BodyText"/>
        <w:spacing w:line="240" w:lineRule="auto"/>
        <w:ind w:left="509" w:right="2931" w:firstLine="2133"/>
        <w:jc w:val="left"/>
        <w:rPr>
          <w:rFonts w:ascii="Arial" w:hAnsi="Arial" w:cs="Arial" w:eastAsia="Arial" w:hint="default"/>
        </w:rPr>
      </w:pPr>
      <w:r>
        <w:rPr>
          <w:rFonts w:ascii="Arial" w:hAnsi="Arial" w:cs="Arial" w:eastAsia="Arial" w:hint="default"/>
        </w:rPr>
        <w:t>P</w:t>
      </w:r>
      <w:r>
        <w:rPr>
          <w:rFonts w:ascii="Arial" w:hAnsi="Arial" w:cs="Arial" w:eastAsia="Arial" w:hint="default"/>
          <w:w w:val="100"/>
        </w:rPr>
        <w:t> </w:t>
      </w:r>
      <w:r>
        <w:rPr>
          <w:rFonts w:ascii="Arial" w:hAnsi="Arial" w:cs="Arial" w:eastAsia="Arial" w:hint="default"/>
          <w:spacing w:val="-1"/>
        </w:rPr>
        <w:t>EPS=</w:t>
      </w:r>
      <w:r>
        <w:rPr>
          <w:rFonts w:ascii="Arial" w:hAnsi="Arial" w:cs="Arial" w:eastAsia="Arial" w:hint="default"/>
          <w:spacing w:val="-1"/>
        </w:rPr>
        <w:t>————————————————</w:t>
      </w:r>
    </w:p>
    <w:p>
      <w:pPr>
        <w:pStyle w:val="BodyText"/>
        <w:spacing w:line="252" w:lineRule="exact"/>
        <w:ind w:left="1382" w:right="0"/>
        <w:jc w:val="left"/>
        <w:rPr>
          <w:rFonts w:ascii="Arial" w:hAnsi="Arial" w:cs="Arial" w:eastAsia="Arial" w:hint="default"/>
        </w:rPr>
      </w:pPr>
      <w:r>
        <w:rPr>
          <w:rFonts w:ascii="Arial" w:hAnsi="Arial" w:cs="Arial" w:eastAsia="Arial" w:hint="default"/>
        </w:rPr>
        <w:t>S0+S1+Si×Mi÷M0-Sj×Mj÷M0-Sk</w:t>
      </w:r>
    </w:p>
    <w:p>
      <w:pPr>
        <w:spacing w:line="240" w:lineRule="auto" w:before="3"/>
        <w:rPr>
          <w:rFonts w:ascii="Arial" w:hAnsi="Arial" w:cs="Arial" w:eastAsia="Arial" w:hint="default"/>
          <w:sz w:val="20"/>
          <w:szCs w:val="20"/>
        </w:rPr>
      </w:pPr>
    </w:p>
    <w:p>
      <w:pPr>
        <w:pStyle w:val="BodyText"/>
        <w:spacing w:line="225" w:lineRule="auto"/>
        <w:ind w:left="492" w:right="124"/>
        <w:jc w:val="both"/>
      </w:pPr>
      <w:r>
        <w:rPr>
          <w:spacing w:val="-20"/>
        </w:rPr>
        <w:t>其中：</w:t>
      </w:r>
      <w:r>
        <w:rPr>
          <w:rFonts w:ascii="Arial" w:hAnsi="Arial" w:cs="Arial" w:eastAsia="Arial" w:hint="default"/>
          <w:spacing w:val="-20"/>
        </w:rPr>
        <w:t>P</w:t>
      </w:r>
      <w:r>
        <w:rPr>
          <w:rFonts w:ascii="Arial" w:hAnsi="Arial" w:cs="Arial" w:eastAsia="Arial" w:hint="default"/>
          <w:spacing w:val="-9"/>
        </w:rPr>
        <w:t> </w:t>
      </w:r>
      <w:r>
        <w:rPr/>
        <w:t>为归属于母公司普通股股东的净利润或扣除非经常性损益后归属于母公司普通股股东的</w:t>
      </w:r>
      <w:r>
        <w:rPr>
          <w:w w:val="100"/>
        </w:rPr>
        <w:t> </w:t>
      </w:r>
      <w:r>
        <w:rPr>
          <w:spacing w:val="-5"/>
        </w:rPr>
        <w:t>净利润；</w:t>
      </w:r>
      <w:r>
        <w:rPr>
          <w:rFonts w:ascii="Arial" w:hAnsi="Arial" w:cs="Arial" w:eastAsia="Arial" w:hint="default"/>
          <w:spacing w:val="-5"/>
        </w:rPr>
        <w:t>S </w:t>
      </w:r>
      <w:r>
        <w:rPr/>
        <w:t>为发行在外的普通股加权平均数；</w:t>
      </w:r>
      <w:r>
        <w:rPr>
          <w:rFonts w:ascii="Arial" w:hAnsi="Arial" w:cs="Arial" w:eastAsia="Arial" w:hint="default"/>
        </w:rPr>
        <w:t>S0 </w:t>
      </w:r>
      <w:r>
        <w:rPr>
          <w:spacing w:val="-3"/>
        </w:rPr>
        <w:t>为期初股份总数；</w:t>
      </w:r>
      <w:r>
        <w:rPr>
          <w:rFonts w:ascii="Arial" w:hAnsi="Arial" w:cs="Arial" w:eastAsia="Arial" w:hint="default"/>
          <w:spacing w:val="-3"/>
        </w:rPr>
        <w:t>S1</w:t>
      </w:r>
      <w:r>
        <w:rPr>
          <w:rFonts w:ascii="Arial" w:hAnsi="Arial" w:cs="Arial" w:eastAsia="Arial" w:hint="default"/>
          <w:spacing w:val="-27"/>
        </w:rPr>
        <w:t> </w:t>
      </w:r>
      <w:r>
        <w:rPr/>
        <w:t>为报告期因公积金转增股</w:t>
      </w:r>
      <w:r>
        <w:rPr>
          <w:w w:val="100"/>
        </w:rPr>
        <w:t> </w:t>
      </w:r>
      <w:r>
        <w:rPr/>
        <w:t>本或股票股利分配等增加股份数；</w:t>
      </w:r>
      <w:r>
        <w:rPr>
          <w:rFonts w:ascii="Arial" w:hAnsi="Arial" w:cs="Arial" w:eastAsia="Arial" w:hint="default"/>
        </w:rPr>
        <w:t>Si </w:t>
      </w:r>
      <w:r>
        <w:rPr/>
        <w:t>为报告期因发行新股或债转股等增加股份数；</w:t>
      </w:r>
      <w:r>
        <w:rPr>
          <w:rFonts w:ascii="Arial" w:hAnsi="Arial" w:cs="Arial" w:eastAsia="Arial" w:hint="default"/>
        </w:rPr>
        <w:t>Sj</w:t>
      </w:r>
      <w:r>
        <w:rPr>
          <w:rFonts w:ascii="Arial" w:hAnsi="Arial" w:cs="Arial" w:eastAsia="Arial" w:hint="default"/>
          <w:spacing w:val="46"/>
        </w:rPr>
        <w:t> </w:t>
      </w:r>
      <w:r>
        <w:rPr/>
        <w:t>为报告期</w:t>
      </w:r>
      <w:r>
        <w:rPr>
          <w:w w:val="100"/>
        </w:rPr>
        <w:t> </w:t>
      </w:r>
      <w:r>
        <w:rPr/>
        <w:t>因回购等减少股份数；</w:t>
      </w:r>
      <w:r>
        <w:rPr>
          <w:rFonts w:ascii="Arial" w:hAnsi="Arial" w:cs="Arial" w:eastAsia="Arial" w:hint="default"/>
        </w:rPr>
        <w:t>Sk </w:t>
      </w:r>
      <w:r>
        <w:rPr/>
        <w:t>为报告期缩股数；</w:t>
      </w:r>
      <w:r>
        <w:rPr>
          <w:rFonts w:ascii="Arial" w:hAnsi="Arial" w:cs="Arial" w:eastAsia="Arial" w:hint="default"/>
        </w:rPr>
        <w:t>M0 </w:t>
      </w:r>
      <w:r>
        <w:rPr/>
        <w:t>报告期月份数；</w:t>
      </w:r>
      <w:r>
        <w:rPr>
          <w:rFonts w:ascii="Arial" w:hAnsi="Arial" w:cs="Arial" w:eastAsia="Arial" w:hint="default"/>
        </w:rPr>
        <w:t>Mi</w:t>
      </w:r>
      <w:r>
        <w:rPr>
          <w:rFonts w:ascii="Arial" w:hAnsi="Arial" w:cs="Arial" w:eastAsia="Arial" w:hint="default"/>
          <w:spacing w:val="23"/>
        </w:rPr>
        <w:t> </w:t>
      </w:r>
      <w:r>
        <w:rPr/>
        <w:t>为增加股份下一月份起至报</w:t>
      </w:r>
      <w:r>
        <w:rPr>
          <w:w w:val="100"/>
        </w:rPr>
        <w:t> </w:t>
      </w:r>
      <w:r>
        <w:rPr/>
        <w:t>告期期末的月份数；</w:t>
      </w:r>
      <w:r>
        <w:rPr>
          <w:rFonts w:ascii="Arial" w:hAnsi="Arial" w:cs="Arial" w:eastAsia="Arial" w:hint="default"/>
        </w:rPr>
        <w:t>Mj</w:t>
      </w:r>
      <w:r>
        <w:rPr>
          <w:rFonts w:ascii="Arial" w:hAnsi="Arial" w:cs="Arial" w:eastAsia="Arial" w:hint="default"/>
          <w:spacing w:val="-9"/>
        </w:rPr>
        <w:t> </w:t>
      </w:r>
      <w:r>
        <w:rPr/>
        <w:t>为减少股份下一月份起至报告期期末的月份数。</w:t>
      </w:r>
    </w:p>
    <w:p>
      <w:pPr>
        <w:spacing w:after="0" w:line="225" w:lineRule="auto"/>
        <w:jc w:val="both"/>
        <w:sectPr>
          <w:headerReference w:type="default" r:id="rId151"/>
          <w:pgSz w:w="11910" w:h="16840"/>
          <w:pgMar w:header="1181" w:footer="923" w:top="2500" w:bottom="1120" w:left="1260" w:right="880"/>
        </w:sectPr>
      </w:pPr>
    </w:p>
    <w:p>
      <w:pPr>
        <w:spacing w:line="240" w:lineRule="auto" w:before="7"/>
        <w:rPr>
          <w:rFonts w:ascii="宋体" w:hAnsi="宋体" w:cs="宋体" w:eastAsia="宋体" w:hint="default"/>
          <w:sz w:val="16"/>
          <w:szCs w:val="16"/>
        </w:rPr>
      </w:pPr>
    </w:p>
    <w:p>
      <w:pPr>
        <w:pStyle w:val="BodyText"/>
        <w:spacing w:line="240" w:lineRule="auto" w:before="32"/>
        <w:ind w:left="102" w:right="113"/>
        <w:jc w:val="left"/>
        <w:rPr>
          <w:rFonts w:ascii="黑体" w:hAnsi="黑体" w:cs="黑体" w:eastAsia="黑体" w:hint="default"/>
        </w:rPr>
      </w:pPr>
      <w:r>
        <w:rPr>
          <w:rFonts w:ascii="黑体" w:hAnsi="黑体" w:cs="黑体" w:eastAsia="黑体" w:hint="default"/>
        </w:rPr>
        <w:t>十六</w:t>
      </w:r>
      <w:r>
        <w:rPr>
          <w:rFonts w:ascii="黑体" w:hAnsi="黑体" w:cs="黑体" w:eastAsia="黑体" w:hint="default"/>
          <w:spacing w:val="68"/>
        </w:rPr>
        <w:t> </w:t>
      </w:r>
      <w:r>
        <w:rPr>
          <w:rFonts w:ascii="黑体" w:hAnsi="黑体" w:cs="黑体" w:eastAsia="黑体" w:hint="default"/>
        </w:rPr>
        <w:t>计算净资产收益率及每股收益（续）</w:t>
      </w:r>
    </w:p>
    <w:p>
      <w:pPr>
        <w:spacing w:line="240" w:lineRule="auto" w:before="3"/>
        <w:rPr>
          <w:rFonts w:ascii="黑体" w:hAnsi="黑体" w:cs="黑体" w:eastAsia="黑体" w:hint="default"/>
          <w:sz w:val="19"/>
          <w:szCs w:val="19"/>
        </w:rPr>
      </w:pPr>
    </w:p>
    <w:p>
      <w:pPr>
        <w:pStyle w:val="BodyText"/>
        <w:spacing w:line="240" w:lineRule="auto"/>
        <w:ind w:left="102" w:right="113"/>
        <w:jc w:val="left"/>
      </w:pPr>
      <w:r>
        <w:rPr>
          <w:rFonts w:ascii="Arial" w:hAnsi="Arial" w:cs="Arial" w:eastAsia="Arial" w:hint="default"/>
        </w:rPr>
        <w:t>(c)</w:t>
      </w:r>
      <w:r>
        <w:rPr>
          <w:rFonts w:ascii="Arial" w:hAnsi="Arial" w:cs="Arial" w:eastAsia="Arial" w:hint="default"/>
          <w:spacing w:val="47"/>
        </w:rPr>
        <w:t> </w:t>
      </w:r>
      <w:r>
        <w:rPr/>
        <w:t>稀释每股收益的计算公式参照如下所述公式计算：</w:t>
      </w:r>
    </w:p>
    <w:p>
      <w:pPr>
        <w:spacing w:line="240" w:lineRule="auto" w:before="1"/>
        <w:rPr>
          <w:rFonts w:ascii="宋体" w:hAnsi="宋体" w:cs="宋体" w:eastAsia="宋体" w:hint="default"/>
          <w:sz w:val="18"/>
          <w:szCs w:val="18"/>
        </w:rPr>
      </w:pPr>
    </w:p>
    <w:p>
      <w:pPr>
        <w:pStyle w:val="BodyText"/>
        <w:spacing w:line="237" w:lineRule="auto"/>
        <w:ind w:left="472" w:right="106"/>
        <w:jc w:val="both"/>
      </w:pPr>
      <w:r>
        <w:rPr>
          <w:spacing w:val="-4"/>
          <w:w w:val="100"/>
        </w:rPr>
        <w:t>母公司存在稀释性潜在普通股的，应当分别调整归属于普通股股东的报告期净利润和发行在外普</w:t>
      </w:r>
      <w:r>
        <w:rPr>
          <w:spacing w:val="-77"/>
          <w:w w:val="100"/>
        </w:rPr>
        <w:t> </w:t>
      </w:r>
      <w:r>
        <w:rPr>
          <w:spacing w:val="-77"/>
          <w:w w:val="100"/>
        </w:rPr>
      </w:r>
      <w:r>
        <w:rPr>
          <w:spacing w:val="-4"/>
        </w:rPr>
        <w:t>通股加权平均数，并据以计算稀释每股收益。在发行可转换债券、股份期权、认股权证等稀释性</w:t>
      </w:r>
      <w:r>
        <w:rPr>
          <w:spacing w:val="-44"/>
        </w:rPr>
        <w:t> </w:t>
      </w:r>
      <w:r>
        <w:rPr>
          <w:spacing w:val="-44"/>
        </w:rPr>
      </w:r>
      <w:r>
        <w:rPr/>
        <w:t>潜在普通股情况下，稀释每股收益可参照如下公式计算：</w:t>
      </w:r>
    </w:p>
    <w:p>
      <w:pPr>
        <w:spacing w:line="240" w:lineRule="auto" w:before="2"/>
        <w:rPr>
          <w:rFonts w:ascii="宋体" w:hAnsi="宋体" w:cs="宋体" w:eastAsia="宋体" w:hint="default"/>
          <w:sz w:val="18"/>
          <w:szCs w:val="18"/>
        </w:rPr>
      </w:pPr>
    </w:p>
    <w:p>
      <w:pPr>
        <w:pStyle w:val="BodyText"/>
        <w:spacing w:line="295" w:lineRule="exact"/>
        <w:ind w:left="472" w:right="0"/>
        <w:jc w:val="both"/>
        <w:rPr>
          <w:rFonts w:ascii="Arial" w:hAnsi="Arial" w:cs="Arial" w:eastAsia="Arial" w:hint="default"/>
        </w:rPr>
      </w:pPr>
      <w:r>
        <w:rPr>
          <w:spacing w:val="8"/>
        </w:rPr>
        <w:t>稀释每股收益</w:t>
      </w:r>
      <w:r>
        <w:rPr>
          <w:rFonts w:ascii="Arial" w:hAnsi="Arial" w:cs="Arial" w:eastAsia="Arial" w:hint="default"/>
          <w:spacing w:val="8"/>
        </w:rPr>
        <w:t>=[P+</w:t>
      </w:r>
      <w:r>
        <w:rPr>
          <w:spacing w:val="8"/>
        </w:rPr>
        <w:t>（已确认为费用的稀释性潜在普通股利息</w:t>
      </w:r>
      <w:r>
        <w:rPr>
          <w:rFonts w:ascii="Arial" w:hAnsi="Arial" w:cs="Arial" w:eastAsia="Arial" w:hint="default"/>
          <w:spacing w:val="8"/>
        </w:rPr>
        <w:t>-</w:t>
      </w:r>
      <w:r>
        <w:rPr>
          <w:spacing w:val="8"/>
        </w:rPr>
        <w:t>转换费用）</w:t>
      </w:r>
      <w:r>
        <w:rPr>
          <w:rFonts w:ascii="Arial" w:hAnsi="Arial" w:cs="Arial" w:eastAsia="Arial" w:hint="default"/>
          <w:spacing w:val="8"/>
        </w:rPr>
        <w:t>×</w:t>
      </w:r>
      <w:r>
        <w:rPr>
          <w:spacing w:val="8"/>
        </w:rPr>
        <w:t>（</w:t>
      </w:r>
      <w:r>
        <w:rPr>
          <w:rFonts w:ascii="Arial" w:hAnsi="Arial" w:cs="Arial" w:eastAsia="Arial" w:hint="default"/>
          <w:spacing w:val="8"/>
        </w:rPr>
        <w:t>1-</w:t>
      </w:r>
      <w:r>
        <w:rPr>
          <w:spacing w:val="8"/>
        </w:rPr>
        <w:t>所得税率）</w:t>
      </w:r>
      <w:r>
        <w:rPr>
          <w:rFonts w:ascii="Arial" w:hAnsi="Arial" w:cs="Arial" w:eastAsia="Arial" w:hint="default"/>
          <w:spacing w:val="8"/>
        </w:rPr>
        <w:t>]/</w:t>
      </w:r>
      <w:r>
        <w:rPr>
          <w:rFonts w:ascii="Arial" w:hAnsi="Arial" w:cs="Arial" w:eastAsia="Arial" w:hint="default"/>
        </w:rPr>
      </w:r>
    </w:p>
    <w:p>
      <w:pPr>
        <w:pStyle w:val="BodyText"/>
        <w:spacing w:line="286" w:lineRule="exact" w:before="19"/>
        <w:ind w:left="472" w:right="107"/>
        <w:jc w:val="both"/>
      </w:pPr>
      <w:r>
        <w:rPr>
          <w:spacing w:val="-3"/>
        </w:rPr>
        <w:t>（</w:t>
      </w:r>
      <w:r>
        <w:rPr>
          <w:rFonts w:ascii="Arial" w:hAnsi="Arial" w:cs="Arial" w:eastAsia="Arial" w:hint="default"/>
          <w:spacing w:val="-3"/>
        </w:rPr>
        <w:t>S0+S1+Si×Mi÷M0-Sj×Mj÷M0-Sk+</w:t>
      </w:r>
      <w:r>
        <w:rPr>
          <w:spacing w:val="-3"/>
        </w:rPr>
        <w:t>认股权证、股份期权、可转换债券等增加的普通股加权平均</w:t>
      </w:r>
      <w:r>
        <w:rPr>
          <w:spacing w:val="-48"/>
        </w:rPr>
        <w:t> </w:t>
      </w:r>
      <w:r>
        <w:rPr>
          <w:spacing w:val="-48"/>
        </w:rPr>
      </w:r>
      <w:r>
        <w:rPr/>
        <w:t>数）</w:t>
      </w:r>
    </w:p>
    <w:p>
      <w:pPr>
        <w:spacing w:line="240" w:lineRule="auto" w:before="4"/>
        <w:rPr>
          <w:rFonts w:ascii="宋体" w:hAnsi="宋体" w:cs="宋体" w:eastAsia="宋体" w:hint="default"/>
          <w:sz w:val="18"/>
          <w:szCs w:val="18"/>
        </w:rPr>
      </w:pPr>
    </w:p>
    <w:p>
      <w:pPr>
        <w:pStyle w:val="BodyText"/>
        <w:spacing w:line="286" w:lineRule="exact"/>
        <w:ind w:left="472" w:right="105"/>
        <w:jc w:val="both"/>
      </w:pPr>
      <w:r>
        <w:rPr>
          <w:spacing w:val="-20"/>
        </w:rPr>
        <w:t>其中，</w:t>
      </w:r>
      <w:r>
        <w:rPr>
          <w:rFonts w:ascii="Arial" w:hAnsi="Arial" w:cs="Arial" w:eastAsia="Arial" w:hint="default"/>
          <w:spacing w:val="-20"/>
        </w:rPr>
        <w:t>P</w:t>
      </w:r>
      <w:r>
        <w:rPr>
          <w:rFonts w:ascii="Arial" w:hAnsi="Arial" w:cs="Arial" w:eastAsia="Arial" w:hint="default"/>
          <w:spacing w:val="-9"/>
        </w:rPr>
        <w:t> </w:t>
      </w:r>
      <w:r>
        <w:rPr/>
        <w:t>为归属于母公司普通股股东的净利润或扣除非经常性损益后归属于母公司普通股股东的</w:t>
      </w:r>
      <w:r>
        <w:rPr>
          <w:w w:val="100"/>
        </w:rPr>
        <w:t> </w:t>
      </w:r>
      <w:r>
        <w:rPr>
          <w:spacing w:val="-4"/>
        </w:rPr>
        <w:t>净利润。母公司在计算稀释每股收益时，应考虑所有稀释性潜在普通股的影响，直至稀释每股收</w:t>
      </w:r>
      <w:r>
        <w:rPr>
          <w:spacing w:val="-44"/>
        </w:rPr>
        <w:t> </w:t>
      </w:r>
      <w:r>
        <w:rPr>
          <w:spacing w:val="-44"/>
        </w:rPr>
      </w:r>
      <w:r>
        <w:rPr>
          <w:spacing w:val="-4"/>
        </w:rPr>
        <w:t>益达到最小。对于子公司发行能够转换成其普通股的稀释性潜在普通股，不仅应当包括在其稀释</w:t>
      </w:r>
      <w:r>
        <w:rPr>
          <w:spacing w:val="-41"/>
        </w:rPr>
        <w:t> </w:t>
      </w:r>
      <w:r>
        <w:rPr>
          <w:spacing w:val="-41"/>
        </w:rPr>
      </w:r>
      <w:r>
        <w:rPr/>
        <w:t>每股收益的计算中，而且还应当包括在合并稀释每股收益的计算中。</w:t>
      </w:r>
    </w:p>
    <w:p>
      <w:pPr>
        <w:spacing w:after="0" w:line="286" w:lineRule="exact"/>
        <w:jc w:val="both"/>
        <w:sectPr>
          <w:headerReference w:type="default" r:id="rId152"/>
          <w:pgSz w:w="11910" w:h="16840"/>
          <w:pgMar w:header="1181" w:footer="923" w:top="2500" w:bottom="1120" w:left="1280" w:right="900"/>
        </w:sectPr>
      </w:pPr>
    </w:p>
    <w:p>
      <w:pPr>
        <w:spacing w:line="240" w:lineRule="auto" w:before="7"/>
        <w:rPr>
          <w:rFonts w:ascii="宋体" w:hAnsi="宋体" w:cs="宋体" w:eastAsia="宋体" w:hint="default"/>
          <w:sz w:val="16"/>
          <w:szCs w:val="16"/>
        </w:rPr>
      </w:pPr>
    </w:p>
    <w:p>
      <w:pPr>
        <w:pStyle w:val="BodyText"/>
        <w:spacing w:line="240" w:lineRule="auto" w:before="32"/>
        <w:ind w:left="118" w:right="5363"/>
        <w:jc w:val="left"/>
        <w:rPr>
          <w:rFonts w:ascii="黑体" w:hAnsi="黑体" w:cs="黑体" w:eastAsia="黑体" w:hint="default"/>
        </w:rPr>
      </w:pPr>
      <w:r>
        <w:rPr>
          <w:rFonts w:ascii="黑体" w:hAnsi="黑体" w:cs="黑体" w:eastAsia="黑体" w:hint="default"/>
        </w:rPr>
        <w:t>一、财务报表差异调节表</w:t>
      </w:r>
    </w:p>
    <w:p>
      <w:pPr>
        <w:spacing w:line="240" w:lineRule="auto" w:before="10"/>
        <w:rPr>
          <w:rFonts w:ascii="黑体" w:hAnsi="黑体" w:cs="黑体" w:eastAsia="黑体" w:hint="default"/>
          <w:sz w:val="17"/>
          <w:szCs w:val="17"/>
        </w:rPr>
      </w:pPr>
    </w:p>
    <w:p>
      <w:pPr>
        <w:pStyle w:val="BodyText"/>
        <w:spacing w:line="286" w:lineRule="exact"/>
        <w:ind w:left="576" w:right="456"/>
        <w:jc w:val="both"/>
      </w:pPr>
      <w:r>
        <w:rPr/>
        <w:t>鉴于本公司的特殊架构，即通过联通</w:t>
      </w:r>
      <w:r>
        <w:rPr>
          <w:spacing w:val="-48"/>
        </w:rPr>
        <w:t> </w:t>
      </w:r>
      <w:r>
        <w:rPr>
          <w:rFonts w:ascii="Arial" w:hAnsi="Arial" w:cs="Arial" w:eastAsia="Arial" w:hint="default"/>
        </w:rPr>
        <w:t>BVI</w:t>
      </w:r>
      <w:r>
        <w:rPr>
          <w:rFonts w:ascii="Arial" w:hAnsi="Arial" w:cs="Arial" w:eastAsia="Arial" w:hint="default"/>
          <w:spacing w:val="1"/>
        </w:rPr>
        <w:t> </w:t>
      </w:r>
      <w:r>
        <w:rPr/>
        <w:t>公司间接持有联通红筹公司的股权，联通红筹</w:t>
      </w:r>
      <w:r>
        <w:rPr>
          <w:w w:val="100"/>
        </w:rPr>
        <w:t> </w:t>
      </w:r>
      <w:r>
        <w:rPr/>
        <w:t>公司为在香港注册的有限公司。联通红筹公司按照国际</w:t>
      </w:r>
      <w:r>
        <w:rPr>
          <w:rFonts w:ascii="Arial" w:hAnsi="Arial" w:cs="Arial" w:eastAsia="Arial" w:hint="default"/>
        </w:rPr>
        <w:t>/</w:t>
      </w:r>
      <w:r>
        <w:rPr/>
        <w:t>香港财务报告准则编制了</w:t>
      </w:r>
      <w:r>
        <w:rPr>
          <w:spacing w:val="37"/>
        </w:rPr>
        <w:t> </w:t>
      </w:r>
      <w:r>
        <w:rPr>
          <w:rFonts w:ascii="Arial" w:hAnsi="Arial" w:cs="Arial" w:eastAsia="Arial" w:hint="default"/>
        </w:rPr>
        <w:t>2014</w:t>
      </w:r>
      <w:r>
        <w:rPr>
          <w:rFonts w:ascii="Arial" w:hAnsi="Arial" w:cs="Arial" w:eastAsia="Arial" w:hint="default"/>
          <w:spacing w:val="-57"/>
        </w:rPr>
        <w:t> </w:t>
      </w:r>
      <w:r>
        <w:rPr/>
        <w:t>年度的财务报告，并已经毕马威会计师事务所（特殊普通合伙）审阅，本集团按照财政</w:t>
      </w:r>
      <w:r>
        <w:rPr>
          <w:spacing w:val="-66"/>
        </w:rPr>
        <w:t> </w:t>
      </w:r>
      <w:r>
        <w:rPr>
          <w:spacing w:val="-66"/>
        </w:rPr>
      </w:r>
      <w:r>
        <w:rPr/>
        <w:t>部于</w:t>
      </w:r>
      <w:r>
        <w:rPr>
          <w:spacing w:val="-50"/>
        </w:rPr>
        <w:t> </w:t>
      </w:r>
      <w:r>
        <w:rPr>
          <w:rFonts w:ascii="Arial" w:hAnsi="Arial" w:cs="Arial" w:eastAsia="Arial" w:hint="default"/>
        </w:rPr>
        <w:t>2006</w:t>
      </w:r>
      <w:r>
        <w:rPr>
          <w:rFonts w:ascii="Arial" w:hAnsi="Arial" w:cs="Arial" w:eastAsia="Arial" w:hint="default"/>
          <w:spacing w:val="-2"/>
        </w:rPr>
        <w:t> </w:t>
      </w:r>
      <w:r>
        <w:rPr/>
        <w:t>年</w:t>
      </w:r>
      <w:r>
        <w:rPr>
          <w:spacing w:val="-50"/>
        </w:rPr>
        <w:t> </w:t>
      </w:r>
      <w:r>
        <w:rPr>
          <w:rFonts w:ascii="Arial" w:hAnsi="Arial" w:cs="Arial" w:eastAsia="Arial" w:hint="default"/>
        </w:rPr>
        <w:t>2</w:t>
      </w:r>
      <w:r>
        <w:rPr>
          <w:rFonts w:ascii="Arial" w:hAnsi="Arial" w:cs="Arial" w:eastAsia="Arial" w:hint="default"/>
          <w:spacing w:val="-2"/>
        </w:rPr>
        <w:t> </w:t>
      </w:r>
      <w:r>
        <w:rPr/>
        <w:t>月</w:t>
      </w:r>
      <w:r>
        <w:rPr>
          <w:spacing w:val="-50"/>
        </w:rPr>
        <w:t> </w:t>
      </w:r>
      <w:r>
        <w:rPr>
          <w:rFonts w:ascii="Arial" w:hAnsi="Arial" w:cs="Arial" w:eastAsia="Arial" w:hint="default"/>
        </w:rPr>
        <w:t>15</w:t>
      </w:r>
      <w:r>
        <w:rPr>
          <w:rFonts w:ascii="Arial" w:hAnsi="Arial" w:cs="Arial" w:eastAsia="Arial" w:hint="default"/>
          <w:spacing w:val="-2"/>
        </w:rPr>
        <w:t> </w:t>
      </w:r>
      <w:r>
        <w:rPr/>
        <w:t>日颁布的企业会计准则（</w:t>
      </w:r>
      <w:r>
        <w:rPr>
          <w:rFonts w:ascii="Arial" w:hAnsi="Arial" w:cs="Arial" w:eastAsia="Arial" w:hint="default"/>
        </w:rPr>
        <w:t>“</w:t>
      </w:r>
      <w:r>
        <w:rPr/>
        <w:t>中国会计准则</w:t>
      </w:r>
      <w:r>
        <w:rPr>
          <w:rFonts w:ascii="Arial" w:hAnsi="Arial" w:cs="Arial" w:eastAsia="Arial" w:hint="default"/>
        </w:rPr>
        <w:t>”</w:t>
      </w:r>
      <w:r>
        <w:rPr/>
        <w:t>）编制合并财务报表，在</w:t>
      </w:r>
    </w:p>
    <w:p>
      <w:pPr>
        <w:pStyle w:val="BodyText"/>
        <w:spacing w:line="286" w:lineRule="exact"/>
        <w:ind w:left="576" w:right="459"/>
        <w:jc w:val="both"/>
      </w:pPr>
      <w:r>
        <w:rPr/>
        <w:t>适用中国会计准则前境内外会计准则仍存在差异。自 </w:t>
      </w:r>
      <w:r>
        <w:rPr>
          <w:rFonts w:ascii="Arial" w:hAnsi="Arial" w:cs="Arial" w:eastAsia="Arial" w:hint="default"/>
        </w:rPr>
        <w:t>2007</w:t>
      </w:r>
      <w:r>
        <w:rPr>
          <w:rFonts w:ascii="Arial" w:hAnsi="Arial" w:cs="Arial" w:eastAsia="Arial" w:hint="default"/>
          <w:spacing w:val="40"/>
        </w:rPr>
        <w:t> </w:t>
      </w:r>
      <w:r>
        <w:rPr/>
        <w:t>年采用中国会计准则后，无</w:t>
      </w:r>
      <w:r>
        <w:rPr>
          <w:w w:val="100"/>
        </w:rPr>
        <w:t> </w:t>
      </w:r>
      <w:r>
        <w:rPr/>
        <w:t>新增重大会计准则差异。该等准则差异对本集团净利润和净资产的影响列示如下：</w:t>
      </w:r>
    </w:p>
    <w:p>
      <w:pPr>
        <w:spacing w:line="240" w:lineRule="auto" w:before="3"/>
        <w:rPr>
          <w:rFonts w:ascii="宋体" w:hAnsi="宋体" w:cs="宋体" w:eastAsia="宋体" w:hint="default"/>
          <w:sz w:val="18"/>
          <w:szCs w:val="18"/>
        </w:rPr>
      </w:pPr>
    </w:p>
    <w:tbl>
      <w:tblPr>
        <w:tblW w:w="0" w:type="auto"/>
        <w:jc w:val="left"/>
        <w:tblInd w:w="576" w:type="dxa"/>
        <w:tblLayout w:type="fixed"/>
        <w:tblCellMar>
          <w:top w:w="0" w:type="dxa"/>
          <w:left w:w="0" w:type="dxa"/>
          <w:bottom w:w="0" w:type="dxa"/>
          <w:right w:w="0" w:type="dxa"/>
        </w:tblCellMar>
        <w:tblLook w:val="01E0"/>
      </w:tblPr>
      <w:tblGrid>
        <w:gridCol w:w="4849"/>
        <w:gridCol w:w="473"/>
        <w:gridCol w:w="1167"/>
        <w:gridCol w:w="781"/>
        <w:gridCol w:w="815"/>
        <w:gridCol w:w="672"/>
      </w:tblGrid>
      <w:tr>
        <w:trPr>
          <w:trHeight w:val="191" w:hRule="exact"/>
        </w:trPr>
        <w:tc>
          <w:tcPr>
            <w:tcW w:w="4849" w:type="dxa"/>
            <w:tcBorders>
              <w:top w:val="nil" w:sz="6" w:space="0" w:color="auto"/>
              <w:left w:val="nil" w:sz="6" w:space="0" w:color="auto"/>
              <w:bottom w:val="nil" w:sz="6" w:space="0" w:color="auto"/>
              <w:right w:val="nil" w:sz="6" w:space="0" w:color="auto"/>
            </w:tcBorders>
          </w:tcPr>
          <w:p>
            <w:pPr/>
          </w:p>
        </w:tc>
        <w:tc>
          <w:tcPr>
            <w:tcW w:w="473" w:type="dxa"/>
            <w:tcBorders>
              <w:top w:val="nil" w:sz="6" w:space="0" w:color="auto"/>
              <w:left w:val="nil" w:sz="6" w:space="0" w:color="auto"/>
              <w:bottom w:val="nil" w:sz="6" w:space="0" w:color="auto"/>
              <w:right w:val="nil" w:sz="6" w:space="0" w:color="auto"/>
            </w:tcBorders>
          </w:tcPr>
          <w:p>
            <w:pPr/>
          </w:p>
        </w:tc>
        <w:tc>
          <w:tcPr>
            <w:tcW w:w="1167" w:type="dxa"/>
            <w:tcBorders>
              <w:top w:val="nil" w:sz="6" w:space="0" w:color="auto"/>
              <w:left w:val="nil" w:sz="6" w:space="0" w:color="auto"/>
              <w:bottom w:val="single" w:sz="6" w:space="0" w:color="000000"/>
              <w:right w:val="nil" w:sz="6" w:space="0" w:color="auto"/>
            </w:tcBorders>
          </w:tcPr>
          <w:p>
            <w:pPr>
              <w:pStyle w:val="TableParagraph"/>
              <w:spacing w:line="161" w:lineRule="exact"/>
              <w:ind w:left="662" w:right="0"/>
              <w:jc w:val="left"/>
              <w:rPr>
                <w:rFonts w:ascii="宋体" w:hAnsi="宋体" w:cs="宋体" w:eastAsia="宋体" w:hint="default"/>
                <w:sz w:val="16"/>
                <w:szCs w:val="16"/>
              </w:rPr>
            </w:pPr>
            <w:r>
              <w:rPr>
                <w:rFonts w:ascii="宋体" w:hAnsi="宋体" w:cs="宋体" w:eastAsia="宋体" w:hint="default"/>
                <w:sz w:val="16"/>
                <w:szCs w:val="16"/>
              </w:rPr>
              <w:t>净利润</w:t>
            </w:r>
          </w:p>
        </w:tc>
        <w:tc>
          <w:tcPr>
            <w:tcW w:w="781" w:type="dxa"/>
            <w:tcBorders>
              <w:top w:val="nil" w:sz="6" w:space="0" w:color="auto"/>
              <w:left w:val="nil" w:sz="6" w:space="0" w:color="auto"/>
              <w:bottom w:val="single" w:sz="6" w:space="0" w:color="000000"/>
              <w:right w:val="nil" w:sz="6" w:space="0" w:color="auto"/>
            </w:tcBorders>
          </w:tcPr>
          <w:p>
            <w:pPr/>
          </w:p>
        </w:tc>
        <w:tc>
          <w:tcPr>
            <w:tcW w:w="1488" w:type="dxa"/>
            <w:gridSpan w:val="2"/>
            <w:tcBorders>
              <w:top w:val="nil" w:sz="6" w:space="0" w:color="auto"/>
              <w:left w:val="nil" w:sz="6" w:space="0" w:color="auto"/>
              <w:bottom w:val="single" w:sz="6" w:space="0" w:color="000000"/>
              <w:right w:val="nil" w:sz="6" w:space="0" w:color="auto"/>
            </w:tcBorders>
          </w:tcPr>
          <w:p>
            <w:pPr>
              <w:pStyle w:val="TableParagraph"/>
              <w:spacing w:line="161" w:lineRule="exact"/>
              <w:ind w:left="467" w:right="0"/>
              <w:jc w:val="left"/>
              <w:rPr>
                <w:rFonts w:ascii="宋体" w:hAnsi="宋体" w:cs="宋体" w:eastAsia="宋体" w:hint="default"/>
                <w:sz w:val="16"/>
                <w:szCs w:val="16"/>
              </w:rPr>
            </w:pPr>
            <w:r>
              <w:rPr>
                <w:rFonts w:ascii="宋体" w:hAnsi="宋体" w:cs="宋体" w:eastAsia="宋体" w:hint="default"/>
                <w:sz w:val="16"/>
                <w:szCs w:val="16"/>
              </w:rPr>
              <w:t>净资产</w:t>
            </w:r>
          </w:p>
        </w:tc>
      </w:tr>
      <w:tr>
        <w:trPr>
          <w:trHeight w:val="430" w:hRule="exact"/>
        </w:trPr>
        <w:tc>
          <w:tcPr>
            <w:tcW w:w="4849" w:type="dxa"/>
            <w:tcBorders>
              <w:top w:val="nil" w:sz="6" w:space="0" w:color="auto"/>
              <w:left w:val="nil" w:sz="6" w:space="0" w:color="auto"/>
              <w:bottom w:val="single" w:sz="6" w:space="0" w:color="000000"/>
              <w:right w:val="nil" w:sz="6" w:space="0" w:color="auto"/>
            </w:tcBorders>
          </w:tcPr>
          <w:p>
            <w:pPr>
              <w:pStyle w:val="TableParagraph"/>
              <w:spacing w:line="191" w:lineRule="exact"/>
              <w:ind w:right="21"/>
              <w:jc w:val="center"/>
              <w:rPr>
                <w:rFonts w:ascii="宋体" w:hAnsi="宋体" w:cs="宋体" w:eastAsia="宋体" w:hint="default"/>
                <w:sz w:val="16"/>
                <w:szCs w:val="16"/>
              </w:rPr>
            </w:pPr>
            <w:r>
              <w:rPr>
                <w:rFonts w:ascii="宋体" w:hAnsi="宋体" w:cs="宋体" w:eastAsia="宋体" w:hint="default"/>
                <w:sz w:val="16"/>
                <w:szCs w:val="16"/>
              </w:rPr>
              <w:t>项目</w:t>
            </w:r>
          </w:p>
          <w:p>
            <w:pPr>
              <w:pStyle w:val="TableParagraph"/>
              <w:spacing w:line="209" w:lineRule="exact"/>
              <w:ind w:right="21"/>
              <w:jc w:val="center"/>
              <w:rPr>
                <w:rFonts w:ascii="宋体" w:hAnsi="宋体" w:cs="宋体" w:eastAsia="宋体" w:hint="default"/>
                <w:sz w:val="16"/>
                <w:szCs w:val="16"/>
              </w:rPr>
            </w:pPr>
            <w:r>
              <w:rPr>
                <w:rFonts w:ascii="宋体" w:hAnsi="宋体" w:cs="宋体" w:eastAsia="宋体" w:hint="default"/>
                <w:sz w:val="16"/>
                <w:szCs w:val="16"/>
              </w:rPr>
              <w:t>（单位：人民币百万元）</w:t>
            </w:r>
          </w:p>
        </w:tc>
        <w:tc>
          <w:tcPr>
            <w:tcW w:w="473" w:type="dxa"/>
            <w:tcBorders>
              <w:top w:val="nil" w:sz="6" w:space="0" w:color="auto"/>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center"/>
              <w:rPr>
                <w:rFonts w:ascii="宋体" w:hAnsi="宋体" w:cs="宋体" w:eastAsia="宋体" w:hint="default"/>
                <w:sz w:val="16"/>
                <w:szCs w:val="16"/>
              </w:rPr>
            </w:pPr>
            <w:r>
              <w:rPr>
                <w:rFonts w:ascii="宋体" w:hAnsi="宋体" w:cs="宋体" w:eastAsia="宋体" w:hint="default"/>
                <w:sz w:val="16"/>
                <w:szCs w:val="16"/>
              </w:rPr>
              <w:t>注释</w:t>
            </w:r>
          </w:p>
        </w:tc>
        <w:tc>
          <w:tcPr>
            <w:tcW w:w="1167"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6"/>
                <w:sz w:val="16"/>
                <w:szCs w:val="16"/>
              </w:rPr>
              <w:t> </w:t>
            </w:r>
            <w:r>
              <w:rPr>
                <w:rFonts w:ascii="宋体" w:hAnsi="宋体" w:cs="宋体" w:eastAsia="宋体" w:hint="default"/>
                <w:sz w:val="16"/>
                <w:szCs w:val="16"/>
              </w:rPr>
              <w:t>年</w:t>
            </w:r>
          </w:p>
        </w:tc>
        <w:tc>
          <w:tcPr>
            <w:tcW w:w="781"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6"/>
                <w:szCs w:val="16"/>
              </w:rPr>
            </w:pPr>
            <w:r>
              <w:rPr>
                <w:rFonts w:ascii="Arial" w:hAnsi="Arial" w:cs="Arial" w:eastAsia="Arial" w:hint="default"/>
                <w:sz w:val="16"/>
                <w:szCs w:val="16"/>
              </w:rPr>
              <w:t>2013</w:t>
            </w:r>
            <w:r>
              <w:rPr>
                <w:rFonts w:ascii="Arial" w:hAnsi="Arial" w:cs="Arial" w:eastAsia="Arial" w:hint="default"/>
                <w:spacing w:val="-6"/>
                <w:sz w:val="16"/>
                <w:szCs w:val="16"/>
              </w:rPr>
              <w:t> </w:t>
            </w:r>
            <w:r>
              <w:rPr>
                <w:rFonts w:ascii="宋体" w:hAnsi="宋体" w:cs="宋体" w:eastAsia="宋体" w:hint="default"/>
                <w:sz w:val="16"/>
                <w:szCs w:val="16"/>
              </w:rPr>
              <w:t>年</w:t>
            </w:r>
          </w:p>
        </w:tc>
        <w:tc>
          <w:tcPr>
            <w:tcW w:w="815"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72"/>
              <w:jc w:val="righ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5"/>
                <w:sz w:val="16"/>
                <w:szCs w:val="16"/>
              </w:rPr>
              <w:t> </w:t>
            </w:r>
            <w:r>
              <w:rPr>
                <w:rFonts w:ascii="宋体" w:hAnsi="宋体" w:cs="宋体" w:eastAsia="宋体" w:hint="default"/>
                <w:sz w:val="16"/>
                <w:szCs w:val="16"/>
              </w:rPr>
              <w:t>年</w:t>
            </w:r>
          </w:p>
        </w:tc>
        <w:tc>
          <w:tcPr>
            <w:tcW w:w="672"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59" w:right="0"/>
              <w:jc w:val="left"/>
              <w:rPr>
                <w:rFonts w:ascii="宋体" w:hAnsi="宋体" w:cs="宋体" w:eastAsia="宋体" w:hint="default"/>
                <w:sz w:val="16"/>
                <w:szCs w:val="16"/>
              </w:rPr>
            </w:pPr>
            <w:r>
              <w:rPr>
                <w:rFonts w:ascii="Arial" w:hAnsi="Arial" w:cs="Arial" w:eastAsia="Arial" w:hint="default"/>
                <w:sz w:val="16"/>
                <w:szCs w:val="16"/>
              </w:rPr>
              <w:t>2013</w:t>
            </w:r>
            <w:r>
              <w:rPr>
                <w:rFonts w:ascii="Arial" w:hAnsi="Arial" w:cs="Arial" w:eastAsia="Arial" w:hint="default"/>
                <w:spacing w:val="-6"/>
                <w:sz w:val="16"/>
                <w:szCs w:val="16"/>
              </w:rPr>
              <w:t> </w:t>
            </w:r>
            <w:r>
              <w:rPr>
                <w:rFonts w:ascii="宋体" w:hAnsi="宋体" w:cs="宋体" w:eastAsia="宋体" w:hint="default"/>
                <w:sz w:val="16"/>
                <w:szCs w:val="16"/>
              </w:rPr>
              <w:t>年</w:t>
            </w:r>
          </w:p>
        </w:tc>
      </w:tr>
      <w:tr>
        <w:trPr>
          <w:trHeight w:val="589" w:hRule="exact"/>
        </w:trPr>
        <w:tc>
          <w:tcPr>
            <w:tcW w:w="4849"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4"/>
              <w:ind w:right="0"/>
              <w:jc w:val="left"/>
              <w:rPr>
                <w:rFonts w:ascii="宋体" w:hAnsi="宋体" w:cs="宋体" w:eastAsia="宋体" w:hint="default"/>
                <w:sz w:val="16"/>
                <w:szCs w:val="16"/>
              </w:rPr>
            </w:pPr>
            <w:r>
              <w:rPr>
                <w:rFonts w:ascii="宋体" w:hAnsi="宋体" w:cs="宋体" w:eastAsia="宋体" w:hint="default"/>
                <w:sz w:val="16"/>
                <w:szCs w:val="16"/>
              </w:rPr>
              <w:t>本集团中国会计准则下的净利润</w:t>
            </w:r>
            <w:r>
              <w:rPr>
                <w:rFonts w:ascii="Arial" w:hAnsi="Arial" w:cs="Arial" w:eastAsia="Arial" w:hint="default"/>
                <w:sz w:val="16"/>
                <w:szCs w:val="16"/>
              </w:rPr>
              <w:t>/</w:t>
            </w:r>
            <w:r>
              <w:rPr>
                <w:rFonts w:ascii="宋体" w:hAnsi="宋体" w:cs="宋体" w:eastAsia="宋体" w:hint="default"/>
                <w:sz w:val="16"/>
                <w:szCs w:val="16"/>
              </w:rPr>
              <w:t>净资产</w:t>
            </w:r>
          </w:p>
        </w:tc>
        <w:tc>
          <w:tcPr>
            <w:tcW w:w="473" w:type="dxa"/>
            <w:tcBorders>
              <w:top w:val="single" w:sz="6" w:space="0" w:color="000000"/>
              <w:left w:val="nil" w:sz="6" w:space="0" w:color="auto"/>
              <w:bottom w:val="nil" w:sz="6" w:space="0" w:color="auto"/>
              <w:right w:val="nil" w:sz="6" w:space="0" w:color="auto"/>
            </w:tcBorders>
          </w:tcPr>
          <w:p>
            <w:pPr/>
          </w:p>
        </w:tc>
        <w:tc>
          <w:tcPr>
            <w:tcW w:w="1167"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79" w:right="0"/>
              <w:jc w:val="left"/>
              <w:rPr>
                <w:rFonts w:ascii="Arial" w:hAnsi="Arial" w:cs="Arial" w:eastAsia="Arial" w:hint="default"/>
                <w:sz w:val="16"/>
                <w:szCs w:val="16"/>
              </w:rPr>
            </w:pPr>
            <w:r>
              <w:rPr>
                <w:rFonts w:ascii="Arial"/>
                <w:sz w:val="16"/>
              </w:rPr>
              <w:t>11,968</w:t>
            </w:r>
          </w:p>
        </w:tc>
        <w:tc>
          <w:tcPr>
            <w:tcW w:w="781"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93" w:right="0"/>
              <w:jc w:val="left"/>
              <w:rPr>
                <w:rFonts w:ascii="Arial" w:hAnsi="Arial" w:cs="Arial" w:eastAsia="Arial" w:hint="default"/>
                <w:sz w:val="16"/>
                <w:szCs w:val="16"/>
              </w:rPr>
            </w:pPr>
            <w:r>
              <w:rPr>
                <w:rFonts w:ascii="Arial"/>
                <w:sz w:val="16"/>
              </w:rPr>
              <w:t>10,292</w:t>
            </w:r>
          </w:p>
        </w:tc>
        <w:tc>
          <w:tcPr>
            <w:tcW w:w="815"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1"/>
              <w:jc w:val="right"/>
              <w:rPr>
                <w:rFonts w:ascii="Arial" w:hAnsi="Arial" w:cs="Arial" w:eastAsia="Arial" w:hint="default"/>
                <w:sz w:val="16"/>
                <w:szCs w:val="16"/>
              </w:rPr>
            </w:pPr>
            <w:r>
              <w:rPr>
                <w:rFonts w:ascii="Arial"/>
                <w:spacing w:val="-1"/>
                <w:sz w:val="16"/>
              </w:rPr>
              <w:t>230,328</w:t>
            </w:r>
          </w:p>
        </w:tc>
        <w:tc>
          <w:tcPr>
            <w:tcW w:w="672"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8" w:right="0"/>
              <w:jc w:val="left"/>
              <w:rPr>
                <w:rFonts w:ascii="Arial" w:hAnsi="Arial" w:cs="Arial" w:eastAsia="Arial" w:hint="default"/>
                <w:sz w:val="16"/>
                <w:szCs w:val="16"/>
              </w:rPr>
            </w:pPr>
            <w:r>
              <w:rPr>
                <w:rFonts w:ascii="Arial"/>
                <w:sz w:val="16"/>
              </w:rPr>
              <w:t>221,626</w:t>
            </w:r>
          </w:p>
        </w:tc>
      </w:tr>
      <w:tr>
        <w:trPr>
          <w:trHeight w:val="187" w:hRule="exact"/>
        </w:trPr>
        <w:tc>
          <w:tcPr>
            <w:tcW w:w="4849" w:type="dxa"/>
            <w:tcBorders>
              <w:top w:val="nil" w:sz="6" w:space="0" w:color="auto"/>
              <w:left w:val="nil" w:sz="6" w:space="0" w:color="auto"/>
              <w:bottom w:val="nil" w:sz="6" w:space="0" w:color="auto"/>
              <w:right w:val="nil" w:sz="6" w:space="0" w:color="auto"/>
            </w:tcBorders>
          </w:tcPr>
          <w:p>
            <w:pPr/>
          </w:p>
        </w:tc>
        <w:tc>
          <w:tcPr>
            <w:tcW w:w="473" w:type="dxa"/>
            <w:tcBorders>
              <w:top w:val="nil" w:sz="6" w:space="0" w:color="auto"/>
              <w:left w:val="nil" w:sz="6" w:space="0" w:color="auto"/>
              <w:bottom w:val="nil" w:sz="6" w:space="0" w:color="auto"/>
              <w:right w:val="nil" w:sz="6" w:space="0" w:color="auto"/>
            </w:tcBorders>
          </w:tcPr>
          <w:p>
            <w:pPr/>
          </w:p>
        </w:tc>
        <w:tc>
          <w:tcPr>
            <w:tcW w:w="1167" w:type="dxa"/>
            <w:tcBorders>
              <w:top w:val="nil" w:sz="6" w:space="0" w:color="auto"/>
              <w:left w:val="nil" w:sz="6" w:space="0" w:color="auto"/>
              <w:bottom w:val="nil" w:sz="6" w:space="0" w:color="auto"/>
              <w:right w:val="nil" w:sz="6" w:space="0" w:color="auto"/>
            </w:tcBorders>
          </w:tcPr>
          <w:p>
            <w:pPr>
              <w:pStyle w:val="TableParagraph"/>
              <w:spacing w:line="175" w:lineRule="exact"/>
              <w:ind w:right="294"/>
              <w:jc w:val="right"/>
              <w:rPr>
                <w:rFonts w:ascii="Arial" w:hAnsi="Arial" w:cs="Arial" w:eastAsia="Arial" w:hint="default"/>
                <w:sz w:val="16"/>
                <w:szCs w:val="16"/>
              </w:rPr>
            </w:pPr>
            <w:r>
              <w:rPr>
                <w:rFonts w:ascii="Arial"/>
                <w:w w:val="100"/>
                <w:sz w:val="16"/>
              </w:rPr>
              <w:t>-</w:t>
            </w:r>
          </w:p>
        </w:tc>
        <w:tc>
          <w:tcPr>
            <w:tcW w:w="781" w:type="dxa"/>
            <w:tcBorders>
              <w:top w:val="nil" w:sz="6" w:space="0" w:color="auto"/>
              <w:left w:val="nil" w:sz="6" w:space="0" w:color="auto"/>
              <w:bottom w:val="nil" w:sz="6" w:space="0" w:color="auto"/>
              <w:right w:val="nil" w:sz="6" w:space="0" w:color="auto"/>
            </w:tcBorders>
          </w:tcPr>
          <w:p>
            <w:pPr/>
          </w:p>
        </w:tc>
        <w:tc>
          <w:tcPr>
            <w:tcW w:w="815"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r>
      <w:tr>
        <w:trPr>
          <w:trHeight w:val="208" w:hRule="exact"/>
        </w:trPr>
        <w:tc>
          <w:tcPr>
            <w:tcW w:w="4849" w:type="dxa"/>
            <w:tcBorders>
              <w:top w:val="nil" w:sz="6" w:space="0" w:color="auto"/>
              <w:left w:val="nil" w:sz="6" w:space="0" w:color="auto"/>
              <w:bottom w:val="nil" w:sz="6" w:space="0" w:color="auto"/>
              <w:right w:val="nil" w:sz="6" w:space="0" w:color="auto"/>
            </w:tcBorders>
          </w:tcPr>
          <w:p>
            <w:pPr>
              <w:pStyle w:val="TableParagraph"/>
              <w:spacing w:line="187" w:lineRule="exact"/>
              <w:ind w:left="12" w:right="0"/>
              <w:jc w:val="left"/>
              <w:rPr>
                <w:rFonts w:ascii="宋体" w:hAnsi="宋体" w:cs="宋体" w:eastAsia="宋体" w:hint="default"/>
                <w:sz w:val="16"/>
                <w:szCs w:val="16"/>
              </w:rPr>
            </w:pPr>
            <w:r>
              <w:rPr>
                <w:rFonts w:ascii="宋体" w:hAnsi="宋体" w:cs="宋体" w:eastAsia="宋体" w:hint="default"/>
                <w:sz w:val="16"/>
                <w:szCs w:val="16"/>
              </w:rPr>
              <w:t>加：本公司及联通</w:t>
            </w:r>
            <w:r>
              <w:rPr>
                <w:rFonts w:ascii="宋体" w:hAnsi="宋体" w:cs="宋体" w:eastAsia="宋体" w:hint="default"/>
                <w:spacing w:val="-41"/>
                <w:sz w:val="16"/>
                <w:szCs w:val="16"/>
              </w:rPr>
              <w:t> </w:t>
            </w:r>
            <w:r>
              <w:rPr>
                <w:rFonts w:ascii="Arial" w:hAnsi="Arial" w:cs="Arial" w:eastAsia="Arial" w:hint="default"/>
                <w:sz w:val="16"/>
                <w:szCs w:val="16"/>
              </w:rPr>
              <w:t>BVI</w:t>
            </w:r>
            <w:r>
              <w:rPr>
                <w:rFonts w:ascii="Arial" w:hAnsi="Arial" w:cs="Arial" w:eastAsia="Arial" w:hint="default"/>
                <w:spacing w:val="-5"/>
                <w:sz w:val="16"/>
                <w:szCs w:val="16"/>
              </w:rPr>
              <w:t> </w:t>
            </w:r>
            <w:r>
              <w:rPr>
                <w:rFonts w:ascii="宋体" w:hAnsi="宋体" w:cs="宋体" w:eastAsia="宋体" w:hint="default"/>
                <w:sz w:val="16"/>
                <w:szCs w:val="16"/>
              </w:rPr>
              <w:t>公司发生的（累计发生的）费用及所得税</w:t>
            </w:r>
          </w:p>
        </w:tc>
        <w:tc>
          <w:tcPr>
            <w:tcW w:w="473" w:type="dxa"/>
            <w:tcBorders>
              <w:top w:val="nil" w:sz="6" w:space="0" w:color="auto"/>
              <w:left w:val="nil" w:sz="6" w:space="0" w:color="auto"/>
              <w:bottom w:val="nil" w:sz="6" w:space="0" w:color="auto"/>
              <w:right w:val="nil" w:sz="6" w:space="0" w:color="auto"/>
            </w:tcBorders>
          </w:tcPr>
          <w:p>
            <w:pP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691" w:right="0"/>
              <w:jc w:val="left"/>
              <w:rPr>
                <w:rFonts w:ascii="Arial" w:hAnsi="Arial" w:cs="Arial" w:eastAsia="Arial" w:hint="default"/>
                <w:sz w:val="16"/>
                <w:szCs w:val="16"/>
              </w:rPr>
            </w:pPr>
            <w:r>
              <w:rPr>
                <w:rFonts w:ascii="Arial"/>
                <w:sz w:val="16"/>
              </w:rPr>
              <w:t>12</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05" w:right="0"/>
              <w:jc w:val="left"/>
              <w:rPr>
                <w:rFonts w:ascii="Arial" w:hAnsi="Arial" w:cs="Arial" w:eastAsia="Arial" w:hint="default"/>
                <w:sz w:val="16"/>
                <w:szCs w:val="16"/>
              </w:rPr>
            </w:pPr>
            <w:r>
              <w:rPr>
                <w:rFonts w:ascii="Arial"/>
                <w:sz w:val="16"/>
              </w:rPr>
              <w:t>22</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1"/>
              <w:jc w:val="right"/>
              <w:rPr>
                <w:rFonts w:ascii="Arial" w:hAnsi="Arial" w:cs="Arial" w:eastAsia="Arial" w:hint="default"/>
                <w:sz w:val="16"/>
                <w:szCs w:val="16"/>
              </w:rPr>
            </w:pPr>
            <w:r>
              <w:rPr>
                <w:rFonts w:ascii="Arial"/>
                <w:spacing w:val="-1"/>
                <w:sz w:val="16"/>
              </w:rPr>
              <w:t>190</w:t>
            </w:r>
            <w:r>
              <w:rPr>
                <w:rFonts w:ascii="Arial"/>
                <w:sz w:val="16"/>
              </w:rPr>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3"/>
              <w:jc w:val="right"/>
              <w:rPr>
                <w:rFonts w:ascii="Arial" w:hAnsi="Arial" w:cs="Arial" w:eastAsia="Arial" w:hint="default"/>
                <w:sz w:val="16"/>
                <w:szCs w:val="16"/>
              </w:rPr>
            </w:pPr>
            <w:r>
              <w:rPr>
                <w:rFonts w:ascii="Arial"/>
                <w:spacing w:val="-1"/>
                <w:sz w:val="16"/>
              </w:rPr>
              <w:t>177</w:t>
            </w:r>
            <w:r>
              <w:rPr>
                <w:rFonts w:ascii="Arial"/>
                <w:sz w:val="16"/>
              </w:rPr>
            </w:r>
          </w:p>
        </w:tc>
      </w:tr>
      <w:tr>
        <w:trPr>
          <w:trHeight w:val="300" w:hRule="exact"/>
        </w:trPr>
        <w:tc>
          <w:tcPr>
            <w:tcW w:w="4849" w:type="dxa"/>
            <w:tcBorders>
              <w:top w:val="nil" w:sz="6" w:space="0" w:color="auto"/>
              <w:left w:val="nil" w:sz="6" w:space="0" w:color="auto"/>
              <w:bottom w:val="nil" w:sz="6" w:space="0" w:color="auto"/>
              <w:right w:val="nil" w:sz="6" w:space="0" w:color="auto"/>
            </w:tcBorders>
          </w:tcPr>
          <w:p>
            <w:pPr>
              <w:pStyle w:val="TableParagraph"/>
              <w:spacing w:line="175" w:lineRule="exact"/>
              <w:ind w:left="333" w:right="0"/>
              <w:jc w:val="left"/>
              <w:rPr>
                <w:rFonts w:ascii="宋体" w:hAnsi="宋体" w:cs="宋体" w:eastAsia="宋体" w:hint="default"/>
                <w:sz w:val="16"/>
                <w:szCs w:val="16"/>
              </w:rPr>
            </w:pPr>
            <w:r>
              <w:rPr>
                <w:rFonts w:ascii="宋体" w:hAnsi="宋体" w:cs="宋体" w:eastAsia="宋体" w:hint="default"/>
                <w:sz w:val="16"/>
                <w:szCs w:val="16"/>
              </w:rPr>
              <w:t>本公司宣派股利</w:t>
            </w:r>
          </w:p>
        </w:tc>
        <w:tc>
          <w:tcPr>
            <w:tcW w:w="473" w:type="dxa"/>
            <w:tcBorders>
              <w:top w:val="nil" w:sz="6" w:space="0" w:color="auto"/>
              <w:left w:val="nil" w:sz="6" w:space="0" w:color="auto"/>
              <w:bottom w:val="nil" w:sz="6" w:space="0" w:color="auto"/>
              <w:right w:val="nil" w:sz="6" w:space="0" w:color="auto"/>
            </w:tcBorders>
          </w:tcPr>
          <w:p>
            <w:pP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4"/>
              <w:jc w:val="right"/>
              <w:rPr>
                <w:rFonts w:ascii="Arial" w:hAnsi="Arial" w:cs="Arial" w:eastAsia="Arial" w:hint="default"/>
                <w:sz w:val="16"/>
                <w:szCs w:val="16"/>
              </w:rPr>
            </w:pPr>
            <w:r>
              <w:rPr>
                <w:rFonts w:ascii="Arial"/>
                <w:w w:val="100"/>
                <w:sz w:val="16"/>
              </w:rPr>
              <w:t>-</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5"/>
              <w:jc w:val="right"/>
              <w:rPr>
                <w:rFonts w:ascii="Arial" w:hAnsi="Arial" w:cs="Arial" w:eastAsia="Arial" w:hint="default"/>
                <w:sz w:val="16"/>
                <w:szCs w:val="16"/>
              </w:rPr>
            </w:pPr>
            <w:r>
              <w:rPr>
                <w:rFonts w:ascii="Arial"/>
                <w:w w:val="100"/>
                <w:sz w:val="16"/>
              </w:rPr>
              <w:t>-</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1"/>
              <w:jc w:val="right"/>
              <w:rPr>
                <w:rFonts w:ascii="Arial" w:hAnsi="Arial" w:cs="Arial" w:eastAsia="Arial" w:hint="default"/>
                <w:sz w:val="16"/>
                <w:szCs w:val="16"/>
              </w:rPr>
            </w:pPr>
            <w:r>
              <w:rPr>
                <w:rFonts w:ascii="Arial"/>
                <w:spacing w:val="-1"/>
                <w:sz w:val="16"/>
              </w:rPr>
              <w:t>11,608</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7" w:right="0"/>
              <w:jc w:val="left"/>
              <w:rPr>
                <w:rFonts w:ascii="Arial" w:hAnsi="Arial" w:cs="Arial" w:eastAsia="Arial" w:hint="default"/>
                <w:sz w:val="16"/>
                <w:szCs w:val="16"/>
              </w:rPr>
            </w:pPr>
            <w:r>
              <w:rPr>
                <w:rFonts w:ascii="Arial"/>
                <w:sz w:val="16"/>
              </w:rPr>
              <w:t>10,476</w:t>
            </w:r>
          </w:p>
        </w:tc>
      </w:tr>
      <w:tr>
        <w:trPr>
          <w:trHeight w:val="299" w:hRule="exact"/>
        </w:trPr>
        <w:tc>
          <w:tcPr>
            <w:tcW w:w="484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2" w:right="0"/>
              <w:jc w:val="left"/>
              <w:rPr>
                <w:rFonts w:ascii="宋体" w:hAnsi="宋体" w:cs="宋体" w:eastAsia="宋体" w:hint="default"/>
                <w:sz w:val="16"/>
                <w:szCs w:val="16"/>
              </w:rPr>
            </w:pPr>
            <w:r>
              <w:rPr>
                <w:rFonts w:ascii="宋体" w:hAnsi="宋体" w:cs="宋体" w:eastAsia="宋体" w:hint="default"/>
                <w:sz w:val="16"/>
                <w:szCs w:val="16"/>
              </w:rPr>
              <w:t>减：本公司其他四家发起单位注资</w:t>
            </w:r>
          </w:p>
        </w:tc>
        <w:tc>
          <w:tcPr>
            <w:tcW w:w="473" w:type="dxa"/>
            <w:tcBorders>
              <w:top w:val="nil" w:sz="6" w:space="0" w:color="auto"/>
              <w:left w:val="nil" w:sz="6" w:space="0" w:color="auto"/>
              <w:bottom w:val="nil" w:sz="6" w:space="0" w:color="auto"/>
              <w:right w:val="nil" w:sz="6" w:space="0" w:color="auto"/>
            </w:tcBorders>
          </w:tcPr>
          <w:p>
            <w:pP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94"/>
              <w:jc w:val="right"/>
              <w:rPr>
                <w:rFonts w:ascii="Arial" w:hAnsi="Arial" w:cs="Arial" w:eastAsia="Arial" w:hint="default"/>
                <w:sz w:val="16"/>
                <w:szCs w:val="16"/>
              </w:rPr>
            </w:pPr>
            <w:r>
              <w:rPr>
                <w:rFonts w:ascii="Arial"/>
                <w:w w:val="100"/>
                <w:sz w:val="16"/>
              </w:rPr>
              <w:t>-</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95"/>
              <w:jc w:val="right"/>
              <w:rPr>
                <w:rFonts w:ascii="Arial" w:hAnsi="Arial" w:cs="Arial" w:eastAsia="Arial" w:hint="default"/>
                <w:sz w:val="16"/>
                <w:szCs w:val="16"/>
              </w:rPr>
            </w:pPr>
            <w:r>
              <w:rPr>
                <w:rFonts w:ascii="Arial"/>
                <w:w w:val="100"/>
                <w:sz w:val="16"/>
              </w:rPr>
              <w:t>-</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6"/>
              <w:jc w:val="right"/>
              <w:rPr>
                <w:rFonts w:ascii="Arial" w:hAnsi="Arial" w:cs="Arial" w:eastAsia="Arial" w:hint="default"/>
                <w:sz w:val="16"/>
                <w:szCs w:val="16"/>
              </w:rPr>
            </w:pPr>
            <w:r>
              <w:rPr>
                <w:rFonts w:ascii="Arial"/>
                <w:spacing w:val="-1"/>
                <w:sz w:val="16"/>
              </w:rPr>
              <w:t>(4)</w:t>
            </w:r>
            <w:r>
              <w:rPr>
                <w:rFonts w:ascii="Arial"/>
                <w:sz w:val="16"/>
              </w:rPr>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0"/>
              <w:jc w:val="right"/>
              <w:rPr>
                <w:rFonts w:ascii="Arial" w:hAnsi="Arial" w:cs="Arial" w:eastAsia="Arial" w:hint="default"/>
                <w:sz w:val="16"/>
                <w:szCs w:val="16"/>
              </w:rPr>
            </w:pPr>
            <w:r>
              <w:rPr>
                <w:rFonts w:ascii="Arial"/>
                <w:spacing w:val="-1"/>
                <w:sz w:val="16"/>
              </w:rPr>
              <w:t>(4)</w:t>
            </w:r>
            <w:r>
              <w:rPr>
                <w:rFonts w:ascii="Arial"/>
                <w:sz w:val="16"/>
              </w:rPr>
            </w:r>
          </w:p>
        </w:tc>
      </w:tr>
      <w:tr>
        <w:trPr>
          <w:trHeight w:val="208" w:hRule="exact"/>
        </w:trPr>
        <w:tc>
          <w:tcPr>
            <w:tcW w:w="4849" w:type="dxa"/>
            <w:tcBorders>
              <w:top w:val="nil" w:sz="6" w:space="0" w:color="auto"/>
              <w:left w:val="nil" w:sz="6" w:space="0" w:color="auto"/>
              <w:bottom w:val="nil" w:sz="6" w:space="0" w:color="auto"/>
              <w:right w:val="nil" w:sz="6" w:space="0" w:color="auto"/>
            </w:tcBorders>
          </w:tcPr>
          <w:p>
            <w:pPr>
              <w:pStyle w:val="TableParagraph"/>
              <w:spacing w:line="176" w:lineRule="exact"/>
              <w:ind w:left="333" w:right="0"/>
              <w:jc w:val="left"/>
              <w:rPr>
                <w:rFonts w:ascii="宋体" w:hAnsi="宋体" w:cs="宋体" w:eastAsia="宋体" w:hint="default"/>
                <w:sz w:val="16"/>
                <w:szCs w:val="16"/>
              </w:rPr>
            </w:pPr>
            <w:r>
              <w:rPr>
                <w:rFonts w:ascii="宋体" w:hAnsi="宋体" w:cs="宋体" w:eastAsia="宋体" w:hint="default"/>
                <w:sz w:val="16"/>
                <w:szCs w:val="16"/>
              </w:rPr>
              <w:t>申购资金于冻结期间的利息收入</w:t>
            </w:r>
          </w:p>
        </w:tc>
        <w:tc>
          <w:tcPr>
            <w:tcW w:w="473" w:type="dxa"/>
            <w:tcBorders>
              <w:top w:val="nil" w:sz="6" w:space="0" w:color="auto"/>
              <w:left w:val="nil" w:sz="6" w:space="0" w:color="auto"/>
              <w:bottom w:val="nil" w:sz="6" w:space="0" w:color="auto"/>
              <w:right w:val="nil" w:sz="6" w:space="0" w:color="auto"/>
            </w:tcBorders>
          </w:tcPr>
          <w:p>
            <w:pP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94"/>
              <w:jc w:val="right"/>
              <w:rPr>
                <w:rFonts w:ascii="Arial" w:hAnsi="Arial" w:cs="Arial" w:eastAsia="Arial" w:hint="default"/>
                <w:sz w:val="16"/>
                <w:szCs w:val="16"/>
              </w:rPr>
            </w:pPr>
            <w:r>
              <w:rPr>
                <w:rFonts w:ascii="Arial"/>
                <w:w w:val="100"/>
                <w:sz w:val="16"/>
              </w:rPr>
              <w:t>-</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5"/>
              <w:jc w:val="right"/>
              <w:rPr>
                <w:rFonts w:ascii="Arial" w:hAnsi="Arial" w:cs="Arial" w:eastAsia="Arial" w:hint="default"/>
                <w:sz w:val="16"/>
                <w:szCs w:val="16"/>
              </w:rPr>
            </w:pPr>
            <w:r>
              <w:rPr>
                <w:rFonts w:ascii="Arial"/>
                <w:w w:val="100"/>
                <w:sz w:val="16"/>
              </w:rPr>
              <w:t>-</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9"/>
              <w:jc w:val="right"/>
              <w:rPr>
                <w:rFonts w:ascii="Arial" w:hAnsi="Arial" w:cs="Arial" w:eastAsia="Arial" w:hint="default"/>
                <w:sz w:val="16"/>
                <w:szCs w:val="16"/>
              </w:rPr>
            </w:pPr>
            <w:r>
              <w:rPr>
                <w:rFonts w:ascii="Arial"/>
                <w:spacing w:val="-1"/>
                <w:sz w:val="16"/>
              </w:rPr>
              <w:t>(20)</w:t>
            </w:r>
            <w:r>
              <w:rPr>
                <w:rFonts w:ascii="Arial"/>
                <w:sz w:val="16"/>
              </w:rPr>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
              <w:jc w:val="right"/>
              <w:rPr>
                <w:rFonts w:ascii="Arial" w:hAnsi="Arial" w:cs="Arial" w:eastAsia="Arial" w:hint="default"/>
                <w:sz w:val="16"/>
                <w:szCs w:val="16"/>
              </w:rPr>
            </w:pPr>
            <w:r>
              <w:rPr>
                <w:rFonts w:ascii="Arial"/>
                <w:spacing w:val="-1"/>
                <w:sz w:val="16"/>
              </w:rPr>
              <w:t>(20)</w:t>
            </w:r>
            <w:r>
              <w:rPr>
                <w:rFonts w:ascii="Arial"/>
                <w:sz w:val="16"/>
              </w:rPr>
            </w:r>
          </w:p>
        </w:tc>
      </w:tr>
      <w:tr>
        <w:trPr>
          <w:trHeight w:val="208" w:hRule="exact"/>
        </w:trPr>
        <w:tc>
          <w:tcPr>
            <w:tcW w:w="4849" w:type="dxa"/>
            <w:tcBorders>
              <w:top w:val="nil" w:sz="6" w:space="0" w:color="auto"/>
              <w:left w:val="nil" w:sz="6" w:space="0" w:color="auto"/>
              <w:bottom w:val="nil" w:sz="6" w:space="0" w:color="auto"/>
              <w:right w:val="nil" w:sz="6" w:space="0" w:color="auto"/>
            </w:tcBorders>
          </w:tcPr>
          <w:p>
            <w:pPr>
              <w:pStyle w:val="TableParagraph"/>
              <w:spacing w:line="186" w:lineRule="exact"/>
              <w:ind w:left="350" w:right="0"/>
              <w:jc w:val="left"/>
              <w:rPr>
                <w:rFonts w:ascii="宋体" w:hAnsi="宋体" w:cs="宋体" w:eastAsia="宋体" w:hint="default"/>
                <w:sz w:val="16"/>
                <w:szCs w:val="16"/>
              </w:rPr>
            </w:pPr>
            <w:r>
              <w:rPr>
                <w:rFonts w:ascii="宋体" w:hAnsi="宋体" w:cs="宋体" w:eastAsia="宋体" w:hint="default"/>
                <w:sz w:val="16"/>
                <w:szCs w:val="16"/>
              </w:rPr>
              <w:t>联通</w:t>
            </w:r>
            <w:r>
              <w:rPr>
                <w:rFonts w:ascii="宋体" w:hAnsi="宋体" w:cs="宋体" w:eastAsia="宋体" w:hint="default"/>
                <w:spacing w:val="-43"/>
                <w:sz w:val="16"/>
                <w:szCs w:val="16"/>
              </w:rPr>
              <w:t> </w:t>
            </w:r>
            <w:r>
              <w:rPr>
                <w:rFonts w:ascii="Arial" w:hAnsi="Arial" w:cs="Arial" w:eastAsia="Arial" w:hint="default"/>
                <w:sz w:val="16"/>
                <w:szCs w:val="16"/>
              </w:rPr>
              <w:t>BVI</w:t>
            </w:r>
            <w:r>
              <w:rPr>
                <w:rFonts w:ascii="Arial" w:hAnsi="Arial" w:cs="Arial" w:eastAsia="Arial" w:hint="default"/>
                <w:spacing w:val="-4"/>
                <w:sz w:val="16"/>
                <w:szCs w:val="16"/>
              </w:rPr>
              <w:t> </w:t>
            </w:r>
            <w:r>
              <w:rPr>
                <w:rFonts w:ascii="宋体" w:hAnsi="宋体" w:cs="宋体" w:eastAsia="宋体" w:hint="default"/>
                <w:sz w:val="16"/>
                <w:szCs w:val="16"/>
              </w:rPr>
              <w:t>公司宣派股利</w:t>
            </w:r>
          </w:p>
        </w:tc>
        <w:tc>
          <w:tcPr>
            <w:tcW w:w="473" w:type="dxa"/>
            <w:tcBorders>
              <w:top w:val="nil" w:sz="6" w:space="0" w:color="auto"/>
              <w:left w:val="nil" w:sz="6" w:space="0" w:color="auto"/>
              <w:bottom w:val="nil" w:sz="6" w:space="0" w:color="auto"/>
              <w:right w:val="nil" w:sz="6" w:space="0" w:color="auto"/>
            </w:tcBorders>
          </w:tcPr>
          <w:p>
            <w:pP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4"/>
              <w:jc w:val="right"/>
              <w:rPr>
                <w:rFonts w:ascii="Arial" w:hAnsi="Arial" w:cs="Arial" w:eastAsia="Arial" w:hint="default"/>
                <w:sz w:val="16"/>
                <w:szCs w:val="16"/>
              </w:rPr>
            </w:pPr>
            <w:r>
              <w:rPr>
                <w:rFonts w:ascii="Arial"/>
                <w:w w:val="100"/>
                <w:sz w:val="16"/>
              </w:rPr>
              <w:t>-</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5"/>
              <w:jc w:val="right"/>
              <w:rPr>
                <w:rFonts w:ascii="Arial" w:hAnsi="Arial" w:cs="Arial" w:eastAsia="Arial" w:hint="default"/>
                <w:sz w:val="16"/>
                <w:szCs w:val="16"/>
              </w:rPr>
            </w:pPr>
            <w:r>
              <w:rPr>
                <w:rFonts w:ascii="Arial"/>
                <w:w w:val="100"/>
                <w:sz w:val="16"/>
              </w:rPr>
              <w:t>-</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6"/>
              <w:jc w:val="right"/>
              <w:rPr>
                <w:rFonts w:ascii="Arial" w:hAnsi="Arial" w:cs="Arial" w:eastAsia="Arial" w:hint="default"/>
                <w:sz w:val="16"/>
                <w:szCs w:val="16"/>
              </w:rPr>
            </w:pPr>
            <w:r>
              <w:rPr>
                <w:rFonts w:ascii="Arial"/>
                <w:spacing w:val="-1"/>
                <w:sz w:val="16"/>
              </w:rPr>
              <w:t>(12,565)</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Arial" w:hAnsi="Arial" w:cs="Arial" w:eastAsia="Arial" w:hint="default"/>
                <w:sz w:val="16"/>
                <w:szCs w:val="16"/>
              </w:rPr>
            </w:pPr>
            <w:r>
              <w:rPr>
                <w:rFonts w:ascii="Arial"/>
                <w:spacing w:val="-1"/>
                <w:sz w:val="16"/>
              </w:rPr>
              <w:t>(11,295)</w:t>
            </w:r>
          </w:p>
        </w:tc>
      </w:tr>
      <w:tr>
        <w:trPr>
          <w:trHeight w:val="307" w:hRule="exact"/>
        </w:trPr>
        <w:tc>
          <w:tcPr>
            <w:tcW w:w="4849" w:type="dxa"/>
            <w:tcBorders>
              <w:top w:val="nil" w:sz="6" w:space="0" w:color="auto"/>
              <w:left w:val="nil" w:sz="6" w:space="0" w:color="auto"/>
              <w:bottom w:val="nil" w:sz="6" w:space="0" w:color="auto"/>
              <w:right w:val="nil" w:sz="6" w:space="0" w:color="auto"/>
            </w:tcBorders>
          </w:tcPr>
          <w:p>
            <w:pPr>
              <w:pStyle w:val="TableParagraph"/>
              <w:spacing w:line="187" w:lineRule="exact"/>
              <w:ind w:left="350" w:right="0"/>
              <w:jc w:val="left"/>
              <w:rPr>
                <w:rFonts w:ascii="宋体" w:hAnsi="宋体" w:cs="宋体" w:eastAsia="宋体" w:hint="default"/>
                <w:sz w:val="16"/>
                <w:szCs w:val="16"/>
              </w:rPr>
            </w:pPr>
            <w:r>
              <w:rPr>
                <w:rFonts w:ascii="宋体" w:hAnsi="宋体" w:cs="宋体" w:eastAsia="宋体" w:hint="default"/>
                <w:sz w:val="16"/>
                <w:szCs w:val="16"/>
              </w:rPr>
              <w:t>联通</w:t>
            </w:r>
            <w:r>
              <w:rPr>
                <w:rFonts w:ascii="宋体" w:hAnsi="宋体" w:cs="宋体" w:eastAsia="宋体" w:hint="default"/>
                <w:spacing w:val="-43"/>
                <w:sz w:val="16"/>
                <w:szCs w:val="16"/>
              </w:rPr>
              <w:t> </w:t>
            </w:r>
            <w:r>
              <w:rPr>
                <w:rFonts w:ascii="Arial" w:hAnsi="Arial" w:cs="Arial" w:eastAsia="Arial" w:hint="default"/>
                <w:sz w:val="16"/>
                <w:szCs w:val="16"/>
              </w:rPr>
              <w:t>BVI</w:t>
            </w:r>
            <w:r>
              <w:rPr>
                <w:rFonts w:ascii="Arial" w:hAnsi="Arial" w:cs="Arial" w:eastAsia="Arial" w:hint="default"/>
                <w:spacing w:val="-4"/>
                <w:sz w:val="16"/>
                <w:szCs w:val="16"/>
              </w:rPr>
              <w:t> </w:t>
            </w:r>
            <w:r>
              <w:rPr>
                <w:rFonts w:ascii="宋体" w:hAnsi="宋体" w:cs="宋体" w:eastAsia="宋体" w:hint="default"/>
                <w:sz w:val="16"/>
                <w:szCs w:val="16"/>
              </w:rPr>
              <w:t>公司留存的联通红筹公司宣派的股利</w:t>
            </w:r>
          </w:p>
        </w:tc>
        <w:tc>
          <w:tcPr>
            <w:tcW w:w="1640" w:type="dxa"/>
            <w:gridSpan w:val="2"/>
            <w:tcBorders>
              <w:top w:val="nil" w:sz="6" w:space="0" w:color="auto"/>
              <w:left w:val="nil" w:sz="6" w:space="0" w:color="auto"/>
              <w:bottom w:val="nil" w:sz="6" w:space="0" w:color="auto"/>
              <w:right w:val="nil" w:sz="6" w:space="0" w:color="auto"/>
            </w:tcBorders>
          </w:tcPr>
          <w:p>
            <w:pPr>
              <w:pStyle w:val="TableParagraph"/>
              <w:tabs>
                <w:tab w:pos="1289" w:val="left" w:leader="none"/>
                <w:tab w:pos="2170" w:val="left" w:leader="none"/>
              </w:tabs>
              <w:spacing w:line="240" w:lineRule="auto" w:before="13"/>
              <w:ind w:left="472" w:right="-531"/>
              <w:jc w:val="lef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r>
            <w:r>
              <w:rPr>
                <w:rFonts w:ascii="Arial"/>
                <w:spacing w:val="12"/>
                <w:sz w:val="16"/>
                <w:u w:val="single" w:color="000000"/>
              </w:rPr>
              <w:t> </w:t>
            </w:r>
            <w:r>
              <w:rPr>
                <w:rFonts w:ascii="Arial"/>
                <w:spacing w:val="12"/>
                <w:sz w:val="16"/>
              </w:rPr>
            </w:r>
            <w:r>
              <w:rPr>
                <w:rFonts w:ascii="Arial"/>
                <w:sz w:val="16"/>
              </w:rPr>
              <w:t>  </w:t>
            </w:r>
            <w:r>
              <w:rPr>
                <w:rFonts w:ascii="Arial"/>
                <w:spacing w:val="-16"/>
                <w:sz w:val="16"/>
              </w:rPr>
              <w:t> </w:t>
            </w:r>
            <w:r>
              <w:rPr>
                <w:rFonts w:ascii="Arial"/>
                <w:spacing w:val="-16"/>
                <w:w w:val="100"/>
                <w:sz w:val="16"/>
              </w:rPr>
            </w:r>
            <w:r>
              <w:rPr>
                <w:rFonts w:ascii="Arial"/>
                <w:w w:val="100"/>
                <w:sz w:val="16"/>
                <w:u w:val="single" w:color="000000"/>
              </w:rPr>
              <w:t> </w:t>
            </w:r>
            <w:r>
              <w:rPr>
                <w:rFonts w:ascii="Arial"/>
                <w:sz w:val="16"/>
                <w:u w:val="single" w:color="000000"/>
              </w:rPr>
              <w:tab/>
            </w:r>
            <w:r>
              <w:rPr>
                <w:rFonts w:ascii="Arial"/>
                <w:sz w:val="16"/>
              </w:rPr>
            </w:r>
          </w:p>
        </w:tc>
        <w:tc>
          <w:tcPr>
            <w:tcW w:w="781" w:type="dxa"/>
            <w:tcBorders>
              <w:top w:val="nil" w:sz="6" w:space="0" w:color="auto"/>
              <w:left w:val="nil" w:sz="6" w:space="0" w:color="auto"/>
              <w:bottom w:val="nil" w:sz="6" w:space="0" w:color="auto"/>
              <w:right w:val="nil" w:sz="6" w:space="0" w:color="auto"/>
            </w:tcBorders>
          </w:tcPr>
          <w:p>
            <w:pPr>
              <w:pStyle w:val="TableParagraph"/>
              <w:tabs>
                <w:tab w:pos="741" w:val="left" w:leader="none"/>
              </w:tabs>
              <w:spacing w:line="240" w:lineRule="auto" w:before="13"/>
              <w:ind w:right="-492"/>
              <w:jc w:val="right"/>
              <w:rPr>
                <w:rFonts w:ascii="Arial" w:hAnsi="Arial" w:cs="Arial" w:eastAsia="Arial" w:hint="default"/>
                <w:sz w:val="16"/>
                <w:szCs w:val="16"/>
              </w:rPr>
            </w:pPr>
            <w:r>
              <w:rPr>
                <w:rFonts w:ascii="Arial"/>
                <w:w w:val="100"/>
                <w:sz w:val="16"/>
              </w:rPr>
            </w:r>
            <w:r>
              <w:rPr>
                <w:rFonts w:ascii="Arial"/>
                <w:sz w:val="16"/>
                <w:u w:val="single" w:color="000000"/>
              </w:rPr>
              <w:t>-</w:t>
            </w:r>
            <w:r>
              <w:rPr>
                <w:rFonts w:ascii="Arial"/>
                <w:spacing w:val="12"/>
                <w:sz w:val="16"/>
                <w:u w:val="single" w:color="000000"/>
              </w:rPr>
              <w:t> </w:t>
            </w:r>
            <w:r>
              <w:rPr>
                <w:rFonts w:ascii="Arial"/>
                <w:spacing w:val="12"/>
                <w:sz w:val="16"/>
              </w:rPr>
            </w:r>
            <w:r>
              <w:rPr>
                <w:rFonts w:ascii="Arial"/>
                <w:sz w:val="16"/>
              </w:rPr>
              <w:t> </w:t>
            </w:r>
            <w:r>
              <w:rPr>
                <w:rFonts w:ascii="Arial"/>
                <w:spacing w:val="-20"/>
                <w:sz w:val="16"/>
              </w:rPr>
              <w:t> </w:t>
            </w:r>
            <w:r>
              <w:rPr>
                <w:rFonts w:ascii="Arial"/>
                <w:spacing w:val="-20"/>
                <w:w w:val="100"/>
                <w:sz w:val="16"/>
              </w:rPr>
            </w:r>
            <w:r>
              <w:rPr>
                <w:rFonts w:ascii="Arial"/>
                <w:w w:val="100"/>
                <w:sz w:val="16"/>
                <w:u w:val="single" w:color="000000"/>
              </w:rPr>
              <w:t> </w:t>
            </w:r>
            <w:r>
              <w:rPr>
                <w:rFonts w:ascii="Arial"/>
                <w:sz w:val="16"/>
                <w:u w:val="single" w:color="000000"/>
              </w:rPr>
              <w:tab/>
            </w:r>
            <w:r>
              <w:rPr>
                <w:rFonts w:ascii="Arial"/>
                <w:sz w:val="16"/>
              </w:rPr>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9"/>
              <w:jc w:val="right"/>
              <w:rPr>
                <w:rFonts w:ascii="Arial" w:hAnsi="Arial" w:cs="Arial" w:eastAsia="Arial" w:hint="default"/>
                <w:sz w:val="16"/>
                <w:szCs w:val="16"/>
              </w:rPr>
            </w:pPr>
            <w:r>
              <w:rPr>
                <w:rFonts w:ascii="Arial"/>
                <w:w w:val="100"/>
                <w:sz w:val="16"/>
              </w:rPr>
            </w:r>
            <w:r>
              <w:rPr>
                <w:rFonts w:ascii="Arial"/>
                <w:spacing w:val="-1"/>
                <w:sz w:val="16"/>
                <w:u w:val="single" w:color="000000"/>
              </w:rPr>
              <w:t>(26)</w:t>
            </w:r>
            <w:r>
              <w:rPr>
                <w:rFonts w:ascii="Arial"/>
                <w:spacing w:val="-1"/>
                <w:sz w:val="16"/>
              </w:rPr>
            </w:r>
            <w:r>
              <w:rPr>
                <w:rFonts w:ascii="Arial"/>
                <w:sz w:val="16"/>
              </w:rPr>
            </w:r>
          </w:p>
        </w:tc>
        <w:tc>
          <w:tcPr>
            <w:tcW w:w="672" w:type="dxa"/>
            <w:tcBorders>
              <w:top w:val="nil" w:sz="6" w:space="0" w:color="auto"/>
              <w:left w:val="nil" w:sz="6" w:space="0" w:color="auto"/>
              <w:bottom w:val="nil" w:sz="6" w:space="0" w:color="auto"/>
              <w:right w:val="nil" w:sz="6" w:space="0" w:color="auto"/>
            </w:tcBorders>
          </w:tcPr>
          <w:p>
            <w:pPr>
              <w:pStyle w:val="TableParagraph"/>
              <w:tabs>
                <w:tab w:pos="350" w:val="left" w:leader="none"/>
              </w:tabs>
              <w:spacing w:line="240" w:lineRule="auto" w:before="13"/>
              <w:ind w:right="1"/>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r>
            <w:r>
              <w:rPr>
                <w:rFonts w:ascii="Arial"/>
                <w:spacing w:val="-1"/>
                <w:sz w:val="16"/>
                <w:u w:val="single" w:color="000000"/>
              </w:rPr>
              <w:t>(16)</w:t>
            </w:r>
            <w:r>
              <w:rPr>
                <w:rFonts w:ascii="Arial"/>
                <w:spacing w:val="-1"/>
                <w:sz w:val="16"/>
              </w:rPr>
            </w:r>
            <w:r>
              <w:rPr>
                <w:rFonts w:ascii="Arial"/>
                <w:sz w:val="16"/>
              </w:rPr>
            </w:r>
          </w:p>
        </w:tc>
      </w:tr>
      <w:tr>
        <w:trPr>
          <w:trHeight w:val="386" w:hRule="exact"/>
        </w:trPr>
        <w:tc>
          <w:tcPr>
            <w:tcW w:w="4849"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9" w:right="0"/>
              <w:jc w:val="left"/>
              <w:rPr>
                <w:rFonts w:ascii="宋体" w:hAnsi="宋体" w:cs="宋体" w:eastAsia="宋体" w:hint="default"/>
                <w:sz w:val="16"/>
                <w:szCs w:val="16"/>
              </w:rPr>
            </w:pPr>
            <w:r>
              <w:rPr>
                <w:rFonts w:ascii="宋体" w:hAnsi="宋体" w:cs="宋体" w:eastAsia="宋体" w:hint="default"/>
                <w:sz w:val="16"/>
                <w:szCs w:val="16"/>
              </w:rPr>
              <w:t>联通红筹公司中国会计准则下的净利润</w:t>
            </w:r>
            <w:r>
              <w:rPr>
                <w:rFonts w:ascii="Arial" w:hAnsi="Arial" w:cs="Arial" w:eastAsia="Arial" w:hint="default"/>
                <w:sz w:val="16"/>
                <w:szCs w:val="16"/>
              </w:rPr>
              <w:t>/</w:t>
            </w:r>
            <w:r>
              <w:rPr>
                <w:rFonts w:ascii="宋体" w:hAnsi="宋体" w:cs="宋体" w:eastAsia="宋体" w:hint="default"/>
                <w:sz w:val="16"/>
                <w:szCs w:val="16"/>
              </w:rPr>
              <w:t>净资产</w:t>
            </w:r>
          </w:p>
        </w:tc>
        <w:tc>
          <w:tcPr>
            <w:tcW w:w="1640" w:type="dxa"/>
            <w:gridSpan w:val="2"/>
            <w:tcBorders>
              <w:top w:val="nil" w:sz="6" w:space="0" w:color="auto"/>
              <w:left w:val="nil" w:sz="6" w:space="0" w:color="auto"/>
              <w:bottom w:val="nil" w:sz="6" w:space="0" w:color="auto"/>
              <w:right w:val="nil" w:sz="6" w:space="0" w:color="auto"/>
            </w:tcBorders>
          </w:tcPr>
          <w:p>
            <w:pPr>
              <w:pStyle w:val="TableParagraph"/>
              <w:tabs>
                <w:tab w:pos="852" w:val="left" w:leader="none"/>
                <w:tab w:pos="1733" w:val="left" w:leader="none"/>
              </w:tabs>
              <w:spacing w:line="240" w:lineRule="auto" w:before="111"/>
              <w:ind w:left="472" w:right="-94"/>
              <w:jc w:val="lef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11,980</w:t>
            </w:r>
            <w:r>
              <w:rPr>
                <w:rFonts w:ascii="Arial"/>
                <w:spacing w:val="12"/>
                <w:sz w:val="16"/>
                <w:u w:val="single" w:color="000000"/>
              </w:rPr>
              <w:t> </w:t>
            </w:r>
            <w:r>
              <w:rPr>
                <w:rFonts w:ascii="Arial"/>
                <w:spacing w:val="12"/>
                <w:sz w:val="16"/>
              </w:rPr>
            </w:r>
            <w:r>
              <w:rPr>
                <w:rFonts w:ascii="Arial"/>
                <w:sz w:val="16"/>
              </w:rPr>
              <w:t>  </w:t>
            </w:r>
            <w:r>
              <w:rPr>
                <w:rFonts w:ascii="Arial"/>
                <w:spacing w:val="-16"/>
                <w:sz w:val="16"/>
              </w:rPr>
              <w:t> </w:t>
            </w:r>
            <w:r>
              <w:rPr>
                <w:rFonts w:ascii="Arial"/>
                <w:spacing w:val="-16"/>
                <w:w w:val="100"/>
                <w:sz w:val="16"/>
              </w:rPr>
            </w:r>
            <w:r>
              <w:rPr>
                <w:rFonts w:ascii="Arial"/>
                <w:w w:val="100"/>
                <w:sz w:val="16"/>
                <w:u w:val="single" w:color="000000"/>
              </w:rPr>
              <w:t> </w:t>
            </w:r>
            <w:r>
              <w:rPr>
                <w:rFonts w:ascii="Arial"/>
                <w:sz w:val="16"/>
                <w:u w:val="single" w:color="000000"/>
              </w:rPr>
              <w:tab/>
            </w:r>
            <w:r>
              <w:rPr>
                <w:rFonts w:ascii="Arial"/>
                <w:sz w:val="16"/>
              </w:rPr>
            </w:r>
          </w:p>
        </w:tc>
        <w:tc>
          <w:tcPr>
            <w:tcW w:w="781"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111"/>
              <w:ind w:left="93" w:right="-144"/>
              <w:jc w:val="left"/>
              <w:rPr>
                <w:rFonts w:ascii="Arial" w:hAnsi="Arial" w:cs="Arial" w:eastAsia="Arial" w:hint="default"/>
                <w:sz w:val="16"/>
                <w:szCs w:val="16"/>
              </w:rPr>
            </w:pPr>
            <w:r>
              <w:rPr>
                <w:rFonts w:ascii="Arial"/>
                <w:w w:val="100"/>
                <w:sz w:val="16"/>
              </w:rPr>
            </w:r>
            <w:r>
              <w:rPr>
                <w:rFonts w:ascii="Arial"/>
                <w:sz w:val="16"/>
                <w:u w:val="single" w:color="000000"/>
              </w:rPr>
              <w:t>10,314</w:t>
            </w:r>
            <w:r>
              <w:rPr>
                <w:rFonts w:ascii="Arial"/>
                <w:spacing w:val="12"/>
                <w:sz w:val="16"/>
                <w:u w:val="single" w:color="000000"/>
              </w:rPr>
              <w:t> </w:t>
            </w:r>
            <w:r>
              <w:rPr>
                <w:rFonts w:ascii="Arial"/>
                <w:spacing w:val="12"/>
                <w:sz w:val="16"/>
              </w:rPr>
            </w:r>
            <w:r>
              <w:rPr>
                <w:rFonts w:ascii="Arial"/>
                <w:sz w:val="16"/>
              </w:rPr>
              <w:t> </w:t>
            </w:r>
            <w:r>
              <w:rPr>
                <w:rFonts w:ascii="Arial"/>
                <w:spacing w:val="-20"/>
                <w:sz w:val="16"/>
              </w:rPr>
              <w:t> </w:t>
            </w:r>
            <w:r>
              <w:rPr>
                <w:rFonts w:ascii="Arial"/>
                <w:spacing w:val="-20"/>
                <w:w w:val="100"/>
                <w:sz w:val="16"/>
              </w:rPr>
            </w:r>
            <w:r>
              <w:rPr>
                <w:rFonts w:ascii="Arial"/>
                <w:w w:val="100"/>
                <w:sz w:val="16"/>
                <w:u w:val="single" w:color="000000"/>
              </w:rPr>
              <w:t> </w:t>
            </w:r>
            <w:r>
              <w:rPr>
                <w:rFonts w:ascii="Arial"/>
                <w:sz w:val="16"/>
                <w:u w:val="single" w:color="000000"/>
              </w:rPr>
              <w:tab/>
            </w:r>
            <w:r>
              <w:rPr>
                <w:rFonts w:ascii="Arial"/>
                <w:sz w:val="16"/>
              </w:rPr>
            </w:r>
          </w:p>
        </w:tc>
        <w:tc>
          <w:tcPr>
            <w:tcW w:w="815" w:type="dxa"/>
            <w:tcBorders>
              <w:top w:val="nil" w:sz="6" w:space="0" w:color="auto"/>
              <w:left w:val="nil" w:sz="6" w:space="0" w:color="auto"/>
              <w:bottom w:val="nil" w:sz="6" w:space="0" w:color="auto"/>
              <w:right w:val="nil" w:sz="6" w:space="0" w:color="auto"/>
            </w:tcBorders>
          </w:tcPr>
          <w:p>
            <w:pPr>
              <w:pStyle w:val="TableParagraph"/>
              <w:tabs>
                <w:tab w:pos="636" w:val="left" w:leader="none"/>
              </w:tabs>
              <w:spacing w:line="240" w:lineRule="auto" w:before="111"/>
              <w:ind w:right="33"/>
              <w:jc w:val="right"/>
              <w:rPr>
                <w:rFonts w:ascii="Arial" w:hAnsi="Arial" w:cs="Arial" w:eastAsia="Arial" w:hint="default"/>
                <w:sz w:val="16"/>
                <w:szCs w:val="16"/>
              </w:rPr>
            </w:pPr>
            <w:r>
              <w:rPr>
                <w:rFonts w:ascii="Arial"/>
                <w:w w:val="100"/>
                <w:sz w:val="16"/>
              </w:rPr>
            </w:r>
            <w:r>
              <w:rPr>
                <w:rFonts w:ascii="Arial"/>
                <w:spacing w:val="-1"/>
                <w:sz w:val="16"/>
                <w:u w:val="single" w:color="000000"/>
              </w:rPr>
              <w:t>229,511</w:t>
              <w:tab/>
            </w:r>
            <w:r>
              <w:rPr>
                <w:rFonts w:ascii="Arial"/>
                <w:spacing w:val="-1"/>
                <w:sz w:val="16"/>
              </w:rPr>
            </w:r>
          </w:p>
        </w:tc>
        <w:tc>
          <w:tcPr>
            <w:tcW w:w="672"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0" w:lineRule="auto" w:before="111"/>
              <w:ind w:right="0"/>
              <w:jc w:val="right"/>
              <w:rPr>
                <w:rFonts w:ascii="Arial" w:hAnsi="Arial" w:cs="Arial" w:eastAsia="Arial" w:hint="default"/>
                <w:sz w:val="16"/>
                <w:szCs w:val="16"/>
              </w:rPr>
            </w:pPr>
            <w:r>
              <w:rPr>
                <w:rFonts w:ascii="Arial"/>
                <w:w w:val="100"/>
                <w:sz w:val="16"/>
              </w:rPr>
            </w:r>
            <w:r>
              <w:rPr>
                <w:rFonts w:ascii="Arial"/>
                <w:spacing w:val="-1"/>
                <w:sz w:val="16"/>
                <w:u w:val="single" w:color="000000"/>
              </w:rPr>
              <w:t>220,944</w:t>
              <w:tab/>
            </w:r>
            <w:r>
              <w:rPr>
                <w:rFonts w:ascii="Arial"/>
                <w:spacing w:val="-1"/>
                <w:sz w:val="16"/>
              </w:rPr>
            </w:r>
          </w:p>
        </w:tc>
      </w:tr>
      <w:tr>
        <w:trPr>
          <w:trHeight w:val="283" w:hRule="exact"/>
        </w:trPr>
        <w:tc>
          <w:tcPr>
            <w:tcW w:w="484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9" w:right="0"/>
              <w:jc w:val="left"/>
              <w:rPr>
                <w:rFonts w:ascii="宋体" w:hAnsi="宋体" w:cs="宋体" w:eastAsia="宋体" w:hint="default"/>
                <w:sz w:val="16"/>
                <w:szCs w:val="16"/>
              </w:rPr>
            </w:pPr>
            <w:r>
              <w:rPr>
                <w:rFonts w:ascii="宋体" w:hAnsi="宋体" w:cs="宋体" w:eastAsia="宋体" w:hint="default"/>
                <w:sz w:val="16"/>
                <w:szCs w:val="16"/>
              </w:rPr>
              <w:t>国际</w:t>
            </w:r>
            <w:r>
              <w:rPr>
                <w:rFonts w:ascii="Arial" w:hAnsi="Arial" w:cs="Arial" w:eastAsia="Arial" w:hint="default"/>
                <w:sz w:val="16"/>
                <w:szCs w:val="16"/>
              </w:rPr>
              <w:t>/</w:t>
            </w:r>
            <w:r>
              <w:rPr>
                <w:rFonts w:ascii="宋体" w:hAnsi="宋体" w:cs="宋体" w:eastAsia="宋体" w:hint="default"/>
                <w:sz w:val="16"/>
                <w:szCs w:val="16"/>
              </w:rPr>
              <w:t>香港财务报告准则调整增加（减少）：</w:t>
            </w:r>
          </w:p>
        </w:tc>
        <w:tc>
          <w:tcPr>
            <w:tcW w:w="473" w:type="dxa"/>
            <w:tcBorders>
              <w:top w:val="nil" w:sz="6" w:space="0" w:color="auto"/>
              <w:left w:val="nil" w:sz="6" w:space="0" w:color="auto"/>
              <w:bottom w:val="nil" w:sz="6" w:space="0" w:color="auto"/>
              <w:right w:val="nil" w:sz="6" w:space="0" w:color="auto"/>
            </w:tcBorders>
          </w:tcPr>
          <w:p>
            <w:pPr/>
          </w:p>
        </w:tc>
        <w:tc>
          <w:tcPr>
            <w:tcW w:w="1167"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815"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r>
      <w:tr>
        <w:trPr>
          <w:trHeight w:val="420" w:hRule="exact"/>
        </w:trPr>
        <w:tc>
          <w:tcPr>
            <w:tcW w:w="4849" w:type="dxa"/>
            <w:tcBorders>
              <w:top w:val="nil" w:sz="6" w:space="0" w:color="auto"/>
              <w:left w:val="nil" w:sz="6" w:space="0" w:color="auto"/>
              <w:bottom w:val="nil" w:sz="6" w:space="0" w:color="auto"/>
              <w:right w:val="nil" w:sz="6" w:space="0" w:color="auto"/>
            </w:tcBorders>
          </w:tcPr>
          <w:p>
            <w:pPr>
              <w:pStyle w:val="TableParagraph"/>
              <w:spacing w:line="185" w:lineRule="exact"/>
              <w:ind w:left="163" w:right="0"/>
              <w:jc w:val="left"/>
              <w:rPr>
                <w:rFonts w:ascii="宋体" w:hAnsi="宋体" w:cs="宋体" w:eastAsia="宋体" w:hint="default"/>
                <w:sz w:val="16"/>
                <w:szCs w:val="16"/>
              </w:rPr>
            </w:pPr>
            <w:r>
              <w:rPr>
                <w:rFonts w:ascii="Arial" w:hAnsi="Arial" w:cs="Arial" w:eastAsia="Arial" w:hint="default"/>
                <w:sz w:val="16"/>
                <w:szCs w:val="16"/>
              </w:rPr>
              <w:t>—</w:t>
            </w:r>
            <w:r>
              <w:rPr>
                <w:rFonts w:ascii="宋体" w:hAnsi="宋体" w:cs="宋体" w:eastAsia="宋体" w:hint="default"/>
                <w:sz w:val="16"/>
                <w:szCs w:val="16"/>
              </w:rPr>
              <w:t>调整以前年度国际</w:t>
            </w:r>
            <w:r>
              <w:rPr>
                <w:rFonts w:ascii="Arial" w:hAnsi="Arial" w:cs="Arial" w:eastAsia="Arial" w:hint="default"/>
                <w:sz w:val="16"/>
                <w:szCs w:val="16"/>
              </w:rPr>
              <w:t>/</w:t>
            </w:r>
            <w:r>
              <w:rPr>
                <w:rFonts w:ascii="宋体" w:hAnsi="宋体" w:cs="宋体" w:eastAsia="宋体" w:hint="default"/>
                <w:sz w:val="16"/>
                <w:szCs w:val="16"/>
              </w:rPr>
              <w:t>香港财务报告准则下额外资本化利息对折旧</w:t>
            </w:r>
          </w:p>
          <w:p>
            <w:pPr>
              <w:pStyle w:val="TableParagraph"/>
              <w:spacing w:line="202" w:lineRule="exact"/>
              <w:ind w:left="494" w:right="0"/>
              <w:jc w:val="left"/>
              <w:rPr>
                <w:rFonts w:ascii="宋体" w:hAnsi="宋体" w:cs="宋体" w:eastAsia="宋体" w:hint="default"/>
                <w:sz w:val="16"/>
                <w:szCs w:val="16"/>
              </w:rPr>
            </w:pPr>
            <w:r>
              <w:rPr>
                <w:rFonts w:ascii="宋体" w:hAnsi="宋体" w:cs="宋体" w:eastAsia="宋体" w:hint="default"/>
                <w:sz w:val="16"/>
                <w:szCs w:val="16"/>
              </w:rPr>
              <w:t>的税后影响</w:t>
            </w:r>
          </w:p>
        </w:tc>
        <w:tc>
          <w:tcPr>
            <w:tcW w:w="4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center"/>
              <w:rPr>
                <w:rFonts w:ascii="Arial" w:hAnsi="Arial" w:cs="Arial" w:eastAsia="Arial" w:hint="default"/>
                <w:sz w:val="16"/>
                <w:szCs w:val="16"/>
              </w:rPr>
            </w:pPr>
            <w:r>
              <w:rPr>
                <w:rFonts w:ascii="Arial"/>
                <w:sz w:val="16"/>
              </w:rPr>
              <w:t>(1)</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38" w:right="0"/>
              <w:jc w:val="left"/>
              <w:rPr>
                <w:rFonts w:ascii="Arial" w:hAnsi="Arial" w:cs="Arial" w:eastAsia="Arial" w:hint="default"/>
                <w:sz w:val="16"/>
                <w:szCs w:val="16"/>
              </w:rPr>
            </w:pPr>
            <w:r>
              <w:rPr>
                <w:rFonts w:ascii="Arial"/>
                <w:sz w:val="16"/>
              </w:rPr>
              <w:t>(66)</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66" w:right="0"/>
              <w:jc w:val="left"/>
              <w:rPr>
                <w:rFonts w:ascii="Arial" w:hAnsi="Arial" w:cs="Arial" w:eastAsia="Arial" w:hint="default"/>
                <w:sz w:val="16"/>
                <w:szCs w:val="16"/>
              </w:rPr>
            </w:pPr>
            <w:r>
              <w:rPr>
                <w:rFonts w:ascii="Arial"/>
                <w:sz w:val="16"/>
              </w:rPr>
              <w:t>(174)</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1"/>
              <w:jc w:val="right"/>
              <w:rPr>
                <w:rFonts w:ascii="Arial" w:hAnsi="Arial" w:cs="Arial" w:eastAsia="Arial" w:hint="default"/>
                <w:sz w:val="16"/>
                <w:szCs w:val="16"/>
              </w:rPr>
            </w:pPr>
            <w:r>
              <w:rPr>
                <w:rFonts w:ascii="Arial"/>
                <w:spacing w:val="-1"/>
                <w:sz w:val="16"/>
              </w:rPr>
              <w:t>38</w:t>
            </w:r>
            <w:r>
              <w:rPr>
                <w:rFonts w:ascii="Arial"/>
                <w:sz w:val="16"/>
              </w:rPr>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53"/>
              <w:jc w:val="right"/>
              <w:rPr>
                <w:rFonts w:ascii="Arial" w:hAnsi="Arial" w:cs="Arial" w:eastAsia="Arial" w:hint="default"/>
                <w:sz w:val="16"/>
                <w:szCs w:val="16"/>
              </w:rPr>
            </w:pPr>
            <w:r>
              <w:rPr>
                <w:rFonts w:ascii="Arial"/>
                <w:spacing w:val="-1"/>
                <w:sz w:val="16"/>
              </w:rPr>
              <w:t>104</w:t>
            </w:r>
            <w:r>
              <w:rPr>
                <w:rFonts w:ascii="Arial"/>
                <w:sz w:val="16"/>
              </w:rPr>
            </w:r>
          </w:p>
        </w:tc>
      </w:tr>
      <w:tr>
        <w:trPr>
          <w:trHeight w:val="415" w:hRule="exact"/>
        </w:trPr>
        <w:tc>
          <w:tcPr>
            <w:tcW w:w="4849" w:type="dxa"/>
            <w:tcBorders>
              <w:top w:val="nil" w:sz="6" w:space="0" w:color="auto"/>
              <w:left w:val="nil" w:sz="6" w:space="0" w:color="auto"/>
              <w:bottom w:val="nil" w:sz="6" w:space="0" w:color="auto"/>
              <w:right w:val="nil" w:sz="6" w:space="0" w:color="auto"/>
            </w:tcBorders>
          </w:tcPr>
          <w:p>
            <w:pPr>
              <w:pStyle w:val="TableParagraph"/>
              <w:spacing w:line="180" w:lineRule="exact"/>
              <w:ind w:left="163" w:right="0"/>
              <w:jc w:val="left"/>
              <w:rPr>
                <w:rFonts w:ascii="宋体" w:hAnsi="宋体" w:cs="宋体" w:eastAsia="宋体" w:hint="default"/>
                <w:sz w:val="16"/>
                <w:szCs w:val="16"/>
              </w:rPr>
            </w:pPr>
            <w:r>
              <w:rPr>
                <w:rFonts w:ascii="Arial" w:hAnsi="Arial" w:cs="Arial" w:eastAsia="Arial" w:hint="default"/>
                <w:sz w:val="16"/>
                <w:szCs w:val="16"/>
              </w:rPr>
              <w:t>—</w:t>
            </w:r>
            <w:r>
              <w:rPr>
                <w:rFonts w:ascii="宋体" w:hAnsi="宋体" w:cs="宋体" w:eastAsia="宋体" w:hint="default"/>
                <w:sz w:val="16"/>
                <w:szCs w:val="16"/>
              </w:rPr>
              <w:t>调整以前年度原中国会计准则下因土地的评估对折旧及摊销的</w:t>
            </w:r>
          </w:p>
          <w:p>
            <w:pPr>
              <w:pStyle w:val="TableParagraph"/>
              <w:spacing w:line="202" w:lineRule="exact"/>
              <w:ind w:left="513" w:right="0"/>
              <w:jc w:val="left"/>
              <w:rPr>
                <w:rFonts w:ascii="宋体" w:hAnsi="宋体" w:cs="宋体" w:eastAsia="宋体" w:hint="default"/>
                <w:sz w:val="16"/>
                <w:szCs w:val="16"/>
              </w:rPr>
            </w:pPr>
            <w:r>
              <w:rPr>
                <w:rFonts w:ascii="宋体" w:hAnsi="宋体" w:cs="宋体" w:eastAsia="宋体" w:hint="default"/>
                <w:sz w:val="16"/>
                <w:szCs w:val="16"/>
              </w:rPr>
              <w:t>税后影响</w:t>
            </w:r>
          </w:p>
        </w:tc>
        <w:tc>
          <w:tcPr>
            <w:tcW w:w="4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2"/>
              <w:jc w:val="center"/>
              <w:rPr>
                <w:rFonts w:ascii="Arial" w:hAnsi="Arial" w:cs="Arial" w:eastAsia="Arial" w:hint="default"/>
                <w:sz w:val="16"/>
                <w:szCs w:val="16"/>
              </w:rPr>
            </w:pPr>
            <w:r>
              <w:rPr>
                <w:rFonts w:ascii="Arial"/>
                <w:sz w:val="16"/>
              </w:rPr>
              <w:t>(2)</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02" w:right="0"/>
              <w:jc w:val="left"/>
              <w:rPr>
                <w:rFonts w:ascii="Arial" w:hAnsi="Arial" w:cs="Arial" w:eastAsia="Arial" w:hint="default"/>
                <w:sz w:val="16"/>
                <w:szCs w:val="16"/>
              </w:rPr>
            </w:pPr>
            <w:r>
              <w:rPr>
                <w:rFonts w:ascii="Arial"/>
                <w:sz w:val="16"/>
              </w:rPr>
              <w:t>141</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16" w:right="0"/>
              <w:jc w:val="left"/>
              <w:rPr>
                <w:rFonts w:ascii="Arial" w:hAnsi="Arial" w:cs="Arial" w:eastAsia="Arial" w:hint="default"/>
                <w:sz w:val="16"/>
                <w:szCs w:val="16"/>
              </w:rPr>
            </w:pPr>
            <w:r>
              <w:rPr>
                <w:rFonts w:ascii="Arial"/>
                <w:sz w:val="16"/>
              </w:rPr>
              <w:t>268</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36"/>
              <w:jc w:val="right"/>
              <w:rPr>
                <w:rFonts w:ascii="Arial" w:hAnsi="Arial" w:cs="Arial" w:eastAsia="Arial" w:hint="default"/>
                <w:sz w:val="16"/>
                <w:szCs w:val="16"/>
              </w:rPr>
            </w:pPr>
            <w:r>
              <w:rPr>
                <w:rFonts w:ascii="Arial"/>
                <w:spacing w:val="-1"/>
                <w:sz w:val="16"/>
              </w:rPr>
              <w:t>(4,831)</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right"/>
              <w:rPr>
                <w:rFonts w:ascii="Arial" w:hAnsi="Arial" w:cs="Arial" w:eastAsia="Arial" w:hint="default"/>
                <w:sz w:val="16"/>
                <w:szCs w:val="16"/>
              </w:rPr>
            </w:pPr>
            <w:r>
              <w:rPr>
                <w:rFonts w:ascii="Arial"/>
                <w:spacing w:val="-1"/>
                <w:sz w:val="16"/>
              </w:rPr>
              <w:t>(4,972)</w:t>
            </w:r>
          </w:p>
        </w:tc>
      </w:tr>
      <w:tr>
        <w:trPr>
          <w:trHeight w:val="654" w:hRule="exact"/>
        </w:trPr>
        <w:tc>
          <w:tcPr>
            <w:tcW w:w="4849" w:type="dxa"/>
            <w:tcBorders>
              <w:top w:val="nil" w:sz="6" w:space="0" w:color="auto"/>
              <w:left w:val="nil" w:sz="6" w:space="0" w:color="auto"/>
              <w:bottom w:val="nil" w:sz="6" w:space="0" w:color="auto"/>
              <w:right w:val="nil" w:sz="6" w:space="0" w:color="auto"/>
            </w:tcBorders>
          </w:tcPr>
          <w:p>
            <w:pPr>
              <w:pStyle w:val="TableParagraph"/>
              <w:spacing w:line="180" w:lineRule="exact"/>
              <w:ind w:left="163" w:right="0"/>
              <w:jc w:val="left"/>
              <w:rPr>
                <w:rFonts w:ascii="宋体" w:hAnsi="宋体" w:cs="宋体" w:eastAsia="宋体" w:hint="default"/>
                <w:sz w:val="16"/>
                <w:szCs w:val="16"/>
              </w:rPr>
            </w:pPr>
            <w:r>
              <w:rPr>
                <w:rFonts w:ascii="Arial" w:hAnsi="Arial" w:cs="Arial" w:eastAsia="Arial" w:hint="default"/>
                <w:sz w:val="16"/>
                <w:szCs w:val="16"/>
              </w:rPr>
              <w:t>—</w:t>
            </w:r>
            <w:r>
              <w:rPr>
                <w:rFonts w:ascii="宋体" w:hAnsi="宋体" w:cs="宋体" w:eastAsia="宋体" w:hint="default"/>
                <w:sz w:val="16"/>
                <w:szCs w:val="16"/>
              </w:rPr>
              <w:t>因以前年度收购联通新世纪</w:t>
            </w:r>
            <w:r>
              <w:rPr>
                <w:rFonts w:ascii="宋体" w:hAnsi="宋体" w:cs="宋体" w:eastAsia="宋体" w:hint="default"/>
                <w:spacing w:val="-54"/>
                <w:sz w:val="16"/>
                <w:szCs w:val="16"/>
              </w:rPr>
              <w:t> </w:t>
            </w:r>
            <w:r>
              <w:rPr>
                <w:rFonts w:ascii="Arial" w:hAnsi="Arial" w:cs="Arial" w:eastAsia="Arial" w:hint="default"/>
                <w:sz w:val="16"/>
                <w:szCs w:val="16"/>
              </w:rPr>
              <w:t>BVI</w:t>
            </w:r>
            <w:r>
              <w:rPr>
                <w:rFonts w:ascii="Arial" w:hAnsi="Arial" w:cs="Arial" w:eastAsia="Arial" w:hint="default"/>
                <w:spacing w:val="-21"/>
                <w:sz w:val="16"/>
                <w:szCs w:val="16"/>
              </w:rPr>
              <w:t> </w:t>
            </w:r>
            <w:r>
              <w:rPr>
                <w:rFonts w:ascii="宋体" w:hAnsi="宋体" w:cs="宋体" w:eastAsia="宋体" w:hint="default"/>
                <w:sz w:val="16"/>
                <w:szCs w:val="16"/>
              </w:rPr>
              <w:t>和联通新世界</w:t>
            </w:r>
            <w:r>
              <w:rPr>
                <w:rFonts w:ascii="宋体" w:hAnsi="宋体" w:cs="宋体" w:eastAsia="宋体" w:hint="default"/>
                <w:spacing w:val="-57"/>
                <w:sz w:val="16"/>
                <w:szCs w:val="16"/>
              </w:rPr>
              <w:t> </w:t>
            </w:r>
            <w:r>
              <w:rPr>
                <w:rFonts w:ascii="Arial" w:hAnsi="Arial" w:cs="Arial" w:eastAsia="Arial" w:hint="default"/>
                <w:sz w:val="16"/>
                <w:szCs w:val="16"/>
              </w:rPr>
              <w:t>BVI</w:t>
            </w:r>
            <w:r>
              <w:rPr>
                <w:rFonts w:ascii="Arial" w:hAnsi="Arial" w:cs="Arial" w:eastAsia="Arial" w:hint="default"/>
                <w:spacing w:val="-21"/>
                <w:sz w:val="16"/>
                <w:szCs w:val="16"/>
              </w:rPr>
              <w:t> </w:t>
            </w:r>
            <w:r>
              <w:rPr>
                <w:rFonts w:ascii="宋体" w:hAnsi="宋体" w:cs="宋体" w:eastAsia="宋体" w:hint="default"/>
                <w:sz w:val="16"/>
                <w:szCs w:val="16"/>
              </w:rPr>
              <w:t>产生的股权投</w:t>
            </w:r>
          </w:p>
          <w:p>
            <w:pPr>
              <w:pStyle w:val="TableParagraph"/>
              <w:spacing w:line="208" w:lineRule="exact" w:before="13"/>
              <w:ind w:left="513" w:right="125"/>
              <w:jc w:val="left"/>
              <w:rPr>
                <w:rFonts w:ascii="宋体" w:hAnsi="宋体" w:cs="宋体" w:eastAsia="宋体" w:hint="default"/>
                <w:sz w:val="16"/>
                <w:szCs w:val="16"/>
              </w:rPr>
            </w:pPr>
            <w:r>
              <w:rPr>
                <w:rFonts w:ascii="宋体" w:hAnsi="宋体" w:cs="宋体" w:eastAsia="宋体" w:hint="default"/>
                <w:spacing w:val="-1"/>
                <w:sz w:val="16"/>
                <w:szCs w:val="16"/>
              </w:rPr>
              <w:t>资差额、商誉及收购费用在中国会计准则与国际</w:t>
            </w:r>
            <w:r>
              <w:rPr>
                <w:rFonts w:ascii="Arial" w:hAnsi="Arial" w:cs="Arial" w:eastAsia="Arial" w:hint="default"/>
                <w:spacing w:val="-1"/>
                <w:sz w:val="16"/>
                <w:szCs w:val="16"/>
              </w:rPr>
              <w:t>/</w:t>
            </w:r>
            <w:r>
              <w:rPr>
                <w:rFonts w:ascii="宋体" w:hAnsi="宋体" w:cs="宋体" w:eastAsia="宋体" w:hint="default"/>
                <w:spacing w:val="-1"/>
                <w:sz w:val="16"/>
                <w:szCs w:val="16"/>
              </w:rPr>
              <w:t>香港财务报</w:t>
            </w:r>
            <w:r>
              <w:rPr>
                <w:rFonts w:ascii="宋体" w:hAnsi="宋体" w:cs="宋体" w:eastAsia="宋体" w:hint="default"/>
                <w:spacing w:val="-55"/>
                <w:sz w:val="16"/>
                <w:szCs w:val="16"/>
              </w:rPr>
              <w:t> </w:t>
            </w:r>
            <w:r>
              <w:rPr>
                <w:rFonts w:ascii="宋体" w:hAnsi="宋体" w:cs="宋体" w:eastAsia="宋体" w:hint="default"/>
                <w:spacing w:val="-55"/>
                <w:sz w:val="16"/>
                <w:szCs w:val="16"/>
              </w:rPr>
            </w:r>
            <w:r>
              <w:rPr>
                <w:rFonts w:ascii="宋体" w:hAnsi="宋体" w:cs="宋体" w:eastAsia="宋体" w:hint="default"/>
                <w:sz w:val="16"/>
                <w:szCs w:val="16"/>
              </w:rPr>
              <w:t>告准则下存在差异</w:t>
            </w:r>
          </w:p>
        </w:tc>
        <w:tc>
          <w:tcPr>
            <w:tcW w:w="4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center"/>
              <w:rPr>
                <w:rFonts w:ascii="Arial" w:hAnsi="Arial" w:cs="Arial" w:eastAsia="Arial" w:hint="default"/>
                <w:sz w:val="16"/>
                <w:szCs w:val="16"/>
              </w:rPr>
            </w:pPr>
            <w:r>
              <w:rPr>
                <w:rFonts w:ascii="Arial"/>
                <w:sz w:val="16"/>
              </w:rPr>
              <w:t>(3)</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94"/>
              <w:jc w:val="right"/>
              <w:rPr>
                <w:rFonts w:ascii="Arial" w:hAnsi="Arial" w:cs="Arial" w:eastAsia="Arial" w:hint="default"/>
                <w:sz w:val="16"/>
                <w:szCs w:val="16"/>
              </w:rPr>
            </w:pPr>
            <w:r>
              <w:rPr>
                <w:rFonts w:ascii="Arial"/>
                <w:w w:val="100"/>
                <w:sz w:val="16"/>
              </w:rPr>
              <w:t>-</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95"/>
              <w:jc w:val="right"/>
              <w:rPr>
                <w:rFonts w:ascii="Arial" w:hAnsi="Arial" w:cs="Arial" w:eastAsia="Arial" w:hint="default"/>
                <w:sz w:val="16"/>
                <w:szCs w:val="16"/>
              </w:rPr>
            </w:pPr>
            <w:r>
              <w:rPr>
                <w:rFonts w:ascii="Arial"/>
                <w:w w:val="100"/>
                <w:sz w:val="16"/>
              </w:rPr>
              <w:t>-</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1"/>
              <w:jc w:val="right"/>
              <w:rPr>
                <w:rFonts w:ascii="Arial" w:hAnsi="Arial" w:cs="Arial" w:eastAsia="Arial" w:hint="default"/>
                <w:sz w:val="16"/>
                <w:szCs w:val="16"/>
              </w:rPr>
            </w:pPr>
            <w:r>
              <w:rPr>
                <w:rFonts w:ascii="Arial"/>
                <w:spacing w:val="-1"/>
                <w:sz w:val="16"/>
              </w:rPr>
              <w:t>2,598</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15" w:right="0"/>
              <w:jc w:val="left"/>
              <w:rPr>
                <w:rFonts w:ascii="Arial" w:hAnsi="Arial" w:cs="Arial" w:eastAsia="Arial" w:hint="default"/>
                <w:sz w:val="16"/>
                <w:szCs w:val="16"/>
              </w:rPr>
            </w:pPr>
            <w:r>
              <w:rPr>
                <w:rFonts w:ascii="Arial"/>
                <w:sz w:val="16"/>
              </w:rPr>
              <w:t>2,598</w:t>
            </w:r>
          </w:p>
        </w:tc>
      </w:tr>
      <w:tr>
        <w:trPr>
          <w:trHeight w:val="341" w:hRule="exact"/>
        </w:trPr>
        <w:tc>
          <w:tcPr>
            <w:tcW w:w="4849" w:type="dxa"/>
            <w:tcBorders>
              <w:top w:val="nil" w:sz="6" w:space="0" w:color="auto"/>
              <w:left w:val="nil" w:sz="6" w:space="0" w:color="auto"/>
              <w:bottom w:val="nil" w:sz="6" w:space="0" w:color="auto"/>
              <w:right w:val="nil" w:sz="6" w:space="0" w:color="auto"/>
            </w:tcBorders>
          </w:tcPr>
          <w:p>
            <w:pPr>
              <w:pStyle w:val="TableParagraph"/>
              <w:spacing w:line="220" w:lineRule="exact"/>
              <w:ind w:left="177" w:right="0"/>
              <w:jc w:val="left"/>
              <w:rPr>
                <w:rFonts w:ascii="宋体" w:hAnsi="宋体" w:cs="宋体" w:eastAsia="宋体" w:hint="default"/>
                <w:sz w:val="16"/>
                <w:szCs w:val="16"/>
              </w:rPr>
            </w:pPr>
            <w:r>
              <w:rPr>
                <w:rFonts w:ascii="Arial" w:hAnsi="Arial" w:cs="Arial" w:eastAsia="Arial" w:hint="default"/>
                <w:sz w:val="16"/>
                <w:szCs w:val="16"/>
              </w:rPr>
              <w:t>—</w:t>
            </w:r>
            <w:r>
              <w:rPr>
                <w:rFonts w:ascii="宋体" w:hAnsi="宋体" w:cs="宋体" w:eastAsia="宋体" w:hint="default"/>
                <w:sz w:val="16"/>
                <w:szCs w:val="16"/>
              </w:rPr>
              <w:t>其他</w:t>
            </w:r>
          </w:p>
        </w:tc>
        <w:tc>
          <w:tcPr>
            <w:tcW w:w="473" w:type="dxa"/>
            <w:tcBorders>
              <w:top w:val="nil" w:sz="6" w:space="0" w:color="auto"/>
              <w:left w:val="nil" w:sz="6" w:space="0" w:color="auto"/>
              <w:bottom w:val="nil" w:sz="6" w:space="0" w:color="auto"/>
              <w:right w:val="nil" w:sz="6" w:space="0" w:color="auto"/>
            </w:tcBorders>
          </w:tcPr>
          <w:p>
            <w:pPr/>
          </w:p>
        </w:tc>
        <w:tc>
          <w:tcPr>
            <w:tcW w:w="1167" w:type="dxa"/>
            <w:tcBorders>
              <w:top w:val="nil" w:sz="6" w:space="0" w:color="auto"/>
              <w:left w:val="nil" w:sz="6" w:space="0" w:color="auto"/>
              <w:bottom w:val="nil" w:sz="6" w:space="0" w:color="auto"/>
              <w:right w:val="nil" w:sz="6" w:space="0" w:color="auto"/>
            </w:tcBorders>
          </w:tcPr>
          <w:p>
            <w:pPr>
              <w:pStyle w:val="TableParagraph"/>
              <w:tabs>
                <w:tab w:pos="816" w:val="left" w:leader="none"/>
                <w:tab w:pos="1697" w:val="left" w:leader="none"/>
              </w:tabs>
              <w:spacing w:line="240" w:lineRule="auto" w:before="45"/>
              <w:ind w:right="-531"/>
              <w:jc w:val="lef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r>
            <w:r>
              <w:rPr>
                <w:rFonts w:ascii="Arial"/>
                <w:spacing w:val="12"/>
                <w:sz w:val="16"/>
                <w:u w:val="single" w:color="000000"/>
              </w:rPr>
              <w:t> </w:t>
            </w:r>
            <w:r>
              <w:rPr>
                <w:rFonts w:ascii="Arial"/>
                <w:spacing w:val="12"/>
                <w:sz w:val="16"/>
              </w:rPr>
            </w:r>
            <w:r>
              <w:rPr>
                <w:rFonts w:ascii="Arial"/>
                <w:sz w:val="16"/>
              </w:rPr>
              <w:t>  </w:t>
            </w:r>
            <w:r>
              <w:rPr>
                <w:rFonts w:ascii="Arial"/>
                <w:spacing w:val="-16"/>
                <w:sz w:val="16"/>
              </w:rPr>
              <w:t> </w:t>
            </w:r>
            <w:r>
              <w:rPr>
                <w:rFonts w:ascii="Arial"/>
                <w:spacing w:val="-16"/>
                <w:w w:val="100"/>
                <w:sz w:val="16"/>
              </w:rPr>
            </w:r>
            <w:r>
              <w:rPr>
                <w:rFonts w:ascii="Arial"/>
                <w:w w:val="100"/>
                <w:sz w:val="16"/>
                <w:u w:val="single" w:color="000000"/>
              </w:rPr>
              <w:t> </w:t>
            </w:r>
            <w:r>
              <w:rPr>
                <w:rFonts w:ascii="Arial"/>
                <w:sz w:val="16"/>
                <w:u w:val="single" w:color="000000"/>
              </w:rPr>
              <w:tab/>
            </w:r>
            <w:r>
              <w:rPr>
                <w:rFonts w:ascii="Arial"/>
                <w:sz w:val="16"/>
              </w:rPr>
            </w:r>
          </w:p>
        </w:tc>
        <w:tc>
          <w:tcPr>
            <w:tcW w:w="781" w:type="dxa"/>
            <w:tcBorders>
              <w:top w:val="nil" w:sz="6" w:space="0" w:color="auto"/>
              <w:left w:val="nil" w:sz="6" w:space="0" w:color="auto"/>
              <w:bottom w:val="nil" w:sz="6" w:space="0" w:color="auto"/>
              <w:right w:val="nil" w:sz="6" w:space="0" w:color="auto"/>
            </w:tcBorders>
          </w:tcPr>
          <w:p>
            <w:pPr>
              <w:pStyle w:val="TableParagraph"/>
              <w:tabs>
                <w:tab w:pos="705" w:val="left" w:leader="none"/>
              </w:tabs>
              <w:spacing w:line="240" w:lineRule="auto" w:before="45"/>
              <w:ind w:right="-456"/>
              <w:jc w:val="right"/>
              <w:rPr>
                <w:rFonts w:ascii="Arial" w:hAnsi="Arial" w:cs="Arial" w:eastAsia="Arial" w:hint="default"/>
                <w:sz w:val="16"/>
                <w:szCs w:val="16"/>
              </w:rPr>
            </w:pPr>
            <w:r>
              <w:rPr>
                <w:rFonts w:ascii="Arial"/>
                <w:w w:val="100"/>
                <w:sz w:val="16"/>
              </w:rPr>
            </w:r>
            <w:r>
              <w:rPr>
                <w:rFonts w:ascii="Arial"/>
                <w:sz w:val="16"/>
                <w:u w:val="single" w:color="000000"/>
              </w:rPr>
              <w:t>-</w:t>
            </w:r>
            <w:r>
              <w:rPr>
                <w:rFonts w:ascii="Arial"/>
                <w:spacing w:val="12"/>
                <w:sz w:val="16"/>
                <w:u w:val="single" w:color="000000"/>
              </w:rPr>
              <w:t> </w:t>
            </w:r>
            <w:r>
              <w:rPr>
                <w:rFonts w:ascii="Arial"/>
                <w:spacing w:val="12"/>
                <w:sz w:val="16"/>
              </w:rPr>
            </w:r>
            <w:r>
              <w:rPr>
                <w:rFonts w:ascii="Arial"/>
                <w:sz w:val="16"/>
              </w:rPr>
              <w:t> </w:t>
            </w:r>
            <w:r>
              <w:rPr>
                <w:rFonts w:ascii="Arial"/>
                <w:spacing w:val="-20"/>
                <w:sz w:val="16"/>
              </w:rPr>
              <w:t> </w:t>
            </w:r>
            <w:r>
              <w:rPr>
                <w:rFonts w:ascii="Arial"/>
                <w:spacing w:val="-20"/>
                <w:w w:val="100"/>
                <w:sz w:val="16"/>
              </w:rPr>
            </w:r>
            <w:r>
              <w:rPr>
                <w:rFonts w:ascii="Arial"/>
                <w:w w:val="100"/>
                <w:sz w:val="16"/>
                <w:u w:val="single" w:color="000000"/>
              </w:rPr>
              <w:t> </w:t>
            </w:r>
            <w:r>
              <w:rPr>
                <w:rFonts w:ascii="Arial"/>
                <w:sz w:val="16"/>
                <w:u w:val="single" w:color="000000"/>
              </w:rPr>
              <w:tab/>
            </w:r>
            <w:r>
              <w:rPr>
                <w:rFonts w:ascii="Arial"/>
                <w:sz w:val="16"/>
              </w:rPr>
            </w:r>
          </w:p>
        </w:tc>
        <w:tc>
          <w:tcPr>
            <w:tcW w:w="815" w:type="dxa"/>
            <w:tcBorders>
              <w:top w:val="nil" w:sz="6" w:space="0" w:color="auto"/>
              <w:left w:val="nil" w:sz="6" w:space="0" w:color="auto"/>
              <w:bottom w:val="nil" w:sz="6" w:space="0" w:color="auto"/>
              <w:right w:val="nil" w:sz="6" w:space="0" w:color="auto"/>
            </w:tcBorders>
          </w:tcPr>
          <w:p>
            <w:pPr>
              <w:pStyle w:val="TableParagraph"/>
              <w:tabs>
                <w:tab w:pos="323" w:val="left" w:leader="none"/>
              </w:tabs>
              <w:spacing w:line="240" w:lineRule="auto" w:before="45"/>
              <w:ind w:right="33"/>
              <w:jc w:val="right"/>
              <w:rPr>
                <w:rFonts w:ascii="Arial" w:hAnsi="Arial" w:cs="Arial" w:eastAsia="Arial" w:hint="default"/>
                <w:sz w:val="16"/>
                <w:szCs w:val="16"/>
              </w:rPr>
            </w:pPr>
            <w:r>
              <w:rPr>
                <w:rFonts w:ascii="Arial"/>
                <w:w w:val="100"/>
                <w:sz w:val="16"/>
              </w:rPr>
            </w:r>
            <w:r>
              <w:rPr>
                <w:rFonts w:ascii="Arial"/>
                <w:spacing w:val="-1"/>
                <w:sz w:val="16"/>
                <w:u w:val="single" w:color="000000"/>
              </w:rPr>
              <w:t>225</w:t>
              <w:tab/>
            </w:r>
            <w:r>
              <w:rPr>
                <w:rFonts w:ascii="Arial"/>
                <w:spacing w:val="-1"/>
                <w:sz w:val="16"/>
              </w:rPr>
            </w:r>
          </w:p>
        </w:tc>
        <w:tc>
          <w:tcPr>
            <w:tcW w:w="672" w:type="dxa"/>
            <w:tcBorders>
              <w:top w:val="nil" w:sz="6" w:space="0" w:color="auto"/>
              <w:left w:val="nil" w:sz="6" w:space="0" w:color="auto"/>
              <w:bottom w:val="nil" w:sz="6" w:space="0" w:color="auto"/>
              <w:right w:val="nil" w:sz="6" w:space="0" w:color="auto"/>
            </w:tcBorders>
          </w:tcPr>
          <w:p>
            <w:pPr>
              <w:pStyle w:val="TableParagraph"/>
              <w:tabs>
                <w:tab w:pos="314" w:val="left" w:leader="none"/>
                <w:tab w:pos="635" w:val="left" w:leader="none"/>
              </w:tabs>
              <w:spacing w:line="240" w:lineRule="auto" w:before="45"/>
              <w:ind w:right="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r>
            <w:r>
              <w:rPr>
                <w:rFonts w:ascii="Arial"/>
                <w:spacing w:val="-1"/>
                <w:sz w:val="16"/>
                <w:u w:val="single" w:color="000000"/>
              </w:rPr>
              <w:t>225</w:t>
              <w:tab/>
            </w:r>
            <w:r>
              <w:rPr>
                <w:rFonts w:ascii="Arial"/>
                <w:spacing w:val="-1"/>
                <w:sz w:val="16"/>
              </w:rPr>
            </w:r>
          </w:p>
        </w:tc>
      </w:tr>
      <w:tr>
        <w:trPr>
          <w:trHeight w:val="407" w:hRule="exact"/>
        </w:trPr>
        <w:tc>
          <w:tcPr>
            <w:tcW w:w="484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left"/>
              <w:rPr>
                <w:rFonts w:ascii="宋体" w:hAnsi="宋体" w:cs="宋体" w:eastAsia="宋体" w:hint="default"/>
                <w:sz w:val="16"/>
                <w:szCs w:val="16"/>
              </w:rPr>
            </w:pPr>
            <w:r>
              <w:rPr>
                <w:rFonts w:ascii="宋体" w:hAnsi="宋体" w:cs="宋体" w:eastAsia="宋体" w:hint="default"/>
                <w:sz w:val="16"/>
                <w:szCs w:val="16"/>
              </w:rPr>
              <w:t>调整小计</w:t>
            </w:r>
          </w:p>
        </w:tc>
        <w:tc>
          <w:tcPr>
            <w:tcW w:w="473" w:type="dxa"/>
            <w:tcBorders>
              <w:top w:val="nil" w:sz="6" w:space="0" w:color="auto"/>
              <w:left w:val="nil" w:sz="6" w:space="0" w:color="auto"/>
              <w:bottom w:val="nil" w:sz="6" w:space="0" w:color="auto"/>
              <w:right w:val="nil" w:sz="6" w:space="0" w:color="auto"/>
            </w:tcBorders>
          </w:tcPr>
          <w:p>
            <w:pPr/>
          </w:p>
        </w:tc>
        <w:tc>
          <w:tcPr>
            <w:tcW w:w="1167" w:type="dxa"/>
            <w:tcBorders>
              <w:top w:val="nil" w:sz="6" w:space="0" w:color="auto"/>
              <w:left w:val="nil" w:sz="6" w:space="0" w:color="auto"/>
              <w:bottom w:val="nil" w:sz="6" w:space="0" w:color="auto"/>
              <w:right w:val="nil" w:sz="6" w:space="0" w:color="auto"/>
            </w:tcBorders>
          </w:tcPr>
          <w:p>
            <w:pPr>
              <w:pStyle w:val="TableParagraph"/>
              <w:tabs>
                <w:tab w:pos="691" w:val="left" w:leader="none"/>
                <w:tab w:pos="1572" w:val="left" w:leader="none"/>
              </w:tabs>
              <w:spacing w:line="240" w:lineRule="auto" w:before="112"/>
              <w:ind w:right="-406"/>
              <w:jc w:val="lef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75</w:t>
            </w:r>
            <w:r>
              <w:rPr>
                <w:rFonts w:ascii="Arial"/>
                <w:spacing w:val="12"/>
                <w:sz w:val="16"/>
                <w:u w:val="single" w:color="000000"/>
              </w:rPr>
              <w:t> </w:t>
            </w:r>
            <w:r>
              <w:rPr>
                <w:rFonts w:ascii="Arial"/>
                <w:spacing w:val="12"/>
                <w:sz w:val="16"/>
              </w:rPr>
            </w:r>
            <w:r>
              <w:rPr>
                <w:rFonts w:ascii="Arial"/>
                <w:sz w:val="16"/>
              </w:rPr>
              <w:t>  </w:t>
            </w:r>
            <w:r>
              <w:rPr>
                <w:rFonts w:ascii="Arial"/>
                <w:spacing w:val="-16"/>
                <w:sz w:val="16"/>
              </w:rPr>
              <w:t> </w:t>
            </w:r>
            <w:r>
              <w:rPr>
                <w:rFonts w:ascii="Arial"/>
                <w:spacing w:val="-16"/>
                <w:w w:val="100"/>
                <w:sz w:val="16"/>
              </w:rPr>
            </w:r>
            <w:r>
              <w:rPr>
                <w:rFonts w:ascii="Arial"/>
                <w:w w:val="100"/>
                <w:sz w:val="16"/>
                <w:u w:val="single" w:color="000000"/>
              </w:rPr>
              <w:t> </w:t>
            </w:r>
            <w:r>
              <w:rPr>
                <w:rFonts w:ascii="Arial"/>
                <w:sz w:val="16"/>
                <w:u w:val="single" w:color="000000"/>
              </w:rPr>
              <w:tab/>
            </w:r>
            <w:r>
              <w:rPr>
                <w:rFonts w:ascii="Arial"/>
                <w:sz w:val="16"/>
              </w:rPr>
            </w:r>
          </w:p>
        </w:tc>
        <w:tc>
          <w:tcPr>
            <w:tcW w:w="781" w:type="dxa"/>
            <w:tcBorders>
              <w:top w:val="nil" w:sz="6" w:space="0" w:color="auto"/>
              <w:left w:val="nil" w:sz="6" w:space="0" w:color="auto"/>
              <w:bottom w:val="nil" w:sz="6" w:space="0" w:color="auto"/>
              <w:right w:val="nil" w:sz="6" w:space="0" w:color="auto"/>
            </w:tcBorders>
          </w:tcPr>
          <w:p>
            <w:pPr>
              <w:pStyle w:val="TableParagraph"/>
              <w:tabs>
                <w:tab w:pos="1051" w:val="left" w:leader="none"/>
              </w:tabs>
              <w:spacing w:line="240" w:lineRule="auto" w:before="112"/>
              <w:ind w:left="405" w:right="-271"/>
              <w:jc w:val="left"/>
              <w:rPr>
                <w:rFonts w:ascii="Arial" w:hAnsi="Arial" w:cs="Arial" w:eastAsia="Arial" w:hint="default"/>
                <w:sz w:val="16"/>
                <w:szCs w:val="16"/>
              </w:rPr>
            </w:pPr>
            <w:r>
              <w:rPr>
                <w:rFonts w:ascii="Arial"/>
                <w:w w:val="100"/>
                <w:sz w:val="16"/>
              </w:rPr>
            </w:r>
            <w:r>
              <w:rPr>
                <w:rFonts w:ascii="Arial"/>
                <w:sz w:val="16"/>
                <w:u w:val="single" w:color="000000"/>
              </w:rPr>
              <w:t>94</w:t>
            </w:r>
            <w:r>
              <w:rPr>
                <w:rFonts w:ascii="Arial"/>
                <w:spacing w:val="12"/>
                <w:sz w:val="16"/>
                <w:u w:val="single" w:color="000000"/>
              </w:rPr>
              <w:t> </w:t>
            </w:r>
            <w:r>
              <w:rPr>
                <w:rFonts w:ascii="Arial"/>
                <w:spacing w:val="12"/>
                <w:sz w:val="16"/>
              </w:rPr>
            </w:r>
            <w:r>
              <w:rPr>
                <w:rFonts w:ascii="Arial"/>
                <w:sz w:val="16"/>
              </w:rPr>
              <w:t> </w:t>
            </w:r>
            <w:r>
              <w:rPr>
                <w:rFonts w:ascii="Arial"/>
                <w:spacing w:val="-20"/>
                <w:sz w:val="16"/>
              </w:rPr>
              <w:t> </w:t>
            </w:r>
            <w:r>
              <w:rPr>
                <w:rFonts w:ascii="Arial"/>
                <w:spacing w:val="-20"/>
                <w:w w:val="100"/>
                <w:sz w:val="16"/>
              </w:rPr>
            </w:r>
            <w:r>
              <w:rPr>
                <w:rFonts w:ascii="Arial"/>
                <w:w w:val="100"/>
                <w:sz w:val="16"/>
                <w:u w:val="single" w:color="000000"/>
              </w:rPr>
              <w:t> </w:t>
            </w:r>
            <w:r>
              <w:rPr>
                <w:rFonts w:ascii="Arial"/>
                <w:sz w:val="16"/>
                <w:u w:val="single" w:color="000000"/>
              </w:rPr>
              <w:tab/>
            </w:r>
            <w:r>
              <w:rPr>
                <w:rFonts w:ascii="Arial"/>
                <w:sz w:val="16"/>
              </w:rPr>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
              <w:jc w:val="right"/>
              <w:rPr>
                <w:rFonts w:ascii="Arial" w:hAnsi="Arial" w:cs="Arial" w:eastAsia="Arial" w:hint="default"/>
                <w:sz w:val="16"/>
                <w:szCs w:val="16"/>
              </w:rPr>
            </w:pPr>
            <w:r>
              <w:rPr>
                <w:rFonts w:ascii="Arial"/>
                <w:w w:val="100"/>
                <w:sz w:val="16"/>
              </w:rPr>
            </w:r>
            <w:r>
              <w:rPr>
                <w:rFonts w:ascii="Arial"/>
                <w:spacing w:val="-1"/>
                <w:sz w:val="16"/>
                <w:u w:val="single" w:color="000000"/>
              </w:rPr>
              <w:t>(1,970)</w:t>
            </w:r>
            <w:r>
              <w:rPr>
                <w:rFonts w:ascii="Arial"/>
                <w:spacing w:val="-1"/>
                <w:sz w:val="16"/>
              </w:rPr>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4"/>
                <w:sz w:val="16"/>
                <w:u w:val="single" w:color="000000"/>
              </w:rPr>
              <w:t> </w:t>
            </w:r>
            <w:r>
              <w:rPr>
                <w:rFonts w:ascii="Arial"/>
                <w:spacing w:val="-1"/>
                <w:sz w:val="16"/>
                <w:u w:val="single" w:color="000000"/>
              </w:rPr>
              <w:t>(2,045)</w:t>
            </w:r>
            <w:r>
              <w:rPr>
                <w:rFonts w:ascii="Arial"/>
                <w:spacing w:val="-1"/>
                <w:sz w:val="16"/>
              </w:rPr>
            </w:r>
          </w:p>
        </w:tc>
      </w:tr>
      <w:tr>
        <w:trPr>
          <w:trHeight w:val="321" w:hRule="exact"/>
        </w:trPr>
        <w:tc>
          <w:tcPr>
            <w:tcW w:w="484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left"/>
              <w:rPr>
                <w:rFonts w:ascii="宋体" w:hAnsi="宋体" w:cs="宋体" w:eastAsia="宋体" w:hint="default"/>
                <w:sz w:val="16"/>
                <w:szCs w:val="16"/>
              </w:rPr>
            </w:pPr>
            <w:r>
              <w:rPr>
                <w:rFonts w:ascii="宋体" w:hAnsi="宋体" w:cs="宋体" w:eastAsia="宋体" w:hint="default"/>
                <w:sz w:val="16"/>
                <w:szCs w:val="16"/>
              </w:rPr>
              <w:t>联通红筹公司国际</w:t>
            </w:r>
            <w:r>
              <w:rPr>
                <w:rFonts w:ascii="Arial" w:hAnsi="Arial" w:cs="Arial" w:eastAsia="Arial" w:hint="default"/>
                <w:sz w:val="16"/>
                <w:szCs w:val="16"/>
              </w:rPr>
              <w:t>/</w:t>
            </w:r>
            <w:r>
              <w:rPr>
                <w:rFonts w:ascii="宋体" w:hAnsi="宋体" w:cs="宋体" w:eastAsia="宋体" w:hint="default"/>
                <w:sz w:val="16"/>
                <w:szCs w:val="16"/>
              </w:rPr>
              <w:t>香港财务报告准则下净利润</w:t>
            </w:r>
            <w:r>
              <w:rPr>
                <w:rFonts w:ascii="Arial" w:hAnsi="Arial" w:cs="Arial" w:eastAsia="Arial" w:hint="default"/>
                <w:sz w:val="16"/>
                <w:szCs w:val="16"/>
              </w:rPr>
              <w:t>/</w:t>
            </w:r>
            <w:r>
              <w:rPr>
                <w:rFonts w:ascii="宋体" w:hAnsi="宋体" w:cs="宋体" w:eastAsia="宋体" w:hint="default"/>
                <w:sz w:val="16"/>
                <w:szCs w:val="16"/>
              </w:rPr>
              <w:t>净资产</w:t>
            </w:r>
          </w:p>
        </w:tc>
        <w:tc>
          <w:tcPr>
            <w:tcW w:w="473" w:type="dxa"/>
            <w:tcBorders>
              <w:top w:val="nil" w:sz="6" w:space="0" w:color="auto"/>
              <w:left w:val="nil" w:sz="6" w:space="0" w:color="auto"/>
              <w:bottom w:val="nil" w:sz="6" w:space="0" w:color="auto"/>
              <w:right w:val="nil" w:sz="6" w:space="0" w:color="auto"/>
            </w:tcBorders>
          </w:tcPr>
          <w:p>
            <w:pPr/>
          </w:p>
        </w:tc>
        <w:tc>
          <w:tcPr>
            <w:tcW w:w="1167"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left="379" w:right="0"/>
              <w:jc w:val="left"/>
              <w:rPr>
                <w:rFonts w:ascii="Arial" w:hAnsi="Arial" w:cs="Arial" w:eastAsia="Arial" w:hint="default"/>
                <w:sz w:val="16"/>
                <w:szCs w:val="16"/>
              </w:rPr>
            </w:pPr>
            <w:r>
              <w:rPr>
                <w:rFonts w:ascii="Arial"/>
                <w:sz w:val="16"/>
              </w:rPr>
              <w:t>12,055</w:t>
            </w:r>
          </w:p>
        </w:tc>
        <w:tc>
          <w:tcPr>
            <w:tcW w:w="781"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left="93" w:right="0"/>
              <w:jc w:val="left"/>
              <w:rPr>
                <w:rFonts w:ascii="Arial" w:hAnsi="Arial" w:cs="Arial" w:eastAsia="Arial" w:hint="default"/>
                <w:sz w:val="16"/>
                <w:szCs w:val="16"/>
              </w:rPr>
            </w:pPr>
            <w:r>
              <w:rPr>
                <w:rFonts w:ascii="Arial"/>
                <w:sz w:val="16"/>
              </w:rPr>
              <w:t>10,408</w:t>
            </w:r>
          </w:p>
        </w:tc>
        <w:tc>
          <w:tcPr>
            <w:tcW w:w="815"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right="91"/>
              <w:jc w:val="right"/>
              <w:rPr>
                <w:rFonts w:ascii="Arial" w:hAnsi="Arial" w:cs="Arial" w:eastAsia="Arial" w:hint="default"/>
                <w:sz w:val="16"/>
                <w:szCs w:val="16"/>
              </w:rPr>
            </w:pPr>
            <w:r>
              <w:rPr>
                <w:rFonts w:ascii="Arial"/>
                <w:spacing w:val="-1"/>
                <w:sz w:val="16"/>
              </w:rPr>
              <w:t>227,541</w:t>
            </w:r>
          </w:p>
        </w:tc>
        <w:tc>
          <w:tcPr>
            <w:tcW w:w="672"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left="38" w:right="0"/>
              <w:jc w:val="left"/>
              <w:rPr>
                <w:rFonts w:ascii="Arial" w:hAnsi="Arial" w:cs="Arial" w:eastAsia="Arial" w:hint="default"/>
                <w:sz w:val="16"/>
                <w:szCs w:val="16"/>
              </w:rPr>
            </w:pPr>
            <w:r>
              <w:rPr>
                <w:rFonts w:ascii="Arial"/>
                <w:sz w:val="16"/>
              </w:rPr>
              <w:t>218,899</w:t>
            </w:r>
          </w:p>
        </w:tc>
      </w:tr>
    </w:tbl>
    <w:p>
      <w:pPr>
        <w:spacing w:line="240" w:lineRule="auto" w:before="7"/>
        <w:rPr>
          <w:rFonts w:ascii="宋体" w:hAnsi="宋体" w:cs="宋体" w:eastAsia="宋体" w:hint="default"/>
          <w:sz w:val="10"/>
          <w:szCs w:val="10"/>
        </w:rPr>
      </w:pPr>
    </w:p>
    <w:p>
      <w:pPr>
        <w:pStyle w:val="BodyText"/>
        <w:spacing w:line="410" w:lineRule="auto" w:before="32"/>
        <w:ind w:left="559" w:right="5363"/>
        <w:jc w:val="left"/>
      </w:pPr>
      <w:r>
        <w:rPr>
          <w:spacing w:val="-1"/>
        </w:rPr>
        <w:t>财务报表差异调节表项目注释说明：</w:t>
      </w:r>
      <w:r>
        <w:rPr>
          <w:spacing w:val="-97"/>
        </w:rPr>
        <w:t> </w:t>
      </w:r>
      <w:r>
        <w:rPr>
          <w:spacing w:val="-97"/>
        </w:rPr>
      </w:r>
      <w:r>
        <w:rPr/>
        <w:t>注</w:t>
      </w:r>
      <w:r>
        <w:rPr>
          <w:spacing w:val="-56"/>
        </w:rPr>
        <w:t> </w:t>
      </w:r>
      <w:r>
        <w:rPr>
          <w:rFonts w:ascii="Arial" w:hAnsi="Arial" w:cs="Arial" w:eastAsia="Arial" w:hint="default"/>
        </w:rPr>
        <w:t>1</w:t>
      </w:r>
      <w:r>
        <w:rPr/>
        <w:t>：额外资本化利息及折旧的影响</w:t>
      </w:r>
    </w:p>
    <w:p>
      <w:pPr>
        <w:pStyle w:val="BodyText"/>
        <w:spacing w:line="295" w:lineRule="exact" w:before="14"/>
        <w:ind w:left="1161" w:right="0"/>
        <w:jc w:val="left"/>
      </w:pPr>
      <w:r>
        <w:rPr/>
        <w:t>本集团于</w:t>
      </w:r>
      <w:r>
        <w:rPr>
          <w:spacing w:val="-50"/>
        </w:rPr>
        <w:t> </w:t>
      </w:r>
      <w:r>
        <w:rPr>
          <w:rFonts w:ascii="Arial" w:hAnsi="Arial" w:cs="Arial" w:eastAsia="Arial" w:hint="default"/>
        </w:rPr>
        <w:t>2007</w:t>
      </w:r>
      <w:r>
        <w:rPr>
          <w:rFonts w:ascii="Arial" w:hAnsi="Arial" w:cs="Arial" w:eastAsia="Arial" w:hint="default"/>
          <w:spacing w:val="-2"/>
        </w:rPr>
        <w:t> </w:t>
      </w:r>
      <w:r>
        <w:rPr/>
        <w:t>年</w:t>
      </w:r>
      <w:r>
        <w:rPr>
          <w:spacing w:val="-50"/>
        </w:rPr>
        <w:t> </w:t>
      </w:r>
      <w:r>
        <w:rPr>
          <w:rFonts w:ascii="Arial" w:hAnsi="Arial" w:cs="Arial" w:eastAsia="Arial" w:hint="default"/>
        </w:rPr>
        <w:t>1</w:t>
      </w:r>
      <w:r>
        <w:rPr>
          <w:rFonts w:ascii="Arial" w:hAnsi="Arial" w:cs="Arial" w:eastAsia="Arial" w:hint="default"/>
          <w:spacing w:val="-2"/>
        </w:rPr>
        <w:t> </w:t>
      </w:r>
      <w:r>
        <w:rPr/>
        <w:t>月</w:t>
      </w:r>
      <w:r>
        <w:rPr>
          <w:spacing w:val="-50"/>
        </w:rPr>
        <w:t> </w:t>
      </w:r>
      <w:r>
        <w:rPr>
          <w:rFonts w:ascii="Arial" w:hAnsi="Arial" w:cs="Arial" w:eastAsia="Arial" w:hint="default"/>
        </w:rPr>
        <w:t>1</w:t>
      </w:r>
      <w:r>
        <w:rPr>
          <w:rFonts w:ascii="Arial" w:hAnsi="Arial" w:cs="Arial" w:eastAsia="Arial" w:hint="default"/>
          <w:spacing w:val="-4"/>
        </w:rPr>
        <w:t> </w:t>
      </w:r>
      <w:r>
        <w:rPr/>
        <w:t>日，根据《企业会计准则第</w:t>
      </w:r>
      <w:r>
        <w:rPr>
          <w:spacing w:val="-49"/>
        </w:rPr>
        <w:t> </w:t>
      </w:r>
      <w:r>
        <w:rPr>
          <w:rFonts w:ascii="Arial" w:hAnsi="Arial" w:cs="Arial" w:eastAsia="Arial" w:hint="default"/>
        </w:rPr>
        <w:t>38</w:t>
      </w:r>
      <w:r>
        <w:rPr>
          <w:rFonts w:ascii="Arial" w:hAnsi="Arial" w:cs="Arial" w:eastAsia="Arial" w:hint="default"/>
          <w:spacing w:val="-2"/>
        </w:rPr>
        <w:t> </w:t>
      </w:r>
      <w:r>
        <w:rPr/>
        <w:t>号</w:t>
      </w:r>
      <w:r>
        <w:rPr>
          <w:rFonts w:ascii="Arial" w:hAnsi="Arial" w:cs="Arial" w:eastAsia="Arial" w:hint="default"/>
        </w:rPr>
        <w:t>—</w:t>
      </w:r>
      <w:r>
        <w:rPr/>
        <w:t>首次执行企业会计准</w:t>
      </w:r>
    </w:p>
    <w:p>
      <w:pPr>
        <w:pStyle w:val="BodyText"/>
        <w:spacing w:line="232" w:lineRule="auto"/>
        <w:ind w:left="1161" w:right="0"/>
        <w:jc w:val="left"/>
      </w:pPr>
      <w:r>
        <w:rPr/>
        <w:t>则》（“第 </w:t>
      </w:r>
      <w:r>
        <w:rPr>
          <w:rFonts w:ascii="宋体" w:hAnsi="宋体" w:cs="宋体" w:eastAsia="宋体" w:hint="default"/>
        </w:rPr>
        <w:t>38</w:t>
      </w:r>
      <w:r>
        <w:rPr>
          <w:rFonts w:ascii="宋体" w:hAnsi="宋体" w:cs="宋体" w:eastAsia="宋体" w:hint="default"/>
          <w:spacing w:val="-81"/>
        </w:rPr>
        <w:t> </w:t>
      </w:r>
      <w:r>
        <w:rPr/>
        <w:t>号准则”）的要求，以未来适用法将原会计准则和制度下应直接费</w:t>
      </w:r>
      <w:r>
        <w:rPr>
          <w:w w:val="100"/>
        </w:rPr>
        <w:t> </w:t>
      </w:r>
      <w:r>
        <w:rPr>
          <w:spacing w:val="-1"/>
        </w:rPr>
        <w:t>用化的一般借款费用按中国会计准则的要求在满足相关条件的前提下予以资本化，</w:t>
      </w:r>
      <w:r>
        <w:rPr>
          <w:spacing w:val="-82"/>
        </w:rPr>
        <w:t> </w:t>
      </w:r>
      <w:r>
        <w:rPr>
          <w:spacing w:val="-82"/>
        </w:rPr>
      </w:r>
      <w:r>
        <w:rPr/>
        <w:t>这与国际</w:t>
      </w:r>
      <w:r>
        <w:rPr>
          <w:rFonts w:ascii="Arial" w:hAnsi="Arial" w:cs="Arial" w:eastAsia="Arial" w:hint="default"/>
        </w:rPr>
        <w:t>/</w:t>
      </w:r>
      <w:r>
        <w:rPr/>
        <w:t>香港财务报告准则已经一致。但在</w:t>
      </w:r>
      <w:r>
        <w:rPr>
          <w:spacing w:val="-46"/>
        </w:rPr>
        <w:t> </w:t>
      </w:r>
      <w:r>
        <w:rPr>
          <w:rFonts w:ascii="Arial" w:hAnsi="Arial" w:cs="Arial" w:eastAsia="Arial" w:hint="default"/>
        </w:rPr>
        <w:t>2007</w:t>
      </w:r>
      <w:r>
        <w:rPr>
          <w:rFonts w:ascii="Arial" w:hAnsi="Arial" w:cs="Arial" w:eastAsia="Arial" w:hint="default"/>
          <w:spacing w:val="2"/>
        </w:rPr>
        <w:t> </w:t>
      </w:r>
      <w:r>
        <w:rPr/>
        <w:t>年</w:t>
      </w:r>
      <w:r>
        <w:rPr>
          <w:spacing w:val="-46"/>
        </w:rPr>
        <w:t> </w:t>
      </w:r>
      <w:r>
        <w:rPr>
          <w:rFonts w:ascii="Arial" w:hAnsi="Arial" w:cs="Arial" w:eastAsia="Arial" w:hint="default"/>
        </w:rPr>
        <w:t>1</w:t>
      </w:r>
      <w:r>
        <w:rPr>
          <w:rFonts w:ascii="Arial" w:hAnsi="Arial" w:cs="Arial" w:eastAsia="Arial" w:hint="default"/>
          <w:spacing w:val="-1"/>
        </w:rPr>
        <w:t> </w:t>
      </w:r>
      <w:r>
        <w:rPr/>
        <w:t>月</w:t>
      </w:r>
      <w:r>
        <w:rPr>
          <w:spacing w:val="-47"/>
        </w:rPr>
        <w:t> </w:t>
      </w:r>
      <w:r>
        <w:rPr>
          <w:rFonts w:ascii="Arial" w:hAnsi="Arial" w:cs="Arial" w:eastAsia="Arial" w:hint="default"/>
        </w:rPr>
        <w:t>1</w:t>
      </w:r>
      <w:r>
        <w:rPr>
          <w:rFonts w:ascii="Arial" w:hAnsi="Arial" w:cs="Arial" w:eastAsia="Arial" w:hint="default"/>
          <w:spacing w:val="2"/>
        </w:rPr>
        <w:t> </w:t>
      </w:r>
      <w:r>
        <w:rPr/>
        <w:t>日前，在国际</w:t>
      </w:r>
      <w:r>
        <w:rPr>
          <w:rFonts w:ascii="Arial" w:hAnsi="Arial" w:cs="Arial" w:eastAsia="Arial" w:hint="default"/>
        </w:rPr>
        <w:t>/</w:t>
      </w:r>
      <w:r>
        <w:rPr/>
        <w:t>香港财</w:t>
      </w:r>
      <w:r>
        <w:rPr>
          <w:w w:val="100"/>
        </w:rPr>
        <w:t> </w:t>
      </w:r>
      <w:r>
        <w:rPr/>
        <w:t>务报告准则下符合资本化条件的一般借款费用已经计入本集团国际</w:t>
      </w:r>
      <w:r>
        <w:rPr>
          <w:rFonts w:ascii="Arial" w:hAnsi="Arial" w:cs="Arial" w:eastAsia="Arial" w:hint="default"/>
        </w:rPr>
        <w:t>/</w:t>
      </w:r>
      <w:r>
        <w:rPr/>
        <w:t>香港财务报告</w:t>
      </w:r>
      <w:r>
        <w:rPr>
          <w:spacing w:val="-30"/>
        </w:rPr>
        <w:t> </w:t>
      </w:r>
      <w:r>
        <w:rPr>
          <w:spacing w:val="-30"/>
        </w:rPr>
      </w:r>
      <w:r>
        <w:rPr>
          <w:spacing w:val="-4"/>
        </w:rPr>
        <w:t>准则下的在建工程成本并转入固定资产，由此导致这些固定资产的折旧及账面净值</w:t>
      </w:r>
      <w:r>
        <w:rPr>
          <w:spacing w:val="-50"/>
        </w:rPr>
        <w:t> </w:t>
      </w:r>
      <w:r>
        <w:rPr>
          <w:spacing w:val="-50"/>
        </w:rPr>
      </w:r>
      <w:r>
        <w:rPr/>
        <w:t>在中国会计准则和国际</w:t>
      </w:r>
      <w:r>
        <w:rPr>
          <w:rFonts w:ascii="Arial" w:hAnsi="Arial" w:cs="Arial" w:eastAsia="Arial" w:hint="default"/>
        </w:rPr>
        <w:t>/</w:t>
      </w:r>
      <w:r>
        <w:rPr/>
        <w:t>香港财务报告准则下不同。同时，该准则差异亦考虑了递</w:t>
      </w:r>
      <w:r>
        <w:rPr>
          <w:spacing w:val="-33"/>
        </w:rPr>
        <w:t> </w:t>
      </w:r>
      <w:r>
        <w:rPr>
          <w:spacing w:val="-33"/>
        </w:rPr>
      </w:r>
      <w:r>
        <w:rPr/>
        <w:t>延所得税的影响。</w:t>
      </w:r>
    </w:p>
    <w:p>
      <w:pPr>
        <w:spacing w:after="0" w:line="232" w:lineRule="auto"/>
        <w:jc w:val="left"/>
        <w:sectPr>
          <w:headerReference w:type="default" r:id="rId153"/>
          <w:footerReference w:type="default" r:id="rId154"/>
          <w:pgSz w:w="11910" w:h="16840"/>
          <w:pgMar w:header="885" w:footer="1194" w:top="2200" w:bottom="1380" w:left="1680" w:right="780"/>
          <w:pgNumType w:start="163"/>
        </w:sectPr>
      </w:pPr>
    </w:p>
    <w:p>
      <w:pPr>
        <w:spacing w:line="240" w:lineRule="auto" w:before="7"/>
        <w:rPr>
          <w:rFonts w:ascii="宋体" w:hAnsi="宋体" w:cs="宋体" w:eastAsia="宋体" w:hint="default"/>
          <w:sz w:val="16"/>
          <w:szCs w:val="16"/>
        </w:rPr>
      </w:pPr>
    </w:p>
    <w:p>
      <w:pPr>
        <w:pStyle w:val="BodyText"/>
        <w:spacing w:line="429" w:lineRule="auto" w:before="32"/>
        <w:ind w:left="550" w:right="4295" w:hanging="432"/>
        <w:jc w:val="left"/>
      </w:pPr>
      <w:r>
        <w:rPr>
          <w:rFonts w:ascii="黑体" w:hAnsi="黑体" w:cs="黑体" w:eastAsia="黑体" w:hint="default"/>
        </w:rPr>
        <w:t>一、财务报表差异调节表（续）</w:t>
      </w:r>
      <w:r>
        <w:rPr>
          <w:rFonts w:ascii="黑体" w:hAnsi="黑体" w:cs="黑体" w:eastAsia="黑体" w:hint="default"/>
          <w:w w:val="100"/>
        </w:rPr>
        <w:t> </w:t>
      </w:r>
      <w:r>
        <w:rPr>
          <w:spacing w:val="-1"/>
        </w:rPr>
        <w:t>财务报表差异调节表项目注释说明（续）：</w:t>
      </w:r>
      <w:r>
        <w:rPr>
          <w:w w:val="100"/>
        </w:rPr>
        <w:t> </w:t>
      </w:r>
      <w:r>
        <w:rPr/>
        <w:t>注</w:t>
      </w:r>
      <w:r>
        <w:rPr>
          <w:spacing w:val="-54"/>
        </w:rPr>
        <w:t> </w:t>
      </w:r>
      <w:r>
        <w:rPr>
          <w:rFonts w:ascii="Arial" w:hAnsi="Arial" w:cs="Arial" w:eastAsia="Arial" w:hint="default"/>
        </w:rPr>
        <w:t>2</w:t>
      </w:r>
      <w:r>
        <w:rPr/>
        <w:t>：因土地的评估对折旧及摊销的影响</w:t>
      </w:r>
    </w:p>
    <w:p>
      <w:pPr>
        <w:pStyle w:val="BodyText"/>
        <w:spacing w:line="232" w:lineRule="auto" w:before="50"/>
        <w:ind w:left="1188" w:right="113"/>
        <w:jc w:val="both"/>
      </w:pPr>
      <w:r>
        <w:rPr>
          <w:spacing w:val="-2"/>
        </w:rPr>
        <w:t>在中国会计准则下，本集团所持有的土地在本集团改制重组上市以及后续同一控制</w:t>
      </w:r>
      <w:r>
        <w:rPr>
          <w:spacing w:val="-65"/>
        </w:rPr>
        <w:t> </w:t>
      </w:r>
      <w:r>
        <w:rPr>
          <w:spacing w:val="-65"/>
        </w:rPr>
      </w:r>
      <w:r>
        <w:rPr>
          <w:spacing w:val="-4"/>
        </w:rPr>
        <w:t>下的企业合并收购过程中以评估后价值入账并计提折旧及摊销。在国际</w:t>
      </w:r>
      <w:r>
        <w:rPr>
          <w:rFonts w:ascii="Arial" w:hAnsi="Arial" w:cs="Arial" w:eastAsia="Arial" w:hint="default"/>
          <w:spacing w:val="-4"/>
        </w:rPr>
        <w:t>/</w:t>
      </w:r>
      <w:r>
        <w:rPr>
          <w:spacing w:val="-4"/>
        </w:rPr>
        <w:t>香港财务报</w:t>
      </w:r>
      <w:r>
        <w:rPr>
          <w:spacing w:val="-47"/>
        </w:rPr>
        <w:t> </w:t>
      </w:r>
      <w:r>
        <w:rPr>
          <w:spacing w:val="-47"/>
        </w:rPr>
      </w:r>
      <w:r>
        <w:rPr>
          <w:spacing w:val="-2"/>
        </w:rPr>
        <w:t>告准则下，对于土地一直以历史成本确认并计提折旧，由此产生准则差异。该准则</w:t>
      </w:r>
      <w:r>
        <w:rPr>
          <w:spacing w:val="-66"/>
        </w:rPr>
        <w:t> </w:t>
      </w:r>
      <w:r>
        <w:rPr>
          <w:spacing w:val="-66"/>
        </w:rPr>
      </w:r>
      <w:r>
        <w:rPr/>
        <w:t>差异亦考虑递延所得税的影响。</w:t>
      </w:r>
    </w:p>
    <w:p>
      <w:pPr>
        <w:spacing w:line="240" w:lineRule="auto" w:before="7"/>
        <w:rPr>
          <w:rFonts w:ascii="宋体" w:hAnsi="宋体" w:cs="宋体" w:eastAsia="宋体" w:hint="default"/>
          <w:sz w:val="21"/>
          <w:szCs w:val="21"/>
        </w:rPr>
      </w:pPr>
    </w:p>
    <w:p>
      <w:pPr>
        <w:pStyle w:val="BodyText"/>
        <w:spacing w:line="286" w:lineRule="exact"/>
        <w:ind w:left="1188" w:right="106" w:hanging="639"/>
        <w:jc w:val="left"/>
      </w:pPr>
      <w:r>
        <w:rPr/>
        <w:t>注</w:t>
      </w:r>
      <w:r>
        <w:rPr>
          <w:spacing w:val="-50"/>
        </w:rPr>
        <w:t> </w:t>
      </w:r>
      <w:r>
        <w:rPr>
          <w:rFonts w:ascii="Arial" w:hAnsi="Arial" w:cs="Arial" w:eastAsia="Arial" w:hint="default"/>
          <w:spacing w:val="-3"/>
        </w:rPr>
        <w:t>3</w:t>
      </w:r>
      <w:r>
        <w:rPr>
          <w:spacing w:val="-3"/>
        </w:rPr>
        <w:t>：因以前年度收购联通新世纪</w:t>
      </w:r>
      <w:r>
        <w:rPr>
          <w:spacing w:val="-49"/>
        </w:rPr>
        <w:t> </w:t>
      </w:r>
      <w:r>
        <w:rPr>
          <w:rFonts w:ascii="Arial" w:hAnsi="Arial" w:cs="Arial" w:eastAsia="Arial" w:hint="default"/>
        </w:rPr>
        <w:t>BVI </w:t>
      </w:r>
      <w:r>
        <w:rPr/>
        <w:t>和联通新世界</w:t>
      </w:r>
      <w:r>
        <w:rPr>
          <w:spacing w:val="-50"/>
        </w:rPr>
        <w:t> </w:t>
      </w:r>
      <w:r>
        <w:rPr>
          <w:rFonts w:ascii="Arial" w:hAnsi="Arial" w:cs="Arial" w:eastAsia="Arial" w:hint="default"/>
        </w:rPr>
        <w:t>BVI </w:t>
      </w:r>
      <w:r>
        <w:rPr>
          <w:spacing w:val="-3"/>
        </w:rPr>
        <w:t>产生的股权投资差额、商誉及收</w:t>
      </w:r>
      <w:r>
        <w:rPr>
          <w:w w:val="100"/>
        </w:rPr>
        <w:t> </w:t>
      </w:r>
      <w:r>
        <w:rPr/>
        <w:t>购费用在不同准则下的差异</w:t>
      </w:r>
    </w:p>
    <w:p>
      <w:pPr>
        <w:spacing w:line="240" w:lineRule="auto" w:before="11"/>
        <w:rPr>
          <w:rFonts w:ascii="宋体" w:hAnsi="宋体" w:cs="宋体" w:eastAsia="宋体" w:hint="default"/>
          <w:sz w:val="17"/>
          <w:szCs w:val="17"/>
        </w:rPr>
      </w:pPr>
    </w:p>
    <w:p>
      <w:pPr>
        <w:pStyle w:val="BodyText"/>
        <w:spacing w:line="230" w:lineRule="auto"/>
        <w:ind w:left="1188" w:right="110"/>
        <w:jc w:val="both"/>
      </w:pPr>
      <w:r>
        <w:rPr/>
        <w:t>本公司分别于</w:t>
      </w:r>
      <w:r>
        <w:rPr>
          <w:spacing w:val="-55"/>
        </w:rPr>
        <w:t> </w:t>
      </w:r>
      <w:r>
        <w:rPr>
          <w:rFonts w:ascii="Arial" w:hAnsi="Arial" w:cs="Arial" w:eastAsia="Arial" w:hint="default"/>
        </w:rPr>
        <w:t>2002</w:t>
      </w:r>
      <w:r>
        <w:rPr>
          <w:rFonts w:ascii="Arial" w:hAnsi="Arial" w:cs="Arial" w:eastAsia="Arial" w:hint="default"/>
          <w:spacing w:val="-7"/>
        </w:rPr>
        <w:t> </w:t>
      </w:r>
      <w:r>
        <w:rPr/>
        <w:t>年</w:t>
      </w:r>
      <w:r>
        <w:rPr>
          <w:spacing w:val="-55"/>
        </w:rPr>
        <w:t> </w:t>
      </w:r>
      <w:r>
        <w:rPr>
          <w:rFonts w:ascii="Arial" w:hAnsi="Arial" w:cs="Arial" w:eastAsia="Arial" w:hint="default"/>
        </w:rPr>
        <w:t>12</w:t>
      </w:r>
      <w:r>
        <w:rPr>
          <w:rFonts w:ascii="Arial" w:hAnsi="Arial" w:cs="Arial" w:eastAsia="Arial" w:hint="default"/>
          <w:spacing w:val="-7"/>
        </w:rPr>
        <w:t> </w:t>
      </w:r>
      <w:r>
        <w:rPr/>
        <w:t>月</w:t>
      </w:r>
      <w:r>
        <w:rPr>
          <w:spacing w:val="-55"/>
        </w:rPr>
        <w:t> </w:t>
      </w:r>
      <w:r>
        <w:rPr>
          <w:rFonts w:ascii="Arial" w:hAnsi="Arial" w:cs="Arial" w:eastAsia="Arial" w:hint="default"/>
        </w:rPr>
        <w:t>31</w:t>
      </w:r>
      <w:r>
        <w:rPr>
          <w:rFonts w:ascii="Arial" w:hAnsi="Arial" w:cs="Arial" w:eastAsia="Arial" w:hint="default"/>
          <w:spacing w:val="-7"/>
        </w:rPr>
        <w:t> </w:t>
      </w:r>
      <w:r>
        <w:rPr/>
        <w:t>日和</w:t>
      </w:r>
      <w:r>
        <w:rPr>
          <w:spacing w:val="-55"/>
        </w:rPr>
        <w:t> </w:t>
      </w:r>
      <w:r>
        <w:rPr>
          <w:rFonts w:ascii="Arial" w:hAnsi="Arial" w:cs="Arial" w:eastAsia="Arial" w:hint="default"/>
        </w:rPr>
        <w:t>2003</w:t>
      </w:r>
      <w:r>
        <w:rPr>
          <w:rFonts w:ascii="Arial" w:hAnsi="Arial" w:cs="Arial" w:eastAsia="Arial" w:hint="default"/>
          <w:spacing w:val="-9"/>
        </w:rPr>
        <w:t> </w:t>
      </w:r>
      <w:r>
        <w:rPr/>
        <w:t>年</w:t>
      </w:r>
      <w:r>
        <w:rPr>
          <w:spacing w:val="-55"/>
        </w:rPr>
        <w:t> </w:t>
      </w:r>
      <w:r>
        <w:rPr>
          <w:rFonts w:ascii="Arial" w:hAnsi="Arial" w:cs="Arial" w:eastAsia="Arial" w:hint="default"/>
        </w:rPr>
        <w:t>12</w:t>
      </w:r>
      <w:r>
        <w:rPr>
          <w:rFonts w:ascii="Arial" w:hAnsi="Arial" w:cs="Arial" w:eastAsia="Arial" w:hint="default"/>
          <w:spacing w:val="-9"/>
        </w:rPr>
        <w:t> </w:t>
      </w:r>
      <w:r>
        <w:rPr/>
        <w:t>月</w:t>
      </w:r>
      <w:r>
        <w:rPr>
          <w:spacing w:val="-55"/>
        </w:rPr>
        <w:t> </w:t>
      </w:r>
      <w:r>
        <w:rPr>
          <w:rFonts w:ascii="Arial" w:hAnsi="Arial" w:cs="Arial" w:eastAsia="Arial" w:hint="default"/>
        </w:rPr>
        <w:t>31</w:t>
      </w:r>
      <w:r>
        <w:rPr>
          <w:rFonts w:ascii="Arial" w:hAnsi="Arial" w:cs="Arial" w:eastAsia="Arial" w:hint="default"/>
          <w:spacing w:val="-7"/>
        </w:rPr>
        <w:t> </w:t>
      </w:r>
      <w:r>
        <w:rPr/>
        <w:t>日间接通过联通红筹公司收</w:t>
      </w:r>
      <w:r>
        <w:rPr>
          <w:w w:val="100"/>
        </w:rPr>
        <w:t> </w:t>
      </w:r>
      <w:r>
        <w:rPr/>
        <w:t>购了联通新世纪</w:t>
      </w:r>
      <w:r>
        <w:rPr>
          <w:spacing w:val="-51"/>
        </w:rPr>
        <w:t> </w:t>
      </w:r>
      <w:r>
        <w:rPr>
          <w:rFonts w:ascii="Arial" w:hAnsi="Arial" w:cs="Arial" w:eastAsia="Arial" w:hint="default"/>
        </w:rPr>
        <w:t>BVI</w:t>
      </w:r>
      <w:r>
        <w:rPr>
          <w:rFonts w:ascii="Arial" w:hAnsi="Arial" w:cs="Arial" w:eastAsia="Arial" w:hint="default"/>
          <w:spacing w:val="-1"/>
        </w:rPr>
        <w:t> </w:t>
      </w:r>
      <w:r>
        <w:rPr/>
        <w:t>和联通新世界</w:t>
      </w:r>
      <w:r>
        <w:rPr>
          <w:spacing w:val="-51"/>
        </w:rPr>
        <w:t> </w:t>
      </w:r>
      <w:r>
        <w:rPr>
          <w:rFonts w:ascii="Arial" w:hAnsi="Arial" w:cs="Arial" w:eastAsia="Arial" w:hint="default"/>
        </w:rPr>
        <w:t>BVI</w:t>
      </w:r>
      <w:r>
        <w:rPr>
          <w:rFonts w:ascii="Arial" w:hAnsi="Arial" w:cs="Arial" w:eastAsia="Arial" w:hint="default"/>
          <w:spacing w:val="-1"/>
        </w:rPr>
        <w:t> </w:t>
      </w:r>
      <w:r>
        <w:rPr>
          <w:spacing w:val="-5"/>
        </w:rPr>
        <w:t>的全部股权。在中国会计准则下，收购价与</w:t>
      </w:r>
      <w:r>
        <w:rPr>
          <w:w w:val="100"/>
        </w:rPr>
        <w:t> </w:t>
      </w:r>
      <w:r>
        <w:rPr>
          <w:spacing w:val="3"/>
        </w:rPr>
        <w:t>收购生效日被收购公司账面净资产值之间的差额确认为长期股权投资差额，并于</w:t>
      </w:r>
      <w:r>
        <w:rPr>
          <w:spacing w:val="-39"/>
        </w:rPr>
        <w:t> </w:t>
      </w:r>
      <w:r>
        <w:rPr>
          <w:spacing w:val="-39"/>
        </w:rPr>
      </w:r>
      <w:r>
        <w:rPr>
          <w:rFonts w:ascii="Arial" w:hAnsi="Arial" w:cs="Arial" w:eastAsia="Arial" w:hint="default"/>
        </w:rPr>
        <w:t>2007</w:t>
      </w:r>
      <w:r>
        <w:rPr>
          <w:rFonts w:ascii="Arial" w:hAnsi="Arial" w:cs="Arial" w:eastAsia="Arial" w:hint="default"/>
          <w:spacing w:val="6"/>
        </w:rPr>
        <w:t> </w:t>
      </w:r>
      <w:r>
        <w:rPr/>
        <w:t>年</w:t>
      </w:r>
      <w:r>
        <w:rPr>
          <w:spacing w:val="-43"/>
        </w:rPr>
        <w:t> </w:t>
      </w:r>
      <w:r>
        <w:rPr>
          <w:rFonts w:ascii="Arial" w:hAnsi="Arial" w:cs="Arial" w:eastAsia="Arial" w:hint="default"/>
        </w:rPr>
        <w:t>1</w:t>
      </w:r>
      <w:r>
        <w:rPr>
          <w:rFonts w:ascii="Arial" w:hAnsi="Arial" w:cs="Arial" w:eastAsia="Arial" w:hint="default"/>
          <w:spacing w:val="3"/>
        </w:rPr>
        <w:t> </w:t>
      </w:r>
      <w:r>
        <w:rPr/>
        <w:t>月</w:t>
      </w:r>
      <w:r>
        <w:rPr>
          <w:spacing w:val="-43"/>
        </w:rPr>
        <w:t> </w:t>
      </w:r>
      <w:r>
        <w:rPr>
          <w:rFonts w:ascii="Arial" w:hAnsi="Arial" w:cs="Arial" w:eastAsia="Arial" w:hint="default"/>
        </w:rPr>
        <w:t>1</w:t>
      </w:r>
      <w:r>
        <w:rPr>
          <w:rFonts w:ascii="Arial" w:hAnsi="Arial" w:cs="Arial" w:eastAsia="Arial" w:hint="default"/>
          <w:spacing w:val="6"/>
        </w:rPr>
        <w:t> </w:t>
      </w:r>
      <w:r>
        <w:rPr/>
        <w:t>日将尚未摊销的长期股权投资差额调整留存收益，减少本集团的净</w:t>
      </w:r>
      <w:r>
        <w:rPr>
          <w:w w:val="100"/>
        </w:rPr>
        <w:t> </w:t>
      </w:r>
      <w:r>
        <w:rPr>
          <w:spacing w:val="-4"/>
        </w:rPr>
        <w:t>资产。而在国际</w:t>
      </w:r>
      <w:r>
        <w:rPr>
          <w:rFonts w:ascii="Arial" w:hAnsi="Arial" w:cs="Arial" w:eastAsia="Arial" w:hint="default"/>
          <w:spacing w:val="-4"/>
        </w:rPr>
        <w:t>/</w:t>
      </w:r>
      <w:r>
        <w:rPr>
          <w:spacing w:val="-4"/>
        </w:rPr>
        <w:t>香港财务报告准则下，收购价与收购生效日被收购公司资产及负债</w:t>
      </w:r>
      <w:r>
        <w:rPr>
          <w:spacing w:val="-49"/>
        </w:rPr>
        <w:t> </w:t>
      </w:r>
      <w:r>
        <w:rPr>
          <w:spacing w:val="-49"/>
        </w:rPr>
      </w:r>
      <w:r>
        <w:rPr>
          <w:spacing w:val="-2"/>
        </w:rPr>
        <w:t>的公允价值之间的差额确认为商誉记入资产且不进行摊销，而是每年或当有减值迹</w:t>
      </w:r>
      <w:r>
        <w:rPr>
          <w:spacing w:val="-65"/>
        </w:rPr>
        <w:t> </w:t>
      </w:r>
      <w:r>
        <w:rPr>
          <w:spacing w:val="-65"/>
        </w:rPr>
      </w:r>
      <w:r>
        <w:rPr/>
        <w:t>象时进行减值测试。</w:t>
      </w:r>
    </w:p>
    <w:p>
      <w:pPr>
        <w:spacing w:line="240" w:lineRule="auto" w:before="3"/>
        <w:rPr>
          <w:rFonts w:ascii="宋体" w:hAnsi="宋体" w:cs="宋体" w:eastAsia="宋体" w:hint="default"/>
          <w:sz w:val="19"/>
          <w:szCs w:val="19"/>
        </w:rPr>
      </w:pPr>
    </w:p>
    <w:p>
      <w:pPr>
        <w:pStyle w:val="BodyText"/>
        <w:spacing w:line="295" w:lineRule="exact"/>
        <w:ind w:left="1188" w:right="0"/>
        <w:jc w:val="both"/>
      </w:pPr>
      <w:r>
        <w:rPr/>
        <w:t>除收购价外，本集团支付与上述收购直接相关的其他费用分别约人民币 </w:t>
      </w:r>
      <w:r>
        <w:rPr>
          <w:rFonts w:ascii="Arial" w:hAnsi="Arial" w:cs="Arial" w:eastAsia="Arial" w:hint="default"/>
        </w:rPr>
        <w:t>1.09</w:t>
      </w:r>
      <w:r>
        <w:rPr>
          <w:rFonts w:ascii="Arial" w:hAnsi="Arial" w:cs="Arial" w:eastAsia="Arial" w:hint="default"/>
          <w:spacing w:val="37"/>
        </w:rPr>
        <w:t> </w:t>
      </w:r>
      <w:r>
        <w:rPr/>
        <w:t>亿元</w:t>
      </w:r>
    </w:p>
    <w:p>
      <w:pPr>
        <w:pStyle w:val="BodyText"/>
        <w:spacing w:line="286" w:lineRule="exact" w:before="19"/>
        <w:ind w:left="1188" w:right="114"/>
        <w:jc w:val="both"/>
      </w:pPr>
      <w:r>
        <w:rPr/>
        <w:t>和</w:t>
      </w:r>
      <w:r>
        <w:rPr>
          <w:spacing w:val="-68"/>
        </w:rPr>
        <w:t> </w:t>
      </w:r>
      <w:r>
        <w:rPr>
          <w:rFonts w:ascii="Arial" w:hAnsi="Arial" w:cs="Arial" w:eastAsia="Arial" w:hint="default"/>
        </w:rPr>
        <w:t>4,938</w:t>
      </w:r>
      <w:r>
        <w:rPr>
          <w:rFonts w:ascii="Arial" w:hAnsi="Arial" w:cs="Arial" w:eastAsia="Arial" w:hint="default"/>
          <w:spacing w:val="-19"/>
        </w:rPr>
        <w:t> </w:t>
      </w:r>
      <w:r>
        <w:rPr/>
        <w:t>万元。在中国会计准则下，发生的交易费用作为期间费用，于发生之时计</w:t>
      </w:r>
      <w:r>
        <w:rPr>
          <w:w w:val="100"/>
        </w:rPr>
        <w:t> </w:t>
      </w:r>
      <w:r>
        <w:rPr>
          <w:spacing w:val="-4"/>
        </w:rPr>
        <w:t>入损益。于国际</w:t>
      </w:r>
      <w:r>
        <w:rPr>
          <w:rFonts w:ascii="Arial" w:hAnsi="Arial" w:cs="Arial" w:eastAsia="Arial" w:hint="default"/>
          <w:spacing w:val="-4"/>
        </w:rPr>
        <w:t>/</w:t>
      </w:r>
      <w:r>
        <w:rPr>
          <w:spacing w:val="-4"/>
        </w:rPr>
        <w:t>香港财务报告准则下，该等费用作为收购成本的一部分，随同收购</w:t>
      </w:r>
      <w:r>
        <w:rPr>
          <w:spacing w:val="-51"/>
        </w:rPr>
        <w:t> </w:t>
      </w:r>
      <w:r>
        <w:rPr>
          <w:spacing w:val="-51"/>
        </w:rPr>
      </w:r>
      <w:r>
        <w:rPr/>
        <w:t>成本一并予以资本化并于合并时计入商誉。</w:t>
      </w:r>
    </w:p>
    <w:p>
      <w:pPr>
        <w:spacing w:after="0" w:line="286" w:lineRule="exact"/>
        <w:jc w:val="both"/>
        <w:sectPr>
          <w:headerReference w:type="default" r:id="rId155"/>
          <w:pgSz w:w="11910" w:h="16840"/>
          <w:pgMar w:header="885" w:footer="1194" w:top="2200" w:bottom="1380" w:left="1680" w:right="1020"/>
        </w:sectPr>
      </w:pPr>
    </w:p>
    <w:p>
      <w:pPr>
        <w:spacing w:before="28"/>
        <w:ind w:left="2617" w:right="204" w:firstLine="0"/>
        <w:jc w:val="left"/>
        <w:rPr>
          <w:rFonts w:ascii="宋体" w:hAnsi="宋体" w:cs="宋体" w:eastAsia="宋体" w:hint="default"/>
          <w:sz w:val="18"/>
          <w:szCs w:val="18"/>
        </w:rPr>
      </w:pPr>
      <w:r>
        <w:rPr>
          <w:rFonts w:ascii="宋体" w:hAnsi="宋体" w:cs="宋体" w:eastAsia="宋体" w:hint="default"/>
          <w:sz w:val="18"/>
          <w:szCs w:val="18"/>
        </w:rPr>
        <w:t>中国联合网络通信股份有限公司</w:t>
      </w:r>
      <w:r>
        <w:rPr>
          <w:rFonts w:ascii="宋体" w:hAnsi="宋体" w:cs="宋体" w:eastAsia="宋体" w:hint="default"/>
          <w:spacing w:val="-46"/>
          <w:sz w:val="18"/>
          <w:szCs w:val="18"/>
        </w:rPr>
        <w:t> </w:t>
      </w: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5.3pt;height:.75pt;mso-position-horizontal-relative:char;mso-position-vertical-relative:line" coordorigin="0,0" coordsize="8906,15">
            <v:group style="position:absolute;left:7;top:7;width:8892;height:2" coordorigin="7,7" coordsize="8892,2">
              <v:shape style="position:absolute;left:7;top:7;width:8892;height:2" coordorigin="7,7" coordsize="8892,0" path="m7,7l889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1"/>
        <w:spacing w:line="240" w:lineRule="auto" w:before="14"/>
        <w:ind w:right="14"/>
        <w:jc w:val="center"/>
        <w:rPr>
          <w:rFonts w:ascii="宋体" w:hAnsi="宋体" w:cs="宋体" w:eastAsia="宋体" w:hint="default"/>
          <w:b w:val="0"/>
          <w:bCs w:val="0"/>
        </w:rPr>
      </w:pPr>
      <w:bookmarkStart w:name="_TOC_250000"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备查文件目录</w:t>
      </w:r>
      <w:bookmarkEnd w:id="11"/>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pacing w:val="-33"/>
                <w:sz w:val="21"/>
                <w:szCs w:val="21"/>
              </w:rPr>
              <w:t> </w:t>
            </w:r>
            <w:r>
              <w:rPr>
                <w:rFonts w:ascii="宋体" w:hAnsi="宋体" w:cs="宋体" w:eastAsia="宋体" w:hint="default"/>
                <w:sz w:val="21"/>
                <w:szCs w:val="21"/>
              </w:rPr>
              <w:t>载有法定代表人、主管会计工作负责人、会计机构负责人签名并盖</w:t>
            </w:r>
          </w:p>
          <w:p>
            <w:pPr>
              <w:pStyle w:val="TableParagraph"/>
              <w:spacing w:line="267" w:lineRule="exact"/>
              <w:ind w:left="427" w:right="0"/>
              <w:jc w:val="left"/>
              <w:rPr>
                <w:rFonts w:ascii="宋体" w:hAnsi="宋体" w:cs="宋体" w:eastAsia="宋体" w:hint="default"/>
                <w:sz w:val="21"/>
                <w:szCs w:val="21"/>
              </w:rPr>
            </w:pPr>
            <w:r>
              <w:rPr>
                <w:rFonts w:ascii="宋体" w:hAnsi="宋体" w:cs="宋体" w:eastAsia="宋体" w:hint="default"/>
                <w:sz w:val="21"/>
                <w:szCs w:val="21"/>
              </w:rPr>
              <w:t>章的会计报表</w:t>
            </w:r>
          </w:p>
        </w:tc>
      </w:tr>
      <w:tr>
        <w:trPr>
          <w:trHeight w:val="52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6"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pacing w:val="-34"/>
                <w:sz w:val="21"/>
                <w:szCs w:val="21"/>
              </w:rPr>
              <w:t> </w:t>
            </w:r>
            <w:r>
              <w:rPr>
                <w:rFonts w:ascii="宋体" w:hAnsi="宋体" w:cs="宋体" w:eastAsia="宋体" w:hint="default"/>
                <w:sz w:val="21"/>
                <w:szCs w:val="21"/>
              </w:rPr>
              <w:t>载有会计师事务所盖章、注册会计师签名并盖章的审计报告原件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spacing w:val="-33"/>
                <w:sz w:val="21"/>
                <w:szCs w:val="21"/>
              </w:rPr>
              <w:t> </w:t>
            </w:r>
            <w:r>
              <w:rPr>
                <w:rFonts w:ascii="宋体" w:hAnsi="宋体" w:cs="宋体" w:eastAsia="宋体" w:hint="default"/>
                <w:sz w:val="21"/>
                <w:szCs w:val="21"/>
              </w:rPr>
              <w:t>报告期内在中国证监会指定报纸上公开披露的所有公司文件的正本</w:t>
            </w:r>
          </w:p>
          <w:p>
            <w:pPr>
              <w:pStyle w:val="TableParagraph"/>
              <w:spacing w:line="266" w:lineRule="exact"/>
              <w:ind w:left="427" w:right="0"/>
              <w:jc w:val="left"/>
              <w:rPr>
                <w:rFonts w:ascii="宋体" w:hAnsi="宋体" w:cs="宋体" w:eastAsia="宋体" w:hint="default"/>
                <w:sz w:val="21"/>
                <w:szCs w:val="21"/>
              </w:rPr>
            </w:pPr>
            <w:r>
              <w:rPr>
                <w:rFonts w:ascii="宋体" w:hAnsi="宋体" w:cs="宋体" w:eastAsia="宋体" w:hint="default"/>
                <w:sz w:val="21"/>
                <w:szCs w:val="21"/>
              </w:rPr>
              <w:t>及公告的原稿</w:t>
            </w:r>
          </w:p>
        </w:tc>
      </w:tr>
      <w:tr>
        <w:trPr>
          <w:trHeight w:val="526"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w:t>
            </w:r>
            <w:r>
              <w:rPr>
                <w:rFonts w:ascii="宋体" w:hAnsi="宋体" w:cs="宋体" w:eastAsia="宋体" w:hint="default"/>
                <w:spacing w:val="-14"/>
                <w:sz w:val="21"/>
                <w:szCs w:val="21"/>
              </w:rPr>
              <w:t> </w:t>
            </w:r>
            <w:r>
              <w:rPr>
                <w:rFonts w:ascii="宋体" w:hAnsi="宋体" w:cs="宋体" w:eastAsia="宋体" w:hint="default"/>
                <w:sz w:val="21"/>
                <w:szCs w:val="21"/>
              </w:rPr>
              <w:t>联通红筹公司</w:t>
            </w:r>
            <w:r>
              <w:rPr>
                <w:rFonts w:ascii="Arial" w:hAnsi="Arial" w:cs="Arial" w:eastAsia="Arial" w:hint="default"/>
                <w:sz w:val="21"/>
                <w:szCs w:val="21"/>
              </w:rPr>
              <w:t>2014</w:t>
            </w:r>
            <w:r>
              <w:rPr>
                <w:rFonts w:ascii="宋体" w:hAnsi="宋体" w:cs="宋体" w:eastAsia="宋体" w:hint="default"/>
                <w:sz w:val="21"/>
                <w:szCs w:val="21"/>
              </w:rPr>
              <w:t>年度业绩公告</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314" w:lineRule="auto" w:before="174"/>
        <w:ind w:left="6023" w:right="155" w:firstLine="1471"/>
        <w:jc w:val="right"/>
        <w:rPr>
          <w:rFonts w:ascii="宋体" w:hAnsi="宋体" w:cs="宋体" w:eastAsia="宋体" w:hint="default"/>
          <w:sz w:val="21"/>
          <w:szCs w:val="21"/>
        </w:rPr>
      </w:pPr>
      <w:r>
        <w:rPr>
          <w:rFonts w:ascii="宋体" w:hAnsi="宋体" w:cs="宋体" w:eastAsia="宋体" w:hint="default"/>
          <w:spacing w:val="-1"/>
          <w:sz w:val="21"/>
          <w:szCs w:val="21"/>
        </w:rPr>
        <w:t>董事长：常小兵</w:t>
      </w:r>
      <w:r>
        <w:rPr>
          <w:rFonts w:ascii="宋体" w:hAnsi="宋体" w:cs="宋体" w:eastAsia="宋体" w:hint="default"/>
          <w:w w:val="100"/>
          <w:sz w:val="21"/>
          <w:szCs w:val="21"/>
        </w:rPr>
        <w:t> </w:t>
      </w:r>
      <w:r>
        <w:rPr>
          <w:rFonts w:ascii="宋体" w:hAnsi="宋体" w:cs="宋体" w:eastAsia="宋体" w:hint="default"/>
          <w:spacing w:val="-2"/>
          <w:sz w:val="21"/>
          <w:szCs w:val="21"/>
        </w:rPr>
        <w:t>中国联合网络通信股份有限公司</w:t>
      </w:r>
    </w:p>
    <w:p>
      <w:pPr>
        <w:spacing w:before="20"/>
        <w:ind w:left="0" w:right="154" w:firstLine="0"/>
        <w:jc w:val="right"/>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日</w:t>
      </w:r>
    </w:p>
    <w:sectPr>
      <w:headerReference w:type="default" r:id="rId156"/>
      <w:pgSz w:w="11910" w:h="16840"/>
      <w:pgMar w:header="0" w:footer="1194" w:top="78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269989pt;margin-top:771.203125pt;width:15.65pt;height:11pt;mso-position-horizontal-relative:page;mso-position-vertical-relative:page;z-index:-736096"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7.869995pt;margin-top:551.963196pt;width:14.1pt;height:11.4pt;mso-position-horizontal-relative:page;mso-position-vertical-relative:page;z-index:-735880" type="#_x0000_t202" filled="false" stroked="false">
          <v:textbox inset="0,0,0,0">
            <w:txbxContent>
              <w:p>
                <w:pPr>
                  <w:spacing w:before="4"/>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62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7.869995pt;margin-top:551.963196pt;width:14.1pt;height:11pt;mso-position-horizontal-relative:page;mso-position-vertical-relative:page;z-index:-735856"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63</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489990pt;margin-top:792.227173pt;width:18.55pt;height:11pt;mso-position-horizontal-relative:page;mso-position-vertical-relative:page;z-index:-735784" type="#_x0000_t202" filled="false" stroked="false">
          <v:textbox inset="0,0,0,0">
            <w:txbxContent>
              <w:p>
                <w:pPr>
                  <w:spacing w:line="204" w:lineRule="exact" w:before="0"/>
                  <w:ind w:left="128"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64</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489990pt;margin-top:784.54718pt;width:14.1pt;height:18.7pt;mso-position-horizontal-relative:page;mso-position-vertical-relative:page;z-index:-733984" type="#_x0000_t202" filled="false" stroked="false">
          <v:textbox inset="0,0,0,0">
            <w:txbxContent>
              <w:p>
                <w:pPr>
                  <w:spacing w:before="15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88</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489990pt;margin-top:784.54718pt;width:12.1pt;height:11pt;mso-position-horizontal-relative:page;mso-position-vertical-relative:page;z-index:-733840"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90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489990pt;margin-top:784.54718pt;width:14.1pt;height:11pt;mso-position-horizontal-relative:page;mso-position-vertical-relative:page;z-index:-733816"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92</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489990pt;margin-top:784.54718pt;width:14.1pt;height:11pt;mso-position-horizontal-relative:page;mso-position-vertical-relative:page;z-index:-733720"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95</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290009pt;margin-top:784.54718pt;width:17.95pt;height:11pt;mso-position-horizontal-relative:page;mso-position-vertical-relative:page;z-index:-736072" type="#_x0000_t202" filled="false" stroked="false">
          <v:textbox inset="0,0,0,0">
            <w:txbxContent>
              <w:p>
                <w:pPr>
                  <w:spacing w:line="204" w:lineRule="exact" w:before="0"/>
                  <w:ind w:left="116"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54</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970001pt;margin-top:784.54718pt;width:19.150pt;height:11pt;mso-position-horizontal-relative:page;mso-position-vertical-relative:page;z-index:-733480"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100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970001pt;margin-top:798.947144pt;width:19.150pt;height:11pt;mso-position-horizontal-relative:page;mso-position-vertical-relative:page;z-index:-73338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103</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329987pt;margin-top:798.947144pt;width:18.4pt;height:11pt;mso-position-horizontal-relative:page;mso-position-vertical-relative:page;z-index:-73268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110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329987pt;margin-top:798.947144pt;width:18.4pt;height:11pt;mso-position-horizontal-relative:page;mso-position-vertical-relative:page;z-index:-73259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114</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329987pt;margin-top:798.947144pt;width:18.4pt;height:11pt;mso-position-horizontal-relative:page;mso-position-vertical-relative:page;z-index:-732496"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117</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130005pt;margin-top:784.54718pt;width:14.1pt;height:11pt;mso-position-horizontal-relative:page;mso-position-vertical-relative:page;z-index:-73604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55</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970001pt;margin-top:798.947144pt;width:19.150pt;height:11pt;mso-position-horizontal-relative:page;mso-position-vertical-relative:page;z-index:-73232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121</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970001pt;margin-top:792.227173pt;width:19.150pt;height:17.75pt;mso-position-horizontal-relative:page;mso-position-vertical-relative:page;z-index:-730960" type="#_x0000_t202" filled="false" stroked="false">
          <v:textbox inset="0,0,0,0">
            <w:txbxContent>
              <w:p>
                <w:pPr>
                  <w:spacing w:before="131"/>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139</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929993pt;margin-top:784.54718pt;width:17.150pt;height:11pt;mso-position-horizontal-relative:page;mso-position-vertical-relative:page;z-index:-730648"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141</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850006pt;margin-top:784.54718pt;width:20.2pt;height:11pt;mso-position-horizontal-relative:page;mso-position-vertical-relative:page;z-index:-730528" type="#_x0000_t202" filled="false" stroked="false">
          <v:textbox inset="0,0,0,0">
            <w:txbxContent>
              <w:p>
                <w:pPr>
                  <w:spacing w:line="204" w:lineRule="exact" w:before="0"/>
                  <w:ind w:left="61"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142</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190002pt;margin-top:771.203125pt;width:19.150pt;height:11pt;mso-position-horizontal-relative:page;mso-position-vertical-relative:page;z-index:-72911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163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130005pt;margin-top:784.54718pt;width:14.1pt;height:11pt;mso-position-horizontal-relative:page;mso-position-vertical-relative:page;z-index:-73602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56</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290009pt;margin-top:784.54718pt;width:14.1pt;height:11pt;mso-position-horizontal-relative:page;mso-position-vertical-relative:page;z-index:-736000"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57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290009pt;margin-top:784.54718pt;width:14.1pt;height:11pt;mso-position-horizontal-relative:page;mso-position-vertical-relative:page;z-index:-735976"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58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290009pt;margin-top:784.54718pt;width:14.1pt;height:11pt;mso-position-horizontal-relative:page;mso-position-vertical-relative:page;z-index:-73595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59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730011pt;margin-top:784.54718pt;width:14.1pt;height:11pt;mso-position-horizontal-relative:page;mso-position-vertical-relative:page;z-index:-73592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730011pt;margin-top:784.54718pt;width:14.1pt;height:11pt;mso-position-horizontal-relative:page;mso-position-vertical-relative:page;z-index:-73590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61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5pt;height:.1pt;mso-position-horizontal-relative:page;mso-position-vertical-relative:page;z-index:-736192" coordorigin="1769,1116" coordsize="8873,2">
          <v:shape style="position:absolute;left:1769;top:1116;width:8873;height:2" coordorigin="1769,1116" coordsize="8873,0" path="m1769,1116l10642,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11.449997pt;margin-top:42.985607pt;width:197.65pt;height:11.45pt;mso-position-horizontal-relative:page;mso-position-vertical-relative:page;z-index:-736168"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中国联合网络通信股份有限公司</w:t>
                </w:r>
                <w:r>
                  <w:rPr>
                    <w:rFonts w:ascii="宋体" w:hAnsi="宋体" w:cs="宋体" w:eastAsia="宋体" w:hint="default"/>
                    <w:spacing w:val="-46"/>
                    <w:sz w:val="18"/>
                    <w:szCs w:val="18"/>
                  </w:rPr>
                  <w:t> </w:t>
                </w: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72940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72937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72935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72932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72930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72928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72925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72923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72920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72918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43.272484pt;width:156.1pt;height:13.05pt;mso-position-horizontal-relative:page;mso-position-vertical-relative:page;z-index:-72916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88.903999pt;margin-top:70.152481pt;width:200.15pt;height:41.65pt;mso-position-horizontal-relative:page;mso-position-vertical-relative:page;z-index:-72913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4"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43.272484pt;width:156.1pt;height:13.05pt;mso-position-horizontal-relative:page;mso-position-vertical-relative:page;z-index:-72908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88.903999pt;margin-top:70.152481pt;width:200.15pt;height:41.65pt;mso-position-horizontal-relative:page;mso-position-vertical-relative:page;z-index:-72906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4"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024002pt;margin-top:47.232494pt;width:156.1pt;height:13.05pt;mso-position-horizontal-relative:page;mso-position-vertical-relative:page;z-index:-73583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7.024002pt;margin-top:74.132492pt;width:200.15pt;height:41.6pt;mso-position-horizontal-relative:page;mso-position-vertical-relative:page;z-index:-73580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024002pt;margin-top:47.232494pt;width:156.1pt;height:13.05pt;mso-position-horizontal-relative:page;mso-position-vertical-relative:page;z-index:-73576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7.024002pt;margin-top:74.132492pt;width:200.15pt;height:41.6pt;mso-position-horizontal-relative:page;mso-position-vertical-relative:page;z-index:-73573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024002pt;margin-top:47.232494pt;width:156.1pt;height:13.05pt;mso-position-horizontal-relative:page;mso-position-vertical-relative:page;z-index:-73571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7.024002pt;margin-top:74.132492pt;width:200.15pt;height:41.6pt;mso-position-horizontal-relative:page;mso-position-vertical-relative:page;z-index:-73568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024002pt;margin-top:47.232494pt;width:156.1pt;height:13.05pt;mso-position-horizontal-relative:page;mso-position-vertical-relative:page;z-index:-73566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7.024002pt;margin-top:74.132492pt;width:200.15pt;height:41.6pt;mso-position-horizontal-relative:page;mso-position-vertical-relative:page;z-index:-73564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304001pt;margin-top:129.572495pt;width:177.8pt;height:13.05pt;mso-position-horizontal-relative:page;mso-position-vertical-relative:page;z-index:-735616"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024002pt;margin-top:47.232494pt;width:156.1pt;height:13.05pt;mso-position-horizontal-relative:page;mso-position-vertical-relative:page;z-index:-73559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7.024002pt;margin-top:74.132492pt;width:200.15pt;height:41.6pt;mso-position-horizontal-relative:page;mso-position-vertical-relative:page;z-index:-73556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304001pt;margin-top:129.572495pt;width:177.8pt;height:13.05pt;mso-position-horizontal-relative:page;mso-position-vertical-relative:page;z-index:-735544"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024002pt;margin-top:47.232494pt;width:156.1pt;height:13.05pt;mso-position-horizontal-relative:page;mso-position-vertical-relative:page;z-index:-73552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7.024002pt;margin-top:74.132492pt;width:200.15pt;height:41.6pt;mso-position-horizontal-relative:page;mso-position-vertical-relative:page;z-index:-73549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304001pt;margin-top:129.572495pt;width:177.8pt;height:13.05pt;mso-position-horizontal-relative:page;mso-position-vertical-relative:page;z-index:-735472"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r>
      <w:rPr/>
      <w:pict>
        <v:shape style="position:absolute;margin-left:77.024002pt;margin-top:157.412491pt;width:96.2pt;height:13.6pt;mso-position-horizontal-relative:page;mso-position-vertical-relative:page;z-index:-735448" type="#_x0000_t202" filled="false" stroked="false">
          <v:textbox inset="0,0,0,0">
            <w:txbxContent>
              <w:p>
                <w:pPr>
                  <w:pStyle w:val="BodyText"/>
                  <w:spacing w:line="256" w:lineRule="exact"/>
                  <w:ind w:right="0"/>
                  <w:jc w:val="left"/>
                </w:pPr>
                <w:r>
                  <w:rPr>
                    <w:rFonts w:ascii="Arial" w:hAnsi="Arial" w:cs="Arial" w:eastAsia="Arial" w:hint="default"/>
                  </w:rPr>
                  <w:t>8</w:t>
                </w:r>
                <w:r>
                  <w:rPr/>
                  <w:t>、金融工具（续）</w:t>
                </w:r>
              </w:p>
            </w:txbxContent>
          </v:textbox>
          <w10:wrap type="none"/>
        </v:shape>
      </w:pict>
    </w:r>
    <w:r>
      <w:rPr/>
      <w:pict>
        <v:shape style="position:absolute;margin-left:77.024002pt;margin-top:182.372498pt;width:100.2pt;height:13.6pt;mso-position-horizontal-relative:page;mso-position-vertical-relative:page;z-index:-735424" type="#_x0000_t202" filled="false" stroked="false">
          <v:textbox inset="0,0,0,0">
            <w:txbxContent>
              <w:p>
                <w:pPr>
                  <w:pStyle w:val="BodyText"/>
                  <w:spacing w:line="256" w:lineRule="exact"/>
                  <w:ind w:right="0"/>
                  <w:jc w:val="left"/>
                </w:pPr>
                <w:r>
                  <w:rPr>
                    <w:rFonts w:ascii="Arial" w:hAnsi="Arial" w:cs="Arial" w:eastAsia="Arial" w:hint="default"/>
                  </w:rPr>
                  <w:t>(a) </w:t>
                </w:r>
                <w:r>
                  <w:rPr>
                    <w:rFonts w:ascii="Arial" w:hAnsi="Arial" w:cs="Arial" w:eastAsia="Arial" w:hint="default"/>
                    <w:spacing w:val="30"/>
                  </w:rPr>
                  <w:t> </w:t>
                </w:r>
                <w:r>
                  <w:rPr/>
                  <w:t>金融资产（续）</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024002pt;margin-top:47.232494pt;width:156.1pt;height:13.05pt;mso-position-horizontal-relative:page;mso-position-vertical-relative:page;z-index:-73540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7.024002pt;margin-top:74.132492pt;width:200.15pt;height:41.6pt;mso-position-horizontal-relative:page;mso-position-vertical-relative:page;z-index:-73537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304001pt;margin-top:129.572495pt;width:177.8pt;height:13.05pt;mso-position-horizontal-relative:page;mso-position-vertical-relative:page;z-index:-735352"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r>
      <w:rPr/>
      <w:pict>
        <v:shape style="position:absolute;margin-left:77.024002pt;margin-top:157.412491pt;width:96.2pt;height:13.6pt;mso-position-horizontal-relative:page;mso-position-vertical-relative:page;z-index:-735328" type="#_x0000_t202" filled="false" stroked="false">
          <v:textbox inset="0,0,0,0">
            <w:txbxContent>
              <w:p>
                <w:pPr>
                  <w:pStyle w:val="BodyText"/>
                  <w:spacing w:line="256" w:lineRule="exact"/>
                  <w:ind w:right="0"/>
                  <w:jc w:val="left"/>
                </w:pPr>
                <w:r>
                  <w:rPr>
                    <w:rFonts w:ascii="Arial" w:hAnsi="Arial" w:cs="Arial" w:eastAsia="Arial" w:hint="default"/>
                  </w:rPr>
                  <w:t>8</w:t>
                </w:r>
                <w:r>
                  <w:rPr/>
                  <w:t>、金融工具（续）</w:t>
                </w:r>
              </w:p>
            </w:txbxContent>
          </v:textbox>
          <w10:wrap type="none"/>
        </v:shape>
      </w:pict>
    </w:r>
    <w:r>
      <w:rPr/>
      <w:pict>
        <v:shape style="position:absolute;margin-left:77.024002pt;margin-top:182.372498pt;width:100.2pt;height:13.6pt;mso-position-horizontal-relative:page;mso-position-vertical-relative:page;z-index:-735304" type="#_x0000_t202" filled="false" stroked="false">
          <v:textbox inset="0,0,0,0">
            <w:txbxContent>
              <w:p>
                <w:pPr>
                  <w:pStyle w:val="BodyText"/>
                  <w:spacing w:line="256" w:lineRule="exact"/>
                  <w:ind w:right="0"/>
                  <w:jc w:val="left"/>
                </w:pPr>
                <w:r>
                  <w:rPr>
                    <w:rFonts w:ascii="Arial" w:hAnsi="Arial" w:cs="Arial" w:eastAsia="Arial" w:hint="default"/>
                  </w:rPr>
                  <w:t>(a) </w:t>
                </w:r>
                <w:r>
                  <w:rPr>
                    <w:rFonts w:ascii="Arial" w:hAnsi="Arial" w:cs="Arial" w:eastAsia="Arial" w:hint="default"/>
                    <w:spacing w:val="30"/>
                  </w:rPr>
                  <w:t> </w:t>
                </w:r>
                <w:r>
                  <w:rPr/>
                  <w:t>金融资产（续）</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024002pt;margin-top:47.232494pt;width:156.1pt;height:13.05pt;mso-position-horizontal-relative:page;mso-position-vertical-relative:page;z-index:-73528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7.024002pt;margin-top:74.132492pt;width:200.15pt;height:41.6pt;mso-position-horizontal-relative:page;mso-position-vertical-relative:page;z-index:-73525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304001pt;margin-top:129.572495pt;width:177.8pt;height:13.05pt;mso-position-horizontal-relative:page;mso-position-vertical-relative:page;z-index:-735232"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024002pt;margin-top:47.232494pt;width:156.1pt;height:13.05pt;mso-position-horizontal-relative:page;mso-position-vertical-relative:page;z-index:-73520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7.024002pt;margin-top:74.132492pt;width:200.15pt;height:41.6pt;mso-position-horizontal-relative:page;mso-position-vertical-relative:page;z-index:-73518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304001pt;margin-top:129.572495pt;width:177.8pt;height:13.05pt;mso-position-horizontal-relative:page;mso-position-vertical-relative:page;z-index:-735160"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024002pt;margin-top:47.232494pt;width:156.1pt;height:13.05pt;mso-position-horizontal-relative:page;mso-position-vertical-relative:page;z-index:-73513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7.024002pt;margin-top:74.132492pt;width:200.15pt;height:41.6pt;mso-position-horizontal-relative:page;mso-position-vertical-relative:page;z-index:-73511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304001pt;margin-top:129.572495pt;width:177.8pt;height:13.05pt;mso-position-horizontal-relative:page;mso-position-vertical-relative:page;z-index:-735088"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024002pt;margin-top:47.232494pt;width:156.1pt;height:13.05pt;mso-position-horizontal-relative:page;mso-position-vertical-relative:page;z-index:-73506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7.024002pt;margin-top:74.132492pt;width:200.15pt;height:41.6pt;mso-position-horizontal-relative:page;mso-position-vertical-relative:page;z-index:-73504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304001pt;margin-top:129.572495pt;width:177.8pt;height:13.05pt;mso-position-horizontal-relative:page;mso-position-vertical-relative:page;z-index:-735016"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024002pt;margin-top:47.232494pt;width:156.1pt;height:13.05pt;mso-position-horizontal-relative:page;mso-position-vertical-relative:page;z-index:-73499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7.024002pt;margin-top:74.132492pt;width:200.15pt;height:41.6pt;mso-position-horizontal-relative:page;mso-position-vertical-relative:page;z-index:-73496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304001pt;margin-top:129.572495pt;width:177.8pt;height:13.05pt;mso-position-horizontal-relative:page;mso-position-vertical-relative:page;z-index:-734944"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024002pt;margin-top:47.232494pt;width:156.1pt;height:13.05pt;mso-position-horizontal-relative:page;mso-position-vertical-relative:page;z-index:-73492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7.024002pt;margin-top:74.132492pt;width:200.15pt;height:41.6pt;mso-position-horizontal-relative:page;mso-position-vertical-relative:page;z-index:-73489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304001pt;margin-top:129.572495pt;width:177.8pt;height:13.05pt;mso-position-horizontal-relative:page;mso-position-vertical-relative:page;z-index:-734872"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024002pt;margin-top:47.232494pt;width:156.1pt;height:13.05pt;mso-position-horizontal-relative:page;mso-position-vertical-relative:page;z-index:-73484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7.024002pt;margin-top:74.132492pt;width:200.15pt;height:41.6pt;mso-position-horizontal-relative:page;mso-position-vertical-relative:page;z-index:-73482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304001pt;margin-top:129.572495pt;width:177.8pt;height:13.05pt;mso-position-horizontal-relative:page;mso-position-vertical-relative:page;z-index:-734800"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024002pt;margin-top:47.232494pt;width:156.1pt;height:13.05pt;mso-position-horizontal-relative:page;mso-position-vertical-relative:page;z-index:-73477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7.024002pt;margin-top:74.132492pt;width:200.15pt;height:41.6pt;mso-position-horizontal-relative:page;mso-position-vertical-relative:page;z-index:-73475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304001pt;margin-top:129.572495pt;width:177.8pt;height:13.05pt;mso-position-horizontal-relative:page;mso-position-vertical-relative:page;z-index:-734728"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024002pt;margin-top:47.232494pt;width:156.1pt;height:13.05pt;mso-position-horizontal-relative:page;mso-position-vertical-relative:page;z-index:-73470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7.024002pt;margin-top:74.132492pt;width:200.15pt;height:41.6pt;mso-position-horizontal-relative:page;mso-position-vertical-relative:page;z-index:-73468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304001pt;margin-top:129.572495pt;width:177.8pt;height:13.05pt;mso-position-horizontal-relative:page;mso-position-vertical-relative:page;z-index:-734656"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0.5pt;height:.1pt;mso-position-horizontal-relative:page;mso-position-vertical-relative:page;z-index:-736144" coordorigin="1769,1116" coordsize="8810,2">
          <v:shape style="position:absolute;left:1769;top:1116;width:8810;height:2" coordorigin="1769,1116" coordsize="8810,0" path="m1769,1116l10579,1116e" filled="false" stroked="true" strokeweight=".72pt" strokecolor="#000000">
            <v:path arrowok="t"/>
          </v:shape>
          <w10:wrap type="none"/>
        </v:group>
      </w:pict>
    </w:r>
    <w:r>
      <w:rPr/>
      <w:pict>
        <v:shape style="position:absolute;margin-left:209.889999pt;margin-top:42.985607pt;width:197.65pt;height:11.45pt;mso-position-horizontal-relative:page;mso-position-vertical-relative:page;z-index:-736120"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中国联合网络通信股份有限公司</w:t>
                </w:r>
                <w:r>
                  <w:rPr>
                    <w:rFonts w:ascii="宋体" w:hAnsi="宋体" w:cs="宋体" w:eastAsia="宋体" w:hint="default"/>
                    <w:spacing w:val="-46"/>
                    <w:sz w:val="18"/>
                    <w:szCs w:val="18"/>
                  </w:rPr>
                  <w:t> </w:t>
                </w: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024002pt;margin-top:47.232494pt;width:156.1pt;height:13.05pt;mso-position-horizontal-relative:page;mso-position-vertical-relative:page;z-index:-73463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7.024002pt;margin-top:74.132492pt;width:200.15pt;height:41.6pt;mso-position-horizontal-relative:page;mso-position-vertical-relative:page;z-index:-73460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304001pt;margin-top:129.572495pt;width:177.8pt;height:13.05pt;mso-position-horizontal-relative:page;mso-position-vertical-relative:page;z-index:-734584"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024002pt;margin-top:47.232494pt;width:156.1pt;height:13.05pt;mso-position-horizontal-relative:page;mso-position-vertical-relative:page;z-index:-73456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7.024002pt;margin-top:74.132492pt;width:200.15pt;height:41.6pt;mso-position-horizontal-relative:page;mso-position-vertical-relative:page;z-index:-73453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304001pt;margin-top:129.572495pt;width:177.8pt;height:13.05pt;mso-position-horizontal-relative:page;mso-position-vertical-relative:page;z-index:-734512"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024002pt;margin-top:47.232494pt;width:156.1pt;height:13.05pt;mso-position-horizontal-relative:page;mso-position-vertical-relative:page;z-index:-73448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7.024002pt;margin-top:74.132492pt;width:200.15pt;height:41.6pt;mso-position-horizontal-relative:page;mso-position-vertical-relative:page;z-index:-73446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304001pt;margin-top:129.572495pt;width:177.8pt;height:13.05pt;mso-position-horizontal-relative:page;mso-position-vertical-relative:page;z-index:-734440"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024002pt;margin-top:47.232494pt;width:156.1pt;height:13.05pt;mso-position-horizontal-relative:page;mso-position-vertical-relative:page;z-index:-73441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7.024002pt;margin-top:74.132492pt;width:200.15pt;height:41.6pt;mso-position-horizontal-relative:page;mso-position-vertical-relative:page;z-index:-73439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304001pt;margin-top:129.572495pt;width:177.8pt;height:13.05pt;mso-position-horizontal-relative:page;mso-position-vertical-relative:page;z-index:-734368"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024002pt;margin-top:47.232494pt;width:156.1pt;height:13.05pt;mso-position-horizontal-relative:page;mso-position-vertical-relative:page;z-index:-73434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7.024002pt;margin-top:74.132492pt;width:200.15pt;height:41.6pt;mso-position-horizontal-relative:page;mso-position-vertical-relative:page;z-index:-73432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304001pt;margin-top:129.572495pt;width:177.8pt;height:13.05pt;mso-position-horizontal-relative:page;mso-position-vertical-relative:page;z-index:-734296"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r>
      <w:rPr/>
      <w:pict>
        <v:shape style="position:absolute;margin-left:77.024002pt;margin-top:157.412491pt;width:157.4pt;height:13.6pt;mso-position-horizontal-relative:page;mso-position-vertical-relative:page;z-index:-734272" type="#_x0000_t202" filled="false" stroked="false">
          <v:textbox inset="0,0,0,0">
            <w:txbxContent>
              <w:p>
                <w:pPr>
                  <w:pStyle w:val="BodyText"/>
                  <w:spacing w:line="256" w:lineRule="exact"/>
                  <w:ind w:right="0"/>
                  <w:jc w:val="left"/>
                </w:pPr>
                <w:r>
                  <w:rPr>
                    <w:rFonts w:ascii="Arial" w:hAnsi="Arial" w:cs="Arial" w:eastAsia="Arial" w:hint="default"/>
                  </w:rPr>
                  <w:t>33</w:t>
                </w:r>
                <w:r>
                  <w:rPr/>
                  <w:t>、重要会计估计和判断（续）</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024002pt;margin-top:47.232494pt;width:156.1pt;height:13.05pt;mso-position-horizontal-relative:page;mso-position-vertical-relative:page;z-index:-73424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7.024002pt;margin-top:74.132492pt;width:200.15pt;height:41.6pt;mso-position-horizontal-relative:page;mso-position-vertical-relative:page;z-index:-73422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304001pt;margin-top:129.572495pt;width:177.8pt;height:13.05pt;mso-position-horizontal-relative:page;mso-position-vertical-relative:page;z-index:-734200"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r>
      <w:rPr/>
      <w:pict>
        <v:shape style="position:absolute;margin-left:77.024002pt;margin-top:156.8125pt;width:157.4pt;height:13.6pt;mso-position-horizontal-relative:page;mso-position-vertical-relative:page;z-index:-734176" type="#_x0000_t202" filled="false" stroked="false">
          <v:textbox inset="0,0,0,0">
            <w:txbxContent>
              <w:p>
                <w:pPr>
                  <w:pStyle w:val="BodyText"/>
                  <w:spacing w:line="256" w:lineRule="exact"/>
                  <w:ind w:right="0"/>
                  <w:jc w:val="left"/>
                </w:pPr>
                <w:r>
                  <w:rPr>
                    <w:rFonts w:ascii="Arial" w:hAnsi="Arial" w:cs="Arial" w:eastAsia="Arial" w:hint="default"/>
                  </w:rPr>
                  <w:t>33</w:t>
                </w:r>
                <w:r>
                  <w:rPr/>
                  <w:t>、重要会计估计和判断（续）</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024002pt;margin-top:47.232494pt;width:156.1pt;height:13.05pt;mso-position-horizontal-relative:page;mso-position-vertical-relative:page;z-index:-73415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7.024002pt;margin-top:74.132492pt;width:200.15pt;height:41.6pt;mso-position-horizontal-relative:page;mso-position-vertical-relative:page;z-index:-73412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304001pt;margin-top:129.572495pt;width:177.8pt;height:13.05pt;mso-position-horizontal-relative:page;mso-position-vertical-relative:page;z-index:-734104"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344002pt;margin-top:40.992493pt;width:156.1pt;height:13.05pt;mso-position-horizontal-relative:page;mso-position-vertical-relative:page;z-index:-73408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5.344002pt;margin-top:67.892494pt;width:200.15pt;height:41.6pt;mso-position-horizontal-relative:page;mso-position-vertical-relative:page;z-index:-73405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344002pt;margin-top:40.992493pt;width:156.1pt;height:13.05pt;mso-position-horizontal-relative:page;mso-position-vertical-relative:page;z-index:-73403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5.344002pt;margin-top:67.892494pt;width:200.15pt;height:41.6pt;mso-position-horizontal-relative:page;mso-position-vertical-relative:page;z-index:-73400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396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393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391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388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4.85pt;height:13.05pt;mso-position-horizontal-relative:page;mso-position-vertical-relative:page;z-index:-73386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64"/>
                  </w:rPr>
                  <w:t> </w:t>
                </w:r>
                <w:r>
                  <w:rPr>
                    <w:rFonts w:ascii="黑体" w:hAnsi="黑体" w:cs="黑体" w:eastAsia="黑体" w:hint="default"/>
                  </w:rPr>
                  <w:t>合并财务报表项目附注（续）</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379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376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4.85pt;height:13.05pt;mso-position-horizontal-relative:page;mso-position-vertical-relative:page;z-index:-73374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64"/>
                  </w:rPr>
                  <w:t> </w:t>
                </w:r>
                <w:r>
                  <w:rPr>
                    <w:rFonts w:ascii="黑体" w:hAnsi="黑体" w:cs="黑体" w:eastAsia="黑体" w:hint="default"/>
                  </w:rPr>
                  <w:t>合并财务报表项目附注（续）</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369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367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4.85pt;height:13.05pt;mso-position-horizontal-relative:page;mso-position-vertical-relative:page;z-index:-73364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64"/>
                  </w:rPr>
                  <w:t> </w:t>
                </w:r>
                <w:r>
                  <w:rPr>
                    <w:rFonts w:ascii="黑体" w:hAnsi="黑体" w:cs="黑体" w:eastAsia="黑体" w:hint="default"/>
                  </w:rPr>
                  <w:t>合并财务报表项目附注（续）</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362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360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4.85pt;height:13.05pt;mso-position-horizontal-relative:page;mso-position-vertical-relative:page;z-index:-73357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64"/>
                  </w:rPr>
                  <w:t> </w:t>
                </w:r>
                <w:r>
                  <w:rPr>
                    <w:rFonts w:ascii="黑体" w:hAnsi="黑体" w:cs="黑体" w:eastAsia="黑体" w:hint="default"/>
                  </w:rPr>
                  <w:t>合并财务报表项目附注（续）</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355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352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4.85pt;height:13.05pt;mso-position-horizontal-relative:page;mso-position-vertical-relative:page;z-index:-73350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64"/>
                  </w:rPr>
                  <w:t> </w:t>
                </w:r>
                <w:r>
                  <w:rPr>
                    <w:rFonts w:ascii="黑体" w:hAnsi="黑体" w:cs="黑体" w:eastAsia="黑体" w:hint="default"/>
                  </w:rPr>
                  <w:t>合并财务报表项目附注（续）</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345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343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2.292496pt;width:167.6pt;height:13.05pt;mso-position-horizontal-relative:page;mso-position-vertical-relative:page;z-index:-733408"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336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333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733312"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r>
      <w:rPr/>
      <w:pict>
        <v:shape style="position:absolute;margin-left:68.143997pt;margin-top:167.612488pt;width:91.4pt;height:13.6pt;mso-position-horizontal-relative:page;mso-position-vertical-relative:page;z-index:-733288" type="#_x0000_t202" filled="false" stroked="false">
          <v:textbox inset="0,0,0,0">
            <w:txbxContent>
              <w:p>
                <w:pPr>
                  <w:pStyle w:val="BodyText"/>
                  <w:spacing w:line="256" w:lineRule="exact"/>
                  <w:ind w:right="0"/>
                  <w:jc w:val="left"/>
                </w:pPr>
                <w:r>
                  <w:rPr>
                    <w:rFonts w:ascii="Arial" w:hAnsi="Arial" w:cs="Arial" w:eastAsia="Arial" w:hint="default"/>
                  </w:rPr>
                  <w:t>14</w:t>
                </w:r>
                <w:r>
                  <w:rPr/>
                  <w:t>、长期待摊费用</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326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324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733216"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319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316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733144"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312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309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733072"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r>
      <w:rPr/>
      <w:pict>
        <v:shape style="position:absolute;margin-left:68.143997pt;margin-top:167.612488pt;width:124.4pt;height:13.6pt;mso-position-horizontal-relative:page;mso-position-vertical-relative:page;z-index:-733048" type="#_x0000_t202" filled="false" stroked="false">
          <v:textbox inset="0,0,0,0">
            <w:txbxContent>
              <w:p>
                <w:pPr>
                  <w:pStyle w:val="BodyText"/>
                  <w:spacing w:line="256" w:lineRule="exact"/>
                  <w:ind w:right="0"/>
                  <w:jc w:val="left"/>
                </w:pPr>
                <w:r>
                  <w:rPr>
                    <w:rFonts w:ascii="Arial" w:hAnsi="Arial" w:cs="Arial" w:eastAsia="Arial" w:hint="default"/>
                  </w:rPr>
                  <w:t>19</w:t>
                </w:r>
                <w:r>
                  <w:rPr/>
                  <w:t>、应付职工薪酬（续）</w:t>
                </w:r>
              </w:p>
            </w:txbxContent>
          </v:textbox>
          <w10:wrap type="none"/>
        </v:shape>
      </w:pict>
    </w:r>
    <w:r>
      <w:rPr/>
      <w:pict>
        <v:shape style="position:absolute;margin-left:68.143997pt;margin-top:194.492493pt;width:67.2pt;height:13.6pt;mso-position-horizontal-relative:page;mso-position-vertical-relative:page;z-index:-733024" type="#_x0000_t202" filled="false" stroked="false">
          <v:textbox inset="0,0,0,0">
            <w:txbxContent>
              <w:p>
                <w:pPr>
                  <w:pStyle w:val="BodyText"/>
                  <w:spacing w:line="256" w:lineRule="exact"/>
                  <w:ind w:right="0"/>
                  <w:jc w:val="left"/>
                </w:pPr>
                <w:r>
                  <w:rPr>
                    <w:rFonts w:ascii="Arial" w:hAnsi="Arial" w:cs="Arial" w:eastAsia="Arial" w:hint="default"/>
                  </w:rPr>
                  <w:t>(b) </w:t>
                </w:r>
                <w:r>
                  <w:rPr>
                    <w:rFonts w:ascii="Arial" w:hAnsi="Arial" w:cs="Arial" w:eastAsia="Arial" w:hint="default"/>
                    <w:spacing w:val="31"/>
                  </w:rPr>
                  <w:t> </w:t>
                </w:r>
                <w:r>
                  <w:rPr/>
                  <w:t>短期薪酬</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300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297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732952"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r>
      <w:rPr/>
      <w:pict>
        <v:shape style="position:absolute;margin-left:68.143997pt;margin-top:167.612488pt;width:124.4pt;height:13.6pt;mso-position-horizontal-relative:page;mso-position-vertical-relative:page;z-index:-732928" type="#_x0000_t202" filled="false" stroked="false">
          <v:textbox inset="0,0,0,0">
            <w:txbxContent>
              <w:p>
                <w:pPr>
                  <w:pStyle w:val="BodyText"/>
                  <w:spacing w:line="256" w:lineRule="exact"/>
                  <w:ind w:right="0"/>
                  <w:jc w:val="left"/>
                </w:pPr>
                <w:r>
                  <w:rPr>
                    <w:rFonts w:ascii="Arial" w:hAnsi="Arial" w:cs="Arial" w:eastAsia="Arial" w:hint="default"/>
                  </w:rPr>
                  <w:t>19</w:t>
                </w:r>
                <w:r>
                  <w:rPr/>
                  <w:t>、应付职工薪酬（续）</w:t>
                </w:r>
              </w:p>
            </w:txbxContent>
          </v:textbox>
          <w10:wrap type="none"/>
        </v:shape>
      </w:pict>
    </w:r>
    <w:r>
      <w:rPr/>
      <w:pict>
        <v:shape style="position:absolute;margin-left:68.143997pt;margin-top:194.492493pt;width:166.05pt;height:13.6pt;mso-position-horizontal-relative:page;mso-position-vertical-relative:page;z-index:-732904" type="#_x0000_t202" filled="false" stroked="false">
          <v:textbox inset="0,0,0,0">
            <w:txbxContent>
              <w:p>
                <w:pPr>
                  <w:pStyle w:val="BodyText"/>
                  <w:spacing w:line="256" w:lineRule="exact"/>
                  <w:ind w:right="0"/>
                  <w:jc w:val="left"/>
                </w:pPr>
                <w:r>
                  <w:rPr>
                    <w:rFonts w:ascii="Arial" w:hAnsi="Arial" w:cs="Arial" w:eastAsia="Arial" w:hint="default"/>
                  </w:rPr>
                  <w:t>(c) </w:t>
                </w:r>
                <w:r>
                  <w:rPr>
                    <w:rFonts w:ascii="Arial" w:hAnsi="Arial" w:cs="Arial" w:eastAsia="Arial" w:hint="default"/>
                    <w:spacing w:val="37"/>
                  </w:rPr>
                  <w:t> </w:t>
                </w:r>
                <w:r>
                  <w:rPr/>
                  <w:t>离职后福利</w:t>
                </w:r>
                <w:r>
                  <w:rPr>
                    <w:rFonts w:ascii="Arial" w:hAnsi="Arial" w:cs="Arial" w:eastAsia="Arial" w:hint="default"/>
                  </w:rPr>
                  <w:t>——</w:t>
                </w:r>
                <w:r>
                  <w:rPr/>
                  <w:t>设定提存计划</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288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285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732832"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r>
      <w:rPr/>
      <w:pict>
        <v:shape style="position:absolute;margin-left:68.143997pt;margin-top:167.612488pt;width:69.350pt;height:13.6pt;mso-position-horizontal-relative:page;mso-position-vertical-relative:page;z-index:-732808" type="#_x0000_t202" filled="false" stroked="false">
          <v:textbox inset="0,0,0,0">
            <w:txbxContent>
              <w:p>
                <w:pPr>
                  <w:pStyle w:val="BodyText"/>
                  <w:spacing w:line="256" w:lineRule="exact"/>
                  <w:ind w:right="0"/>
                  <w:jc w:val="left"/>
                </w:pPr>
                <w:r>
                  <w:rPr>
                    <w:rFonts w:ascii="Arial" w:hAnsi="Arial" w:cs="Arial" w:eastAsia="Arial" w:hint="default"/>
                  </w:rPr>
                  <w:t>21</w:t>
                </w:r>
                <w:r>
                  <w:rPr/>
                  <w:t>、应付利息</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278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276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732736"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r>
      <w:rPr/>
      <w:pict>
        <v:shape style="position:absolute;margin-left:68.143997pt;margin-top:167.612488pt;width:146.4pt;height:13.6pt;mso-position-horizontal-relative:page;mso-position-vertical-relative:page;z-index:-732712" type="#_x0000_t202" filled="false" stroked="false">
          <v:textbox inset="0,0,0,0">
            <w:txbxContent>
              <w:p>
                <w:pPr>
                  <w:pStyle w:val="BodyText"/>
                  <w:spacing w:line="256" w:lineRule="exact"/>
                  <w:ind w:right="0"/>
                  <w:jc w:val="left"/>
                </w:pPr>
                <w:r>
                  <w:rPr>
                    <w:rFonts w:ascii="Arial" w:hAnsi="Arial" w:cs="Arial" w:eastAsia="Arial" w:hint="default"/>
                  </w:rPr>
                  <w:t>24</w:t>
                </w:r>
                <w:r>
                  <w:rPr/>
                  <w:t>、一年内到期的非流动负债</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266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264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732616"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256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254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732520"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247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244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732424"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240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237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732352"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230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228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732256"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r>
      <w:rPr/>
      <w:pict>
        <v:shape style="position:absolute;margin-left:68.143997pt;margin-top:167.612488pt;width:124.4pt;height:13.6pt;mso-position-horizontal-relative:page;mso-position-vertical-relative:page;z-index:-732232" type="#_x0000_t202" filled="false" stroked="false">
          <v:textbox inset="0,0,0,0">
            <w:txbxContent>
              <w:p>
                <w:pPr>
                  <w:pStyle w:val="BodyText"/>
                  <w:spacing w:line="256" w:lineRule="exact"/>
                  <w:ind w:right="0"/>
                  <w:jc w:val="left"/>
                </w:pPr>
                <w:r>
                  <w:rPr>
                    <w:rFonts w:ascii="Arial" w:hAnsi="Arial" w:cs="Arial" w:eastAsia="Arial" w:hint="default"/>
                  </w:rPr>
                  <w:t>36</w:t>
                </w:r>
                <w:r>
                  <w:rPr/>
                  <w:t>、营业收入和营业成本</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220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218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732160"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r>
      <w:rPr/>
      <w:pict>
        <v:shape style="position:absolute;margin-left:68.143997pt;margin-top:167.612488pt;width:102.35pt;height:13.6pt;mso-position-horizontal-relative:page;mso-position-vertical-relative:page;z-index:-732136" type="#_x0000_t202" filled="false" stroked="false">
          <v:textbox inset="0,0,0,0">
            <w:txbxContent>
              <w:p>
                <w:pPr>
                  <w:pStyle w:val="BodyText"/>
                  <w:spacing w:line="256" w:lineRule="exact"/>
                  <w:ind w:right="0"/>
                  <w:jc w:val="left"/>
                </w:pPr>
                <w:r>
                  <w:rPr>
                    <w:rFonts w:ascii="Arial" w:hAnsi="Arial" w:cs="Arial" w:eastAsia="Arial" w:hint="default"/>
                  </w:rPr>
                  <w:t>37</w:t>
                </w:r>
                <w:r>
                  <w:rPr/>
                  <w:t>、营业税金及附加</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211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208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732064"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r>
      <w:rPr/>
      <w:pict>
        <v:shape style="position:absolute;margin-left:68.143997pt;margin-top:167.612488pt;width:69.350pt;height:13.6pt;mso-position-horizontal-relative:page;mso-position-vertical-relative:page;z-index:-732040" type="#_x0000_t202" filled="false" stroked="false">
          <v:textbox inset="0,0,0,0">
            <w:txbxContent>
              <w:p>
                <w:pPr>
                  <w:pStyle w:val="BodyText"/>
                  <w:spacing w:line="256" w:lineRule="exact"/>
                  <w:ind w:right="0"/>
                  <w:jc w:val="left"/>
                </w:pPr>
                <w:r>
                  <w:rPr>
                    <w:rFonts w:ascii="Arial" w:hAnsi="Arial" w:cs="Arial" w:eastAsia="Arial" w:hint="default"/>
                  </w:rPr>
                  <w:t>40</w:t>
                </w:r>
                <w:r>
                  <w:rPr/>
                  <w:t>、财务费用</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201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199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731968"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r>
      <w:rPr/>
      <w:pict>
        <v:shape style="position:absolute;margin-left:68.143997pt;margin-top:167.612488pt;width:91.4pt;height:13.6pt;mso-position-horizontal-relative:page;mso-position-vertical-relative:page;z-index:-731944" type="#_x0000_t202" filled="false" stroked="false">
          <v:textbox inset="0,0,0,0">
            <w:txbxContent>
              <w:p>
                <w:pPr>
                  <w:pStyle w:val="BodyText"/>
                  <w:spacing w:line="256" w:lineRule="exact"/>
                  <w:ind w:right="0"/>
                  <w:jc w:val="left"/>
                </w:pPr>
                <w:r>
                  <w:rPr>
                    <w:rFonts w:ascii="Arial" w:hAnsi="Arial" w:cs="Arial" w:eastAsia="Arial" w:hint="default"/>
                  </w:rPr>
                  <w:t>42</w:t>
                </w:r>
                <w:r>
                  <w:rPr/>
                  <w:t>、资产减值损失</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192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189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731872"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184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182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731800"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177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175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731728"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170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168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731656"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r>
      <w:rPr/>
      <w:pict>
        <v:shape style="position:absolute;margin-left:68.143997pt;margin-top:167.612488pt;width:91.4pt;height:13.6pt;mso-position-horizontal-relative:page;mso-position-vertical-relative:page;z-index:-731632" type="#_x0000_t202" filled="false" stroked="false">
          <v:textbox inset="0,0,0,0">
            <w:txbxContent>
              <w:p>
                <w:pPr>
                  <w:pStyle w:val="BodyText"/>
                  <w:spacing w:line="256" w:lineRule="exact"/>
                  <w:ind w:right="0"/>
                  <w:jc w:val="left"/>
                </w:pPr>
                <w:r>
                  <w:rPr>
                    <w:rFonts w:ascii="Arial" w:hAnsi="Arial" w:cs="Arial" w:eastAsia="Arial" w:hint="default"/>
                  </w:rPr>
                  <w:t>45</w:t>
                </w:r>
                <w:r>
                  <w:rPr/>
                  <w:t>、所得税（续）</w:t>
                </w:r>
              </w:p>
            </w:txbxContent>
          </v:textbox>
          <w10:wrap type="none"/>
        </v:shape>
      </w:pict>
    </w:r>
    <w:r>
      <w:rPr/>
      <w:pict>
        <v:shape style="position:absolute;margin-left:68.143997pt;margin-top:194.492493pt;width:353.05pt;height:13.6pt;mso-position-horizontal-relative:page;mso-position-vertical-relative:page;z-index:-731608" type="#_x0000_t202" filled="false" stroked="false">
          <v:textbox inset="0,0,0,0">
            <w:txbxContent>
              <w:p>
                <w:pPr>
                  <w:pStyle w:val="BodyText"/>
                  <w:spacing w:line="256" w:lineRule="exact"/>
                  <w:ind w:right="0"/>
                  <w:jc w:val="left"/>
                </w:pPr>
                <w:r>
                  <w:rPr>
                    <w:rFonts w:ascii="Arial" w:hAnsi="Arial" w:cs="Arial" w:eastAsia="Arial" w:hint="default"/>
                  </w:rPr>
                  <w:t>(c) </w:t>
                </w:r>
                <w:r>
                  <w:rPr>
                    <w:rFonts w:ascii="Arial" w:hAnsi="Arial" w:cs="Arial" w:eastAsia="Arial" w:hint="default"/>
                    <w:spacing w:val="35"/>
                  </w:rPr>
                  <w:t> </w:t>
                </w:r>
                <w:r>
                  <w:rPr/>
                  <w:t>递延所得税资产及负债包括以下暂时性差异对所得税的影响（续）：</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158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156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731536"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r>
      <w:rPr/>
      <w:pict>
        <v:shape style="position:absolute;margin-left:68.143997pt;margin-top:167.612488pt;width:355.25pt;height:37pt;mso-position-horizontal-relative:page;mso-position-vertical-relative:page;z-index:-731512" type="#_x0000_t202" filled="false" stroked="false">
          <v:textbox inset="0,0,0,0">
            <w:txbxContent>
              <w:p>
                <w:pPr>
                  <w:pStyle w:val="BodyText"/>
                  <w:spacing w:line="256" w:lineRule="exact"/>
                  <w:ind w:right="0"/>
                  <w:jc w:val="left"/>
                </w:pPr>
                <w:r>
                  <w:rPr>
                    <w:rFonts w:ascii="Arial" w:hAnsi="Arial" w:cs="Arial" w:eastAsia="Arial" w:hint="default"/>
                  </w:rPr>
                  <w:t>45</w:t>
                </w:r>
                <w:r>
                  <w:rPr/>
                  <w:t>、所得税（续）</w:t>
                </w:r>
              </w:p>
              <w:p>
                <w:pPr>
                  <w:pStyle w:val="BodyText"/>
                  <w:spacing w:line="240" w:lineRule="auto" w:before="164"/>
                  <w:ind w:left="34" w:right="0"/>
                  <w:jc w:val="left"/>
                </w:pPr>
                <w:r>
                  <w:rPr>
                    <w:rFonts w:ascii="Arial" w:hAnsi="Arial" w:cs="Arial" w:eastAsia="Arial" w:hint="default"/>
                  </w:rPr>
                  <w:t>(c)  </w:t>
                </w:r>
                <w:r>
                  <w:rPr>
                    <w:rFonts w:ascii="Arial" w:hAnsi="Arial" w:cs="Arial" w:eastAsia="Arial" w:hint="default"/>
                    <w:spacing w:val="3"/>
                  </w:rPr>
                  <w:t> </w:t>
                </w:r>
                <w:r>
                  <w:rPr/>
                  <w:t>递延所得税资产及负债包括以下暂时性差异对所得税的影响（续）：</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148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146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731440"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141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139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731368"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134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132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731296"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127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124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731224"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120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117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731152"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112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110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731080"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105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103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100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098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73093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73091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38.332489pt;width:155pt;height:13.05pt;mso-position-horizontal-relative:page;mso-position-vertical-relative:page;z-index:-73088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七</w:t>
                </w:r>
                <w:r>
                  <w:rPr>
                    <w:rFonts w:ascii="黑体" w:hAnsi="黑体" w:cs="黑体" w:eastAsia="黑体" w:hint="default"/>
                    <w:spacing w:val="87"/>
                  </w:rPr>
                  <w:t> </w:t>
                </w:r>
                <w:r>
                  <w:rPr>
                    <w:rFonts w:ascii="黑体" w:hAnsi="黑体" w:cs="黑体" w:eastAsia="黑体" w:hint="default"/>
                  </w:rPr>
                  <w:t>在其他主体中的权益（续）</w:t>
                </w:r>
              </w:p>
            </w:txbxContent>
          </v:textbox>
          <w10:wrap type="none"/>
        </v:shape>
      </w:pict>
    </w:r>
    <w:r>
      <w:rPr/>
      <w:pict>
        <v:shape style="position:absolute;margin-left:68.143997pt;margin-top:165.332489pt;width:144pt;height:13.6pt;mso-position-horizontal-relative:page;mso-position-vertical-relative:page;z-index:-730864" type="#_x0000_t202" filled="false" stroked="false">
          <v:textbox inset="0,0,0,0">
            <w:txbxContent>
              <w:p>
                <w:pPr>
                  <w:pStyle w:val="BodyText"/>
                  <w:spacing w:line="256" w:lineRule="exact"/>
                  <w:ind w:right="0"/>
                  <w:jc w:val="left"/>
                </w:pPr>
                <w:r>
                  <w:rPr>
                    <w:rFonts w:ascii="Arial" w:hAnsi="Arial" w:cs="Arial" w:eastAsia="Arial" w:hint="default"/>
                  </w:rPr>
                  <w:t>1</w:t>
                </w:r>
                <w:r>
                  <w:rPr/>
                  <w:t>、</w:t>
                </w:r>
                <w:r>
                  <w:rPr>
                    <w:spacing w:val="-36"/>
                  </w:rPr>
                  <w:t> </w:t>
                </w:r>
                <w:r>
                  <w:rPr/>
                  <w:t>在子公司中的权益（续）</w:t>
                </w:r>
              </w:p>
            </w:txbxContent>
          </v:textbox>
          <w10:wrap type="none"/>
        </v:shape>
      </w:pict>
    </w:r>
    <w:r>
      <w:rPr/>
      <w:pict>
        <v:shape style="position:absolute;margin-left:68.143997pt;margin-top:192.212494pt;width:133.2pt;height:13.6pt;mso-position-horizontal-relative:page;mso-position-vertical-relative:page;z-index:-730840" type="#_x0000_t202" filled="false" stroked="false">
          <v:textbox inset="0,0,0,0">
            <w:txbxContent>
              <w:p>
                <w:pPr>
                  <w:pStyle w:val="BodyText"/>
                  <w:spacing w:line="256" w:lineRule="exact"/>
                  <w:ind w:right="0"/>
                  <w:jc w:val="left"/>
                </w:pPr>
                <w:r>
                  <w:rPr>
                    <w:rFonts w:ascii="Arial" w:hAnsi="Arial" w:cs="Arial" w:eastAsia="Arial" w:hint="default"/>
                  </w:rPr>
                  <w:t>(a) </w:t>
                </w:r>
                <w:r>
                  <w:rPr>
                    <w:rFonts w:ascii="Arial" w:hAnsi="Arial" w:cs="Arial" w:eastAsia="Arial" w:hint="default"/>
                    <w:spacing w:val="29"/>
                  </w:rPr>
                  <w:t> </w:t>
                </w:r>
                <w:r>
                  <w:rPr/>
                  <w:t>企业集团的构成（续）</w:t>
                </w:r>
              </w:p>
            </w:txbxContent>
          </v:textbox>
          <w10:wrap type="none"/>
        </v:shape>
      </w:pict>
    </w:r>
    <w:r>
      <w:rPr/>
      <w:pict>
        <v:shape style="position:absolute;margin-left:68.143997pt;margin-top:219.092499pt;width:221.15pt;height:13.6pt;mso-position-horizontal-relative:page;mso-position-vertical-relative:page;z-index:-730816" type="#_x0000_t202" filled="false" stroked="false">
          <v:textbox inset="0,0,0,0">
            <w:txbxContent>
              <w:p>
                <w:pPr>
                  <w:pStyle w:val="BodyText"/>
                  <w:spacing w:line="256" w:lineRule="exact"/>
                  <w:ind w:right="0"/>
                  <w:jc w:val="left"/>
                </w:pPr>
                <w:r>
                  <w:rPr>
                    <w:rFonts w:ascii="Arial" w:hAnsi="Arial" w:cs="Arial" w:eastAsia="Arial" w:hint="default"/>
                  </w:rPr>
                  <w:t>(2) </w:t>
                </w:r>
                <w:r>
                  <w:rPr>
                    <w:rFonts w:ascii="Arial" w:hAnsi="Arial" w:cs="Arial" w:eastAsia="Arial" w:hint="default"/>
                    <w:spacing w:val="27"/>
                  </w:rPr>
                  <w:t> </w:t>
                </w:r>
                <w:r>
                  <w:rPr/>
                  <w:t>通过同一控制下的企业合并取得的子公司</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73079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73076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38.092499pt;width:155pt;height:13.05pt;mso-position-horizontal-relative:page;mso-position-vertical-relative:page;z-index:-73074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七</w:t>
                </w:r>
                <w:r>
                  <w:rPr>
                    <w:rFonts w:ascii="黑体" w:hAnsi="黑体" w:cs="黑体" w:eastAsia="黑体" w:hint="default"/>
                    <w:spacing w:val="87"/>
                  </w:rPr>
                  <w:t> </w:t>
                </w:r>
                <w:r>
                  <w:rPr>
                    <w:rFonts w:ascii="黑体" w:hAnsi="黑体" w:cs="黑体" w:eastAsia="黑体" w:hint="default"/>
                  </w:rPr>
                  <w:t>在其他主体中的权益（续）</w:t>
                </w:r>
              </w:p>
            </w:txbxContent>
          </v:textbox>
          <w10:wrap type="none"/>
        </v:shape>
      </w:pict>
    </w:r>
    <w:r>
      <w:rPr/>
      <w:pict>
        <v:shape style="position:absolute;margin-left:68.143997pt;margin-top:164.972488pt;width:144.1pt;height:13.6pt;mso-position-horizontal-relative:page;mso-position-vertical-relative:page;z-index:-730720" type="#_x0000_t202" filled="false" stroked="false">
          <v:textbox inset="0,0,0,0">
            <w:txbxContent>
              <w:p>
                <w:pPr>
                  <w:pStyle w:val="BodyText"/>
                  <w:spacing w:line="256" w:lineRule="exact"/>
                  <w:ind w:right="0"/>
                  <w:jc w:val="left"/>
                </w:pPr>
                <w:r>
                  <w:rPr>
                    <w:rFonts w:ascii="Arial" w:hAnsi="Arial" w:cs="Arial" w:eastAsia="Arial" w:hint="default"/>
                  </w:rPr>
                  <w:t>1</w:t>
                </w:r>
                <w:r>
                  <w:rPr/>
                  <w:t>、</w:t>
                </w:r>
                <w:r>
                  <w:rPr>
                    <w:spacing w:val="-34"/>
                  </w:rPr>
                  <w:t> </w:t>
                </w:r>
                <w:r>
                  <w:rPr/>
                  <w:t>在子公司中的权益（续）</w:t>
                </w:r>
              </w:p>
            </w:txbxContent>
          </v:textbox>
          <w10:wrap type="none"/>
        </v:shape>
      </w:pict>
    </w:r>
    <w:r>
      <w:rPr/>
      <w:pict>
        <v:shape style="position:absolute;margin-left:68.143997pt;margin-top:191.972488pt;width:133.2pt;height:13.6pt;mso-position-horizontal-relative:page;mso-position-vertical-relative:page;z-index:-730696" type="#_x0000_t202" filled="false" stroked="false">
          <v:textbox inset="0,0,0,0">
            <w:txbxContent>
              <w:p>
                <w:pPr>
                  <w:pStyle w:val="BodyText"/>
                  <w:spacing w:line="256" w:lineRule="exact"/>
                  <w:ind w:right="0"/>
                  <w:jc w:val="left"/>
                </w:pPr>
                <w:r>
                  <w:rPr>
                    <w:rFonts w:ascii="Arial" w:hAnsi="Arial" w:cs="Arial" w:eastAsia="Arial" w:hint="default"/>
                  </w:rPr>
                  <w:t>(a) </w:t>
                </w:r>
                <w:r>
                  <w:rPr>
                    <w:rFonts w:ascii="Arial" w:hAnsi="Arial" w:cs="Arial" w:eastAsia="Arial" w:hint="default"/>
                    <w:spacing w:val="29"/>
                  </w:rPr>
                  <w:t> </w:t>
                </w:r>
                <w:r>
                  <w:rPr/>
                  <w:t>企业集团的构成（续）</w:t>
                </w:r>
              </w:p>
            </w:txbxContent>
          </v:textbox>
          <w10:wrap type="none"/>
        </v:shape>
      </w:pict>
    </w:r>
    <w:r>
      <w:rPr/>
      <w:pict>
        <v:shape style="position:absolute;margin-left:68.143997pt;margin-top:218.852493pt;width:254.15pt;height:13.6pt;mso-position-horizontal-relative:page;mso-position-vertical-relative:page;z-index:-730672" type="#_x0000_t202" filled="false" stroked="false">
          <v:textbox inset="0,0,0,0">
            <w:txbxContent>
              <w:p>
                <w:pPr>
                  <w:pStyle w:val="BodyText"/>
                  <w:spacing w:line="256" w:lineRule="exact"/>
                  <w:ind w:right="0"/>
                  <w:jc w:val="left"/>
                </w:pPr>
                <w:r>
                  <w:rPr>
                    <w:rFonts w:ascii="Arial" w:hAnsi="Arial" w:cs="Arial" w:eastAsia="Arial" w:hint="default"/>
                  </w:rPr>
                  <w:t>(2) </w:t>
                </w:r>
                <w:r>
                  <w:rPr>
                    <w:rFonts w:ascii="Arial" w:hAnsi="Arial" w:cs="Arial" w:eastAsia="Arial" w:hint="default"/>
                    <w:spacing w:val="26"/>
                  </w:rPr>
                  <w:t> </w:t>
                </w:r>
                <w:r>
                  <w:rPr/>
                  <w:t>通过同一控制下的企业合并取得的子公司（续）</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73062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73060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38.092499pt;width:155pt;height:13.05pt;mso-position-horizontal-relative:page;mso-position-vertical-relative:page;z-index:-73057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七</w:t>
                </w:r>
                <w:r>
                  <w:rPr>
                    <w:rFonts w:ascii="黑体" w:hAnsi="黑体" w:cs="黑体" w:eastAsia="黑体" w:hint="default"/>
                    <w:spacing w:val="87"/>
                  </w:rPr>
                  <w:t> </w:t>
                </w:r>
                <w:r>
                  <w:rPr>
                    <w:rFonts w:ascii="黑体" w:hAnsi="黑体" w:cs="黑体" w:eastAsia="黑体" w:hint="default"/>
                  </w:rPr>
                  <w:t>在其他主体中的权益（续）</w:t>
                </w:r>
              </w:p>
            </w:txbxContent>
          </v:textbox>
          <w10:wrap type="none"/>
        </v:shape>
      </w:pict>
    </w:r>
    <w:r>
      <w:rPr/>
      <w:pict>
        <v:shape style="position:absolute;margin-left:68.143997pt;margin-top:164.972488pt;width:144pt;height:13.6pt;mso-position-horizontal-relative:page;mso-position-vertical-relative:page;z-index:-730552" type="#_x0000_t202" filled="false" stroked="false">
          <v:textbox inset="0,0,0,0">
            <w:txbxContent>
              <w:p>
                <w:pPr>
                  <w:pStyle w:val="BodyText"/>
                  <w:spacing w:line="256" w:lineRule="exact"/>
                  <w:ind w:right="0"/>
                  <w:jc w:val="left"/>
                </w:pPr>
                <w:r>
                  <w:rPr>
                    <w:rFonts w:ascii="Arial" w:hAnsi="Arial" w:cs="Arial" w:eastAsia="Arial" w:hint="default"/>
                  </w:rPr>
                  <w:t>1</w:t>
                </w:r>
                <w:r>
                  <w:rPr/>
                  <w:t>、</w:t>
                </w:r>
                <w:r>
                  <w:rPr>
                    <w:spacing w:val="-36"/>
                  </w:rPr>
                  <w:t> </w:t>
                </w:r>
                <w:r>
                  <w:rPr/>
                  <w:t>在子公司中的权益（续）</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73050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73048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38.092499pt;width:155pt;height:13.05pt;mso-position-horizontal-relative:page;mso-position-vertical-relative:page;z-index:-73045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七</w:t>
                </w:r>
                <w:r>
                  <w:rPr>
                    <w:rFonts w:ascii="黑体" w:hAnsi="黑体" w:cs="黑体" w:eastAsia="黑体" w:hint="default"/>
                    <w:spacing w:val="87"/>
                  </w:rPr>
                  <w:t> </w:t>
                </w:r>
                <w:r>
                  <w:rPr>
                    <w:rFonts w:ascii="黑体" w:hAnsi="黑体" w:cs="黑体" w:eastAsia="黑体" w:hint="default"/>
                  </w:rPr>
                  <w:t>在其他主体中的权益（续）</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73043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73040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73038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73036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1.332489pt;width:144.1pt;height:13.05pt;mso-position-horizontal-relative:page;mso-position-vertical-relative:page;z-index:-73033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八</w:t>
                </w:r>
                <w:r>
                  <w:rPr>
                    <w:rFonts w:ascii="黑体" w:hAnsi="黑体" w:cs="黑体" w:eastAsia="黑体" w:hint="default"/>
                    <w:spacing w:val="88"/>
                  </w:rPr>
                  <w:t> </w:t>
                </w:r>
                <w:r>
                  <w:rPr>
                    <w:rFonts w:ascii="黑体" w:hAnsi="黑体" w:cs="黑体" w:eastAsia="黑体" w:hint="default"/>
                  </w:rPr>
                  <w:t>金融工具及其风险（续）</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73031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73028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1.332489pt;width:144.1pt;height:13.05pt;mso-position-horizontal-relative:page;mso-position-vertical-relative:page;z-index:-73026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八</w:t>
                </w:r>
                <w:r>
                  <w:rPr>
                    <w:rFonts w:ascii="黑体" w:hAnsi="黑体" w:cs="黑体" w:eastAsia="黑体" w:hint="default"/>
                    <w:spacing w:val="89"/>
                  </w:rPr>
                  <w:t> </w:t>
                </w:r>
                <w:r>
                  <w:rPr>
                    <w:rFonts w:ascii="黑体" w:hAnsi="黑体" w:cs="黑体" w:eastAsia="黑体" w:hint="default"/>
                  </w:rPr>
                  <w:t>金融工具及其风险（续）</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73024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73021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1.332489pt;width:144.1pt;height:13.05pt;mso-position-horizontal-relative:page;mso-position-vertical-relative:page;z-index:-73019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八</w:t>
                </w:r>
                <w:r>
                  <w:rPr>
                    <w:rFonts w:ascii="黑体" w:hAnsi="黑体" w:cs="黑体" w:eastAsia="黑体" w:hint="default"/>
                    <w:spacing w:val="89"/>
                  </w:rPr>
                  <w:t> </w:t>
                </w:r>
                <w:r>
                  <w:rPr>
                    <w:rFonts w:ascii="黑体" w:hAnsi="黑体" w:cs="黑体" w:eastAsia="黑体" w:hint="default"/>
                  </w:rPr>
                  <w:t>金融工具及其风险（续）</w:t>
                </w:r>
              </w:p>
            </w:txbxContent>
          </v:textbox>
          <w10:wrap type="none"/>
        </v:shape>
      </w:pict>
    </w:r>
    <w:r>
      <w:rPr/>
      <w:pict>
        <v:shape style="position:absolute;margin-left:68.143997pt;margin-top:169.892487pt;width:123.7pt;height:13.6pt;mso-position-horizontal-relative:page;mso-position-vertical-relative:page;z-index:-730168" type="#_x0000_t202" filled="false" stroked="false">
          <v:textbox inset="0,0,0,0">
            <w:txbxContent>
              <w:p>
                <w:pPr>
                  <w:pStyle w:val="BodyText"/>
                  <w:spacing w:line="256" w:lineRule="exact"/>
                  <w:ind w:right="0"/>
                  <w:jc w:val="left"/>
                </w:pPr>
                <w:r>
                  <w:rPr>
                    <w:rFonts w:ascii="Arial" w:hAnsi="Arial" w:cs="Arial" w:eastAsia="Arial" w:hint="default"/>
                  </w:rPr>
                  <w:t>1</w:t>
                </w:r>
                <w:r>
                  <w:rPr/>
                  <w:t>、</w:t>
                </w:r>
                <w:r>
                  <w:rPr>
                    <w:spacing w:val="-1"/>
                  </w:rPr>
                  <w:t> </w:t>
                </w:r>
                <w:r>
                  <w:rPr/>
                  <w:t>金融风险因素（续）</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73014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73012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1.332489pt;width:144.1pt;height:13.05pt;mso-position-horizontal-relative:page;mso-position-vertical-relative:page;z-index:-73009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八</w:t>
                </w:r>
                <w:r>
                  <w:rPr>
                    <w:rFonts w:ascii="黑体" w:hAnsi="黑体" w:cs="黑体" w:eastAsia="黑体" w:hint="default"/>
                    <w:spacing w:val="89"/>
                  </w:rPr>
                  <w:t> </w:t>
                </w:r>
                <w:r>
                  <w:rPr>
                    <w:rFonts w:ascii="黑体" w:hAnsi="黑体" w:cs="黑体" w:eastAsia="黑体" w:hint="default"/>
                  </w:rPr>
                  <w:t>金融工具及其风险（续）</w:t>
                </w:r>
              </w:p>
            </w:txbxContent>
          </v:textbox>
          <w10:wrap type="none"/>
        </v:shape>
      </w:pict>
    </w:r>
    <w:r>
      <w:rPr/>
      <w:pict>
        <v:shape style="position:absolute;margin-left:68.143997pt;margin-top:169.892487pt;width:123.7pt;height:13.6pt;mso-position-horizontal-relative:page;mso-position-vertical-relative:page;z-index:-730072" type="#_x0000_t202" filled="false" stroked="false">
          <v:textbox inset="0,0,0,0">
            <w:txbxContent>
              <w:p>
                <w:pPr>
                  <w:pStyle w:val="BodyText"/>
                  <w:spacing w:line="256" w:lineRule="exact"/>
                  <w:ind w:right="0"/>
                  <w:jc w:val="left"/>
                </w:pPr>
                <w:r>
                  <w:rPr>
                    <w:rFonts w:ascii="Arial" w:hAnsi="Arial" w:cs="Arial" w:eastAsia="Arial" w:hint="default"/>
                  </w:rPr>
                  <w:t>1</w:t>
                </w:r>
                <w:r>
                  <w:rPr/>
                  <w:t>、</w:t>
                </w:r>
                <w:r>
                  <w:rPr>
                    <w:spacing w:val="-1"/>
                  </w:rPr>
                  <w:t> </w:t>
                </w:r>
                <w:r>
                  <w:rPr/>
                  <w:t>金融风险因素（续）</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73004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73002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1.332489pt;width:144.1pt;height:13.05pt;mso-position-horizontal-relative:page;mso-position-vertical-relative:page;z-index:-73000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八</w:t>
                </w:r>
                <w:r>
                  <w:rPr>
                    <w:rFonts w:ascii="黑体" w:hAnsi="黑体" w:cs="黑体" w:eastAsia="黑体" w:hint="default"/>
                    <w:spacing w:val="89"/>
                  </w:rPr>
                  <w:t> </w:t>
                </w:r>
                <w:r>
                  <w:rPr>
                    <w:rFonts w:ascii="黑体" w:hAnsi="黑体" w:cs="黑体" w:eastAsia="黑体" w:hint="default"/>
                  </w:rPr>
                  <w:t>金融工具及其风险（续）</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72997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72995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72992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72990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72988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72985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72983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72980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424988pt;width:149.15pt;height:12.6pt;mso-position-horizontal-relative:page;mso-position-vertical-relative:page;z-index:-729784" type="#_x0000_t202" filled="false" stroked="false">
          <v:textbox inset="0,0,0,0">
            <w:txbxContent>
              <w:p>
                <w:pPr>
                  <w:tabs>
                    <w:tab w:pos="439" w:val="left" w:leader="none"/>
                  </w:tabs>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sz w:val="21"/>
                    <w:szCs w:val="21"/>
                  </w:rPr>
                  <w:t>十</w:t>
                  <w:tab/>
                  <w:t>关联方关系及其交易（续）</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72976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72973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424988pt;width:149.15pt;height:12.6pt;mso-position-horizontal-relative:page;mso-position-vertical-relative:page;z-index:-729712" type="#_x0000_t202" filled="false" stroked="false">
          <v:textbox inset="0,0,0,0">
            <w:txbxContent>
              <w:p>
                <w:pPr>
                  <w:tabs>
                    <w:tab w:pos="439" w:val="left" w:leader="none"/>
                  </w:tabs>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sz w:val="21"/>
                    <w:szCs w:val="21"/>
                  </w:rPr>
                  <w:t>十</w:t>
                  <w:tab/>
                  <w:t>关联方关系及其交易（续）</w:t>
                </w:r>
              </w:p>
            </w:txbxContent>
          </v:textbox>
          <w10:wrap type="none"/>
        </v:shape>
      </w:pict>
    </w:r>
    <w:r>
      <w:rPr/>
      <w:pict>
        <v:shape style="position:absolute;margin-left:69.944pt;margin-top:166.652496pt;width:120.35pt;height:13.6pt;mso-position-horizontal-relative:page;mso-position-vertical-relative:page;z-index:-729688" type="#_x0000_t202" filled="false" stroked="false">
          <v:textbox inset="0,0,0,0">
            <w:txbxContent>
              <w:p>
                <w:pPr>
                  <w:pStyle w:val="BodyText"/>
                  <w:spacing w:line="256" w:lineRule="exact"/>
                  <w:ind w:right="0"/>
                  <w:jc w:val="left"/>
                </w:pPr>
                <w:r>
                  <w:rPr>
                    <w:rFonts w:ascii="Arial" w:hAnsi="Arial" w:cs="Arial" w:eastAsia="Arial" w:hint="default"/>
                  </w:rPr>
                  <w:t>5</w:t>
                </w:r>
                <w:r>
                  <w:rPr/>
                  <w:t>、</w:t>
                </w:r>
                <w:r>
                  <w:rPr>
                    <w:spacing w:val="-69"/>
                  </w:rPr>
                  <w:t> </w:t>
                </w:r>
                <w:r>
                  <w:rPr/>
                  <w:t>重大关联交易（续）</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72966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72964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424988pt;width:149.15pt;height:12.6pt;mso-position-horizontal-relative:page;mso-position-vertical-relative:page;z-index:-729616" type="#_x0000_t202" filled="false" stroked="false">
          <v:textbox inset="0,0,0,0">
            <w:txbxContent>
              <w:p>
                <w:pPr>
                  <w:tabs>
                    <w:tab w:pos="439" w:val="left" w:leader="none"/>
                  </w:tabs>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sz w:val="21"/>
                    <w:szCs w:val="21"/>
                  </w:rPr>
                  <w:t>十</w:t>
                  <w:tab/>
                  <w:t>关联方关系及其交易（续）</w:t>
                </w:r>
              </w:p>
            </w:txbxContent>
          </v:textbox>
          <w10:wrap type="none"/>
        </v:shape>
      </w:pict>
    </w:r>
    <w:r>
      <w:rPr/>
      <w:pict>
        <v:shape style="position:absolute;margin-left:68.143997pt;margin-top:166.652496pt;width:155pt;height:13.6pt;mso-position-horizontal-relative:page;mso-position-vertical-relative:page;z-index:-729592" type="#_x0000_t202" filled="false" stroked="false">
          <v:textbox inset="0,0,0,0">
            <w:txbxContent>
              <w:p>
                <w:pPr>
                  <w:pStyle w:val="BodyText"/>
                  <w:spacing w:line="256" w:lineRule="exact"/>
                  <w:ind w:right="0"/>
                  <w:jc w:val="left"/>
                </w:pPr>
                <w:r>
                  <w:rPr>
                    <w:rFonts w:ascii="Arial" w:hAnsi="Arial" w:cs="Arial" w:eastAsia="Arial" w:hint="default"/>
                  </w:rPr>
                  <w:t>6</w:t>
                </w:r>
                <w:r>
                  <w:rPr/>
                  <w:t>、</w:t>
                </w:r>
                <w:r>
                  <w:rPr>
                    <w:spacing w:val="-37"/>
                  </w:rPr>
                  <w:t> </w:t>
                </w:r>
                <w:r>
                  <w:rPr/>
                  <w:t>关联方应收、应付款项余额</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72956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72954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424988pt;width:149.15pt;height:12.6pt;mso-position-horizontal-relative:page;mso-position-vertical-relative:page;z-index:-729520" type="#_x0000_t202" filled="false" stroked="false">
          <v:textbox inset="0,0,0,0">
            <w:txbxContent>
              <w:p>
                <w:pPr>
                  <w:tabs>
                    <w:tab w:pos="439" w:val="left" w:leader="none"/>
                  </w:tabs>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sz w:val="21"/>
                    <w:szCs w:val="21"/>
                  </w:rPr>
                  <w:t>十</w:t>
                  <w:tab/>
                  <w:t>关联方关系及其交易（续）</w:t>
                </w:r>
              </w:p>
            </w:txbxContent>
          </v:textbox>
          <w10:wrap type="none"/>
        </v:shape>
      </w:pict>
    </w:r>
    <w:r>
      <w:rPr/>
      <w:pict>
        <v:shape style="position:absolute;margin-left:68.143997pt;margin-top:166.652496pt;width:188.15pt;height:13.6pt;mso-position-horizontal-relative:page;mso-position-vertical-relative:page;z-index:-729496" type="#_x0000_t202" filled="false" stroked="false">
          <v:textbox inset="0,0,0,0">
            <w:txbxContent>
              <w:p>
                <w:pPr>
                  <w:pStyle w:val="BodyText"/>
                  <w:spacing w:line="256" w:lineRule="exact"/>
                  <w:ind w:right="0"/>
                  <w:jc w:val="left"/>
                </w:pPr>
                <w:r>
                  <w:rPr>
                    <w:rFonts w:ascii="Arial" w:hAnsi="Arial" w:cs="Arial" w:eastAsia="Arial" w:hint="default"/>
                  </w:rPr>
                  <w:t>6</w:t>
                </w:r>
                <w:r>
                  <w:rPr/>
                  <w:t>、</w:t>
                </w:r>
                <w:r>
                  <w:rPr>
                    <w:spacing w:val="-34"/>
                  </w:rPr>
                  <w:t> </w:t>
                </w:r>
                <w:r>
                  <w:rPr/>
                  <w:t>关联方应收、应付款项余额（续）</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72947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72944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2014</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372498pt;width:110.25pt;height:13.05pt;mso-position-horizontal-relative:page;mso-position-vertical-relative:page;z-index:-72942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十一</w:t>
                </w:r>
                <w:r>
                  <w:rPr>
                    <w:rFonts w:ascii="黑体" w:hAnsi="黑体" w:cs="黑体" w:eastAsia="黑体" w:hint="default"/>
                    <w:spacing w:val="73"/>
                  </w:rPr>
                  <w:t> </w:t>
                </w:r>
                <w:r>
                  <w:rPr>
                    <w:rFonts w:ascii="黑体" w:hAnsi="黑体" w:cs="黑体" w:eastAsia="黑体" w:hint="default"/>
                  </w:rPr>
                  <w:t>承诺及或有事项</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lowerRoman"/>
      <w:lvlText w:val="(%1)"/>
      <w:lvlJc w:val="left"/>
      <w:pPr>
        <w:ind w:left="960" w:hanging="420"/>
        <w:jc w:val="right"/>
      </w:pPr>
      <w:rPr>
        <w:rFonts w:hint="default" w:ascii="Arial" w:hAnsi="Arial" w:eastAsia="Arial"/>
        <w:spacing w:val="-2"/>
        <w:w w:val="100"/>
        <w:sz w:val="22"/>
        <w:szCs w:val="22"/>
      </w:rPr>
    </w:lvl>
    <w:lvl w:ilvl="1">
      <w:start w:val="1"/>
      <w:numFmt w:val="bullet"/>
      <w:lvlText w:val="•"/>
      <w:lvlJc w:val="left"/>
      <w:pPr>
        <w:ind w:left="1818" w:hanging="420"/>
      </w:pPr>
      <w:rPr>
        <w:rFonts w:hint="default"/>
      </w:rPr>
    </w:lvl>
    <w:lvl w:ilvl="2">
      <w:start w:val="1"/>
      <w:numFmt w:val="bullet"/>
      <w:lvlText w:val="•"/>
      <w:lvlJc w:val="left"/>
      <w:pPr>
        <w:ind w:left="2677" w:hanging="420"/>
      </w:pPr>
      <w:rPr>
        <w:rFonts w:hint="default"/>
      </w:rPr>
    </w:lvl>
    <w:lvl w:ilvl="3">
      <w:start w:val="1"/>
      <w:numFmt w:val="bullet"/>
      <w:lvlText w:val="•"/>
      <w:lvlJc w:val="left"/>
      <w:pPr>
        <w:ind w:left="3536" w:hanging="420"/>
      </w:pPr>
      <w:rPr>
        <w:rFonts w:hint="default"/>
      </w:rPr>
    </w:lvl>
    <w:lvl w:ilvl="4">
      <w:start w:val="1"/>
      <w:numFmt w:val="bullet"/>
      <w:lvlText w:val="•"/>
      <w:lvlJc w:val="left"/>
      <w:pPr>
        <w:ind w:left="4395" w:hanging="420"/>
      </w:pPr>
      <w:rPr>
        <w:rFonts w:hint="default"/>
      </w:rPr>
    </w:lvl>
    <w:lvl w:ilvl="5">
      <w:start w:val="1"/>
      <w:numFmt w:val="bullet"/>
      <w:lvlText w:val="•"/>
      <w:lvlJc w:val="left"/>
      <w:pPr>
        <w:ind w:left="5254" w:hanging="420"/>
      </w:pPr>
      <w:rPr>
        <w:rFonts w:hint="default"/>
      </w:rPr>
    </w:lvl>
    <w:lvl w:ilvl="6">
      <w:start w:val="1"/>
      <w:numFmt w:val="bullet"/>
      <w:lvlText w:val="•"/>
      <w:lvlJc w:val="left"/>
      <w:pPr>
        <w:ind w:left="6113" w:hanging="420"/>
      </w:pPr>
      <w:rPr>
        <w:rFonts w:hint="default"/>
      </w:rPr>
    </w:lvl>
    <w:lvl w:ilvl="7">
      <w:start w:val="1"/>
      <w:numFmt w:val="bullet"/>
      <w:lvlText w:val="•"/>
      <w:lvlJc w:val="left"/>
      <w:pPr>
        <w:ind w:left="6972" w:hanging="420"/>
      </w:pPr>
      <w:rPr>
        <w:rFonts w:hint="default"/>
      </w:rPr>
    </w:lvl>
    <w:lvl w:ilvl="8">
      <w:start w:val="1"/>
      <w:numFmt w:val="bullet"/>
      <w:lvlText w:val="•"/>
      <w:lvlJc w:val="left"/>
      <w:pPr>
        <w:ind w:left="7831" w:hanging="4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38"/>
    </w:pPr>
    <w:rPr>
      <w:rFonts w:ascii="宋体" w:hAnsi="宋体" w:eastAsia="宋体"/>
      <w:sz w:val="21"/>
      <w:szCs w:val="21"/>
    </w:rPr>
  </w:style>
  <w:style w:styleId="BodyText" w:type="paragraph">
    <w:name w:val="Body Text"/>
    <w:basedOn w:val="Normal"/>
    <w:uiPriority w:val="1"/>
    <w:qFormat/>
    <w:pPr>
      <w:ind w:left="20"/>
    </w:pPr>
    <w:rPr>
      <w:rFonts w:ascii="宋体" w:hAnsi="宋体" w:eastAsia="宋体"/>
      <w:sz w:val="22"/>
      <w:szCs w:val="22"/>
    </w:rPr>
  </w:style>
  <w:style w:styleId="Heading1" w:type="paragraph">
    <w:name w:val="Heading 1"/>
    <w:basedOn w:val="Normal"/>
    <w:uiPriority w:val="1"/>
    <w:qFormat/>
    <w:pPr>
      <w:spacing w:before="151"/>
      <w:outlineLvl w:val="1"/>
    </w:pPr>
    <w:rPr>
      <w:rFonts w:ascii="黑体" w:hAnsi="黑体" w:eastAsia="黑体"/>
      <w:b/>
      <w:bCs/>
      <w:sz w:val="28"/>
      <w:szCs w:val="28"/>
    </w:rPr>
  </w:style>
  <w:style w:styleId="Heading2" w:type="paragraph">
    <w:name w:val="Heading 2"/>
    <w:basedOn w:val="Normal"/>
    <w:uiPriority w:val="1"/>
    <w:qFormat/>
    <w:pPr>
      <w:spacing w:before="26"/>
      <w:ind w:left="584"/>
      <w:outlineLvl w:val="2"/>
    </w:pPr>
    <w:rPr>
      <w:rFonts w:ascii="宋体" w:hAnsi="宋体" w:eastAsia="宋体"/>
      <w:b/>
      <w:bCs/>
      <w:sz w:val="24"/>
      <w:szCs w:val="24"/>
    </w:rPr>
  </w:style>
  <w:style w:styleId="Heading3" w:type="paragraph">
    <w:name w:val="Heading 3"/>
    <w:basedOn w:val="Normal"/>
    <w:uiPriority w:val="1"/>
    <w:qFormat/>
    <w:pPr>
      <w:ind w:left="102"/>
      <w:outlineLvl w:val="3"/>
    </w:pPr>
    <w:rPr>
      <w:rFonts w:ascii="宋体" w:hAnsi="宋体" w:eastAsia="宋体"/>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hyperlink" Target="mailto:chaoli@chinaunicom-a.com" TargetMode="External"/><Relationship Id="rId11" Type="http://schemas.openxmlformats.org/officeDocument/2006/relationships/hyperlink" Target="mailto:yangjy@chinaunicom-a.com" TargetMode="External"/><Relationship Id="rId12" Type="http://schemas.openxmlformats.org/officeDocument/2006/relationships/hyperlink" Target="http://www.chinaunicom-a.com/" TargetMode="External"/><Relationship Id="rId13" Type="http://schemas.openxmlformats.org/officeDocument/2006/relationships/hyperlink" Target="mailto:ir@chinaunicom-a.com" TargetMode="External"/><Relationship Id="rId14" Type="http://schemas.openxmlformats.org/officeDocument/2006/relationships/hyperlink" Target="http://www.sse.com.cn/" TargetMode="External"/><Relationship Id="rId15" Type="http://schemas.openxmlformats.org/officeDocument/2006/relationships/image" Target="media/image2.png"/><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hyperlink" Target="http://www.chinaunicom-a.co/" TargetMode="External"/><Relationship Id="rId19" Type="http://schemas.openxmlformats.org/officeDocument/2006/relationships/header" Target="header4.xml"/><Relationship Id="rId20" Type="http://schemas.openxmlformats.org/officeDocument/2006/relationships/footer" Target="footer2.xml"/><Relationship Id="rId21" Type="http://schemas.openxmlformats.org/officeDocument/2006/relationships/header" Target="header5.xml"/><Relationship Id="rId22" Type="http://schemas.openxmlformats.org/officeDocument/2006/relationships/footer" Target="footer3.xml"/><Relationship Id="rId23" Type="http://schemas.openxmlformats.org/officeDocument/2006/relationships/header" Target="header6.xml"/><Relationship Id="rId24" Type="http://schemas.openxmlformats.org/officeDocument/2006/relationships/footer" Target="footer4.xml"/><Relationship Id="rId25" Type="http://schemas.openxmlformats.org/officeDocument/2006/relationships/header" Target="header7.xml"/><Relationship Id="rId26" Type="http://schemas.openxmlformats.org/officeDocument/2006/relationships/footer" Target="footer5.xml"/><Relationship Id="rId27" Type="http://schemas.openxmlformats.org/officeDocument/2006/relationships/header" Target="header8.xml"/><Relationship Id="rId28" Type="http://schemas.openxmlformats.org/officeDocument/2006/relationships/footer" Target="footer6.xml"/><Relationship Id="rId29" Type="http://schemas.openxmlformats.org/officeDocument/2006/relationships/header" Target="header9.xml"/><Relationship Id="rId30" Type="http://schemas.openxmlformats.org/officeDocument/2006/relationships/footer" Target="footer7.xml"/><Relationship Id="rId31" Type="http://schemas.openxmlformats.org/officeDocument/2006/relationships/header" Target="header10.xml"/><Relationship Id="rId32" Type="http://schemas.openxmlformats.org/officeDocument/2006/relationships/footer" Target="footer8.xml"/><Relationship Id="rId33" Type="http://schemas.openxmlformats.org/officeDocument/2006/relationships/header" Target="header11.xml"/><Relationship Id="rId34" Type="http://schemas.openxmlformats.org/officeDocument/2006/relationships/footer" Target="footer9.xml"/><Relationship Id="rId35" Type="http://schemas.openxmlformats.org/officeDocument/2006/relationships/header" Target="header12.xml"/><Relationship Id="rId36" Type="http://schemas.openxmlformats.org/officeDocument/2006/relationships/footer" Target="footer10.xml"/><Relationship Id="rId37" Type="http://schemas.openxmlformats.org/officeDocument/2006/relationships/header" Target="header13.xml"/><Relationship Id="rId38" Type="http://schemas.openxmlformats.org/officeDocument/2006/relationships/footer" Target="footer11.xml"/><Relationship Id="rId39" Type="http://schemas.openxmlformats.org/officeDocument/2006/relationships/header" Target="header14.xml"/><Relationship Id="rId40" Type="http://schemas.openxmlformats.org/officeDocument/2006/relationships/footer" Target="footer12.xml"/><Relationship Id="rId41" Type="http://schemas.openxmlformats.org/officeDocument/2006/relationships/header" Target="header15.xml"/><Relationship Id="rId42" Type="http://schemas.openxmlformats.org/officeDocument/2006/relationships/header" Target="header16.xml"/><Relationship Id="rId43" Type="http://schemas.openxmlformats.org/officeDocument/2006/relationships/header" Target="header17.xml"/><Relationship Id="rId44" Type="http://schemas.openxmlformats.org/officeDocument/2006/relationships/header" Target="header18.xml"/><Relationship Id="rId45" Type="http://schemas.openxmlformats.org/officeDocument/2006/relationships/header" Target="header19.xml"/><Relationship Id="rId46" Type="http://schemas.openxmlformats.org/officeDocument/2006/relationships/header" Target="header20.xml"/><Relationship Id="rId47" Type="http://schemas.openxmlformats.org/officeDocument/2006/relationships/header" Target="header21.xml"/><Relationship Id="rId48" Type="http://schemas.openxmlformats.org/officeDocument/2006/relationships/header" Target="header22.xml"/><Relationship Id="rId49" Type="http://schemas.openxmlformats.org/officeDocument/2006/relationships/header" Target="header23.xml"/><Relationship Id="rId50" Type="http://schemas.openxmlformats.org/officeDocument/2006/relationships/header" Target="header24.xml"/><Relationship Id="rId51" Type="http://schemas.openxmlformats.org/officeDocument/2006/relationships/header" Target="header25.xml"/><Relationship Id="rId52" Type="http://schemas.openxmlformats.org/officeDocument/2006/relationships/header" Target="header26.xml"/><Relationship Id="rId53" Type="http://schemas.openxmlformats.org/officeDocument/2006/relationships/header" Target="header27.xml"/><Relationship Id="rId54" Type="http://schemas.openxmlformats.org/officeDocument/2006/relationships/header" Target="header28.xml"/><Relationship Id="rId55" Type="http://schemas.openxmlformats.org/officeDocument/2006/relationships/header" Target="header29.xml"/><Relationship Id="rId56" Type="http://schemas.openxmlformats.org/officeDocument/2006/relationships/header" Target="header30.xml"/><Relationship Id="rId57" Type="http://schemas.openxmlformats.org/officeDocument/2006/relationships/header" Target="header31.xml"/><Relationship Id="rId58" Type="http://schemas.openxmlformats.org/officeDocument/2006/relationships/header" Target="header32.xml"/><Relationship Id="rId59" Type="http://schemas.openxmlformats.org/officeDocument/2006/relationships/header" Target="header33.xml"/><Relationship Id="rId60" Type="http://schemas.openxmlformats.org/officeDocument/2006/relationships/header" Target="header34.xml"/><Relationship Id="rId61" Type="http://schemas.openxmlformats.org/officeDocument/2006/relationships/header" Target="header35.xml"/><Relationship Id="rId62" Type="http://schemas.openxmlformats.org/officeDocument/2006/relationships/header" Target="header36.xml"/><Relationship Id="rId63" Type="http://schemas.openxmlformats.org/officeDocument/2006/relationships/header" Target="header37.xml"/><Relationship Id="rId64" Type="http://schemas.openxmlformats.org/officeDocument/2006/relationships/header" Target="header38.xml"/><Relationship Id="rId65" Type="http://schemas.openxmlformats.org/officeDocument/2006/relationships/footer" Target="footer13.xml"/><Relationship Id="rId66" Type="http://schemas.openxmlformats.org/officeDocument/2006/relationships/header" Target="header39.xml"/><Relationship Id="rId67" Type="http://schemas.openxmlformats.org/officeDocument/2006/relationships/header" Target="header40.xml"/><Relationship Id="rId68" Type="http://schemas.openxmlformats.org/officeDocument/2006/relationships/footer" Target="footer14.xml"/><Relationship Id="rId69" Type="http://schemas.openxmlformats.org/officeDocument/2006/relationships/header" Target="header41.xml"/><Relationship Id="rId70" Type="http://schemas.openxmlformats.org/officeDocument/2006/relationships/footer" Target="footer15.xml"/><Relationship Id="rId71" Type="http://schemas.openxmlformats.org/officeDocument/2006/relationships/footer" Target="footer16.xml"/><Relationship Id="rId72" Type="http://schemas.openxmlformats.org/officeDocument/2006/relationships/header" Target="header42.xml"/><Relationship Id="rId73" Type="http://schemas.openxmlformats.org/officeDocument/2006/relationships/header" Target="header43.xml"/><Relationship Id="rId74" Type="http://schemas.openxmlformats.org/officeDocument/2006/relationships/footer" Target="footer17.xml"/><Relationship Id="rId75" Type="http://schemas.openxmlformats.org/officeDocument/2006/relationships/footer" Target="footer18.xml"/><Relationship Id="rId76" Type="http://schemas.openxmlformats.org/officeDocument/2006/relationships/header" Target="header44.xml"/><Relationship Id="rId77" Type="http://schemas.openxmlformats.org/officeDocument/2006/relationships/header" Target="header45.xml"/><Relationship Id="rId78" Type="http://schemas.openxmlformats.org/officeDocument/2006/relationships/header" Target="header46.xml"/><Relationship Id="rId79" Type="http://schemas.openxmlformats.org/officeDocument/2006/relationships/header" Target="header47.xml"/><Relationship Id="rId80" Type="http://schemas.openxmlformats.org/officeDocument/2006/relationships/footer" Target="footer19.xml"/><Relationship Id="rId81" Type="http://schemas.openxmlformats.org/officeDocument/2006/relationships/footer" Target="footer20.xml"/><Relationship Id="rId82" Type="http://schemas.openxmlformats.org/officeDocument/2006/relationships/header" Target="header48.xml"/><Relationship Id="rId83" Type="http://schemas.openxmlformats.org/officeDocument/2006/relationships/header" Target="header49.xml"/><Relationship Id="rId84" Type="http://schemas.openxmlformats.org/officeDocument/2006/relationships/footer" Target="footer21.xml"/><Relationship Id="rId85" Type="http://schemas.openxmlformats.org/officeDocument/2006/relationships/footer" Target="footer22.xml"/><Relationship Id="rId86" Type="http://schemas.openxmlformats.org/officeDocument/2006/relationships/header" Target="header50.xml"/><Relationship Id="rId87" Type="http://schemas.openxmlformats.org/officeDocument/2006/relationships/header" Target="header51.xml"/><Relationship Id="rId88" Type="http://schemas.openxmlformats.org/officeDocument/2006/relationships/header" Target="header52.xml"/><Relationship Id="rId89" Type="http://schemas.openxmlformats.org/officeDocument/2006/relationships/header" Target="header53.xml"/><Relationship Id="rId90" Type="http://schemas.openxmlformats.org/officeDocument/2006/relationships/header" Target="header54.xml"/><Relationship Id="rId91" Type="http://schemas.openxmlformats.org/officeDocument/2006/relationships/header" Target="header55.xml"/><Relationship Id="rId92" Type="http://schemas.openxmlformats.org/officeDocument/2006/relationships/header" Target="header56.xml"/><Relationship Id="rId93" Type="http://schemas.openxmlformats.org/officeDocument/2006/relationships/footer" Target="footer23.xml"/><Relationship Id="rId94" Type="http://schemas.openxmlformats.org/officeDocument/2006/relationships/header" Target="header57.xml"/><Relationship Id="rId95" Type="http://schemas.openxmlformats.org/officeDocument/2006/relationships/footer" Target="footer24.xml"/><Relationship Id="rId96" Type="http://schemas.openxmlformats.org/officeDocument/2006/relationships/header" Target="header58.xml"/><Relationship Id="rId97" Type="http://schemas.openxmlformats.org/officeDocument/2006/relationships/footer" Target="footer25.xml"/><Relationship Id="rId98" Type="http://schemas.openxmlformats.org/officeDocument/2006/relationships/header" Target="header59.xml"/><Relationship Id="rId99" Type="http://schemas.openxmlformats.org/officeDocument/2006/relationships/footer" Target="footer26.xml"/><Relationship Id="rId100" Type="http://schemas.openxmlformats.org/officeDocument/2006/relationships/footer" Target="footer27.xml"/><Relationship Id="rId101" Type="http://schemas.openxmlformats.org/officeDocument/2006/relationships/header" Target="header60.xml"/><Relationship Id="rId102" Type="http://schemas.openxmlformats.org/officeDocument/2006/relationships/header" Target="header61.xml"/><Relationship Id="rId103" Type="http://schemas.openxmlformats.org/officeDocument/2006/relationships/footer" Target="footer28.xml"/><Relationship Id="rId104" Type="http://schemas.openxmlformats.org/officeDocument/2006/relationships/footer" Target="footer29.xml"/><Relationship Id="rId105" Type="http://schemas.openxmlformats.org/officeDocument/2006/relationships/header" Target="header62.xml"/><Relationship Id="rId106" Type="http://schemas.openxmlformats.org/officeDocument/2006/relationships/header" Target="header63.xml"/><Relationship Id="rId107" Type="http://schemas.openxmlformats.org/officeDocument/2006/relationships/header" Target="header64.xml"/><Relationship Id="rId108" Type="http://schemas.openxmlformats.org/officeDocument/2006/relationships/footer" Target="footer30.xml"/><Relationship Id="rId109" Type="http://schemas.openxmlformats.org/officeDocument/2006/relationships/footer" Target="footer31.xml"/><Relationship Id="rId110" Type="http://schemas.openxmlformats.org/officeDocument/2006/relationships/header" Target="header65.xml"/><Relationship Id="rId111" Type="http://schemas.openxmlformats.org/officeDocument/2006/relationships/header" Target="header66.xml"/><Relationship Id="rId112" Type="http://schemas.openxmlformats.org/officeDocument/2006/relationships/header" Target="header67.xml"/><Relationship Id="rId113" Type="http://schemas.openxmlformats.org/officeDocument/2006/relationships/header" Target="header68.xml"/><Relationship Id="rId114" Type="http://schemas.openxmlformats.org/officeDocument/2006/relationships/header" Target="header69.xml"/><Relationship Id="rId115" Type="http://schemas.openxmlformats.org/officeDocument/2006/relationships/header" Target="header70.xml"/><Relationship Id="rId116" Type="http://schemas.openxmlformats.org/officeDocument/2006/relationships/header" Target="header71.xml"/><Relationship Id="rId117" Type="http://schemas.openxmlformats.org/officeDocument/2006/relationships/header" Target="header72.xml"/><Relationship Id="rId118" Type="http://schemas.openxmlformats.org/officeDocument/2006/relationships/header" Target="header73.xml"/><Relationship Id="rId119" Type="http://schemas.openxmlformats.org/officeDocument/2006/relationships/header" Target="header74.xml"/><Relationship Id="rId120" Type="http://schemas.openxmlformats.org/officeDocument/2006/relationships/header" Target="header75.xml"/><Relationship Id="rId121" Type="http://schemas.openxmlformats.org/officeDocument/2006/relationships/header" Target="header76.xml"/><Relationship Id="rId122" Type="http://schemas.openxmlformats.org/officeDocument/2006/relationships/header" Target="header77.xml"/><Relationship Id="rId123" Type="http://schemas.openxmlformats.org/officeDocument/2006/relationships/header" Target="header78.xml"/><Relationship Id="rId124" Type="http://schemas.openxmlformats.org/officeDocument/2006/relationships/header" Target="header79.xml"/><Relationship Id="rId125" Type="http://schemas.openxmlformats.org/officeDocument/2006/relationships/header" Target="header80.xml"/><Relationship Id="rId126" Type="http://schemas.openxmlformats.org/officeDocument/2006/relationships/header" Target="header81.xml"/><Relationship Id="rId127" Type="http://schemas.openxmlformats.org/officeDocument/2006/relationships/footer" Target="footer32.xml"/><Relationship Id="rId128" Type="http://schemas.openxmlformats.org/officeDocument/2006/relationships/header" Target="header82.xml"/><Relationship Id="rId129" Type="http://schemas.openxmlformats.org/officeDocument/2006/relationships/header" Target="header83.xml"/><Relationship Id="rId130" Type="http://schemas.openxmlformats.org/officeDocument/2006/relationships/footer" Target="footer33.xml"/><Relationship Id="rId131" Type="http://schemas.openxmlformats.org/officeDocument/2006/relationships/header" Target="header84.xml"/><Relationship Id="rId132" Type="http://schemas.openxmlformats.org/officeDocument/2006/relationships/footer" Target="footer34.xml"/><Relationship Id="rId133" Type="http://schemas.openxmlformats.org/officeDocument/2006/relationships/header" Target="header85.xml"/><Relationship Id="rId134" Type="http://schemas.openxmlformats.org/officeDocument/2006/relationships/header" Target="header86.xml"/><Relationship Id="rId135" Type="http://schemas.openxmlformats.org/officeDocument/2006/relationships/header" Target="header87.xml"/><Relationship Id="rId136" Type="http://schemas.openxmlformats.org/officeDocument/2006/relationships/header" Target="header88.xml"/><Relationship Id="rId137" Type="http://schemas.openxmlformats.org/officeDocument/2006/relationships/header" Target="header89.xml"/><Relationship Id="rId138" Type="http://schemas.openxmlformats.org/officeDocument/2006/relationships/header" Target="header90.xml"/><Relationship Id="rId139" Type="http://schemas.openxmlformats.org/officeDocument/2006/relationships/header" Target="header91.xml"/><Relationship Id="rId140" Type="http://schemas.openxmlformats.org/officeDocument/2006/relationships/header" Target="header92.xml"/><Relationship Id="rId141" Type="http://schemas.openxmlformats.org/officeDocument/2006/relationships/header" Target="header93.xml"/><Relationship Id="rId142" Type="http://schemas.openxmlformats.org/officeDocument/2006/relationships/header" Target="header94.xml"/><Relationship Id="rId143" Type="http://schemas.openxmlformats.org/officeDocument/2006/relationships/header" Target="header95.xml"/><Relationship Id="rId144" Type="http://schemas.openxmlformats.org/officeDocument/2006/relationships/header" Target="header96.xml"/><Relationship Id="rId145" Type="http://schemas.openxmlformats.org/officeDocument/2006/relationships/header" Target="header97.xml"/><Relationship Id="rId146" Type="http://schemas.openxmlformats.org/officeDocument/2006/relationships/header" Target="header98.xml"/><Relationship Id="rId147" Type="http://schemas.openxmlformats.org/officeDocument/2006/relationships/header" Target="header99.xml"/><Relationship Id="rId148" Type="http://schemas.openxmlformats.org/officeDocument/2006/relationships/header" Target="header100.xml"/><Relationship Id="rId149" Type="http://schemas.openxmlformats.org/officeDocument/2006/relationships/header" Target="header101.xml"/><Relationship Id="rId150" Type="http://schemas.openxmlformats.org/officeDocument/2006/relationships/header" Target="header102.xml"/><Relationship Id="rId151" Type="http://schemas.openxmlformats.org/officeDocument/2006/relationships/header" Target="header103.xml"/><Relationship Id="rId152" Type="http://schemas.openxmlformats.org/officeDocument/2006/relationships/header" Target="header104.xml"/><Relationship Id="rId153" Type="http://schemas.openxmlformats.org/officeDocument/2006/relationships/header" Target="header105.xml"/><Relationship Id="rId154" Type="http://schemas.openxmlformats.org/officeDocument/2006/relationships/footer" Target="footer35.xml"/><Relationship Id="rId155" Type="http://schemas.openxmlformats.org/officeDocument/2006/relationships/header" Target="header106.xml"/><Relationship Id="rId156" Type="http://schemas.openxmlformats.org/officeDocument/2006/relationships/header" Target="header107.xml"/><Relationship Id="rId15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2020-05-06T19:55:39Z</dcterms:created>
  <dcterms:modified xsi:type="dcterms:W3CDTF">2020-05-06T19:55:39Z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2015-03-03T00:00:00Z</vt:filetime>
  </property>
  <property fmtid="{D5CDD505-2E9C-101B-9397-08002B2CF9AE}" pid="3" name="Creator">
    <vt:lpwstr>Microsoft® Office Word 2007</vt:lpwstr>
  </property>
  <property fmtid="{D5CDD505-2E9C-101B-9397-08002B2CF9AE}" pid="4" name="LastSaved">
    <vt:filetime>2020-05-06T00:00:00Z</vt:filetime>
  </property>
</Properties>
</file>